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style1.xml" ContentType="application/vnd.ms-office.chartstyle+xml"/>
  <Override PartName="/word/charts/chart/style2.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embeddings/Microsoft_Excel_Worksheet1.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2.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5.8.0 -->
  <w:body>
    <w:p w:rsidR="00127512" w:rsidP="002F4530">
      <w:pPr>
        <w:spacing w:line="269" w:lineRule="auto"/>
        <w:ind w:left="-285"/>
        <w:jc w:val="center"/>
        <w:rPr>
          <w:rFonts w:ascii="Calibri" w:hAnsi="Calibri" w:cs="Calibri"/>
          <w:b/>
          <w:bCs/>
          <w:color w:val="002060"/>
          <w:sz w:val="80"/>
          <w:szCs w:val="80"/>
          <w:rtl/>
        </w:rPr>
      </w:pPr>
    </w:p>
    <w:p w:rsidR="00127512" w:rsidP="002F4530">
      <w:pPr>
        <w:spacing w:line="269" w:lineRule="auto"/>
        <w:ind w:left="-285"/>
        <w:jc w:val="center"/>
        <w:rPr>
          <w:rFonts w:ascii="Calibri" w:hAnsi="Calibri" w:cs="Calibri"/>
          <w:b/>
          <w:bCs/>
          <w:color w:val="002060"/>
          <w:sz w:val="80"/>
          <w:szCs w:val="80"/>
          <w:rtl/>
        </w:rPr>
      </w:pPr>
    </w:p>
    <w:p w:rsidR="00127512" w:rsidP="002F4530">
      <w:pPr>
        <w:spacing w:line="269" w:lineRule="auto"/>
        <w:ind w:left="-285"/>
        <w:jc w:val="center"/>
        <w:rPr>
          <w:rFonts w:ascii="Calibri" w:hAnsi="Calibri" w:cs="Calibri"/>
          <w:b/>
          <w:bCs/>
          <w:color w:val="002060"/>
          <w:sz w:val="80"/>
          <w:szCs w:val="80"/>
          <w:rtl/>
        </w:rPr>
      </w:pPr>
    </w:p>
    <w:p w:rsidR="00127512" w:rsidP="002F4530">
      <w:pPr>
        <w:spacing w:line="269" w:lineRule="auto"/>
        <w:ind w:left="-285"/>
        <w:jc w:val="center"/>
        <w:rPr>
          <w:rFonts w:ascii="Calibri" w:hAnsi="Calibri" w:cs="Calibri"/>
          <w:b/>
          <w:bCs/>
          <w:color w:val="002060"/>
          <w:sz w:val="80"/>
          <w:szCs w:val="80"/>
          <w:rtl/>
        </w:rPr>
      </w:pPr>
    </w:p>
    <w:p w:rsidR="006E1414" w:rsidP="002F4530">
      <w:pPr>
        <w:spacing w:line="269" w:lineRule="auto"/>
        <w:ind w:left="-285"/>
        <w:jc w:val="center"/>
        <w:rPr>
          <w:rFonts w:ascii="Calibri" w:hAnsi="Calibri" w:cs="Calibri"/>
          <w:b/>
          <w:bCs/>
          <w:color w:val="002060"/>
          <w:sz w:val="80"/>
          <w:szCs w:val="80"/>
          <w:rtl/>
        </w:rPr>
      </w:pPr>
      <w:r w:rsidRPr="00165BE9">
        <w:rPr>
          <w:rFonts w:ascii="Calibri" w:hAnsi="Calibri" w:cs="Calibri"/>
          <w:b/>
          <w:bCs/>
          <w:color w:val="002060"/>
          <w:sz w:val="80"/>
          <w:szCs w:val="80"/>
          <w:rtl/>
        </w:rPr>
        <w:t xml:space="preserve">משק הגפ"ם - תכנון, תשתיות ותחרותיות </w:t>
      </w:r>
    </w:p>
    <w:p w:rsidR="006E1414" w:rsidP="002F4530">
      <w:pPr>
        <w:bidi w:val="0"/>
        <w:spacing w:after="200" w:line="276" w:lineRule="auto"/>
        <w:rPr>
          <w:rFonts w:ascii="Calibri" w:hAnsi="Calibri" w:cs="Calibri"/>
          <w:b/>
          <w:bCs/>
          <w:color w:val="002060"/>
          <w:sz w:val="80"/>
          <w:szCs w:val="80"/>
        </w:rPr>
      </w:pPr>
      <w:r>
        <w:rPr>
          <w:rFonts w:ascii="Calibri" w:hAnsi="Calibri" w:cs="Times New Roman"/>
          <w:b/>
          <w:bCs/>
          <w:color w:val="002060"/>
          <w:sz w:val="80"/>
          <w:szCs w:val="80"/>
          <w:rtl/>
        </w:rPr>
        <w:br w:type="page"/>
      </w:r>
    </w:p>
    <w:p w:rsidR="00F954E4" w:rsidP="002F4530">
      <w:pPr>
        <w:bidi w:val="0"/>
        <w:spacing w:after="200" w:line="276" w:lineRule="auto"/>
        <w:rPr>
          <w:rFonts w:ascii="Calibri" w:hAnsi="Calibri" w:cs="Calibri"/>
          <w:b/>
          <w:bCs/>
          <w:color w:val="002060"/>
          <w:sz w:val="80"/>
          <w:szCs w:val="80"/>
        </w:rPr>
        <w:sectPr w:rsidSect="006C2C6D">
          <w:headerReference w:type="default" r:id="rId6"/>
          <w:headerReference w:type="first" r:id="rId7"/>
          <w:footerReference w:type="first" r:id="rId8"/>
          <w:pgSz w:w="11906" w:h="16838"/>
          <w:pgMar w:top="1701" w:right="1985" w:bottom="1588" w:left="1701" w:header="709" w:footer="709" w:gutter="0"/>
          <w:cols w:space="708"/>
          <w:titlePg/>
          <w:bidi/>
          <w:rtlGutter/>
          <w:docGrid w:linePitch="360"/>
        </w:sectPr>
      </w:pPr>
    </w:p>
    <w:p w:rsidR="00165BE9" w:rsidRPr="00165BE9" w:rsidP="002F4530">
      <w:pPr>
        <w:keepNext/>
        <w:keepLines/>
        <w:spacing w:line="269" w:lineRule="auto"/>
        <w:jc w:val="center"/>
        <w:outlineLvl w:val="0"/>
        <w:rPr>
          <w:rFonts w:eastAsia="Times New Roman"/>
          <w:bCs/>
          <w:szCs w:val="36"/>
          <w:u w:val="single"/>
          <w:rtl/>
        </w:rPr>
      </w:pPr>
      <w:r w:rsidRPr="00165BE9">
        <w:rPr>
          <w:rFonts w:eastAsia="Times New Roman" w:hint="cs"/>
          <w:bCs/>
          <w:szCs w:val="36"/>
          <w:u w:val="single"/>
          <w:rtl/>
        </w:rPr>
        <w:t xml:space="preserve">משק הגפ"ם - תכנון, תשתיות ותחרותיות </w:t>
      </w:r>
    </w:p>
    <w:p w:rsidR="00165BE9" w:rsidRPr="00165BE9" w:rsidP="002F4530">
      <w:pPr>
        <w:keepNext/>
        <w:keepLines/>
        <w:spacing w:line="269" w:lineRule="auto"/>
        <w:ind w:left="-567"/>
        <w:rPr>
          <w:rFonts w:eastAsia="Calibri"/>
          <w:szCs w:val="20"/>
          <w:rtl/>
        </w:rPr>
      </w:pPr>
    </w:p>
    <w:p w:rsidR="00165BE9" w:rsidRPr="00165BE9" w:rsidP="002F4530">
      <w:pPr>
        <w:keepNext/>
        <w:keepLines/>
        <w:spacing w:line="269" w:lineRule="auto"/>
        <w:outlineLvl w:val="2"/>
        <w:rPr>
          <w:rFonts w:eastAsia="Times New Roman"/>
          <w:bCs/>
          <w:szCs w:val="28"/>
          <w:u w:val="single"/>
          <w:rtl/>
        </w:rPr>
      </w:pPr>
      <w:r w:rsidRPr="00165BE9">
        <w:rPr>
          <w:rFonts w:eastAsia="Times New Roman" w:hint="eastAsia"/>
          <w:bCs/>
          <w:szCs w:val="28"/>
          <w:u w:val="single"/>
          <w:rtl/>
        </w:rPr>
        <w:t>מבוא</w:t>
      </w:r>
    </w:p>
    <w:p w:rsidR="00165BE9" w:rsidRPr="00165BE9" w:rsidP="002F4530">
      <w:pPr>
        <w:tabs>
          <w:tab w:val="left" w:pos="566"/>
        </w:tabs>
        <w:spacing w:line="269" w:lineRule="auto"/>
        <w:rPr>
          <w:rFonts w:eastAsia="Calibri"/>
          <w:rtl/>
        </w:rPr>
      </w:pPr>
      <w:r w:rsidRPr="00165BE9">
        <w:rPr>
          <w:rFonts w:eastAsia="Calibri" w:hint="cs"/>
          <w:rtl/>
        </w:rPr>
        <w:t xml:space="preserve">גז פחמימני מעובה </w:t>
      </w:r>
      <w:r w:rsidRPr="00165BE9">
        <w:rPr>
          <w:rFonts w:ascii="David" w:eastAsia="Calibri" w:hAnsi="David"/>
          <w:rtl/>
        </w:rPr>
        <w:t>(</w:t>
      </w:r>
      <w:r w:rsidRPr="00165BE9">
        <w:rPr>
          <w:rFonts w:ascii="David" w:eastAsia="Calibri" w:hAnsi="David" w:hint="cs"/>
          <w:rtl/>
        </w:rPr>
        <w:t>להלן - גפ</w:t>
      </w:r>
      <w:r w:rsidRPr="00165BE9">
        <w:rPr>
          <w:rFonts w:ascii="David" w:eastAsia="Calibri" w:hAnsi="David"/>
          <w:rtl/>
        </w:rPr>
        <w:t>"</w:t>
      </w:r>
      <w:r w:rsidRPr="00165BE9">
        <w:rPr>
          <w:rFonts w:ascii="David" w:eastAsia="Calibri" w:hAnsi="David" w:hint="cs"/>
          <w:rtl/>
        </w:rPr>
        <w:t xml:space="preserve">ם. נקרא גם </w:t>
      </w:r>
      <w:r w:rsidRPr="00165BE9">
        <w:rPr>
          <w:rFonts w:ascii="David" w:eastAsia="Calibri" w:hAnsi="David"/>
          <w:rtl/>
        </w:rPr>
        <w:t>"גז בישול")</w:t>
      </w:r>
      <w:r w:rsidRPr="00165BE9">
        <w:rPr>
          <w:rFonts w:eastAsia="Calibri" w:hint="cs"/>
          <w:rtl/>
        </w:rPr>
        <w:t xml:space="preserve"> הוא תוצר של זיקוק נפט גולמי. </w:t>
      </w:r>
      <w:r w:rsidRPr="00165BE9">
        <w:rPr>
          <w:rFonts w:eastAsia="Calibri"/>
          <w:rtl/>
        </w:rPr>
        <w:t xml:space="preserve">המרכיבים הפחמימניים שבנפט הגולמי </w:t>
      </w:r>
      <w:r w:rsidRPr="00165BE9">
        <w:rPr>
          <w:rFonts w:eastAsia="Calibri" w:hint="cs"/>
          <w:rtl/>
        </w:rPr>
        <w:t>מופרדים ב</w:t>
      </w:r>
      <w:r w:rsidRPr="00165BE9">
        <w:rPr>
          <w:rFonts w:eastAsia="Calibri"/>
          <w:rtl/>
        </w:rPr>
        <w:t xml:space="preserve">תהליך </w:t>
      </w:r>
      <w:r w:rsidRPr="00165BE9">
        <w:rPr>
          <w:rFonts w:eastAsia="Calibri" w:hint="cs"/>
          <w:rtl/>
        </w:rPr>
        <w:t>של</w:t>
      </w:r>
      <w:r w:rsidRPr="00165BE9">
        <w:rPr>
          <w:rFonts w:eastAsia="Calibri"/>
          <w:rtl/>
        </w:rPr>
        <w:t xml:space="preserve"> זיקוק </w:t>
      </w:r>
      <w:r w:rsidRPr="00165BE9">
        <w:rPr>
          <w:rFonts w:eastAsia="Calibri" w:hint="cs"/>
          <w:rtl/>
        </w:rPr>
        <w:t xml:space="preserve">שבו </w:t>
      </w:r>
      <w:r w:rsidRPr="00165BE9">
        <w:rPr>
          <w:rFonts w:eastAsia="Calibri"/>
          <w:rtl/>
        </w:rPr>
        <w:t>הנפט הגולמי</w:t>
      </w:r>
      <w:r w:rsidRPr="00165BE9">
        <w:rPr>
          <w:rFonts w:eastAsia="Calibri" w:hint="cs"/>
          <w:rtl/>
        </w:rPr>
        <w:t xml:space="preserve"> מחומם</w:t>
      </w:r>
      <w:r w:rsidRPr="00165BE9">
        <w:rPr>
          <w:rFonts w:eastAsia="Calibri"/>
          <w:rtl/>
        </w:rPr>
        <w:t xml:space="preserve"> ומ</w:t>
      </w:r>
      <w:r w:rsidRPr="00165BE9">
        <w:rPr>
          <w:rFonts w:eastAsia="Calibri" w:hint="cs"/>
          <w:rtl/>
        </w:rPr>
        <w:t>ו</w:t>
      </w:r>
      <w:r w:rsidRPr="00165BE9">
        <w:rPr>
          <w:rFonts w:eastAsia="Calibri"/>
          <w:rtl/>
        </w:rPr>
        <w:t>כנס למגדל הפרדה</w:t>
      </w:r>
      <w:r w:rsidRPr="00165BE9">
        <w:rPr>
          <w:rFonts w:eastAsia="Calibri" w:hint="cs"/>
          <w:rtl/>
        </w:rPr>
        <w:t xml:space="preserve"> בבית הזיקוק</w:t>
      </w:r>
      <w:r w:rsidRPr="00165BE9">
        <w:rPr>
          <w:rFonts w:eastAsia="Calibri"/>
          <w:rtl/>
        </w:rPr>
        <w:t xml:space="preserve">. המרכיבים מתעבים בגבהים שונים במגדל לפי טווח הרתיחה שלהם. </w:t>
      </w:r>
      <w:bookmarkStart w:id="0" w:name="OLE_LINK2"/>
      <w:r w:rsidRPr="00165BE9">
        <w:rPr>
          <w:rFonts w:eastAsia="Calibri"/>
          <w:rtl/>
        </w:rPr>
        <w:t xml:space="preserve">המרכיבים ה"קלים" </w:t>
      </w:r>
      <w:r w:rsidRPr="00165BE9">
        <w:rPr>
          <w:rFonts w:eastAsia="Calibri" w:hint="cs"/>
          <w:rtl/>
        </w:rPr>
        <w:t>-</w:t>
      </w:r>
      <w:r w:rsidRPr="00165BE9">
        <w:rPr>
          <w:rFonts w:eastAsia="Calibri"/>
          <w:rtl/>
        </w:rPr>
        <w:t xml:space="preserve"> בעלי טווח טמפרטור</w:t>
      </w:r>
      <w:r w:rsidRPr="00165BE9">
        <w:rPr>
          <w:rFonts w:eastAsia="Calibri" w:hint="cs"/>
          <w:rtl/>
        </w:rPr>
        <w:t>ת</w:t>
      </w:r>
      <w:r w:rsidRPr="00165BE9">
        <w:rPr>
          <w:rFonts w:eastAsia="Calibri"/>
          <w:rtl/>
        </w:rPr>
        <w:t xml:space="preserve"> רתיחה נמוך </w:t>
      </w:r>
      <w:bookmarkEnd w:id="0"/>
      <w:r w:rsidRPr="00165BE9">
        <w:rPr>
          <w:rFonts w:eastAsia="Calibri" w:hint="cs"/>
          <w:rtl/>
        </w:rPr>
        <w:t>-</w:t>
      </w:r>
      <w:r w:rsidRPr="00165BE9">
        <w:rPr>
          <w:rFonts w:eastAsia="Calibri"/>
          <w:rtl/>
        </w:rPr>
        <w:t xml:space="preserve"> יוצאים מראש המגדל, ואילו המרכיבים הכבדים יותר יוצאים מנקודות שונות לאורך המגדל. </w:t>
      </w:r>
      <w:r w:rsidRPr="00165BE9">
        <w:rPr>
          <w:rFonts w:eastAsia="Calibri" w:hint="eastAsia"/>
          <w:rtl/>
        </w:rPr>
        <w:t>עיקר</w:t>
      </w:r>
      <w:r w:rsidRPr="00165BE9">
        <w:rPr>
          <w:rFonts w:eastAsia="Calibri"/>
          <w:rtl/>
        </w:rPr>
        <w:t xml:space="preserve"> התוצרת מזיקוק חבית נפט</w:t>
      </w:r>
      <w:r w:rsidRPr="00165BE9">
        <w:rPr>
          <w:rFonts w:eastAsia="Calibri" w:hint="cs"/>
          <w:rtl/>
        </w:rPr>
        <w:t xml:space="preserve"> גולמי</w:t>
      </w:r>
      <w:r w:rsidRPr="00165BE9">
        <w:rPr>
          <w:rFonts w:eastAsia="Calibri"/>
          <w:rtl/>
        </w:rPr>
        <w:t xml:space="preserve"> אחת היא תזקיקי הבנזין, </w:t>
      </w:r>
      <w:r w:rsidRPr="00165BE9">
        <w:rPr>
          <w:rFonts w:eastAsia="Calibri" w:hint="eastAsia"/>
          <w:rtl/>
        </w:rPr>
        <w:t>הדס</w:t>
      </w:r>
      <w:r w:rsidRPr="00165BE9">
        <w:rPr>
          <w:rFonts w:eastAsia="Calibri"/>
          <w:rtl/>
        </w:rPr>
        <w:t>"ל</w:t>
      </w:r>
      <w:r w:rsidRPr="00165BE9">
        <w:rPr>
          <w:rFonts w:eastAsia="Calibri" w:hint="cs"/>
          <w:rtl/>
        </w:rPr>
        <w:t xml:space="preserve"> (דלק סילוני)</w:t>
      </w:r>
      <w:r w:rsidRPr="00165BE9">
        <w:rPr>
          <w:rFonts w:eastAsia="Calibri"/>
          <w:rtl/>
        </w:rPr>
        <w:t xml:space="preserve"> והסולר, </w:t>
      </w:r>
      <w:r w:rsidRPr="00165BE9">
        <w:rPr>
          <w:rFonts w:eastAsia="Calibri" w:hint="cs"/>
          <w:rtl/>
        </w:rPr>
        <w:t>ש</w:t>
      </w:r>
      <w:r w:rsidRPr="00165BE9">
        <w:rPr>
          <w:rFonts w:eastAsia="Calibri"/>
          <w:rtl/>
        </w:rPr>
        <w:t>יחדיו</w:t>
      </w:r>
      <w:r w:rsidRPr="00165BE9">
        <w:rPr>
          <w:rFonts w:eastAsia="Calibri" w:hint="cs"/>
          <w:rtl/>
        </w:rPr>
        <w:t xml:space="preserve"> הם</w:t>
      </w:r>
      <w:r w:rsidRPr="00165BE9">
        <w:rPr>
          <w:rFonts w:eastAsia="Calibri"/>
          <w:rtl/>
        </w:rPr>
        <w:t xml:space="preserve"> 81% מכמות התזקיקים המתקבלת, </w:t>
      </w:r>
      <w:r w:rsidRPr="00165BE9">
        <w:rPr>
          <w:rFonts w:eastAsia="Calibri" w:hint="cs"/>
          <w:rtl/>
        </w:rPr>
        <w:t xml:space="preserve">לעומת </w:t>
      </w:r>
      <w:r w:rsidRPr="00165BE9">
        <w:rPr>
          <w:rFonts w:eastAsia="Calibri" w:hint="eastAsia"/>
          <w:rtl/>
        </w:rPr>
        <w:t>הגפ</w:t>
      </w:r>
      <w:r w:rsidRPr="00165BE9">
        <w:rPr>
          <w:rFonts w:eastAsia="Calibri"/>
          <w:rtl/>
        </w:rPr>
        <w:t>"</w:t>
      </w:r>
      <w:r w:rsidRPr="00165BE9">
        <w:rPr>
          <w:rFonts w:eastAsia="Calibri" w:hint="eastAsia"/>
          <w:rtl/>
        </w:rPr>
        <w:t>ם</w:t>
      </w:r>
      <w:r w:rsidRPr="00165BE9">
        <w:rPr>
          <w:rFonts w:eastAsia="Calibri" w:hint="cs"/>
          <w:rtl/>
        </w:rPr>
        <w:t>,</w:t>
      </w:r>
      <w:r w:rsidRPr="00165BE9">
        <w:rPr>
          <w:rFonts w:eastAsia="Calibri"/>
          <w:rtl/>
        </w:rPr>
        <w:t xml:space="preserve"> </w:t>
      </w:r>
      <w:r w:rsidRPr="00165BE9">
        <w:rPr>
          <w:rFonts w:eastAsia="Calibri" w:hint="cs"/>
          <w:rtl/>
        </w:rPr>
        <w:t>שהוא</w:t>
      </w:r>
      <w:r w:rsidRPr="00165BE9">
        <w:rPr>
          <w:rFonts w:eastAsia="Calibri"/>
          <w:rtl/>
        </w:rPr>
        <w:t xml:space="preserve"> 3% </w:t>
      </w:r>
      <w:r w:rsidRPr="00165BE9">
        <w:rPr>
          <w:rFonts w:eastAsia="Calibri" w:hint="cs"/>
          <w:rtl/>
        </w:rPr>
        <w:t xml:space="preserve">בלבד </w:t>
      </w:r>
      <w:r w:rsidRPr="00165BE9">
        <w:rPr>
          <w:rFonts w:eastAsia="Calibri"/>
          <w:rtl/>
        </w:rPr>
        <w:t>מכמות התזקיקים המופקים מחבית אחת.</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rtl/>
        </w:rPr>
      </w:pPr>
      <w:r w:rsidRPr="00165BE9">
        <w:rPr>
          <w:rFonts w:eastAsia="Calibri" w:hint="cs"/>
          <w:rtl/>
        </w:rPr>
        <w:t>שימושי הגפ</w:t>
      </w:r>
      <w:r w:rsidRPr="00165BE9">
        <w:rPr>
          <w:rFonts w:eastAsia="Calibri"/>
          <w:rtl/>
        </w:rPr>
        <w:t>"</w:t>
      </w:r>
      <w:r w:rsidRPr="00165BE9">
        <w:rPr>
          <w:rFonts w:eastAsia="Calibri" w:hint="cs"/>
          <w:rtl/>
        </w:rPr>
        <w:t>ם נחלקים לצרכנים פרטיים ותעשייתיים. צרכנים פרטיים משתמשים בגפ</w:t>
      </w:r>
      <w:r w:rsidRPr="00165BE9">
        <w:rPr>
          <w:rFonts w:eastAsia="Calibri"/>
          <w:rtl/>
        </w:rPr>
        <w:t>"</w:t>
      </w:r>
      <w:r w:rsidRPr="00165BE9">
        <w:rPr>
          <w:rFonts w:eastAsia="Calibri" w:hint="cs"/>
          <w:rtl/>
        </w:rPr>
        <w:t>ם לבישול ולחימום. צרכנים תעשייתיים משתמשים בגפ</w:t>
      </w:r>
      <w:r w:rsidRPr="00165BE9">
        <w:rPr>
          <w:rFonts w:eastAsia="Calibri"/>
          <w:rtl/>
        </w:rPr>
        <w:t>"</w:t>
      </w:r>
      <w:r w:rsidRPr="00165BE9">
        <w:rPr>
          <w:rFonts w:eastAsia="Calibri" w:hint="cs"/>
          <w:rtl/>
        </w:rPr>
        <w:t xml:space="preserve">ם כמקור אנרגיה לפעילותם. </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rtl/>
        </w:rPr>
      </w:pPr>
      <w:r w:rsidRPr="00165BE9">
        <w:rPr>
          <w:rFonts w:eastAsia="Calibri" w:hint="cs"/>
          <w:rtl/>
        </w:rPr>
        <w:t>בתרשים להלן פילוח המגזרים העיקריים במשק המשתמשים בגפ</w:t>
      </w:r>
      <w:r w:rsidRPr="00165BE9">
        <w:rPr>
          <w:rFonts w:eastAsia="Calibri"/>
          <w:rtl/>
        </w:rPr>
        <w:t>"</w:t>
      </w:r>
      <w:r w:rsidRPr="00165BE9">
        <w:rPr>
          <w:rFonts w:eastAsia="Calibri" w:hint="cs"/>
          <w:rtl/>
        </w:rPr>
        <w:t>ם נכון לשנת 2023:</w:t>
      </w:r>
    </w:p>
    <w:p w:rsidR="00165BE9" w:rsidRPr="00165BE9" w:rsidP="002F4530">
      <w:pPr>
        <w:spacing w:line="269" w:lineRule="auto"/>
        <w:rPr>
          <w:rFonts w:eastAsia="Calibri"/>
          <w:rtl/>
        </w:rPr>
      </w:pPr>
    </w:p>
    <w:p w:rsidR="00165BE9" w:rsidRPr="00165BE9" w:rsidP="002F4530">
      <w:pPr>
        <w:spacing w:line="269" w:lineRule="auto"/>
        <w:jc w:val="center"/>
        <w:rPr>
          <w:rFonts w:eastAsia="Calibri"/>
        </w:rPr>
      </w:pPr>
      <w:r w:rsidRPr="00165BE9">
        <w:rPr>
          <w:rFonts w:eastAsia="Calibri" w:hint="eastAsia"/>
          <w:rtl/>
        </w:rPr>
        <w:t>תרשים</w:t>
      </w:r>
      <w:r w:rsidRPr="00165BE9">
        <w:rPr>
          <w:rFonts w:eastAsia="Calibri"/>
          <w:rtl/>
        </w:rPr>
        <w:t xml:space="preserve"> 1:</w:t>
      </w:r>
      <w:r w:rsidRPr="00165BE9">
        <w:rPr>
          <w:rFonts w:eastAsia="Calibri" w:hint="cs"/>
          <w:b/>
          <w:bCs/>
          <w:rtl/>
        </w:rPr>
        <w:t xml:space="preserve"> צריכת גפ</w:t>
      </w:r>
      <w:r w:rsidRPr="00165BE9">
        <w:rPr>
          <w:rFonts w:eastAsia="Calibri"/>
          <w:b/>
          <w:bCs/>
          <w:rtl/>
        </w:rPr>
        <w:t>"</w:t>
      </w:r>
      <w:r w:rsidRPr="00165BE9">
        <w:rPr>
          <w:rFonts w:eastAsia="Calibri" w:hint="cs"/>
          <w:b/>
          <w:bCs/>
          <w:rtl/>
        </w:rPr>
        <w:t>ם משקית, לפי מגזרים, 2023</w:t>
      </w:r>
    </w:p>
    <w:p w:rsidR="00165BE9" w:rsidRPr="00165BE9" w:rsidP="002F4530">
      <w:pPr>
        <w:spacing w:line="269" w:lineRule="auto"/>
        <w:jc w:val="center"/>
        <w:rPr>
          <w:rFonts w:eastAsia="Calibri"/>
          <w:rtl/>
        </w:rPr>
      </w:pPr>
      <w:r w:rsidRPr="00165BE9">
        <w:rPr>
          <w:rFonts w:eastAsia="Times New Roman" w:cs="Times New Roman"/>
          <w:noProof/>
          <w:sz w:val="24"/>
        </w:rPr>
        <w:drawing>
          <wp:inline distT="0" distB="0" distL="0" distR="0">
            <wp:extent cx="4572000" cy="2743200"/>
            <wp:effectExtent l="0" t="0" r="0" b="0"/>
            <wp:docPr id="48" name="תרשים 48" descr="צריכת גפ&quot;ם משקית לפי מגזרים בשנת 2023, לפי סקטורים">
              <a:extLst xmlns:a="http://schemas.openxmlformats.org/drawingml/2006/main">
                <a:ext xmlns:a="http://schemas.openxmlformats.org/drawingml/2006/main" uri="{FF2B5EF4-FFF2-40B4-BE49-F238E27FC236}">
                  <a16:creationId xmlns:a16="http://schemas.microsoft.com/office/drawing/2014/main" id="{CCA92547-B50B-4D01-AEE1-808531239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65BE9" w:rsidRPr="00165BE9" w:rsidP="002F4530">
      <w:pPr>
        <w:spacing w:line="269" w:lineRule="auto"/>
        <w:rPr>
          <w:rFonts w:eastAsia="Calibri"/>
          <w:szCs w:val="20"/>
          <w:rtl/>
        </w:rPr>
      </w:pPr>
      <w:r w:rsidRPr="00165BE9">
        <w:rPr>
          <w:rFonts w:eastAsia="Calibri" w:hint="eastAsia"/>
          <w:szCs w:val="20"/>
          <w:rtl/>
        </w:rPr>
        <w:t>המקור</w:t>
      </w:r>
      <w:r w:rsidRPr="00165BE9">
        <w:rPr>
          <w:rFonts w:eastAsia="Calibri"/>
          <w:szCs w:val="20"/>
          <w:rtl/>
        </w:rPr>
        <w:t>: המלצות הצוות הבי</w:t>
      </w:r>
      <w:r w:rsidRPr="00165BE9">
        <w:rPr>
          <w:rFonts w:eastAsia="Calibri" w:hint="eastAsia"/>
          <w:szCs w:val="20"/>
          <w:rtl/>
        </w:rPr>
        <w:t>ן</w:t>
      </w:r>
      <w:r w:rsidRPr="00165BE9">
        <w:rPr>
          <w:rFonts w:eastAsia="Calibri"/>
          <w:szCs w:val="20"/>
          <w:rtl/>
        </w:rPr>
        <w:t>-</w:t>
      </w:r>
      <w:r w:rsidRPr="00165BE9">
        <w:rPr>
          <w:rFonts w:eastAsia="Calibri" w:hint="eastAsia"/>
          <w:szCs w:val="20"/>
          <w:rtl/>
        </w:rPr>
        <w:t>משרדי</w:t>
      </w:r>
      <w:r w:rsidRPr="00165BE9">
        <w:rPr>
          <w:rFonts w:eastAsia="Calibri"/>
          <w:szCs w:val="20"/>
          <w:rtl/>
        </w:rPr>
        <w:t xml:space="preserve"> לצמצום השימוש ב</w:t>
      </w:r>
      <w:r w:rsidRPr="00165BE9">
        <w:rPr>
          <w:rFonts w:eastAsia="Calibri" w:hint="eastAsia"/>
          <w:szCs w:val="20"/>
          <w:rtl/>
        </w:rPr>
        <w:t>גפ</w:t>
      </w:r>
      <w:r w:rsidRPr="00165BE9">
        <w:rPr>
          <w:rFonts w:eastAsia="Calibri"/>
          <w:szCs w:val="20"/>
          <w:rtl/>
        </w:rPr>
        <w:t>"</w:t>
      </w:r>
      <w:r w:rsidRPr="00165BE9">
        <w:rPr>
          <w:rFonts w:eastAsia="Calibri" w:hint="eastAsia"/>
          <w:szCs w:val="20"/>
          <w:rtl/>
        </w:rPr>
        <w:t>ם</w:t>
      </w:r>
      <w:r w:rsidRPr="00165BE9">
        <w:rPr>
          <w:rFonts w:eastAsia="Calibri"/>
          <w:szCs w:val="20"/>
          <w:rtl/>
        </w:rPr>
        <w:t>, נובמבר 2024.</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rtl/>
        </w:rPr>
      </w:pPr>
      <w:r w:rsidRPr="00165BE9">
        <w:rPr>
          <w:rFonts w:eastAsia="Calibri" w:hint="cs"/>
          <w:rtl/>
        </w:rPr>
        <w:t xml:space="preserve">מהתרשים עולה כי מגזר המסחר והתעשייה צורך כ-36% מן הגפ"ם במדינה. </w:t>
      </w:r>
      <w:r w:rsidRPr="00165BE9">
        <w:rPr>
          <w:rFonts w:eastAsia="Calibri" w:hint="eastAsia"/>
          <w:rtl/>
        </w:rPr>
        <w:t>בין</w:t>
      </w:r>
      <w:r w:rsidRPr="00165BE9">
        <w:rPr>
          <w:rFonts w:eastAsia="Calibri"/>
          <w:rtl/>
        </w:rPr>
        <w:t xml:space="preserve"> </w:t>
      </w:r>
      <w:r w:rsidRPr="00165BE9">
        <w:rPr>
          <w:rFonts w:eastAsia="Calibri" w:hint="eastAsia"/>
          <w:rtl/>
        </w:rPr>
        <w:t>הגופים</w:t>
      </w:r>
      <w:r w:rsidRPr="00165BE9">
        <w:rPr>
          <w:rFonts w:eastAsia="Calibri"/>
          <w:rtl/>
        </w:rPr>
        <w:t xml:space="preserve"> </w:t>
      </w:r>
      <w:r w:rsidRPr="00165BE9">
        <w:rPr>
          <w:rFonts w:eastAsia="Calibri" w:hint="eastAsia"/>
          <w:rtl/>
        </w:rPr>
        <w:t>הבולטים</w:t>
      </w:r>
      <w:r w:rsidRPr="00165BE9">
        <w:rPr>
          <w:rFonts w:eastAsia="Calibri"/>
          <w:rtl/>
        </w:rPr>
        <w:t xml:space="preserve"> </w:t>
      </w:r>
      <w:r w:rsidRPr="00165BE9">
        <w:rPr>
          <w:rFonts w:eastAsia="Calibri" w:hint="eastAsia"/>
          <w:rtl/>
        </w:rPr>
        <w:t>הצורכים</w:t>
      </w:r>
      <w:r w:rsidRPr="00165BE9">
        <w:rPr>
          <w:rFonts w:eastAsia="Calibri"/>
          <w:rtl/>
        </w:rPr>
        <w:t xml:space="preserve"> </w:t>
      </w:r>
      <w:r w:rsidRPr="00165BE9">
        <w:rPr>
          <w:rFonts w:eastAsia="Calibri" w:hint="eastAsia"/>
          <w:rtl/>
        </w:rPr>
        <w:t>גפ</w:t>
      </w:r>
      <w:r w:rsidRPr="00165BE9">
        <w:rPr>
          <w:rFonts w:eastAsia="Calibri"/>
          <w:rtl/>
        </w:rPr>
        <w:t>"</w:t>
      </w:r>
      <w:r w:rsidRPr="00165BE9">
        <w:rPr>
          <w:rFonts w:eastAsia="Calibri" w:hint="eastAsia"/>
          <w:rtl/>
        </w:rPr>
        <w:t>ם</w:t>
      </w:r>
      <w:r w:rsidRPr="00165BE9">
        <w:rPr>
          <w:rFonts w:eastAsia="Calibri"/>
          <w:rtl/>
        </w:rPr>
        <w:t xml:space="preserve"> </w:t>
      </w:r>
      <w:r w:rsidRPr="00165BE9">
        <w:rPr>
          <w:rFonts w:eastAsia="Calibri" w:hint="eastAsia"/>
          <w:rtl/>
        </w:rPr>
        <w:t>כמקור</w:t>
      </w:r>
      <w:r w:rsidRPr="00165BE9">
        <w:rPr>
          <w:rFonts w:eastAsia="Calibri"/>
          <w:rtl/>
        </w:rPr>
        <w:t xml:space="preserve"> </w:t>
      </w:r>
      <w:r w:rsidRPr="00165BE9">
        <w:rPr>
          <w:rFonts w:eastAsia="Calibri" w:hint="eastAsia"/>
          <w:rtl/>
        </w:rPr>
        <w:t>אנרגיה</w:t>
      </w:r>
      <w:r w:rsidRPr="00165BE9">
        <w:rPr>
          <w:rFonts w:eastAsia="Calibri"/>
          <w:rtl/>
        </w:rPr>
        <w:t xml:space="preserve"> </w:t>
      </w:r>
      <w:r w:rsidRPr="00165BE9">
        <w:rPr>
          <w:rFonts w:eastAsia="Calibri" w:hint="eastAsia"/>
          <w:rtl/>
        </w:rPr>
        <w:t>לפעילותם</w:t>
      </w:r>
      <w:r w:rsidRPr="00165BE9">
        <w:rPr>
          <w:rFonts w:eastAsia="Calibri"/>
          <w:rtl/>
        </w:rPr>
        <w:t xml:space="preserve"> נמצאים גופים המספקים </w:t>
      </w:r>
      <w:r w:rsidRPr="00165BE9">
        <w:rPr>
          <w:rFonts w:eastAsia="Calibri" w:hint="eastAsia"/>
          <w:rtl/>
        </w:rPr>
        <w:t>ש</w:t>
      </w:r>
      <w:r w:rsidRPr="00165BE9">
        <w:rPr>
          <w:rFonts w:eastAsia="Calibri" w:hint="cs"/>
          <w:rtl/>
        </w:rPr>
        <w:t>י</w:t>
      </w:r>
      <w:r w:rsidRPr="00165BE9">
        <w:rPr>
          <w:rFonts w:eastAsia="Calibri" w:hint="eastAsia"/>
          <w:rtl/>
        </w:rPr>
        <w:t>רותים</w:t>
      </w:r>
      <w:r w:rsidRPr="00165BE9">
        <w:rPr>
          <w:rFonts w:eastAsia="Calibri"/>
          <w:rtl/>
        </w:rPr>
        <w:t xml:space="preserve"> חיוניים לציבור</w:t>
      </w:r>
      <w:r w:rsidRPr="00165BE9">
        <w:rPr>
          <w:rFonts w:eastAsia="Calibri" w:hint="cs"/>
          <w:rtl/>
        </w:rPr>
        <w:t>,</w:t>
      </w:r>
      <w:r w:rsidRPr="00165BE9">
        <w:rPr>
          <w:rFonts w:eastAsia="Calibri"/>
          <w:rtl/>
        </w:rPr>
        <w:t xml:space="preserve"> כגון בתי חולים, מאפיות, לולים ומכבסות, אשר בשל אילוצים תשתיתיים וג</w:t>
      </w:r>
      <w:r w:rsidRPr="00165BE9">
        <w:rPr>
          <w:rFonts w:eastAsia="Calibri" w:hint="cs"/>
          <w:rtl/>
        </w:rPr>
        <w:t>י</w:t>
      </w:r>
      <w:r w:rsidRPr="00165BE9">
        <w:rPr>
          <w:rFonts w:eastAsia="Calibri"/>
          <w:rtl/>
        </w:rPr>
        <w:t xml:space="preserve">אוגרפיים תלויים </w:t>
      </w:r>
      <w:r w:rsidRPr="00165BE9">
        <w:rPr>
          <w:rFonts w:eastAsia="Calibri" w:hint="eastAsia"/>
          <w:rtl/>
        </w:rPr>
        <w:t>באספקתו</w:t>
      </w:r>
      <w:r w:rsidRPr="00165BE9">
        <w:rPr>
          <w:rFonts w:eastAsia="Calibri"/>
          <w:rtl/>
        </w:rPr>
        <w:t xml:space="preserve"> </w:t>
      </w:r>
      <w:r w:rsidRPr="00165BE9">
        <w:rPr>
          <w:rFonts w:eastAsia="Calibri" w:hint="eastAsia"/>
          <w:rtl/>
        </w:rPr>
        <w:t>הרציפה</w:t>
      </w:r>
      <w:r w:rsidRPr="00165BE9">
        <w:rPr>
          <w:rFonts w:eastAsia="Calibri"/>
          <w:rtl/>
        </w:rPr>
        <w:t xml:space="preserve">. </w:t>
      </w:r>
      <w:r w:rsidRPr="00165BE9">
        <w:rPr>
          <w:rFonts w:eastAsia="Calibri" w:hint="cs"/>
          <w:rtl/>
        </w:rPr>
        <w:t>המגזר הביתי צורך כ-27% מן הגפ"ם במדינה, ועוד כ-26% נמכרים לרשות הפלסטינית (להלן - הרש"פ), ו-11% מן הגפ"ם משמשים את ענפי החקלאות והתחבורה.</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rtl/>
        </w:rPr>
      </w:pPr>
      <w:r w:rsidRPr="00165BE9">
        <w:rPr>
          <w:rFonts w:ascii="David" w:eastAsia="Calibri" w:hAnsi="David"/>
          <w:rtl/>
        </w:rPr>
        <w:t>הביקוש המקומי לגפ"</w:t>
      </w:r>
      <w:r w:rsidRPr="00165BE9">
        <w:rPr>
          <w:rFonts w:ascii="David" w:eastAsia="Calibri" w:hAnsi="David" w:hint="cs"/>
          <w:rtl/>
        </w:rPr>
        <w:t>ם</w:t>
      </w:r>
      <w:r w:rsidRPr="00165BE9">
        <w:rPr>
          <w:rFonts w:ascii="David" w:eastAsia="Calibri" w:hAnsi="David"/>
          <w:rtl/>
        </w:rPr>
        <w:t xml:space="preserve"> </w:t>
      </w:r>
      <w:r w:rsidRPr="00165BE9">
        <w:rPr>
          <w:rFonts w:ascii="David" w:eastAsia="Calibri" w:hAnsi="David" w:hint="cs"/>
          <w:rtl/>
        </w:rPr>
        <w:t xml:space="preserve">(לרבות הרש"פ) עומד </w:t>
      </w:r>
      <w:r w:rsidRPr="00165BE9">
        <w:rPr>
          <w:rFonts w:ascii="David" w:eastAsia="Calibri" w:hAnsi="David"/>
          <w:rtl/>
        </w:rPr>
        <w:t xml:space="preserve">בקיץ </w:t>
      </w:r>
      <w:r w:rsidRPr="00165BE9">
        <w:rPr>
          <w:rFonts w:ascii="David" w:eastAsia="Calibri" w:hAnsi="David" w:hint="cs"/>
          <w:rtl/>
        </w:rPr>
        <w:t xml:space="preserve">על </w:t>
      </w:r>
      <w:r w:rsidRPr="00165BE9">
        <w:rPr>
          <w:rFonts w:ascii="David" w:eastAsia="Calibri" w:hAnsi="David"/>
          <w:rtl/>
        </w:rPr>
        <w:t>כ-35,000 טונה</w:t>
      </w:r>
      <w:r w:rsidRPr="00165BE9">
        <w:rPr>
          <w:rFonts w:ascii="David" w:eastAsia="Calibri" w:hAnsi="David" w:hint="cs"/>
          <w:rtl/>
        </w:rPr>
        <w:t xml:space="preserve"> </w:t>
      </w:r>
      <w:r w:rsidRPr="00165BE9">
        <w:rPr>
          <w:rFonts w:ascii="David" w:eastAsia="Calibri" w:hAnsi="David"/>
          <w:rtl/>
        </w:rPr>
        <w:t>לחודש</w:t>
      </w:r>
      <w:r w:rsidRPr="00165BE9">
        <w:rPr>
          <w:rFonts w:ascii="David" w:eastAsia="Calibri" w:hAnsi="David" w:hint="cs"/>
          <w:rtl/>
        </w:rPr>
        <w:t>,</w:t>
      </w:r>
      <w:r w:rsidRPr="00165BE9">
        <w:rPr>
          <w:rFonts w:ascii="David" w:eastAsia="Calibri" w:hAnsi="David"/>
          <w:rtl/>
        </w:rPr>
        <w:t xml:space="preserve"> </w:t>
      </w:r>
      <w:r w:rsidRPr="00165BE9">
        <w:rPr>
          <w:rFonts w:ascii="David" w:eastAsia="Calibri" w:hAnsi="David" w:hint="cs"/>
          <w:rtl/>
        </w:rPr>
        <w:t>ו</w:t>
      </w:r>
      <w:r w:rsidRPr="00165BE9">
        <w:rPr>
          <w:rFonts w:ascii="David" w:eastAsia="Calibri" w:hAnsi="David"/>
          <w:rtl/>
        </w:rPr>
        <w:t>בחורף</w:t>
      </w:r>
      <w:r w:rsidRPr="00165BE9">
        <w:rPr>
          <w:rFonts w:ascii="David" w:eastAsia="Calibri" w:hAnsi="David" w:hint="cs"/>
          <w:rtl/>
        </w:rPr>
        <w:t xml:space="preserve"> על </w:t>
      </w:r>
      <w:r w:rsidR="001E604F">
        <w:rPr>
          <w:rFonts w:ascii="David" w:eastAsia="Calibri" w:hAnsi="David"/>
          <w:rtl/>
        </w:rPr>
        <w:br/>
      </w:r>
      <w:r w:rsidRPr="00165BE9">
        <w:rPr>
          <w:rFonts w:ascii="David" w:eastAsia="Calibri" w:hAnsi="David"/>
          <w:rtl/>
        </w:rPr>
        <w:t xml:space="preserve">כ-75,000 טון. </w:t>
      </w:r>
      <w:r w:rsidRPr="00165BE9">
        <w:rPr>
          <w:rFonts w:ascii="David" w:eastAsia="Calibri" w:hAnsi="David" w:hint="cs"/>
          <w:rtl/>
        </w:rPr>
        <w:t xml:space="preserve">אספקת הגפ"ם בישראל המספקת את הביקוש האמור </w:t>
      </w:r>
      <w:r w:rsidRPr="00165BE9">
        <w:rPr>
          <w:rFonts w:eastAsia="Calibri" w:hint="cs"/>
          <w:rtl/>
        </w:rPr>
        <w:t>מתבצעת באמצעות שלושה מקטעים: מקטע הייצור המקומי ויבוא הגפ"ם; מקטע אחסון הגפ"ם; ומקטע שיווק הגפ"ם לצרכנים.</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b/>
          <w:rtl/>
        </w:rPr>
      </w:pPr>
      <w:r w:rsidRPr="00165BE9">
        <w:rPr>
          <w:rFonts w:ascii="David" w:eastAsia="Calibri" w:hAnsi="David"/>
          <w:rtl/>
        </w:rPr>
        <w:t>הייצור המקומי</w:t>
      </w:r>
      <w:r w:rsidRPr="00165BE9">
        <w:rPr>
          <w:rFonts w:ascii="David" w:eastAsia="Calibri" w:hAnsi="David" w:hint="cs"/>
          <w:rtl/>
        </w:rPr>
        <w:t xml:space="preserve"> של גפ"ם נעשה בשני בתי הזיקוק הפעילים במדינה: של חברת בתי זיקוק לנפט בע"מ (להלן - בז"ן), הממוקם במפרץ חיפה ומייצר כ</w:t>
      </w:r>
      <w:r w:rsidRPr="00165BE9">
        <w:rPr>
          <w:rFonts w:ascii="David" w:eastAsia="Calibri" w:hAnsi="David"/>
          <w:rtl/>
        </w:rPr>
        <w:t>-24,000 טונה</w:t>
      </w:r>
      <w:r w:rsidRPr="00165BE9">
        <w:rPr>
          <w:rFonts w:ascii="David" w:eastAsia="Calibri" w:hAnsi="David" w:hint="cs"/>
          <w:rtl/>
        </w:rPr>
        <w:t xml:space="preserve"> בחודש;</w:t>
      </w:r>
      <w:r w:rsidRPr="00165BE9">
        <w:rPr>
          <w:rFonts w:ascii="David" w:eastAsia="Calibri" w:hAnsi="David"/>
          <w:rtl/>
        </w:rPr>
        <w:t xml:space="preserve"> </w:t>
      </w:r>
      <w:r w:rsidRPr="00165BE9">
        <w:rPr>
          <w:rFonts w:ascii="David" w:eastAsia="Calibri" w:hAnsi="David" w:hint="cs"/>
          <w:rtl/>
        </w:rPr>
        <w:t xml:space="preserve">ושל חברת בית זיקוק </w:t>
      </w:r>
      <w:r w:rsidRPr="00165BE9">
        <w:rPr>
          <w:rFonts w:ascii="David" w:eastAsia="Calibri" w:hAnsi="David" w:hint="cs"/>
          <w:rtl/>
        </w:rPr>
        <w:t>אשדוד בע"מ (להלן - בז"א), הממוקם לצד נמל אשדוד ומייצר 6,000 -8</w:t>
      </w:r>
      <w:r w:rsidRPr="00165BE9">
        <w:rPr>
          <w:rFonts w:ascii="David" w:eastAsia="Calibri" w:hAnsi="David"/>
          <w:rtl/>
        </w:rPr>
        <w:t>,000 טונה</w:t>
      </w:r>
      <w:r w:rsidRPr="00165BE9">
        <w:rPr>
          <w:rFonts w:ascii="David" w:eastAsia="Calibri" w:hAnsi="David" w:hint="cs"/>
          <w:rtl/>
        </w:rPr>
        <w:t xml:space="preserve"> </w:t>
      </w:r>
      <w:r w:rsidRPr="00165BE9">
        <w:rPr>
          <w:rFonts w:ascii="David" w:eastAsia="Calibri" w:hAnsi="David"/>
          <w:rtl/>
        </w:rPr>
        <w:t>ב</w:t>
      </w:r>
      <w:r w:rsidRPr="00165BE9">
        <w:rPr>
          <w:rFonts w:ascii="David" w:eastAsia="Calibri" w:hAnsi="David" w:hint="cs"/>
          <w:rtl/>
        </w:rPr>
        <w:t>חודש</w:t>
      </w:r>
      <w:r>
        <w:rPr>
          <w:rFonts w:ascii="David" w:eastAsia="Calibri" w:hAnsi="David"/>
          <w:vertAlign w:val="superscript"/>
          <w:rtl/>
        </w:rPr>
        <w:footnoteReference w:id="2"/>
      </w:r>
      <w:r w:rsidRPr="00165BE9">
        <w:rPr>
          <w:rFonts w:ascii="David" w:eastAsia="Calibri" w:hAnsi="David"/>
          <w:rtl/>
        </w:rPr>
        <w:t>.</w:t>
      </w:r>
      <w:r w:rsidRPr="00165BE9">
        <w:rPr>
          <w:rFonts w:eastAsia="Calibri" w:hint="cs"/>
          <w:rtl/>
        </w:rPr>
        <w:t xml:space="preserve"> יתרת הביקוש מסופקת באמצעות יבוא גפ"ם, אשר </w:t>
      </w:r>
      <w:r w:rsidRPr="00165BE9">
        <w:rPr>
          <w:rFonts w:eastAsia="Calibri"/>
          <w:rtl/>
        </w:rPr>
        <w:t xml:space="preserve">נעשה באמצעות </w:t>
      </w:r>
      <w:r w:rsidRPr="00165BE9">
        <w:rPr>
          <w:rFonts w:eastAsia="Calibri" w:hint="cs"/>
          <w:rtl/>
        </w:rPr>
        <w:t xml:space="preserve">מִקְשָר הנפט מול חופי אשקלון המופעל על ידי </w:t>
      </w:r>
      <w:r w:rsidRPr="00165BE9">
        <w:rPr>
          <w:rFonts w:eastAsia="Calibri"/>
          <w:rtl/>
        </w:rPr>
        <w:t xml:space="preserve">חברת </w:t>
      </w:r>
      <w:r w:rsidRPr="00165BE9">
        <w:rPr>
          <w:rFonts w:eastAsia="Calibri" w:hint="cs"/>
          <w:rtl/>
        </w:rPr>
        <w:t xml:space="preserve">קו צינור אירופה אסיה בע"מ (להלן - </w:t>
      </w:r>
      <w:r w:rsidRPr="00165BE9">
        <w:rPr>
          <w:rFonts w:eastAsia="Calibri" w:hint="eastAsia"/>
          <w:rtl/>
        </w:rPr>
        <w:t>קצא</w:t>
      </w:r>
      <w:r w:rsidRPr="00165BE9">
        <w:rPr>
          <w:rFonts w:eastAsia="Calibri"/>
          <w:rtl/>
        </w:rPr>
        <w:t>"א</w:t>
      </w:r>
      <w:r w:rsidRPr="00165BE9">
        <w:rPr>
          <w:rFonts w:eastAsia="Calibri" w:hint="cs"/>
          <w:rtl/>
        </w:rPr>
        <w:t>)</w:t>
      </w:r>
      <w:r>
        <w:rPr>
          <w:rFonts w:eastAsia="Calibri"/>
          <w:vertAlign w:val="superscript"/>
          <w:rtl/>
        </w:rPr>
        <w:footnoteReference w:id="3"/>
      </w:r>
      <w:r w:rsidRPr="00165BE9">
        <w:rPr>
          <w:rFonts w:eastAsia="Calibri"/>
          <w:rtl/>
        </w:rPr>
        <w:t>.</w:t>
      </w:r>
      <w:r w:rsidRPr="00165BE9">
        <w:rPr>
          <w:rFonts w:eastAsia="Calibri" w:hint="cs"/>
          <w:bCs/>
          <w:rtl/>
        </w:rPr>
        <w:t xml:space="preserve"> </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b/>
          <w:rtl/>
        </w:rPr>
      </w:pPr>
      <w:r w:rsidRPr="00165BE9">
        <w:rPr>
          <w:rFonts w:eastAsia="Calibri"/>
          <w:b/>
          <w:rtl/>
        </w:rPr>
        <w:t>מִקְשָׁר ימי הוא מתקן ימי המשמש נקודת עגינה ופריקה לא</w:t>
      </w:r>
      <w:r w:rsidRPr="00165BE9">
        <w:rPr>
          <w:rFonts w:eastAsia="Calibri" w:hint="cs"/>
          <w:b/>
          <w:rtl/>
        </w:rPr>
        <w:t>ו</w:t>
      </w:r>
      <w:r w:rsidRPr="00165BE9">
        <w:rPr>
          <w:rFonts w:eastAsia="Calibri"/>
          <w:b/>
          <w:rtl/>
        </w:rPr>
        <w:t>ניות נפט ודלקים, הממוקם בדרך כלל מחוץ לנמל, בעומק ים</w:t>
      </w:r>
      <w:r w:rsidRPr="00165BE9">
        <w:rPr>
          <w:rFonts w:eastAsia="Calibri" w:hint="cs"/>
          <w:b/>
          <w:rtl/>
        </w:rPr>
        <w:t>,</w:t>
      </w:r>
      <w:r w:rsidRPr="00165BE9">
        <w:rPr>
          <w:rFonts w:eastAsia="Calibri"/>
          <w:b/>
          <w:rtl/>
        </w:rPr>
        <w:t xml:space="preserve"> </w:t>
      </w:r>
      <w:r w:rsidRPr="00165BE9">
        <w:rPr>
          <w:rFonts w:eastAsia="Calibri" w:hint="cs"/>
          <w:b/>
          <w:rtl/>
        </w:rPr>
        <w:t>ו</w:t>
      </w:r>
      <w:r w:rsidRPr="00165BE9">
        <w:rPr>
          <w:rFonts w:eastAsia="Calibri"/>
          <w:b/>
          <w:rtl/>
        </w:rPr>
        <w:t>מאפשר לא</w:t>
      </w:r>
      <w:r w:rsidRPr="00165BE9">
        <w:rPr>
          <w:rFonts w:eastAsia="Calibri" w:hint="cs"/>
          <w:b/>
          <w:rtl/>
        </w:rPr>
        <w:t>ו</w:t>
      </w:r>
      <w:r w:rsidRPr="00165BE9">
        <w:rPr>
          <w:rFonts w:eastAsia="Calibri"/>
          <w:b/>
          <w:rtl/>
        </w:rPr>
        <w:t xml:space="preserve">ניות גדולות לפרוק את מטענן ללא צורך להיכנס לנמל עצמו. בנמל קצא"א יש שני מקשרים למוצרי דלק ומקשר אחד רב-מצופי לגפ"ם. מקשר רב-מצופי הוא כמה מצופים שאליהם נקשרת </w:t>
      </w:r>
      <w:r w:rsidRPr="00165BE9">
        <w:rPr>
          <w:rFonts w:eastAsia="Calibri" w:hint="cs"/>
          <w:b/>
          <w:rtl/>
        </w:rPr>
        <w:t>האוניי</w:t>
      </w:r>
      <w:r w:rsidRPr="00165BE9">
        <w:rPr>
          <w:rFonts w:eastAsia="Calibri" w:hint="eastAsia"/>
          <w:b/>
          <w:rtl/>
        </w:rPr>
        <w:t>ה</w:t>
      </w:r>
      <w:r w:rsidRPr="00165BE9">
        <w:rPr>
          <w:rFonts w:eastAsia="Calibri"/>
          <w:b/>
          <w:rtl/>
        </w:rPr>
        <w:t>. השימוש בסוג המקשר תלוי בגובה הים, במזג האוויר, בעומק המים ובגובה הא</w:t>
      </w:r>
      <w:r w:rsidRPr="00165BE9">
        <w:rPr>
          <w:rFonts w:eastAsia="Calibri" w:hint="cs"/>
          <w:b/>
          <w:rtl/>
        </w:rPr>
        <w:t>ו</w:t>
      </w:r>
      <w:r w:rsidRPr="00165BE9">
        <w:rPr>
          <w:rFonts w:eastAsia="Calibri"/>
          <w:b/>
          <w:rtl/>
        </w:rPr>
        <w:t>ני</w:t>
      </w:r>
      <w:r w:rsidRPr="00165BE9">
        <w:rPr>
          <w:rFonts w:eastAsia="Calibri" w:hint="cs"/>
          <w:b/>
          <w:rtl/>
        </w:rPr>
        <w:t>י</w:t>
      </w:r>
      <w:r w:rsidRPr="00165BE9">
        <w:rPr>
          <w:rFonts w:eastAsia="Calibri"/>
          <w:b/>
          <w:rtl/>
        </w:rPr>
        <w:t>ה. מקשר הגפ"ם יכול לקלוט מכליות במעמס של עד 7,000 טונות.</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b/>
          <w:rtl/>
        </w:rPr>
      </w:pPr>
      <w:r w:rsidRPr="00165BE9">
        <w:rPr>
          <w:rFonts w:eastAsia="Calibri" w:hint="cs"/>
          <w:b/>
          <w:rtl/>
        </w:rPr>
        <w:t>להלן תמונה של פריקת אוניית גפ</w:t>
      </w:r>
      <w:r w:rsidRPr="00165BE9">
        <w:rPr>
          <w:rFonts w:eastAsia="Calibri"/>
          <w:b/>
          <w:rtl/>
        </w:rPr>
        <w:t>"</w:t>
      </w:r>
      <w:r w:rsidRPr="00165BE9">
        <w:rPr>
          <w:rFonts w:eastAsia="Calibri" w:hint="cs"/>
          <w:b/>
          <w:rtl/>
        </w:rPr>
        <w:t>ם במקשר קצא"א:</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jc w:val="center"/>
        <w:rPr>
          <w:rFonts w:eastAsia="Calibri"/>
          <w:bCs/>
          <w:rtl/>
        </w:rPr>
      </w:pPr>
      <w:r w:rsidRPr="00165BE9">
        <w:rPr>
          <w:rFonts w:eastAsia="Calibri" w:hint="cs"/>
          <w:b/>
          <w:rtl/>
        </w:rPr>
        <w:t>תמונה 1:</w:t>
      </w:r>
      <w:r w:rsidRPr="00165BE9">
        <w:rPr>
          <w:rFonts w:eastAsia="Calibri" w:hint="cs"/>
          <w:bCs/>
          <w:rtl/>
        </w:rPr>
        <w:t xml:space="preserve"> פריקת אוניית גפ"ם במקשר קצא"א</w:t>
      </w:r>
    </w:p>
    <w:p w:rsidR="00165BE9" w:rsidRPr="00165BE9" w:rsidP="002F4530">
      <w:pPr>
        <w:spacing w:line="269" w:lineRule="auto"/>
        <w:jc w:val="center"/>
        <w:rPr>
          <w:rFonts w:eastAsia="Calibri"/>
          <w:b/>
          <w:rtl/>
        </w:rPr>
      </w:pPr>
      <w:r w:rsidRPr="00165BE9">
        <w:rPr>
          <w:rFonts w:eastAsia="Calibri"/>
          <w:noProof/>
        </w:rPr>
        <w:drawing>
          <wp:inline distT="0" distB="0" distL="0" distR="0">
            <wp:extent cx="2889265" cy="2163171"/>
            <wp:effectExtent l="0" t="0" r="6350" b="8890"/>
            <wp:docPr id="12" name="תמונה 12" descr="תמונה של אניית גפ&quot;ם בזמן פריק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0"/>
                    <a:stretch>
                      <a:fillRect/>
                    </a:stretch>
                  </pic:blipFill>
                  <pic:spPr>
                    <a:xfrm>
                      <a:off x="0" y="0"/>
                      <a:ext cx="2910836" cy="2179321"/>
                    </a:xfrm>
                    <a:prstGeom prst="rect">
                      <a:avLst/>
                    </a:prstGeom>
                  </pic:spPr>
                </pic:pic>
              </a:graphicData>
            </a:graphic>
          </wp:inline>
        </w:drawing>
      </w:r>
    </w:p>
    <w:p w:rsidR="00165BE9" w:rsidRPr="00165BE9" w:rsidP="002F4530">
      <w:pPr>
        <w:spacing w:line="269" w:lineRule="auto"/>
        <w:ind w:left="1842"/>
        <w:rPr>
          <w:rFonts w:eastAsia="Calibri"/>
          <w:szCs w:val="20"/>
          <w:rtl/>
        </w:rPr>
      </w:pPr>
      <w:r w:rsidRPr="00165BE9">
        <w:rPr>
          <w:rFonts w:eastAsia="Calibri" w:hint="cs"/>
          <w:szCs w:val="20"/>
          <w:rtl/>
        </w:rPr>
        <w:t>המקור: קצא"א.</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b/>
          <w:rtl/>
        </w:rPr>
      </w:pPr>
      <w:r w:rsidRPr="00165BE9">
        <w:rPr>
          <w:rFonts w:eastAsia="Calibri" w:hint="eastAsia"/>
          <w:b/>
          <w:rtl/>
        </w:rPr>
        <w:t>בתרשים</w:t>
      </w:r>
      <w:r w:rsidRPr="00165BE9">
        <w:rPr>
          <w:rFonts w:eastAsia="Calibri"/>
          <w:b/>
          <w:rtl/>
        </w:rPr>
        <w:t xml:space="preserve"> </w:t>
      </w:r>
      <w:r w:rsidRPr="00165BE9">
        <w:rPr>
          <w:rFonts w:eastAsia="Calibri" w:hint="cs"/>
          <w:b/>
          <w:rtl/>
        </w:rPr>
        <w:t>ש</w:t>
      </w:r>
      <w:r w:rsidRPr="00165BE9">
        <w:rPr>
          <w:rFonts w:eastAsia="Calibri" w:hint="eastAsia"/>
          <w:b/>
          <w:rtl/>
        </w:rPr>
        <w:t>להלן</w:t>
      </w:r>
      <w:r w:rsidRPr="00165BE9">
        <w:rPr>
          <w:rFonts w:eastAsia="Calibri" w:hint="cs"/>
          <w:b/>
          <w:rtl/>
        </w:rPr>
        <w:t xml:space="preserve"> מתואר פילוח מקורות הגפ</w:t>
      </w:r>
      <w:r w:rsidRPr="00165BE9">
        <w:rPr>
          <w:rFonts w:eastAsia="Calibri"/>
          <w:b/>
          <w:rtl/>
        </w:rPr>
        <w:t>"</w:t>
      </w:r>
      <w:r w:rsidRPr="00165BE9">
        <w:rPr>
          <w:rFonts w:eastAsia="Calibri" w:hint="cs"/>
          <w:b/>
          <w:rtl/>
        </w:rPr>
        <w:t>ם לשוק הגפ</w:t>
      </w:r>
      <w:r w:rsidRPr="00165BE9">
        <w:rPr>
          <w:rFonts w:eastAsia="Calibri"/>
          <w:b/>
          <w:rtl/>
        </w:rPr>
        <w:t>"</w:t>
      </w:r>
      <w:r w:rsidRPr="00165BE9">
        <w:rPr>
          <w:rFonts w:eastAsia="Calibri" w:hint="cs"/>
          <w:b/>
          <w:rtl/>
        </w:rPr>
        <w:t>ם הישראלי:</w:t>
      </w:r>
    </w:p>
    <w:p w:rsidR="00165BE9" w:rsidRPr="00165BE9" w:rsidP="002F4530">
      <w:pPr>
        <w:keepNext/>
        <w:keepLines/>
        <w:spacing w:line="269" w:lineRule="auto"/>
        <w:ind w:left="-567"/>
        <w:rPr>
          <w:rFonts w:eastAsia="Calibri"/>
          <w:szCs w:val="20"/>
          <w:rtl/>
        </w:rPr>
      </w:pPr>
    </w:p>
    <w:p w:rsidR="00165BE9" w:rsidRPr="00165BE9" w:rsidP="002F4530">
      <w:pPr>
        <w:keepNext/>
        <w:keepLines/>
        <w:spacing w:line="269" w:lineRule="auto"/>
        <w:jc w:val="center"/>
        <w:rPr>
          <w:rFonts w:eastAsia="Calibri"/>
          <w:b/>
          <w:bCs/>
          <w:rtl/>
        </w:rPr>
      </w:pPr>
      <w:r w:rsidRPr="00165BE9">
        <w:rPr>
          <w:rFonts w:eastAsia="Calibri" w:hint="eastAsia"/>
          <w:rtl/>
        </w:rPr>
        <w:t>תרשים</w:t>
      </w:r>
      <w:r w:rsidRPr="00165BE9">
        <w:rPr>
          <w:rFonts w:eastAsia="Calibri"/>
          <w:rtl/>
        </w:rPr>
        <w:t xml:space="preserve"> 2: </w:t>
      </w:r>
      <w:r w:rsidRPr="00165BE9">
        <w:rPr>
          <w:rFonts w:eastAsia="Calibri"/>
          <w:b/>
          <w:bCs/>
          <w:rtl/>
        </w:rPr>
        <w:t xml:space="preserve">פילוח מקורות </w:t>
      </w:r>
      <w:r w:rsidRPr="00165BE9">
        <w:rPr>
          <w:rFonts w:eastAsia="Calibri" w:hint="cs"/>
          <w:b/>
          <w:bCs/>
          <w:rtl/>
        </w:rPr>
        <w:t>ה</w:t>
      </w:r>
      <w:r w:rsidRPr="00165BE9">
        <w:rPr>
          <w:rFonts w:eastAsia="Calibri"/>
          <w:b/>
          <w:bCs/>
          <w:rtl/>
        </w:rPr>
        <w:t>גפ"ם</w:t>
      </w:r>
      <w:r w:rsidRPr="00165BE9">
        <w:rPr>
          <w:rFonts w:eastAsia="Calibri" w:hint="cs"/>
          <w:b/>
          <w:bCs/>
          <w:rtl/>
        </w:rPr>
        <w:t xml:space="preserve"> בישראל, 2024</w:t>
      </w:r>
    </w:p>
    <w:p w:rsidR="00165BE9" w:rsidRPr="00165BE9" w:rsidP="002F4530">
      <w:pPr>
        <w:spacing w:line="269" w:lineRule="auto"/>
        <w:jc w:val="center"/>
        <w:rPr>
          <w:rFonts w:eastAsia="Calibri"/>
          <w:rtl/>
        </w:rPr>
      </w:pPr>
      <w:r w:rsidRPr="00897977">
        <w:rPr>
          <w:rFonts w:eastAsia="Calibri"/>
          <w:noProof/>
        </w:rPr>
        <w:drawing>
          <wp:inline distT="0" distB="0" distL="0" distR="0">
            <wp:extent cx="3657600" cy="2143125"/>
            <wp:effectExtent l="0" t="0" r="0" b="9525"/>
            <wp:docPr id="8" name="תרשים 8" descr="פילוח מקורות הגפ&quot;ם בישראל, ייצור של בז&quot;ן ובז&quot;א, וייבוא">
              <a:extLst xmlns:a="http://schemas.openxmlformats.org/drawingml/2006/main">
                <a:ext xmlns:a="http://schemas.openxmlformats.org/drawingml/2006/main" uri="{FF2B5EF4-FFF2-40B4-BE49-F238E27FC236}">
                  <a16:creationId xmlns:a16="http://schemas.microsoft.com/office/drawing/2014/main" id="{85DEBC5A-577D-4DC9-9CC7-C88257DFA1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65BE9" w:rsidP="002F4530">
      <w:pPr>
        <w:spacing w:line="269" w:lineRule="auto"/>
        <w:ind w:left="992" w:hanging="992"/>
        <w:rPr>
          <w:rFonts w:eastAsia="Calibri"/>
          <w:szCs w:val="20"/>
          <w:rtl/>
        </w:rPr>
      </w:pPr>
      <w:r w:rsidRPr="00165BE9">
        <w:rPr>
          <w:rFonts w:eastAsia="Calibri"/>
          <w:szCs w:val="20"/>
          <w:rtl/>
        </w:rPr>
        <w:t xml:space="preserve"> </w:t>
      </w:r>
      <w:r w:rsidRPr="00165BE9">
        <w:rPr>
          <w:rFonts w:eastAsia="Calibri" w:hint="cs"/>
          <w:szCs w:val="20"/>
          <w:rtl/>
        </w:rPr>
        <w:t>ה</w:t>
      </w:r>
      <w:r w:rsidRPr="00165BE9">
        <w:rPr>
          <w:rFonts w:eastAsia="Calibri" w:hint="eastAsia"/>
          <w:szCs w:val="20"/>
          <w:rtl/>
        </w:rPr>
        <w:t>מקור</w:t>
      </w:r>
      <w:r w:rsidRPr="00165BE9">
        <w:rPr>
          <w:rFonts w:eastAsia="Calibri"/>
          <w:szCs w:val="20"/>
          <w:rtl/>
        </w:rPr>
        <w:t>: המלצות הצוות הבין-משרדי לצמצום השימוש ב</w:t>
      </w:r>
      <w:r w:rsidRPr="00165BE9">
        <w:rPr>
          <w:rFonts w:eastAsia="Calibri" w:hint="eastAsia"/>
          <w:szCs w:val="20"/>
          <w:rtl/>
        </w:rPr>
        <w:t>גפ</w:t>
      </w:r>
      <w:r w:rsidRPr="00165BE9">
        <w:rPr>
          <w:rFonts w:eastAsia="Calibri"/>
          <w:szCs w:val="20"/>
          <w:rtl/>
        </w:rPr>
        <w:t>"</w:t>
      </w:r>
      <w:r w:rsidRPr="00165BE9">
        <w:rPr>
          <w:rFonts w:eastAsia="Calibri" w:hint="eastAsia"/>
          <w:szCs w:val="20"/>
          <w:rtl/>
        </w:rPr>
        <w:t>ם</w:t>
      </w:r>
      <w:r w:rsidRPr="00165BE9">
        <w:rPr>
          <w:rFonts w:eastAsia="Calibri"/>
          <w:szCs w:val="20"/>
          <w:rtl/>
        </w:rPr>
        <w:t>, נובמבר 2024.</w:t>
      </w:r>
    </w:p>
    <w:p w:rsidR="00165BE9" w:rsidP="002F4530">
      <w:pPr>
        <w:bidi w:val="0"/>
        <w:spacing w:after="200" w:line="276" w:lineRule="auto"/>
        <w:rPr>
          <w:rFonts w:eastAsia="Calibri"/>
          <w:szCs w:val="20"/>
          <w:rtl/>
        </w:rPr>
      </w:pPr>
      <w:r>
        <w:rPr>
          <w:rFonts w:eastAsia="Calibri"/>
          <w:szCs w:val="20"/>
          <w:rtl/>
        </w:rPr>
        <w:br w:type="page"/>
      </w:r>
    </w:p>
    <w:p w:rsidR="00165BE9" w:rsidRPr="00165BE9" w:rsidP="002F4530">
      <w:pPr>
        <w:spacing w:line="269" w:lineRule="auto"/>
        <w:rPr>
          <w:rFonts w:ascii="David" w:eastAsia="Calibri" w:hAnsi="David"/>
          <w:rtl/>
        </w:rPr>
      </w:pPr>
      <w:r w:rsidRPr="00165BE9">
        <w:rPr>
          <w:rFonts w:eastAsia="Calibri" w:hint="eastAsia"/>
          <w:rtl/>
        </w:rPr>
        <w:t>מ</w:t>
      </w:r>
      <w:r w:rsidRPr="00165BE9">
        <w:rPr>
          <w:rFonts w:eastAsia="Calibri" w:hint="cs"/>
          <w:rtl/>
        </w:rPr>
        <w:t>ה</w:t>
      </w:r>
      <w:r w:rsidRPr="00165BE9">
        <w:rPr>
          <w:rFonts w:eastAsia="Calibri" w:hint="eastAsia"/>
          <w:rtl/>
        </w:rPr>
        <w:t>תרשים</w:t>
      </w:r>
      <w:r w:rsidRPr="00165BE9">
        <w:rPr>
          <w:rFonts w:eastAsia="Calibri"/>
          <w:rtl/>
        </w:rPr>
        <w:t xml:space="preserve"> עולה כי סך הייצור המקומי </w:t>
      </w:r>
      <w:r w:rsidRPr="00165BE9">
        <w:rPr>
          <w:rFonts w:eastAsia="Calibri" w:hint="cs"/>
          <w:rtl/>
        </w:rPr>
        <w:t xml:space="preserve">של </w:t>
      </w:r>
      <w:r w:rsidRPr="00165BE9">
        <w:rPr>
          <w:rFonts w:eastAsia="Calibri"/>
          <w:rtl/>
        </w:rPr>
        <w:t xml:space="preserve">גפ"ם </w:t>
      </w:r>
      <w:r w:rsidRPr="00165BE9">
        <w:rPr>
          <w:rFonts w:eastAsia="Calibri" w:hint="cs"/>
          <w:rtl/>
        </w:rPr>
        <w:t>בשני בתי הזיקוק בחיפה ובאשדוד מספק</w:t>
      </w:r>
      <w:r w:rsidRPr="00165BE9">
        <w:rPr>
          <w:rFonts w:eastAsia="Calibri"/>
          <w:rtl/>
        </w:rPr>
        <w:t xml:space="preserve"> 63% בלבד מהתצרוכת המקומית. </w:t>
      </w:r>
      <w:r w:rsidRPr="00165BE9">
        <w:rPr>
          <w:rFonts w:eastAsia="Calibri" w:hint="cs"/>
          <w:rtl/>
        </w:rPr>
        <w:t xml:space="preserve">מאחר שכושר הייצור המקומי מוגבל והגפ"ם הוא מוצר במחסור, </w:t>
      </w:r>
      <w:r w:rsidRPr="00165BE9">
        <w:rPr>
          <w:rFonts w:eastAsia="Calibri"/>
          <w:rtl/>
        </w:rPr>
        <w:t>יתר</w:t>
      </w:r>
      <w:r w:rsidRPr="00165BE9">
        <w:rPr>
          <w:rFonts w:eastAsia="Calibri" w:hint="cs"/>
          <w:rtl/>
        </w:rPr>
        <w:t>ת הביקוש לגפ"ם - בשיעור של כ-</w:t>
      </w:r>
      <w:r w:rsidRPr="00165BE9">
        <w:rPr>
          <w:rFonts w:eastAsia="Calibri"/>
          <w:rtl/>
        </w:rPr>
        <w:t xml:space="preserve">37% </w:t>
      </w:r>
      <w:r w:rsidRPr="00165BE9">
        <w:rPr>
          <w:rFonts w:eastAsia="Calibri" w:hint="cs"/>
          <w:rtl/>
        </w:rPr>
        <w:t>מכלל צריכת הגפ"ם במדינה - מיובאת כדי</w:t>
      </w:r>
      <w:r w:rsidRPr="00165BE9">
        <w:rPr>
          <w:rFonts w:eastAsia="Calibri"/>
          <w:rtl/>
        </w:rPr>
        <w:t xml:space="preserve"> </w:t>
      </w:r>
      <w:r w:rsidRPr="00165BE9">
        <w:rPr>
          <w:rFonts w:eastAsia="Calibri" w:hint="cs"/>
          <w:rtl/>
        </w:rPr>
        <w:t>לספק את</w:t>
      </w:r>
      <w:r w:rsidRPr="00165BE9">
        <w:rPr>
          <w:rFonts w:eastAsia="Calibri"/>
          <w:rtl/>
        </w:rPr>
        <w:t xml:space="preserve"> כלל הצריכה במשק. </w:t>
      </w:r>
      <w:r w:rsidRPr="00165BE9">
        <w:rPr>
          <w:rFonts w:eastAsia="Calibri" w:hint="cs"/>
          <w:rtl/>
        </w:rPr>
        <w:t xml:space="preserve">מטבע הדברים, היקף היבוא גדל בעונת החורף, שבו משתמשים יותר בגפ"ם באזורים מסוימים בארץ (לצורכי חימום). נכון למועד סיום הביקורת, </w:t>
      </w:r>
      <w:r w:rsidRPr="00165BE9">
        <w:rPr>
          <w:rFonts w:ascii="David" w:eastAsia="Calibri" w:hAnsi="David"/>
          <w:rtl/>
        </w:rPr>
        <w:t xml:space="preserve">בחורף </w:t>
      </w:r>
      <w:r w:rsidRPr="00165BE9">
        <w:rPr>
          <w:rFonts w:eastAsia="Calibri" w:hint="cs"/>
          <w:rtl/>
        </w:rPr>
        <w:t xml:space="preserve">ישנה </w:t>
      </w:r>
      <w:r w:rsidRPr="00165BE9">
        <w:rPr>
          <w:rFonts w:ascii="David" w:eastAsia="Calibri" w:hAnsi="David"/>
          <w:rtl/>
        </w:rPr>
        <w:t xml:space="preserve">מגבלה </w:t>
      </w:r>
      <w:r w:rsidRPr="00165BE9">
        <w:rPr>
          <w:rFonts w:ascii="David" w:eastAsia="Calibri" w:hAnsi="David" w:hint="cs"/>
          <w:rtl/>
        </w:rPr>
        <w:t xml:space="preserve">אפקטיבית </w:t>
      </w:r>
      <w:r w:rsidRPr="00165BE9">
        <w:rPr>
          <w:rFonts w:ascii="David" w:eastAsia="Calibri" w:hAnsi="David"/>
          <w:rtl/>
        </w:rPr>
        <w:t>ליבוא דרך</w:t>
      </w:r>
      <w:r w:rsidRPr="00165BE9">
        <w:rPr>
          <w:rFonts w:ascii="David" w:eastAsia="Calibri" w:hAnsi="David" w:hint="cs"/>
          <w:rtl/>
        </w:rPr>
        <w:t xml:space="preserve"> </w:t>
      </w:r>
      <w:r w:rsidRPr="00165BE9">
        <w:rPr>
          <w:rFonts w:ascii="David" w:eastAsia="Calibri" w:hAnsi="David" w:hint="eastAsia"/>
          <w:rtl/>
        </w:rPr>
        <w:t>נמל</w:t>
      </w:r>
      <w:r w:rsidRPr="00165BE9">
        <w:rPr>
          <w:rFonts w:ascii="David" w:eastAsia="Calibri" w:hAnsi="David"/>
          <w:rtl/>
        </w:rPr>
        <w:t xml:space="preserve"> קצא"א </w:t>
      </w:r>
      <w:r w:rsidRPr="00165BE9">
        <w:rPr>
          <w:rFonts w:ascii="David" w:eastAsia="Calibri" w:hAnsi="David" w:hint="cs"/>
          <w:rtl/>
        </w:rPr>
        <w:t>בשל מזג האוויר, המקשה את עגינת האוניות וחיבורן למקשר הימי, ועל כן בחורף ימי היבוא מצטמצמים יחסית לקיץ</w:t>
      </w:r>
      <w:r w:rsidRPr="00165BE9">
        <w:rPr>
          <w:rFonts w:ascii="David" w:eastAsia="Calibri" w:hAnsi="David"/>
          <w:rtl/>
        </w:rPr>
        <w:t>.</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bCs/>
          <w:rtl/>
        </w:rPr>
      </w:pPr>
      <w:r w:rsidRPr="00165BE9">
        <w:rPr>
          <w:rFonts w:eastAsia="Calibri" w:hint="cs"/>
          <w:b/>
          <w:rtl/>
        </w:rPr>
        <w:t xml:space="preserve">את הגפ"ם המיובא למדינה מאחסנים במתקני האחסון בחברת קצא"א, </w:t>
      </w:r>
      <w:r w:rsidRPr="00165BE9">
        <w:rPr>
          <w:rFonts w:eastAsia="Calibri"/>
          <w:b/>
          <w:rtl/>
        </w:rPr>
        <w:t xml:space="preserve">היכולים להכיל עד </w:t>
      </w:r>
      <w:r w:rsidR="001E604F">
        <w:rPr>
          <w:rFonts w:ascii="David" w:eastAsia="Calibri" w:hAnsi="David"/>
          <w:rtl/>
        </w:rPr>
        <w:br/>
      </w:r>
      <w:r w:rsidRPr="00165BE9">
        <w:rPr>
          <w:rFonts w:eastAsia="Calibri"/>
          <w:b/>
          <w:rtl/>
        </w:rPr>
        <w:t>כ-10,000 טונה</w:t>
      </w:r>
      <w:r w:rsidRPr="00165BE9">
        <w:rPr>
          <w:rFonts w:eastAsia="Calibri" w:hint="cs"/>
          <w:b/>
          <w:rtl/>
        </w:rPr>
        <w:t xml:space="preserve"> </w:t>
      </w:r>
      <w:r w:rsidRPr="00165BE9">
        <w:rPr>
          <w:rFonts w:eastAsia="Calibri"/>
          <w:b/>
          <w:rtl/>
        </w:rPr>
        <w:t>גפ״ם</w:t>
      </w:r>
      <w:r w:rsidRPr="00165BE9">
        <w:rPr>
          <w:rFonts w:eastAsia="Calibri" w:hint="cs"/>
          <w:b/>
          <w:rtl/>
        </w:rPr>
        <w:t xml:space="preserve">. </w:t>
      </w:r>
      <w:r w:rsidRPr="00165BE9">
        <w:rPr>
          <w:rFonts w:eastAsia="Calibri" w:hint="eastAsia"/>
          <w:rtl/>
        </w:rPr>
        <w:t>קצא</w:t>
      </w:r>
      <w:r w:rsidRPr="00165BE9">
        <w:rPr>
          <w:rFonts w:eastAsia="Calibri"/>
          <w:rtl/>
        </w:rPr>
        <w:t>"א מנפקת את ה</w:t>
      </w:r>
      <w:r w:rsidRPr="00165BE9">
        <w:rPr>
          <w:rFonts w:eastAsia="Calibri" w:hint="eastAsia"/>
          <w:rtl/>
        </w:rPr>
        <w:t>גפ</w:t>
      </w:r>
      <w:r w:rsidRPr="00165BE9">
        <w:rPr>
          <w:rFonts w:eastAsia="Calibri"/>
          <w:rtl/>
        </w:rPr>
        <w:t>"</w:t>
      </w:r>
      <w:r w:rsidRPr="00165BE9">
        <w:rPr>
          <w:rFonts w:eastAsia="Calibri" w:hint="eastAsia"/>
          <w:rtl/>
        </w:rPr>
        <w:t>ם</w:t>
      </w:r>
      <w:r w:rsidRPr="00165BE9">
        <w:rPr>
          <w:rFonts w:eastAsia="Calibri"/>
          <w:rtl/>
        </w:rPr>
        <w:t xml:space="preserve"> </w:t>
      </w:r>
      <w:r w:rsidRPr="00165BE9">
        <w:rPr>
          <w:rFonts w:eastAsia="Calibri" w:hint="eastAsia"/>
          <w:rtl/>
        </w:rPr>
        <w:t>ממתקניה</w:t>
      </w:r>
      <w:r w:rsidRPr="00165BE9">
        <w:rPr>
          <w:rFonts w:eastAsia="Calibri"/>
          <w:rtl/>
        </w:rPr>
        <w:t xml:space="preserve"> </w:t>
      </w:r>
      <w:r w:rsidRPr="00165BE9">
        <w:rPr>
          <w:rFonts w:eastAsia="Calibri" w:hint="eastAsia"/>
          <w:rtl/>
        </w:rPr>
        <w:t>באמצעות</w:t>
      </w:r>
      <w:r w:rsidRPr="00165BE9">
        <w:rPr>
          <w:rFonts w:eastAsia="Calibri"/>
          <w:rtl/>
        </w:rPr>
        <w:t xml:space="preserve"> טרמינל</w:t>
      </w:r>
      <w:r w:rsidRPr="00165BE9">
        <w:rPr>
          <w:rFonts w:eastAsia="Calibri" w:hint="cs"/>
          <w:rtl/>
        </w:rPr>
        <w:t xml:space="preserve"> שהיא מפעילה</w:t>
      </w:r>
      <w:r w:rsidRPr="00165BE9">
        <w:rPr>
          <w:rFonts w:eastAsia="Calibri"/>
          <w:rtl/>
        </w:rPr>
        <w:t xml:space="preserve"> למכליות כביש של ספקי ה</w:t>
      </w:r>
      <w:r w:rsidRPr="00165BE9">
        <w:rPr>
          <w:rFonts w:eastAsia="Calibri" w:hint="eastAsia"/>
          <w:rtl/>
        </w:rPr>
        <w:t>ג</w:t>
      </w:r>
      <w:r w:rsidRPr="00165BE9">
        <w:rPr>
          <w:rFonts w:eastAsia="Calibri" w:hint="cs"/>
          <w:rtl/>
        </w:rPr>
        <w:t>ז</w:t>
      </w:r>
      <w:r>
        <w:rPr>
          <w:rFonts w:ascii="David" w:eastAsia="Calibri" w:hAnsi="David"/>
          <w:vertAlign w:val="superscript"/>
          <w:rtl/>
        </w:rPr>
        <w:footnoteReference w:id="4"/>
      </w:r>
      <w:r w:rsidRPr="00165BE9">
        <w:rPr>
          <w:rFonts w:eastAsia="Calibri" w:hint="cs"/>
          <w:rtl/>
        </w:rPr>
        <w:t>, ומשם משונע הגפ</w:t>
      </w:r>
      <w:r w:rsidRPr="00165BE9">
        <w:rPr>
          <w:rFonts w:eastAsia="Calibri"/>
          <w:rtl/>
        </w:rPr>
        <w:t>"</w:t>
      </w:r>
      <w:r w:rsidRPr="00165BE9">
        <w:rPr>
          <w:rFonts w:eastAsia="Calibri" w:hint="cs"/>
          <w:rtl/>
        </w:rPr>
        <w:t>ם לשם שיווקו לצרכני הקצה. טרמינלים דומים נמצאים גם בבתי הזיקוק בחיפה ובאשדוד, והם מנפקים את תוצרתם למכליות כביש של ספקי הגפ</w:t>
      </w:r>
      <w:r w:rsidRPr="00165BE9">
        <w:rPr>
          <w:rFonts w:eastAsia="Calibri"/>
          <w:rtl/>
        </w:rPr>
        <w:t>"</w:t>
      </w:r>
      <w:r w:rsidRPr="00165BE9">
        <w:rPr>
          <w:rFonts w:eastAsia="Calibri" w:hint="cs"/>
          <w:rtl/>
        </w:rPr>
        <w:t xml:space="preserve">ם. </w:t>
      </w:r>
      <w:r w:rsidRPr="00165BE9">
        <w:rPr>
          <w:rFonts w:eastAsia="Calibri" w:hint="eastAsia"/>
          <w:b/>
          <w:rtl/>
        </w:rPr>
        <w:t>משמעות</w:t>
      </w:r>
      <w:r w:rsidRPr="00165BE9">
        <w:rPr>
          <w:rFonts w:eastAsia="Calibri"/>
          <w:b/>
          <w:rtl/>
        </w:rPr>
        <w:t xml:space="preserve"> האמור לעיל היא </w:t>
      </w:r>
      <w:r w:rsidRPr="00165BE9">
        <w:rPr>
          <w:rFonts w:eastAsia="Calibri" w:hint="cs"/>
          <w:b/>
          <w:rtl/>
        </w:rPr>
        <w:t>שא</w:t>
      </w:r>
      <w:r w:rsidRPr="00165BE9">
        <w:rPr>
          <w:rFonts w:eastAsia="Calibri" w:hint="eastAsia"/>
          <w:b/>
          <w:rtl/>
        </w:rPr>
        <w:t>ספקה</w:t>
      </w:r>
      <w:r w:rsidRPr="00165BE9">
        <w:rPr>
          <w:rFonts w:eastAsia="Calibri"/>
          <w:b/>
          <w:rtl/>
        </w:rPr>
        <w:t xml:space="preserve"> מלאה של הביקוש </w:t>
      </w:r>
      <w:r w:rsidRPr="00165BE9">
        <w:rPr>
          <w:rFonts w:eastAsia="Calibri" w:hint="eastAsia"/>
          <w:b/>
          <w:rtl/>
        </w:rPr>
        <w:t>לגפ</w:t>
      </w:r>
      <w:r w:rsidRPr="00165BE9">
        <w:rPr>
          <w:rFonts w:eastAsia="Calibri"/>
          <w:b/>
          <w:rtl/>
        </w:rPr>
        <w:t>"ם</w:t>
      </w:r>
      <w:r w:rsidRPr="00165BE9">
        <w:rPr>
          <w:rFonts w:eastAsia="Calibri" w:hint="cs"/>
          <w:b/>
          <w:rtl/>
        </w:rPr>
        <w:t xml:space="preserve"> ב</w:t>
      </w:r>
      <w:r w:rsidRPr="00165BE9">
        <w:rPr>
          <w:rFonts w:eastAsia="Calibri"/>
          <w:b/>
          <w:rtl/>
        </w:rPr>
        <w:t xml:space="preserve">מדינה </w:t>
      </w:r>
      <w:r w:rsidRPr="00165BE9">
        <w:rPr>
          <w:rFonts w:eastAsia="Calibri" w:hint="cs"/>
          <w:b/>
          <w:rtl/>
        </w:rPr>
        <w:t>תלויה</w:t>
      </w:r>
      <w:r w:rsidRPr="00165BE9">
        <w:rPr>
          <w:rFonts w:eastAsia="Calibri"/>
          <w:b/>
          <w:rtl/>
        </w:rPr>
        <w:t xml:space="preserve"> הן בייצור המקומי הן ביבוא</w:t>
      </w:r>
      <w:r w:rsidRPr="00165BE9">
        <w:rPr>
          <w:rFonts w:eastAsia="Calibri" w:hint="cs"/>
          <w:b/>
          <w:rtl/>
        </w:rPr>
        <w:t>,</w:t>
      </w:r>
      <w:r w:rsidRPr="00165BE9">
        <w:rPr>
          <w:rFonts w:eastAsia="Calibri"/>
          <w:b/>
          <w:rtl/>
        </w:rPr>
        <w:t xml:space="preserve"> </w:t>
      </w:r>
      <w:r w:rsidRPr="00165BE9">
        <w:rPr>
          <w:rFonts w:eastAsia="Calibri" w:hint="cs"/>
          <w:b/>
          <w:rtl/>
        </w:rPr>
        <w:t>וללא אחד ממקורות אלה ייתכן מחסור בגפ"ם במדינה</w:t>
      </w:r>
      <w:r w:rsidRPr="00165BE9">
        <w:rPr>
          <w:rFonts w:eastAsia="Calibri"/>
          <w:b/>
          <w:rtl/>
        </w:rPr>
        <w:t xml:space="preserve">. </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b/>
          <w:rtl/>
        </w:rPr>
      </w:pPr>
      <w:r w:rsidRPr="00165BE9">
        <w:rPr>
          <w:rFonts w:eastAsia="Calibri" w:hint="cs"/>
          <w:b/>
          <w:rtl/>
        </w:rPr>
        <w:t>מהטרמינלים בבז"ן, בבז"א ובקצא"א מועבר הגפ</w:t>
      </w:r>
      <w:r w:rsidRPr="00165BE9">
        <w:rPr>
          <w:rFonts w:eastAsia="Calibri"/>
          <w:b/>
          <w:rtl/>
        </w:rPr>
        <w:t>"</w:t>
      </w:r>
      <w:r w:rsidRPr="00165BE9">
        <w:rPr>
          <w:rFonts w:eastAsia="Calibri" w:hint="cs"/>
          <w:b/>
          <w:rtl/>
        </w:rPr>
        <w:t>ם באמצעות מכליות כביש לאחסון בחברות המשווקות. כיום משוּוק הגפ</w:t>
      </w:r>
      <w:r w:rsidRPr="00165BE9">
        <w:rPr>
          <w:rFonts w:eastAsia="Calibri"/>
          <w:b/>
          <w:rtl/>
        </w:rPr>
        <w:t>"</w:t>
      </w:r>
      <w:r w:rsidRPr="00165BE9">
        <w:rPr>
          <w:rFonts w:eastAsia="Calibri" w:hint="cs"/>
          <w:b/>
          <w:rtl/>
        </w:rPr>
        <w:t>ם באמצעות כ-60 ספקים</w:t>
      </w:r>
      <w:r>
        <w:rPr>
          <w:rFonts w:eastAsia="Calibri"/>
          <w:b/>
          <w:vertAlign w:val="superscript"/>
          <w:rtl/>
        </w:rPr>
        <w:footnoteReference w:id="5"/>
      </w:r>
      <w:r w:rsidRPr="00165BE9">
        <w:rPr>
          <w:rFonts w:eastAsia="Calibri" w:hint="cs"/>
          <w:b/>
          <w:rtl/>
        </w:rPr>
        <w:t xml:space="preserve">, שהם חברות פרטיות, לצרכני הקצה באמצעות </w:t>
      </w:r>
      <w:r w:rsidRPr="00165BE9">
        <w:rPr>
          <w:rFonts w:eastAsia="Calibri"/>
          <w:b/>
          <w:rtl/>
        </w:rPr>
        <w:t>מרכזיות של מכל נייח</w:t>
      </w:r>
      <w:r>
        <w:rPr>
          <w:rFonts w:eastAsia="Calibri"/>
          <w:b/>
          <w:vertAlign w:val="superscript"/>
          <w:rtl/>
        </w:rPr>
        <w:footnoteReference w:id="6"/>
      </w:r>
      <w:r w:rsidRPr="00165BE9">
        <w:rPr>
          <w:rFonts w:eastAsia="Calibri"/>
          <w:b/>
          <w:rtl/>
        </w:rPr>
        <w:t>, מרכזיות של צבר מכלים</w:t>
      </w:r>
      <w:r w:rsidRPr="00165BE9">
        <w:rPr>
          <w:rFonts w:eastAsia="Calibri" w:hint="cs"/>
          <w:b/>
          <w:rtl/>
        </w:rPr>
        <w:t xml:space="preserve"> (מרכזיית מכלים)</w:t>
      </w:r>
      <w:r>
        <w:rPr>
          <w:rFonts w:eastAsia="Calibri"/>
          <w:b/>
          <w:vertAlign w:val="superscript"/>
          <w:rtl/>
        </w:rPr>
        <w:footnoteReference w:id="7"/>
      </w:r>
      <w:r w:rsidRPr="00165BE9">
        <w:rPr>
          <w:rFonts w:eastAsia="Calibri"/>
          <w:b/>
          <w:rtl/>
        </w:rPr>
        <w:t xml:space="preserve"> ובמכלים ניידים במשקל של 12 או 48 ק"ג</w:t>
      </w:r>
      <w:r w:rsidRPr="00165BE9">
        <w:rPr>
          <w:rFonts w:eastAsia="Calibri" w:hint="cs"/>
          <w:b/>
          <w:rtl/>
        </w:rPr>
        <w:t xml:space="preserve">, כמו שיפורט להלן בפרק ״תחרותיות במקטע שיווק הגפ"ם״. </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rtl/>
        </w:rPr>
      </w:pPr>
      <w:r w:rsidRPr="00165BE9">
        <w:rPr>
          <w:rFonts w:eastAsia="Calibri" w:hint="cs"/>
          <w:rtl/>
        </w:rPr>
        <w:t>ספקי</w:t>
      </w:r>
      <w:r w:rsidRPr="00165BE9">
        <w:rPr>
          <w:rFonts w:eastAsia="Calibri"/>
          <w:rtl/>
        </w:rPr>
        <w:t xml:space="preserve"> </w:t>
      </w:r>
      <w:r w:rsidRPr="00165BE9">
        <w:rPr>
          <w:rFonts w:eastAsia="Calibri" w:hint="eastAsia"/>
          <w:rtl/>
        </w:rPr>
        <w:t>הגפ</w:t>
      </w:r>
      <w:r w:rsidRPr="00165BE9">
        <w:rPr>
          <w:rFonts w:eastAsia="Calibri"/>
          <w:rtl/>
        </w:rPr>
        <w:t>"</w:t>
      </w:r>
      <w:r w:rsidRPr="00165BE9">
        <w:rPr>
          <w:rFonts w:eastAsia="Calibri" w:hint="eastAsia"/>
          <w:rtl/>
        </w:rPr>
        <w:t>ם</w:t>
      </w:r>
      <w:r w:rsidRPr="00165BE9">
        <w:rPr>
          <w:rFonts w:eastAsia="Calibri"/>
          <w:rtl/>
        </w:rPr>
        <w:t xml:space="preserve"> משלמים לחברת אנרגיה בי</w:t>
      </w:r>
      <w:r w:rsidRPr="00165BE9">
        <w:rPr>
          <w:rFonts w:eastAsia="Calibri" w:hint="cs"/>
          <w:rtl/>
        </w:rPr>
        <w:t>ן-</w:t>
      </w:r>
      <w:r w:rsidRPr="00165BE9">
        <w:rPr>
          <w:rFonts w:eastAsia="Calibri"/>
          <w:rtl/>
        </w:rPr>
        <w:t>לאומית</w:t>
      </w:r>
      <w:r w:rsidRPr="00165BE9">
        <w:rPr>
          <w:rFonts w:eastAsia="Calibri" w:hint="cs"/>
          <w:rtl/>
        </w:rPr>
        <w:t>,</w:t>
      </w:r>
      <w:r w:rsidRPr="00165BE9">
        <w:rPr>
          <w:rFonts w:eastAsia="Calibri"/>
          <w:rtl/>
        </w:rPr>
        <w:t xml:space="preserve"> המשנעת דרך הים את </w:t>
      </w:r>
      <w:r w:rsidRPr="00165BE9">
        <w:rPr>
          <w:rFonts w:eastAsia="Calibri" w:hint="eastAsia"/>
          <w:rtl/>
        </w:rPr>
        <w:t>הגפ</w:t>
      </w:r>
      <w:r w:rsidRPr="00165BE9">
        <w:rPr>
          <w:rFonts w:eastAsia="Calibri"/>
          <w:rtl/>
        </w:rPr>
        <w:t>"</w:t>
      </w:r>
      <w:r w:rsidRPr="00165BE9">
        <w:rPr>
          <w:rFonts w:eastAsia="Calibri" w:hint="eastAsia"/>
          <w:rtl/>
        </w:rPr>
        <w:t>ם</w:t>
      </w:r>
      <w:r w:rsidRPr="00165BE9">
        <w:rPr>
          <w:rFonts w:eastAsia="Calibri"/>
          <w:rtl/>
        </w:rPr>
        <w:t xml:space="preserve"> </w:t>
      </w:r>
      <w:r w:rsidRPr="00165BE9">
        <w:rPr>
          <w:rFonts w:eastAsia="Calibri" w:hint="eastAsia"/>
          <w:rtl/>
        </w:rPr>
        <w:t>לקצא</w:t>
      </w:r>
      <w:r w:rsidRPr="00165BE9">
        <w:rPr>
          <w:rFonts w:eastAsia="Calibri"/>
          <w:rtl/>
        </w:rPr>
        <w:t>"א</w:t>
      </w:r>
      <w:r>
        <w:rPr>
          <w:rFonts w:eastAsia="Calibri"/>
          <w:vertAlign w:val="superscript"/>
          <w:rtl/>
        </w:rPr>
        <w:footnoteReference w:id="8"/>
      </w:r>
      <w:r w:rsidRPr="00165BE9">
        <w:rPr>
          <w:rFonts w:eastAsia="Calibri" w:hint="cs"/>
          <w:rtl/>
        </w:rPr>
        <w:t>,</w:t>
      </w:r>
      <w:r w:rsidRPr="00165BE9">
        <w:rPr>
          <w:rFonts w:eastAsia="Calibri"/>
          <w:rtl/>
        </w:rPr>
        <w:t xml:space="preserve"> עבור </w:t>
      </w:r>
      <w:r w:rsidRPr="00165BE9">
        <w:rPr>
          <w:rFonts w:eastAsia="Calibri" w:hint="eastAsia"/>
          <w:rtl/>
        </w:rPr>
        <w:t>הגפ</w:t>
      </w:r>
      <w:r w:rsidRPr="00165BE9">
        <w:rPr>
          <w:rFonts w:eastAsia="Calibri"/>
          <w:rtl/>
        </w:rPr>
        <w:t>"</w:t>
      </w:r>
      <w:r w:rsidRPr="00165BE9">
        <w:rPr>
          <w:rFonts w:eastAsia="Calibri" w:hint="eastAsia"/>
          <w:rtl/>
        </w:rPr>
        <w:t>ם</w:t>
      </w:r>
      <w:r w:rsidRPr="00165BE9">
        <w:rPr>
          <w:rFonts w:eastAsia="Calibri"/>
          <w:rtl/>
        </w:rPr>
        <w:t xml:space="preserve"> עצמו, </w:t>
      </w:r>
      <w:r w:rsidRPr="00165BE9">
        <w:rPr>
          <w:rFonts w:eastAsia="Calibri" w:hint="eastAsia"/>
          <w:rtl/>
        </w:rPr>
        <w:t>ולקצא</w:t>
      </w:r>
      <w:r w:rsidRPr="00165BE9">
        <w:rPr>
          <w:rFonts w:eastAsia="Calibri"/>
          <w:rtl/>
        </w:rPr>
        <w:t xml:space="preserve">"א </w:t>
      </w:r>
      <w:r w:rsidRPr="00165BE9">
        <w:rPr>
          <w:rFonts w:eastAsia="Calibri" w:hint="cs"/>
          <w:rtl/>
        </w:rPr>
        <w:t xml:space="preserve">- </w:t>
      </w:r>
      <w:r w:rsidRPr="00165BE9">
        <w:rPr>
          <w:rFonts w:eastAsia="Calibri"/>
          <w:rtl/>
        </w:rPr>
        <w:t>עבור שירותיה</w:t>
      </w:r>
      <w:r w:rsidRPr="00165BE9">
        <w:rPr>
          <w:rFonts w:eastAsia="Calibri" w:hint="cs"/>
          <w:rtl/>
        </w:rPr>
        <w:t>,</w:t>
      </w:r>
      <w:r w:rsidRPr="00165BE9">
        <w:rPr>
          <w:rFonts w:eastAsia="Calibri"/>
          <w:rtl/>
        </w:rPr>
        <w:t xml:space="preserve"> הכוללים </w:t>
      </w:r>
      <w:r w:rsidRPr="00165BE9">
        <w:rPr>
          <w:rFonts w:eastAsia="Calibri" w:hint="cs"/>
          <w:rtl/>
        </w:rPr>
        <w:t xml:space="preserve">את </w:t>
      </w:r>
      <w:r w:rsidRPr="00165BE9">
        <w:rPr>
          <w:rFonts w:eastAsia="Calibri"/>
          <w:rtl/>
        </w:rPr>
        <w:t xml:space="preserve">פריקת </w:t>
      </w:r>
      <w:r w:rsidRPr="00165BE9">
        <w:rPr>
          <w:rFonts w:eastAsia="Calibri" w:hint="eastAsia"/>
          <w:rtl/>
        </w:rPr>
        <w:t>הגפ</w:t>
      </w:r>
      <w:r w:rsidRPr="00165BE9">
        <w:rPr>
          <w:rFonts w:eastAsia="Calibri"/>
          <w:rtl/>
        </w:rPr>
        <w:t>"</w:t>
      </w:r>
      <w:r w:rsidRPr="00165BE9">
        <w:rPr>
          <w:rFonts w:eastAsia="Calibri" w:hint="eastAsia"/>
          <w:rtl/>
        </w:rPr>
        <w:t>ם</w:t>
      </w:r>
      <w:r w:rsidRPr="00165BE9">
        <w:rPr>
          <w:rFonts w:eastAsia="Calibri"/>
          <w:rtl/>
        </w:rPr>
        <w:t xml:space="preserve"> מא</w:t>
      </w:r>
      <w:r w:rsidRPr="00165BE9">
        <w:rPr>
          <w:rFonts w:eastAsia="Calibri" w:hint="cs"/>
          <w:rtl/>
        </w:rPr>
        <w:t>ו</w:t>
      </w:r>
      <w:r w:rsidRPr="00165BE9">
        <w:rPr>
          <w:rFonts w:eastAsia="Calibri"/>
          <w:rtl/>
        </w:rPr>
        <w:t xml:space="preserve">ניית </w:t>
      </w:r>
      <w:r w:rsidRPr="00165BE9">
        <w:rPr>
          <w:rFonts w:eastAsia="Calibri" w:hint="eastAsia"/>
          <w:rtl/>
        </w:rPr>
        <w:t>הגפ</w:t>
      </w:r>
      <w:r w:rsidRPr="00165BE9">
        <w:rPr>
          <w:rFonts w:eastAsia="Calibri"/>
          <w:rtl/>
        </w:rPr>
        <w:t>"</w:t>
      </w:r>
      <w:r w:rsidRPr="00165BE9">
        <w:rPr>
          <w:rFonts w:eastAsia="Calibri" w:hint="eastAsia"/>
          <w:rtl/>
        </w:rPr>
        <w:t>ם</w:t>
      </w:r>
      <w:r w:rsidRPr="00165BE9">
        <w:rPr>
          <w:rFonts w:eastAsia="Calibri"/>
          <w:rtl/>
        </w:rPr>
        <w:t>; תיסוף של רכיב</w:t>
      </w:r>
      <w:r w:rsidRPr="00165BE9">
        <w:rPr>
          <w:rFonts w:eastAsia="Calibri" w:hint="cs"/>
          <w:rtl/>
        </w:rPr>
        <w:t xml:space="preserve"> הריח </w:t>
      </w:r>
      <w:r w:rsidRPr="00165BE9">
        <w:rPr>
          <w:rFonts w:eastAsia="Calibri"/>
          <w:rtl/>
        </w:rPr>
        <w:t>אתיל מרקפטן</w:t>
      </w:r>
      <w:r w:rsidRPr="00165BE9">
        <w:rPr>
          <w:rFonts w:eastAsia="Calibri" w:hint="cs"/>
          <w:rtl/>
        </w:rPr>
        <w:t xml:space="preserve"> (</w:t>
      </w:r>
      <w:r w:rsidRPr="00165BE9">
        <w:rPr>
          <w:rFonts w:eastAsia="Calibri"/>
          <w:sz w:val="24"/>
        </w:rPr>
        <w:t>Ethyl mercaptan</w:t>
      </w:r>
      <w:r w:rsidRPr="00165BE9">
        <w:rPr>
          <w:rFonts w:eastAsia="Calibri" w:hint="cs"/>
          <w:sz w:val="24"/>
          <w:rtl/>
        </w:rPr>
        <w:t>)</w:t>
      </w:r>
      <w:r>
        <w:rPr>
          <w:rFonts w:eastAsia="Calibri"/>
          <w:vertAlign w:val="superscript"/>
          <w:rtl/>
        </w:rPr>
        <w:footnoteReference w:id="9"/>
      </w:r>
      <w:r w:rsidRPr="00165BE9">
        <w:rPr>
          <w:rFonts w:eastAsia="Calibri"/>
          <w:rtl/>
        </w:rPr>
        <w:t xml:space="preserve"> </w:t>
      </w:r>
      <w:r w:rsidRPr="00165BE9">
        <w:rPr>
          <w:rFonts w:eastAsia="Calibri" w:hint="cs"/>
          <w:rtl/>
        </w:rPr>
        <w:t xml:space="preserve">לגפ"ם; </w:t>
      </w:r>
      <w:r w:rsidRPr="00165BE9">
        <w:rPr>
          <w:rFonts w:eastAsia="Calibri"/>
          <w:rtl/>
        </w:rPr>
        <w:t xml:space="preserve">אחסון </w:t>
      </w:r>
      <w:r w:rsidRPr="00165BE9">
        <w:rPr>
          <w:rFonts w:eastAsia="Calibri" w:hint="eastAsia"/>
          <w:rtl/>
        </w:rPr>
        <w:t>הגפ</w:t>
      </w:r>
      <w:r w:rsidRPr="00165BE9">
        <w:rPr>
          <w:rFonts w:eastAsia="Calibri"/>
          <w:rtl/>
        </w:rPr>
        <w:t>"</w:t>
      </w:r>
      <w:r w:rsidRPr="00165BE9">
        <w:rPr>
          <w:rFonts w:eastAsia="Calibri" w:hint="eastAsia"/>
          <w:rtl/>
        </w:rPr>
        <w:t>ם</w:t>
      </w:r>
      <w:r w:rsidRPr="00165BE9">
        <w:rPr>
          <w:rFonts w:eastAsia="Calibri"/>
          <w:rtl/>
        </w:rPr>
        <w:t xml:space="preserve"> במתקני האחסון; </w:t>
      </w:r>
      <w:r w:rsidRPr="00165BE9">
        <w:rPr>
          <w:rFonts w:eastAsia="Calibri" w:hint="cs"/>
          <w:rtl/>
        </w:rPr>
        <w:t>והעמסתו</w:t>
      </w:r>
      <w:r w:rsidRPr="00165BE9">
        <w:rPr>
          <w:rFonts w:eastAsia="Calibri"/>
          <w:rtl/>
        </w:rPr>
        <w:t xml:space="preserve"> </w:t>
      </w:r>
      <w:r w:rsidRPr="00165BE9">
        <w:rPr>
          <w:rFonts w:eastAsia="Calibri" w:hint="cs"/>
          <w:rtl/>
        </w:rPr>
        <w:t>למכליות כביש של</w:t>
      </w:r>
      <w:r w:rsidRPr="00165BE9">
        <w:rPr>
          <w:rFonts w:eastAsia="Calibri"/>
          <w:rtl/>
        </w:rPr>
        <w:t xml:space="preserve"> </w:t>
      </w:r>
      <w:r w:rsidRPr="00165BE9">
        <w:rPr>
          <w:rFonts w:eastAsia="Calibri" w:hint="eastAsia"/>
          <w:rtl/>
        </w:rPr>
        <w:t>גפ</w:t>
      </w:r>
      <w:r w:rsidRPr="00165BE9">
        <w:rPr>
          <w:rFonts w:eastAsia="Calibri"/>
          <w:rtl/>
        </w:rPr>
        <w:t>"</w:t>
      </w:r>
      <w:r w:rsidRPr="00165BE9">
        <w:rPr>
          <w:rFonts w:eastAsia="Calibri" w:hint="eastAsia"/>
          <w:rtl/>
        </w:rPr>
        <w:t>ם</w:t>
      </w:r>
      <w:r w:rsidRPr="00165BE9">
        <w:rPr>
          <w:rFonts w:eastAsia="Calibri"/>
          <w:rtl/>
        </w:rPr>
        <w:t xml:space="preserve"> של ה</w:t>
      </w:r>
      <w:r w:rsidRPr="00165BE9">
        <w:rPr>
          <w:rFonts w:eastAsia="Calibri" w:hint="cs"/>
          <w:rtl/>
        </w:rPr>
        <w:t>ספקים</w:t>
      </w:r>
      <w:r w:rsidRPr="00165BE9">
        <w:rPr>
          <w:rFonts w:eastAsia="Calibri"/>
          <w:rtl/>
        </w:rPr>
        <w:t xml:space="preserve"> </w:t>
      </w:r>
      <w:r w:rsidRPr="00165BE9">
        <w:rPr>
          <w:rFonts w:eastAsia="Calibri" w:hint="cs"/>
          <w:rtl/>
        </w:rPr>
        <w:t>ב</w:t>
      </w:r>
      <w:r w:rsidRPr="00165BE9">
        <w:rPr>
          <w:rFonts w:eastAsia="Calibri"/>
          <w:rtl/>
        </w:rPr>
        <w:t xml:space="preserve">טרמינל של </w:t>
      </w:r>
      <w:r w:rsidRPr="00165BE9">
        <w:rPr>
          <w:rFonts w:eastAsia="Calibri" w:hint="eastAsia"/>
          <w:rtl/>
        </w:rPr>
        <w:t>קצא</w:t>
      </w:r>
      <w:r w:rsidRPr="00165BE9">
        <w:rPr>
          <w:rFonts w:eastAsia="Calibri"/>
          <w:rtl/>
        </w:rPr>
        <w:t xml:space="preserve">"א. </w:t>
      </w:r>
    </w:p>
    <w:p w:rsidR="00165BE9" w:rsidRPr="00165BE9" w:rsidP="002F4530">
      <w:pPr>
        <w:keepNext/>
        <w:keepLines/>
        <w:spacing w:line="269" w:lineRule="auto"/>
        <w:ind w:left="-567"/>
        <w:rPr>
          <w:rFonts w:eastAsia="Calibri"/>
          <w:szCs w:val="20"/>
          <w:rtl/>
        </w:rPr>
      </w:pPr>
    </w:p>
    <w:p w:rsidR="00165BE9" w:rsidP="002F4530">
      <w:pPr>
        <w:spacing w:line="269" w:lineRule="auto"/>
        <w:rPr>
          <w:rFonts w:eastAsia="Calibri"/>
          <w:b/>
          <w:rtl/>
        </w:rPr>
      </w:pPr>
      <w:r w:rsidRPr="00165BE9">
        <w:rPr>
          <w:rFonts w:eastAsia="Calibri" w:hint="cs"/>
          <w:b/>
          <w:rtl/>
        </w:rPr>
        <w:t>בתרשים להלן פירוט של מקורות הגפ"ם ודרכי אספקתו לצרכנים:</w:t>
      </w:r>
    </w:p>
    <w:p w:rsidR="00165BE9" w:rsidP="002F4530">
      <w:pPr>
        <w:spacing w:line="269" w:lineRule="auto"/>
        <w:rPr>
          <w:rFonts w:eastAsia="Calibri"/>
          <w:b/>
          <w:rtl/>
        </w:rPr>
      </w:pPr>
    </w:p>
    <w:p w:rsidR="00165BE9" w:rsidRPr="00165BE9" w:rsidP="002F4530">
      <w:pPr>
        <w:spacing w:line="269" w:lineRule="auto"/>
        <w:rPr>
          <w:rFonts w:eastAsia="Calibri"/>
          <w:b/>
          <w:rtl/>
        </w:rPr>
      </w:pPr>
    </w:p>
    <w:p w:rsidR="00165BE9" w:rsidRPr="00165BE9" w:rsidP="002F4530">
      <w:pPr>
        <w:keepNext/>
        <w:keepLines/>
        <w:spacing w:line="269" w:lineRule="auto"/>
        <w:jc w:val="center"/>
        <w:rPr>
          <w:rFonts w:eastAsia="Calibri"/>
          <w:bCs/>
          <w:rtl/>
        </w:rPr>
      </w:pPr>
      <w:r w:rsidRPr="00165BE9">
        <w:rPr>
          <w:rFonts w:eastAsia="Calibri" w:hint="eastAsia"/>
          <w:b/>
          <w:rtl/>
        </w:rPr>
        <w:t>תרשים</w:t>
      </w:r>
      <w:r w:rsidRPr="00165BE9">
        <w:rPr>
          <w:rFonts w:eastAsia="Calibri"/>
          <w:b/>
          <w:rtl/>
        </w:rPr>
        <w:t xml:space="preserve"> 3:</w:t>
      </w:r>
      <w:r w:rsidRPr="00165BE9">
        <w:rPr>
          <w:rFonts w:eastAsia="Calibri" w:hint="cs"/>
          <w:bCs/>
        </w:rPr>
        <w:t xml:space="preserve"> </w:t>
      </w:r>
      <w:r w:rsidRPr="00165BE9">
        <w:rPr>
          <w:rFonts w:eastAsia="Calibri" w:hint="cs"/>
          <w:bCs/>
          <w:rtl/>
        </w:rPr>
        <w:t>מקורות הגפ</w:t>
      </w:r>
      <w:r w:rsidRPr="00165BE9">
        <w:rPr>
          <w:rFonts w:eastAsia="Calibri"/>
          <w:bCs/>
          <w:rtl/>
        </w:rPr>
        <w:t>"</w:t>
      </w:r>
      <w:r w:rsidRPr="00165BE9">
        <w:rPr>
          <w:rFonts w:eastAsia="Calibri" w:hint="cs"/>
          <w:bCs/>
          <w:rtl/>
        </w:rPr>
        <w:t>ם ודרכי אספקתו לצרכנים</w:t>
      </w:r>
    </w:p>
    <w:p w:rsidR="00165BE9" w:rsidRPr="00165BE9" w:rsidP="002F4530">
      <w:pPr>
        <w:spacing w:line="269" w:lineRule="auto"/>
        <w:jc w:val="center"/>
        <w:rPr>
          <w:rFonts w:eastAsia="Calibri"/>
          <w:bCs/>
          <w:rtl/>
        </w:rPr>
      </w:pPr>
      <w:r w:rsidRPr="00165BE9">
        <w:rPr>
          <w:rFonts w:eastAsia="Calibri"/>
          <w:noProof/>
        </w:rPr>
        <w:drawing>
          <wp:inline distT="0" distB="0" distL="0" distR="0">
            <wp:extent cx="4046558" cy="5338152"/>
            <wp:effectExtent l="0" t="0" r="0" b="0"/>
            <wp:docPr id="63" name="תמונה 63" descr="שרשרת אספקת הגפ&quot;ם מיבוא ימי וייצור מקומי ועד לצרכן הסופ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xmlns:r="http://schemas.openxmlformats.org/officeDocument/2006/relationships" r:embed="rId12"/>
                    <a:stretch>
                      <a:fillRect/>
                    </a:stretch>
                  </pic:blipFill>
                  <pic:spPr>
                    <a:xfrm>
                      <a:off x="0" y="0"/>
                      <a:ext cx="4127189" cy="5444519"/>
                    </a:xfrm>
                    <a:prstGeom prst="rect">
                      <a:avLst/>
                    </a:prstGeom>
                  </pic:spPr>
                </pic:pic>
              </a:graphicData>
            </a:graphic>
          </wp:inline>
        </w:drawing>
      </w:r>
      <w:r w:rsidRPr="00165BE9">
        <w:rPr>
          <w:rFonts w:eastAsia="Calibri"/>
          <w:noProof/>
        </w:rPr>
        <w:t xml:space="preserve"> </w:t>
      </w:r>
    </w:p>
    <w:p w:rsidR="00165BE9" w:rsidRPr="00165BE9" w:rsidP="002F4530">
      <w:pPr>
        <w:spacing w:line="269" w:lineRule="auto"/>
        <w:rPr>
          <w:rFonts w:eastAsia="Calibri"/>
          <w:b/>
          <w:szCs w:val="20"/>
          <w:rtl/>
        </w:rPr>
      </w:pPr>
      <w:r w:rsidRPr="00165BE9">
        <w:rPr>
          <w:rFonts w:ascii="David" w:eastAsia="Calibri" w:hAnsi="David"/>
          <w:szCs w:val="20"/>
          <w:rtl/>
        </w:rPr>
        <w:t>הוכן בידי משרד מבקר המדינה</w:t>
      </w:r>
      <w:r w:rsidRPr="00165BE9">
        <w:rPr>
          <w:rFonts w:ascii="David" w:eastAsia="Calibri" w:hAnsi="David" w:hint="cs"/>
          <w:szCs w:val="20"/>
          <w:rtl/>
        </w:rPr>
        <w:t>.</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ascii="David" w:eastAsia="Calibri" w:hAnsi="David"/>
          <w:rtl/>
        </w:rPr>
      </w:pPr>
      <w:r w:rsidRPr="00165BE9">
        <w:rPr>
          <w:rFonts w:eastAsia="Calibri" w:hint="cs"/>
          <w:b/>
          <w:rtl/>
        </w:rPr>
        <w:t>מינהל הדלק והגז</w:t>
      </w:r>
      <w:r w:rsidRPr="00165BE9">
        <w:rPr>
          <w:rFonts w:eastAsia="Calibri"/>
          <w:b/>
          <w:rtl/>
        </w:rPr>
        <w:t xml:space="preserve"> </w:t>
      </w:r>
      <w:r w:rsidRPr="00165BE9">
        <w:rPr>
          <w:rFonts w:eastAsia="Calibri" w:hint="cs"/>
          <w:b/>
          <w:rtl/>
        </w:rPr>
        <w:t>במשרד האנרגיה והתשתיות (להלן - מינהל הדלק) הוא המאסדר של משק הגפ"ם, ובכלל זה מקטע הייצור על ידי בתי הזיקוק, מקטע היבוא, מקטע האחסון ומקטע השיווק לצרכנים. בין היתר אחראי המינהל על רישוי חברות הגז ומתקני הגפ</w:t>
      </w:r>
      <w:r w:rsidRPr="00165BE9">
        <w:rPr>
          <w:rFonts w:eastAsia="Calibri"/>
          <w:b/>
          <w:rtl/>
        </w:rPr>
        <w:t>"</w:t>
      </w:r>
      <w:r w:rsidRPr="00165BE9">
        <w:rPr>
          <w:rFonts w:eastAsia="Calibri" w:hint="cs"/>
          <w:b/>
          <w:rtl/>
        </w:rPr>
        <w:t>ם ופיקוח על תקינותם; על בטיחות ואכיפה - חוקים ותקנות בתחום הגפ</w:t>
      </w:r>
      <w:r w:rsidRPr="00165BE9">
        <w:rPr>
          <w:rFonts w:eastAsia="Calibri"/>
          <w:b/>
          <w:rtl/>
        </w:rPr>
        <w:t>"</w:t>
      </w:r>
      <w:r w:rsidRPr="00165BE9">
        <w:rPr>
          <w:rFonts w:eastAsia="Calibri" w:hint="cs"/>
          <w:b/>
          <w:rtl/>
        </w:rPr>
        <w:t>ם, חקירת אירועי גפ</w:t>
      </w:r>
      <w:r w:rsidRPr="00165BE9">
        <w:rPr>
          <w:rFonts w:eastAsia="Calibri"/>
          <w:b/>
          <w:rtl/>
        </w:rPr>
        <w:t>"</w:t>
      </w:r>
      <w:r w:rsidRPr="00165BE9">
        <w:rPr>
          <w:rFonts w:eastAsia="Calibri" w:hint="cs"/>
          <w:b/>
          <w:rtl/>
        </w:rPr>
        <w:t>ם וסגירת עסקים שאינם עומדים בדרישות הגפ</w:t>
      </w:r>
      <w:r w:rsidRPr="00165BE9">
        <w:rPr>
          <w:rFonts w:eastAsia="Calibri"/>
          <w:b/>
          <w:rtl/>
        </w:rPr>
        <w:t>"</w:t>
      </w:r>
      <w:r w:rsidRPr="00165BE9">
        <w:rPr>
          <w:rFonts w:eastAsia="Calibri" w:hint="cs"/>
          <w:b/>
          <w:rtl/>
        </w:rPr>
        <w:t>ם בהיבטי בטיחות; על עדכון תקני גפ</w:t>
      </w:r>
      <w:r w:rsidRPr="00165BE9">
        <w:rPr>
          <w:rFonts w:eastAsia="Calibri"/>
          <w:b/>
          <w:rtl/>
        </w:rPr>
        <w:t>"</w:t>
      </w:r>
      <w:r w:rsidRPr="00165BE9">
        <w:rPr>
          <w:rFonts w:eastAsia="Calibri" w:hint="cs"/>
          <w:b/>
          <w:rtl/>
        </w:rPr>
        <w:t>ם; על ניהול משק הגפ</w:t>
      </w:r>
      <w:r w:rsidRPr="00165BE9">
        <w:rPr>
          <w:rFonts w:eastAsia="Calibri"/>
          <w:b/>
          <w:rtl/>
        </w:rPr>
        <w:t>"</w:t>
      </w:r>
      <w:r w:rsidRPr="00165BE9">
        <w:rPr>
          <w:rFonts w:eastAsia="Calibri" w:hint="cs"/>
          <w:b/>
          <w:rtl/>
        </w:rPr>
        <w:t>ם - גיבוש מדיניות, קידום תחרות, ניהול מלאי אסטרטגי והיערכות לשעת חירום; ועל השירות לציבור - טיפול בתלונות ופרסום מידע והסברה בנושאי בטיחות בגפ</w:t>
      </w:r>
      <w:r w:rsidRPr="00165BE9">
        <w:rPr>
          <w:rFonts w:eastAsia="Calibri"/>
          <w:b/>
          <w:rtl/>
        </w:rPr>
        <w:t>"</w:t>
      </w:r>
      <w:r w:rsidRPr="00165BE9">
        <w:rPr>
          <w:rFonts w:eastAsia="Calibri" w:hint="cs"/>
          <w:b/>
          <w:rtl/>
        </w:rPr>
        <w:t>ם</w:t>
      </w:r>
      <w:r>
        <w:rPr>
          <w:rFonts w:eastAsia="Calibri"/>
          <w:b/>
          <w:vertAlign w:val="superscript"/>
          <w:rtl/>
        </w:rPr>
        <w:footnoteReference w:id="10"/>
      </w:r>
      <w:r w:rsidRPr="00165BE9">
        <w:rPr>
          <w:rFonts w:eastAsia="Calibri" w:hint="cs"/>
          <w:b/>
          <w:rtl/>
        </w:rPr>
        <w:t xml:space="preserve">. </w:t>
      </w:r>
      <w:r w:rsidRPr="00165BE9">
        <w:rPr>
          <w:rFonts w:ascii="David" w:eastAsia="Calibri" w:hAnsi="David" w:hint="cs"/>
          <w:rtl/>
        </w:rPr>
        <w:t>כמו כן, ועדת הפיקוח על המחירים</w:t>
      </w:r>
      <w:r>
        <w:rPr>
          <w:rFonts w:ascii="David" w:eastAsia="Calibri" w:hAnsi="David"/>
          <w:vertAlign w:val="superscript"/>
          <w:rtl/>
        </w:rPr>
        <w:footnoteReference w:id="11"/>
      </w:r>
      <w:r w:rsidRPr="00165BE9">
        <w:rPr>
          <w:rFonts w:ascii="David" w:eastAsia="Calibri" w:hAnsi="David" w:hint="cs"/>
          <w:rtl/>
        </w:rPr>
        <w:t xml:space="preserve"> מפקחת על המחיר המרבי של הגפ</w:t>
      </w:r>
      <w:r w:rsidRPr="00165BE9">
        <w:rPr>
          <w:rFonts w:ascii="David" w:eastAsia="Calibri" w:hAnsi="David"/>
          <w:rtl/>
        </w:rPr>
        <w:t>"</w:t>
      </w:r>
      <w:r w:rsidRPr="00165BE9">
        <w:rPr>
          <w:rFonts w:ascii="David" w:eastAsia="Calibri" w:hAnsi="David" w:hint="cs"/>
          <w:rtl/>
        </w:rPr>
        <w:t>ם בשער בתי הזיקוק הנמכר לספקים מכוח צו הפיקוח</w:t>
      </w:r>
      <w:r>
        <w:rPr>
          <w:rFonts w:ascii="David" w:eastAsia="Calibri" w:hAnsi="David"/>
          <w:vertAlign w:val="superscript"/>
          <w:rtl/>
        </w:rPr>
        <w:footnoteReference w:id="12"/>
      </w:r>
      <w:r w:rsidRPr="00165BE9">
        <w:rPr>
          <w:rFonts w:ascii="David" w:eastAsia="Calibri" w:hAnsi="David" w:hint="cs"/>
          <w:rtl/>
        </w:rPr>
        <w:t xml:space="preserve">. </w:t>
      </w:r>
      <w:r w:rsidRPr="00165BE9">
        <w:rPr>
          <w:rFonts w:eastAsia="Calibri" w:hint="cs"/>
          <w:rtl/>
        </w:rPr>
        <w:t xml:space="preserve">מחירי הגפ"ם לצרכנים מפורטים בפרק ז' </w:t>
      </w:r>
      <w:r w:rsidRPr="00165BE9">
        <w:rPr>
          <w:rFonts w:ascii="David" w:eastAsia="Calibri" w:hAnsi="David" w:hint="eastAsia"/>
          <w:sz w:val="24"/>
          <w:rtl/>
        </w:rPr>
        <w:t>ל</w:t>
      </w:r>
      <w:r w:rsidRPr="00165BE9">
        <w:rPr>
          <w:rFonts w:ascii="David" w:eastAsia="Calibri" w:hAnsi="David" w:hint="eastAsia"/>
          <w:color w:val="000000"/>
          <w:sz w:val="24"/>
          <w:rtl/>
        </w:rPr>
        <w:t>חוק</w:t>
      </w:r>
      <w:r w:rsidRPr="00165BE9">
        <w:rPr>
          <w:rFonts w:ascii="David" w:eastAsia="Calibri" w:hAnsi="David"/>
          <w:color w:val="000000"/>
          <w:sz w:val="24"/>
          <w:rtl/>
        </w:rPr>
        <w:t xml:space="preserve"> פיקוח על מחירי מצרכים ושירותים, </w:t>
      </w:r>
      <w:r w:rsidRPr="00165BE9">
        <w:rPr>
          <w:rFonts w:ascii="David" w:eastAsia="Calibri" w:hAnsi="David" w:hint="cs"/>
          <w:color w:val="000000"/>
          <w:sz w:val="24"/>
          <w:rtl/>
        </w:rPr>
        <w:t>ה</w:t>
      </w:r>
      <w:r w:rsidRPr="00165BE9">
        <w:rPr>
          <w:rFonts w:ascii="David" w:eastAsia="Calibri" w:hAnsi="David" w:hint="eastAsia"/>
          <w:color w:val="000000"/>
          <w:sz w:val="24"/>
          <w:rtl/>
        </w:rPr>
        <w:t>תשנ</w:t>
      </w:r>
      <w:r w:rsidRPr="00165BE9">
        <w:rPr>
          <w:rFonts w:ascii="David" w:eastAsia="Calibri" w:hAnsi="David"/>
          <w:color w:val="000000"/>
          <w:sz w:val="24"/>
          <w:rtl/>
        </w:rPr>
        <w:t>"ו-1996</w:t>
      </w:r>
      <w:r w:rsidRPr="00165BE9">
        <w:rPr>
          <w:rFonts w:eastAsia="Calibri" w:hint="cs"/>
          <w:rtl/>
        </w:rPr>
        <w:t xml:space="preserve">, המחייב פיקוח ברמת דיווח של ספקי הגפ"ם על המחירים למשרד האנרגיה. </w:t>
      </w:r>
    </w:p>
    <w:p w:rsidR="00165BE9" w:rsidRPr="00165BE9" w:rsidP="002F4530">
      <w:pPr>
        <w:keepNext/>
        <w:keepLines/>
        <w:spacing w:line="269" w:lineRule="auto"/>
        <w:outlineLvl w:val="2"/>
        <w:rPr>
          <w:rFonts w:eastAsia="Times New Roman"/>
          <w:bCs/>
          <w:szCs w:val="28"/>
          <w:u w:val="single"/>
          <w:rtl/>
        </w:rPr>
      </w:pPr>
      <w:r w:rsidRPr="00165BE9">
        <w:rPr>
          <w:rFonts w:eastAsia="Times New Roman" w:hint="cs"/>
          <w:bCs/>
          <w:szCs w:val="28"/>
          <w:u w:val="single"/>
          <w:rtl/>
        </w:rPr>
        <w:t>פעולות הביקורת</w:t>
      </w:r>
    </w:p>
    <w:p w:rsidR="00165BE9" w:rsidRPr="00165BE9" w:rsidP="002F4530">
      <w:pPr>
        <w:rPr>
          <w:rFonts w:eastAsia="Calibri"/>
          <w:rtl/>
        </w:rPr>
      </w:pPr>
    </w:p>
    <w:p w:rsidR="00165BE9" w:rsidRPr="00165BE9" w:rsidP="002F4530">
      <w:pPr>
        <w:spacing w:line="269" w:lineRule="auto"/>
        <w:rPr>
          <w:rFonts w:eastAsia="Calibri"/>
          <w:rtl/>
        </w:rPr>
      </w:pPr>
      <w:r w:rsidRPr="00165BE9">
        <w:rPr>
          <w:rFonts w:eastAsia="Calibri"/>
          <w:rtl/>
        </w:rPr>
        <w:t xml:space="preserve">בחודשים אוגוסט עד </w:t>
      </w:r>
      <w:r w:rsidRPr="00165BE9">
        <w:rPr>
          <w:rFonts w:eastAsia="Calibri" w:hint="cs"/>
          <w:rtl/>
        </w:rPr>
        <w:t>דצמבר 2025 ביצע</w:t>
      </w:r>
      <w:r w:rsidRPr="00165BE9">
        <w:rPr>
          <w:rFonts w:eastAsia="Calibri"/>
          <w:rtl/>
        </w:rPr>
        <w:t xml:space="preserve"> משרד מבקר המדינה ביקורת </w:t>
      </w:r>
      <w:r w:rsidRPr="00165BE9">
        <w:rPr>
          <w:rFonts w:eastAsia="Calibri" w:hint="cs"/>
          <w:rtl/>
        </w:rPr>
        <w:t xml:space="preserve">בנושאי </w:t>
      </w:r>
      <w:r w:rsidRPr="00165BE9">
        <w:rPr>
          <w:rFonts w:eastAsia="Calibri" w:hint="eastAsia"/>
          <w:rtl/>
        </w:rPr>
        <w:t>תכנון</w:t>
      </w:r>
      <w:r w:rsidRPr="00165BE9">
        <w:rPr>
          <w:rFonts w:eastAsia="Calibri"/>
          <w:rtl/>
        </w:rPr>
        <w:t xml:space="preserve"> ארוך טווח, תשתיות משק הגפ"ם והתחרותיות במקטע השיווק </w:t>
      </w:r>
      <w:r w:rsidRPr="00165BE9">
        <w:rPr>
          <w:rFonts w:eastAsia="Calibri" w:hint="eastAsia"/>
          <w:rtl/>
        </w:rPr>
        <w:t>במשק</w:t>
      </w:r>
      <w:r w:rsidRPr="00165BE9">
        <w:rPr>
          <w:rFonts w:eastAsia="Calibri"/>
          <w:rtl/>
        </w:rPr>
        <w:t xml:space="preserve"> </w:t>
      </w:r>
      <w:r w:rsidRPr="00165BE9">
        <w:rPr>
          <w:rFonts w:eastAsia="Calibri" w:hint="eastAsia"/>
          <w:rtl/>
        </w:rPr>
        <w:t>הגפ</w:t>
      </w:r>
      <w:r w:rsidRPr="00165BE9">
        <w:rPr>
          <w:rFonts w:eastAsia="Calibri"/>
          <w:rtl/>
        </w:rPr>
        <w:t>"</w:t>
      </w:r>
      <w:r w:rsidRPr="00165BE9">
        <w:rPr>
          <w:rFonts w:eastAsia="Calibri" w:hint="eastAsia"/>
          <w:rtl/>
        </w:rPr>
        <w:t>ם</w:t>
      </w:r>
      <w:r w:rsidRPr="00165BE9">
        <w:rPr>
          <w:rFonts w:eastAsia="Calibri"/>
          <w:rtl/>
        </w:rPr>
        <w:t>. הביקורת נע</w:t>
      </w:r>
      <w:r w:rsidRPr="00165BE9">
        <w:rPr>
          <w:rFonts w:eastAsia="Calibri" w:hint="cs"/>
          <w:rtl/>
        </w:rPr>
        <w:t>שת</w:t>
      </w:r>
      <w:r w:rsidRPr="00165BE9">
        <w:rPr>
          <w:rFonts w:eastAsia="Calibri"/>
          <w:rtl/>
        </w:rPr>
        <w:t>ה במינהל הדלק</w:t>
      </w:r>
      <w:r w:rsidRPr="00165BE9">
        <w:rPr>
          <w:rFonts w:eastAsia="Calibri" w:hint="cs"/>
          <w:rtl/>
        </w:rPr>
        <w:t xml:space="preserve"> והגז </w:t>
      </w:r>
      <w:r w:rsidRPr="00165BE9">
        <w:rPr>
          <w:rFonts w:eastAsia="Calibri"/>
          <w:rtl/>
        </w:rPr>
        <w:t>שבמשרד האנרגיה (להלן - משרד האנרגיה),</w:t>
      </w:r>
      <w:r w:rsidRPr="00165BE9">
        <w:rPr>
          <w:rFonts w:eastAsia="Calibri" w:hint="cs"/>
          <w:rtl/>
        </w:rPr>
        <w:t xml:space="preserve"> במשרד האוצר, בחברת נמלי ישראל בע"</w:t>
      </w:r>
      <w:r w:rsidR="00A23EA9">
        <w:rPr>
          <w:rFonts w:eastAsia="Calibri" w:hint="cs"/>
          <w:rtl/>
        </w:rPr>
        <w:t>מ</w:t>
      </w:r>
      <w:r w:rsidRPr="00165BE9">
        <w:rPr>
          <w:rFonts w:eastAsia="Calibri" w:hint="cs"/>
          <w:rtl/>
        </w:rPr>
        <w:t xml:space="preserve"> (להלן - חנ"י) ברשות התחרות, במועצה הלאומית לכלכלה שבמשרד ראש הממשלה (להלן - המועצה הלאומית לכלכלה). בדיקות השלמה נעשו בחברת קו צינור אירופה אסיה בע"מ (קצא"א) ובחברת תשתיות אנרגיה בע"מ (להלן - תש"א). נוסף על כך, קיים צוות הביקורת פגישות עם גופים פרטיים, ובהם שני בתי הזיקוק - בתי זיקוק לנפט בע"מ (בז"ן) ובית זיקוק אשדוד בע"מ (בז"א), קבוצת דור, וכן עם ספקי גז. </w:t>
      </w:r>
    </w:p>
    <w:p w:rsidR="00165BE9" w:rsidRPr="00165BE9" w:rsidP="002F4530">
      <w:pPr>
        <w:keepNext/>
        <w:keepLines/>
        <w:spacing w:line="269" w:lineRule="auto"/>
        <w:ind w:left="-567"/>
        <w:rPr>
          <w:rFonts w:eastAsia="Calibri"/>
          <w:szCs w:val="20"/>
          <w:rtl/>
        </w:rPr>
      </w:pPr>
    </w:p>
    <w:p w:rsidR="00165BE9" w:rsidRPr="00165BE9" w:rsidP="002F4530">
      <w:pPr>
        <w:keepNext/>
        <w:keepLines/>
        <w:spacing w:line="269" w:lineRule="auto"/>
        <w:outlineLvl w:val="2"/>
        <w:rPr>
          <w:rFonts w:eastAsia="Times New Roman"/>
          <w:bCs/>
          <w:szCs w:val="28"/>
          <w:u w:val="single"/>
          <w:rtl/>
        </w:rPr>
      </w:pPr>
      <w:r w:rsidRPr="00165BE9">
        <w:rPr>
          <w:rFonts w:eastAsia="Times New Roman" w:hint="cs"/>
          <w:bCs/>
          <w:szCs w:val="28"/>
          <w:u w:val="single"/>
          <w:rtl/>
        </w:rPr>
        <w:t>תכנון ארוך טווח למשק הגפ"ם</w:t>
      </w:r>
    </w:p>
    <w:p w:rsidR="00165BE9" w:rsidRPr="00165BE9" w:rsidP="002F4530">
      <w:pPr>
        <w:rPr>
          <w:rFonts w:eastAsia="Calibri"/>
          <w:rtl/>
        </w:rPr>
      </w:pPr>
    </w:p>
    <w:p w:rsidR="00165BE9" w:rsidRPr="00165BE9" w:rsidP="002F4530">
      <w:pPr>
        <w:spacing w:line="269" w:lineRule="auto"/>
        <w:rPr>
          <w:rFonts w:eastAsia="Calibri"/>
          <w:rtl/>
        </w:rPr>
      </w:pPr>
      <w:r w:rsidRPr="00165BE9">
        <w:rPr>
          <w:rFonts w:eastAsia="Calibri" w:hint="cs"/>
          <w:rtl/>
        </w:rPr>
        <w:t>המטרה של תכנון ארוך טווח היא למפות את צורכי הפיתוח לתקופה ארוכה ולעמוד על הצעדים הנדרשים כדי לתת מענה לצרכים אלה. תכנון ארוך טווח מאפשר קבלת החלטות סדורה כדי להבטיח שהתשתיות שנבנות כיום ייתנו מענה לשנים רבות; מסייע לצפות אתגרים עתידיים ולהתמודד איתם; מייעל הקצאת משאבים על ידי זיהוי התחומים הקריטיים ביותר להשקעה, ותיעדוף המיזמים בהתאם; מתווה ומשקף את צורכי המשק לכלל הצרכנים.</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eastAsia="Calibri"/>
          <w:rtl/>
        </w:rPr>
      </w:pPr>
      <w:r w:rsidRPr="00165BE9">
        <w:rPr>
          <w:rFonts w:eastAsia="Calibri" w:hint="cs"/>
          <w:rtl/>
        </w:rPr>
        <w:t xml:space="preserve">בתכנון משק הגפ"ם נדרש לספק את הצריכה הצפויה של הגפ"ם כדי שהיצע הגפ"ם יהיה בהיקף המיטבי ברמה המשקית. התכנון נגזר, בין היתר, מהמדיניות ומהיעדים שקבעה הממשלה בתחום. כאמור, </w:t>
      </w:r>
      <w:bookmarkStart w:id="1" w:name="_Hlk215157602"/>
      <w:r w:rsidRPr="00165BE9">
        <w:rPr>
          <w:rFonts w:eastAsia="Calibri" w:hint="cs"/>
          <w:rtl/>
        </w:rPr>
        <w:t>גפ"ם מסופק באמצעות שלושה מקטעים מרכזיים שהתכנון והיישום שלהם כרוכים זה בזה: מקטע הייצור המקומי והיבוא של הגפ"ם; מקטע אחסון הגפ"ם (בשגרה ובחירום); ומקטע שיווק הגפ"ם לצרכנים.</w:t>
      </w:r>
    </w:p>
    <w:bookmarkEnd w:id="1"/>
    <w:p w:rsidR="00165BE9" w:rsidRPr="00165BE9" w:rsidP="002F4530">
      <w:pPr>
        <w:keepNext/>
        <w:keepLines/>
        <w:spacing w:line="269" w:lineRule="auto"/>
        <w:ind w:left="-567"/>
        <w:rPr>
          <w:rFonts w:eastAsia="Calibri"/>
          <w:szCs w:val="20"/>
          <w:rtl/>
        </w:rPr>
      </w:pPr>
    </w:p>
    <w:p w:rsidR="00165BE9" w:rsidRPr="00165BE9" w:rsidP="002F4530">
      <w:pPr>
        <w:keepNext/>
        <w:keepLines/>
        <w:spacing w:line="269" w:lineRule="auto"/>
        <w:outlineLvl w:val="3"/>
        <w:rPr>
          <w:rFonts w:eastAsia="Times New Roman"/>
          <w:bCs/>
          <w:szCs w:val="26"/>
          <w:rtl/>
        </w:rPr>
      </w:pPr>
      <w:r w:rsidRPr="00165BE9">
        <w:rPr>
          <w:rFonts w:eastAsia="Times New Roman" w:hint="cs"/>
          <w:bCs/>
          <w:szCs w:val="26"/>
          <w:rtl/>
        </w:rPr>
        <w:t>היערכות לצמצום משק הגפ"ם</w:t>
      </w:r>
    </w:p>
    <w:p w:rsidR="00165BE9" w:rsidRPr="00165BE9" w:rsidP="002F4530">
      <w:pPr>
        <w:spacing w:line="269" w:lineRule="auto"/>
        <w:rPr>
          <w:rFonts w:eastAsia="Calibri"/>
          <w:rtl/>
        </w:rPr>
      </w:pPr>
    </w:p>
    <w:p w:rsidR="00165BE9" w:rsidRPr="00165BE9" w:rsidP="002F4530">
      <w:pPr>
        <w:keepNext/>
        <w:keepLines/>
        <w:spacing w:line="269" w:lineRule="auto"/>
        <w:outlineLvl w:val="4"/>
        <w:rPr>
          <w:rFonts w:eastAsia="Times New Roman"/>
          <w:bCs/>
          <w:spacing w:val="40"/>
          <w:rtl/>
        </w:rPr>
      </w:pPr>
      <w:r w:rsidRPr="00165BE9">
        <w:rPr>
          <w:rFonts w:eastAsia="Times New Roman" w:hint="cs"/>
          <w:bCs/>
          <w:spacing w:val="40"/>
          <w:rtl/>
        </w:rPr>
        <w:t>הסכם פריז 2015</w:t>
      </w:r>
    </w:p>
    <w:p w:rsidR="00165BE9" w:rsidRPr="00165BE9" w:rsidP="002F4530">
      <w:pPr>
        <w:spacing w:line="269" w:lineRule="auto"/>
        <w:rPr>
          <w:rFonts w:eastAsia="Calibri"/>
          <w:rtl/>
        </w:rPr>
      </w:pPr>
    </w:p>
    <w:p w:rsidR="00165BE9" w:rsidRPr="00165BE9" w:rsidP="002F4530">
      <w:pPr>
        <w:spacing w:line="269" w:lineRule="auto"/>
        <w:rPr>
          <w:rFonts w:ascii="David" w:eastAsia="Calibri" w:hAnsi="David"/>
          <w:rtl/>
        </w:rPr>
      </w:pPr>
      <w:r w:rsidRPr="00165BE9">
        <w:rPr>
          <w:rFonts w:eastAsia="Calibri"/>
          <w:rtl/>
        </w:rPr>
        <w:t xml:space="preserve">בוועידת האקלים שהתקיימה בדרבן בשנת 2011 הוחלט על השקת תהליך לגיבוש הסכם ארוך טווח מחייב בהשתתפות כל המדינות לתקופה שאחרי שנת 2020. הסכם זה הושג בוועידת האקלים שהתקיימה בפריז, </w:t>
      </w:r>
      <w:r w:rsidRPr="00165BE9">
        <w:rPr>
          <w:rFonts w:eastAsia="Calibri"/>
          <w:sz w:val="22"/>
          <w:szCs w:val="22"/>
        </w:rPr>
        <w:t>COP21</w:t>
      </w:r>
      <w:r w:rsidRPr="00165BE9">
        <w:rPr>
          <w:rFonts w:eastAsia="Calibri"/>
          <w:rtl/>
        </w:rPr>
        <w:t>, בדצמבר 2015, וחתמו עליו 197 מדינות, ובהן ישראל</w:t>
      </w:r>
      <w:r w:rsidRPr="00165BE9">
        <w:rPr>
          <w:rFonts w:eastAsia="Calibri" w:hint="cs"/>
          <w:rtl/>
        </w:rPr>
        <w:t xml:space="preserve"> </w:t>
      </w:r>
      <w:r w:rsidRPr="00165BE9">
        <w:rPr>
          <w:rFonts w:eastAsia="Calibri"/>
          <w:rtl/>
        </w:rPr>
        <w:t>(להלן - הסכם פריז). ישראל חתמה על ההסכם ביום 22.4.16 ואשררה אותו ביום 22.11.16</w:t>
      </w:r>
      <w:r w:rsidRPr="00165BE9">
        <w:rPr>
          <w:rFonts w:eastAsia="Calibri" w:hint="cs"/>
          <w:vertAlign w:val="superscript"/>
        </w:rPr>
        <w:t xml:space="preserve"> </w:t>
      </w:r>
      <w:r>
        <w:rPr>
          <w:rFonts w:ascii="David" w:eastAsia="Calibri" w:hAnsi="David"/>
          <w:sz w:val="24"/>
          <w:vertAlign w:val="superscript"/>
        </w:rPr>
        <w:footnoteReference w:id="13"/>
      </w:r>
      <w:r w:rsidRPr="00165BE9">
        <w:rPr>
          <w:rFonts w:ascii="David" w:eastAsia="Calibri" w:hAnsi="David"/>
          <w:sz w:val="24"/>
          <w:rtl/>
        </w:rPr>
        <w:t>.</w:t>
      </w:r>
    </w:p>
    <w:p w:rsidR="00165BE9" w:rsidRPr="00165BE9" w:rsidP="002F4530">
      <w:pPr>
        <w:keepNext/>
        <w:keepLines/>
        <w:spacing w:line="269" w:lineRule="auto"/>
        <w:ind w:left="-567"/>
        <w:rPr>
          <w:rFonts w:eastAsia="Calibri"/>
          <w:szCs w:val="20"/>
          <w:rtl/>
        </w:rPr>
      </w:pPr>
    </w:p>
    <w:p w:rsidR="00165BE9" w:rsidRPr="00165BE9" w:rsidP="002F4530">
      <w:pPr>
        <w:spacing w:line="269" w:lineRule="auto"/>
        <w:rPr>
          <w:rFonts w:ascii="David" w:eastAsia="Calibri" w:hAnsi="David"/>
          <w:rtl/>
        </w:rPr>
      </w:pPr>
      <w:r w:rsidRPr="00165BE9">
        <w:rPr>
          <w:rFonts w:ascii="David" w:eastAsia="Calibri" w:hAnsi="David" w:hint="cs"/>
          <w:rtl/>
        </w:rPr>
        <w:t>הסכם</w:t>
      </w:r>
      <w:r w:rsidRPr="00165BE9">
        <w:rPr>
          <w:rFonts w:ascii="David" w:eastAsia="Calibri" w:hAnsi="David"/>
          <w:rtl/>
        </w:rPr>
        <w:t xml:space="preserve"> פריז</w:t>
      </w:r>
      <w:r w:rsidRPr="00165BE9">
        <w:rPr>
          <w:rFonts w:ascii="David" w:eastAsia="Calibri" w:hAnsi="David" w:hint="cs"/>
          <w:rtl/>
        </w:rPr>
        <w:t>,</w:t>
      </w:r>
      <w:r w:rsidRPr="00165BE9">
        <w:rPr>
          <w:rFonts w:ascii="David" w:eastAsia="Calibri" w:hAnsi="David"/>
          <w:rtl/>
        </w:rPr>
        <w:t xml:space="preserve"> </w:t>
      </w:r>
      <w:r w:rsidRPr="00165BE9">
        <w:rPr>
          <w:rFonts w:ascii="David" w:eastAsia="Calibri" w:hAnsi="David" w:hint="cs"/>
          <w:rtl/>
        </w:rPr>
        <w:t>אשר פתח עידן חדש במאבק הגלובלי בשינויי האקלים</w:t>
      </w:r>
      <w:r w:rsidRPr="00165BE9">
        <w:rPr>
          <w:rFonts w:ascii="David" w:eastAsia="Calibri" w:hAnsi="David"/>
          <w:rtl/>
        </w:rPr>
        <w:t>, קובע כי יש להגביל את ההתחממות הגלובלית מתחת לרמה הקבועה בה</w:t>
      </w:r>
      <w:r w:rsidRPr="00165BE9">
        <w:rPr>
          <w:rFonts w:ascii="David" w:eastAsia="Calibri" w:hAnsi="David" w:hint="cs"/>
          <w:rtl/>
        </w:rPr>
        <w:t>סכם</w:t>
      </w:r>
      <w:r w:rsidRPr="00165BE9">
        <w:rPr>
          <w:rFonts w:ascii="David" w:eastAsia="Calibri" w:hAnsi="David"/>
          <w:rtl/>
        </w:rPr>
        <w:t xml:space="preserve">. המדינות החתומות, </w:t>
      </w:r>
      <w:r w:rsidRPr="00165BE9">
        <w:rPr>
          <w:rFonts w:ascii="David" w:eastAsia="Calibri" w:hAnsi="David" w:hint="cs"/>
          <w:rtl/>
        </w:rPr>
        <w:t>ו</w:t>
      </w:r>
      <w:r w:rsidRPr="00165BE9">
        <w:rPr>
          <w:rFonts w:ascii="David" w:eastAsia="Calibri" w:hAnsi="David"/>
          <w:rtl/>
        </w:rPr>
        <w:t xml:space="preserve">ישראל </w:t>
      </w:r>
      <w:r w:rsidRPr="00165BE9">
        <w:rPr>
          <w:rFonts w:ascii="David" w:eastAsia="Calibri" w:hAnsi="David" w:hint="cs"/>
          <w:rtl/>
        </w:rPr>
        <w:t>בכללן</w:t>
      </w:r>
      <w:r w:rsidRPr="00165BE9">
        <w:rPr>
          <w:rFonts w:ascii="David" w:eastAsia="Calibri" w:hAnsi="David"/>
          <w:rtl/>
        </w:rPr>
        <w:t xml:space="preserve">, מחויבות </w:t>
      </w:r>
      <w:r w:rsidRPr="00165BE9">
        <w:rPr>
          <w:rFonts w:ascii="David" w:eastAsia="Calibri" w:hAnsi="David" w:hint="cs"/>
          <w:rtl/>
        </w:rPr>
        <w:t xml:space="preserve">לקבוע יעדים לאומיים להפחתת גזי חממה; ליישם אמצעים לעמידה ביעדים אלו; </w:t>
      </w:r>
      <w:r w:rsidRPr="00165BE9">
        <w:rPr>
          <w:rFonts w:ascii="David" w:eastAsia="Calibri" w:hAnsi="David"/>
          <w:rtl/>
        </w:rPr>
        <w:t>לעד</w:t>
      </w:r>
      <w:r w:rsidRPr="00165BE9">
        <w:rPr>
          <w:rFonts w:ascii="David" w:eastAsia="Calibri" w:hAnsi="David" w:hint="cs"/>
          <w:rtl/>
        </w:rPr>
        <w:t>כן את</w:t>
      </w:r>
      <w:r w:rsidRPr="00165BE9">
        <w:rPr>
          <w:rFonts w:ascii="David" w:eastAsia="Calibri" w:hAnsi="David"/>
          <w:rtl/>
        </w:rPr>
        <w:t xml:space="preserve"> </w:t>
      </w:r>
      <w:r w:rsidRPr="00165BE9">
        <w:rPr>
          <w:rFonts w:ascii="David" w:eastAsia="Calibri" w:hAnsi="David" w:hint="cs"/>
          <w:rtl/>
        </w:rPr>
        <w:t>היעדים הלאומיים ל</w:t>
      </w:r>
      <w:r w:rsidRPr="00165BE9">
        <w:rPr>
          <w:rFonts w:ascii="David" w:eastAsia="Calibri" w:hAnsi="David"/>
          <w:rtl/>
        </w:rPr>
        <w:t xml:space="preserve">הפחתת פליטות </w:t>
      </w:r>
      <w:r w:rsidRPr="00165BE9">
        <w:rPr>
          <w:rFonts w:ascii="David" w:eastAsia="Calibri" w:hAnsi="David" w:hint="cs"/>
          <w:rtl/>
        </w:rPr>
        <w:t>כל</w:t>
      </w:r>
      <w:r w:rsidRPr="00165BE9">
        <w:rPr>
          <w:rFonts w:ascii="David" w:eastAsia="Calibri" w:hAnsi="David"/>
          <w:rtl/>
        </w:rPr>
        <w:t xml:space="preserve"> חמש שנים</w:t>
      </w:r>
      <w:r w:rsidRPr="00165BE9">
        <w:rPr>
          <w:rFonts w:ascii="David" w:eastAsia="Calibri" w:hAnsi="David" w:hint="cs"/>
          <w:rtl/>
        </w:rPr>
        <w:t>;</w:t>
      </w:r>
      <w:r w:rsidRPr="00165BE9">
        <w:rPr>
          <w:rFonts w:ascii="David" w:eastAsia="Calibri" w:hAnsi="David"/>
          <w:rtl/>
        </w:rPr>
        <w:t xml:space="preserve"> ו</w:t>
      </w:r>
      <w:r w:rsidRPr="00165BE9">
        <w:rPr>
          <w:rFonts w:ascii="David" w:eastAsia="Calibri" w:hAnsi="David" w:hint="cs"/>
          <w:rtl/>
        </w:rPr>
        <w:t>להכין דיווחים קבועים לממשלה ולאו"ם</w:t>
      </w:r>
      <w:r>
        <w:rPr>
          <w:rFonts w:ascii="David" w:eastAsia="Calibri" w:hAnsi="David"/>
          <w:vertAlign w:val="superscript"/>
          <w:rtl/>
        </w:rPr>
        <w:footnoteReference w:id="14"/>
      </w:r>
      <w:r w:rsidRPr="00165BE9">
        <w:rPr>
          <w:rFonts w:ascii="David" w:eastAsia="Calibri" w:hAnsi="David"/>
          <w:rtl/>
        </w:rPr>
        <w:t>. הה</w:t>
      </w:r>
      <w:r w:rsidRPr="00165BE9">
        <w:rPr>
          <w:rFonts w:ascii="David" w:eastAsia="Calibri" w:hAnsi="David" w:hint="cs"/>
          <w:rtl/>
        </w:rPr>
        <w:t>סכם</w:t>
      </w:r>
      <w:r w:rsidRPr="00165BE9">
        <w:rPr>
          <w:rFonts w:ascii="David" w:eastAsia="Calibri" w:hAnsi="David"/>
          <w:rtl/>
        </w:rPr>
        <w:t xml:space="preserve"> מעודד מעבר לאנרגיות מתחדשות וצמצום השימוש בדלקים פוסיליים. </w:t>
      </w:r>
    </w:p>
    <w:p w:rsidR="00165BE9" w:rsidRPr="00165BE9"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165BE9">
        <w:rPr>
          <w:rFonts w:ascii="David" w:eastAsia="Calibri" w:hAnsi="David" w:hint="cs"/>
          <w:rtl/>
        </w:rPr>
        <w:t>ועידת האקלים ב-2015 הביאה את ממשלת ישראל לגבש עבודת מטה בעניין. המשרד להגנת</w:t>
      </w:r>
      <w:r w:rsidRPr="006114CB">
        <w:rPr>
          <w:rFonts w:ascii="David" w:eastAsia="Calibri" w:hAnsi="David" w:hint="cs"/>
          <w:rtl/>
        </w:rPr>
        <w:t xml:space="preserve"> הסביבה הוביל את העבודה של ועדת היגוי בין-משרדית רחבה ורב-מגזרית</w:t>
      </w:r>
      <w:r>
        <w:rPr>
          <w:rFonts w:eastAsia="Calibri"/>
          <w:vertAlign w:val="superscript"/>
          <w:rtl/>
        </w:rPr>
        <w:footnoteReference w:id="15"/>
      </w:r>
      <w:r w:rsidRPr="006114CB">
        <w:rPr>
          <w:rFonts w:eastAsia="Calibri"/>
          <w:rtl/>
        </w:rPr>
        <w:t xml:space="preserve"> שהוקמה </w:t>
      </w:r>
      <w:r w:rsidRPr="006114CB">
        <w:rPr>
          <w:rFonts w:eastAsia="Calibri" w:hint="cs"/>
          <w:rtl/>
        </w:rPr>
        <w:t>כדי</w:t>
      </w:r>
      <w:r w:rsidRPr="006114CB">
        <w:rPr>
          <w:rFonts w:eastAsia="Calibri"/>
          <w:rtl/>
        </w:rPr>
        <w:t xml:space="preserve"> להמליץ </w:t>
      </w:r>
      <w:r w:rsidRPr="006114CB">
        <w:rPr>
          <w:rFonts w:eastAsia="Calibri"/>
          <w:rtl/>
        </w:rPr>
        <w:t>לממשלת ישראל על יעד לאומי מחייב להפחתת פליטות גז</w:t>
      </w:r>
      <w:r w:rsidRPr="006114CB">
        <w:rPr>
          <w:rFonts w:eastAsia="Calibri" w:hint="cs"/>
          <w:rtl/>
        </w:rPr>
        <w:t xml:space="preserve">י </w:t>
      </w:r>
      <w:r w:rsidRPr="006114CB">
        <w:rPr>
          <w:rFonts w:eastAsia="Calibri"/>
          <w:rtl/>
        </w:rPr>
        <w:t>ח</w:t>
      </w:r>
      <w:r w:rsidRPr="006114CB">
        <w:rPr>
          <w:rFonts w:eastAsia="Calibri" w:hint="cs"/>
          <w:rtl/>
        </w:rPr>
        <w:t>ממה</w:t>
      </w:r>
      <w:r w:rsidRPr="006114CB">
        <w:rPr>
          <w:rFonts w:eastAsia="Calibri"/>
          <w:rtl/>
        </w:rPr>
        <w:t xml:space="preserve"> לשנת 2030 ועל הפעולות הנדרשות להשגתו, והיא פרסמה את מסקנותיה בדוח בנושא</w:t>
      </w:r>
      <w:r w:rsidRPr="006114CB">
        <w:rPr>
          <w:rFonts w:eastAsia="Calibri" w:hint="cs"/>
          <w:rtl/>
        </w:rPr>
        <w:t xml:space="preserve"> </w:t>
      </w:r>
      <w:r w:rsidRPr="006114CB">
        <w:rPr>
          <w:rFonts w:eastAsia="Calibri"/>
          <w:rtl/>
        </w:rPr>
        <w:t>פוטנציאל הפחתת הפליטות בספטמבר 2015</w:t>
      </w:r>
      <w:r>
        <w:rPr>
          <w:rFonts w:eastAsia="Calibri"/>
          <w:vertAlign w:val="superscript"/>
          <w:rtl/>
        </w:rPr>
        <w:footnoteReference w:id="16"/>
      </w:r>
      <w:r w:rsidRPr="006114CB">
        <w:rPr>
          <w:rFonts w:eastAsia="Calibri" w:hint="cs"/>
          <w:rtl/>
        </w:rPr>
        <w:t xml:space="preserve"> (להלן - </w:t>
      </w:r>
      <w:bookmarkStart w:id="2" w:name="_Hlk212449367"/>
      <w:r w:rsidRPr="006114CB">
        <w:rPr>
          <w:rFonts w:eastAsia="Calibri" w:hint="cs"/>
          <w:rtl/>
        </w:rPr>
        <w:t>דוח הפחתת הפליטות</w:t>
      </w:r>
      <w:bookmarkEnd w:id="2"/>
      <w:r w:rsidRPr="006114CB">
        <w:rPr>
          <w:rFonts w:eastAsia="Calibri" w:hint="cs"/>
          <w:rtl/>
        </w:rPr>
        <w:t>)</w:t>
      </w:r>
      <w:r w:rsidRPr="006114CB">
        <w:rPr>
          <w:rFonts w:eastAsia="Calibri"/>
          <w:rtl/>
        </w:rPr>
        <w:t>.</w:t>
      </w:r>
      <w:r w:rsidRPr="006114CB">
        <w:rPr>
          <w:rFonts w:eastAsia="Calibri" w:hint="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 xml:space="preserve">בדוח הפחתת הפליטות הוצגו לממשלה שתי חלופות למדיניות בנושא הפחתת גזי החממה: </w:t>
      </w:r>
    </w:p>
    <w:p w:rsidR="006114CB" w:rsidRPr="006114CB" w:rsidP="002F4530">
      <w:pPr>
        <w:keepNext/>
        <w:keepLines/>
        <w:spacing w:line="269" w:lineRule="auto"/>
        <w:ind w:left="-567"/>
        <w:rPr>
          <w:rFonts w:eastAsia="Calibri"/>
          <w:szCs w:val="20"/>
          <w:rtl/>
        </w:rPr>
      </w:pPr>
    </w:p>
    <w:p w:rsidR="006114CB" w:rsidRPr="006114CB" w:rsidP="002F4530">
      <w:pPr>
        <w:numPr>
          <w:ilvl w:val="0"/>
          <w:numId w:val="11"/>
        </w:numPr>
        <w:spacing w:line="269" w:lineRule="auto"/>
        <w:contextualSpacing/>
        <w:rPr>
          <w:rFonts w:ascii="David" w:eastAsia="Calibri" w:hAnsi="David"/>
        </w:rPr>
      </w:pPr>
      <w:r w:rsidRPr="006114CB">
        <w:rPr>
          <w:rFonts w:eastAsia="Calibri" w:hint="cs"/>
          <w:rtl/>
        </w:rPr>
        <w:t>תרחיש יעד מתון, אשר אפשר לעמוד בו באמצעי הפחתה כלכליים בלבד. לפי היעד המתון אפשר יהיה להפחית את פליטות גזי החממה בשיעור של 23% לעומת תרחיש "עסקים כרגיל" בשנת 2025, ובשיעור של 27.7% עד שנת 2030.</w:t>
      </w:r>
      <w:r w:rsidRPr="006114CB">
        <w:rPr>
          <w:rFonts w:ascii="David" w:eastAsia="Calibri" w:hAnsi="David" w:hint="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numPr>
          <w:ilvl w:val="0"/>
          <w:numId w:val="11"/>
        </w:numPr>
        <w:spacing w:line="269" w:lineRule="auto"/>
        <w:contextualSpacing/>
        <w:rPr>
          <w:rFonts w:eastAsia="Calibri"/>
          <w:rtl/>
        </w:rPr>
      </w:pPr>
      <w:r w:rsidRPr="006114CB">
        <w:rPr>
          <w:rFonts w:eastAsia="Calibri" w:hint="cs"/>
          <w:rtl/>
        </w:rPr>
        <w:t xml:space="preserve">תרחיש יעד שאפתני, הכולל יישום של אמצעי ההפחתה שנמצאו ישימים, לרבות כמה אמצעים שאינם כלכליים למשק. לפי תרחיש זה אפשר יהיה להפחית את פליטות גזי החממה בשיעור של 25% לעומת תרחיש "עסקים כרגיל" בשנת 2025, וב-31.4% עד שנת 2030.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 xml:space="preserve">בדוח </w:t>
      </w:r>
      <w:r w:rsidRPr="006114CB">
        <w:rPr>
          <w:rFonts w:eastAsia="Calibri" w:hint="cs"/>
          <w:rtl/>
        </w:rPr>
        <w:t xml:space="preserve">הפחתת הפליטות </w:t>
      </w:r>
      <w:r w:rsidRPr="006114CB">
        <w:rPr>
          <w:rFonts w:ascii="David" w:eastAsia="Calibri" w:hAnsi="David" w:hint="cs"/>
          <w:rtl/>
        </w:rPr>
        <w:t>נאמר כי ממשלת ישראל יכולה לאמץ את היעד המתון להפחתת פליטות גזי חממה.</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 xml:space="preserve">המלצות </w:t>
      </w:r>
      <w:r w:rsidRPr="006114CB">
        <w:rPr>
          <w:rFonts w:eastAsia="Calibri"/>
          <w:rtl/>
        </w:rPr>
        <w:t xml:space="preserve">דוח הפחתת הפליטות הובאו </w:t>
      </w:r>
      <w:r w:rsidRPr="006114CB">
        <w:rPr>
          <w:rFonts w:eastAsia="Calibri" w:hint="cs"/>
          <w:rtl/>
        </w:rPr>
        <w:t>ל</w:t>
      </w:r>
      <w:r w:rsidRPr="006114CB">
        <w:rPr>
          <w:rFonts w:eastAsia="Calibri"/>
          <w:rtl/>
        </w:rPr>
        <w:t>פני הממשלה, ועל בסיס</w:t>
      </w:r>
      <w:r w:rsidRPr="006114CB">
        <w:rPr>
          <w:rFonts w:eastAsia="Calibri" w:hint="cs"/>
          <w:rtl/>
        </w:rPr>
        <w:t>ן</w:t>
      </w:r>
      <w:r w:rsidRPr="006114CB">
        <w:rPr>
          <w:rFonts w:eastAsia="Calibri"/>
          <w:rtl/>
        </w:rPr>
        <w:t xml:space="preserve"> היא גיבשה את יעדיה הלאומיים להפחתת גז</w:t>
      </w:r>
      <w:r w:rsidRPr="006114CB">
        <w:rPr>
          <w:rFonts w:eastAsia="Calibri" w:hint="cs"/>
          <w:rtl/>
        </w:rPr>
        <w:t xml:space="preserve">י </w:t>
      </w:r>
      <w:r w:rsidRPr="006114CB">
        <w:rPr>
          <w:rFonts w:eastAsia="Calibri"/>
          <w:rtl/>
        </w:rPr>
        <w:t>ח</w:t>
      </w:r>
      <w:r w:rsidRPr="006114CB">
        <w:rPr>
          <w:rFonts w:eastAsia="Calibri" w:hint="cs"/>
          <w:rtl/>
        </w:rPr>
        <w:t>ממה</w:t>
      </w:r>
      <w:r w:rsidRPr="006114CB">
        <w:rPr>
          <w:rFonts w:eastAsia="Calibri"/>
          <w:rtl/>
        </w:rPr>
        <w:t xml:space="preserve"> לשנת 2030.</w:t>
      </w:r>
      <w:r w:rsidRPr="006114CB">
        <w:rPr>
          <w:rFonts w:eastAsia="Calibri" w:hint="cs"/>
          <w:rtl/>
        </w:rPr>
        <w:t xml:space="preserve"> יעדים אלו אושרו בהחלטת ממשלה בספטמבר 2015</w:t>
      </w:r>
      <w:r>
        <w:rPr>
          <w:rFonts w:eastAsia="Calibri"/>
          <w:vertAlign w:val="superscript"/>
          <w:rtl/>
        </w:rPr>
        <w:footnoteReference w:id="17"/>
      </w:r>
      <w:r w:rsidRPr="006114CB">
        <w:rPr>
          <w:rFonts w:ascii="David" w:eastAsia="Calibri" w:hAnsi="David" w:hint="cs"/>
          <w:rtl/>
        </w:rPr>
        <w:t>, ולפיה מדינת ישראל תפעל להתייעלות אנרגטית עד שנת 2030 באמצעות הפחתה של 17% מהפליטות, לעומת צריכת החשמל בתרחיש "עסקים כרגיל"; עד שנת 2025 ישראל מתחייבת לייצר 13% מהחשמל מאנרגיות מתחדשות (יעד ביניים), ועד 2030 - 17% מהחשמל מאנרגיות מתחדשות.</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4"/>
        <w:rPr>
          <w:rFonts w:eastAsia="Times New Roman"/>
          <w:bCs/>
          <w:spacing w:val="40"/>
          <w:rtl/>
        </w:rPr>
      </w:pPr>
      <w:r w:rsidRPr="006114CB">
        <w:rPr>
          <w:rFonts w:eastAsia="Times New Roman" w:hint="cs"/>
          <w:bCs/>
          <w:spacing w:val="40"/>
          <w:rtl/>
        </w:rPr>
        <w:t>החלטות הממשלה</w:t>
      </w:r>
    </w:p>
    <w:p w:rsidR="006114CB" w:rsidRPr="006114CB" w:rsidP="002F4530">
      <w:pPr>
        <w:rPr>
          <w:rFonts w:eastAsia="Calibri"/>
          <w:rtl/>
        </w:rPr>
      </w:pPr>
    </w:p>
    <w:p w:rsidR="006114CB" w:rsidRPr="006114CB" w:rsidP="002F4530">
      <w:pPr>
        <w:spacing w:line="269" w:lineRule="auto"/>
        <w:rPr>
          <w:rFonts w:ascii="David" w:eastAsia="Calibri" w:hAnsi="David"/>
          <w:rtl/>
        </w:rPr>
      </w:pPr>
      <w:r w:rsidRPr="006114CB">
        <w:rPr>
          <w:rFonts w:ascii="David" w:eastAsia="Calibri" w:hAnsi="David" w:hint="cs"/>
          <w:rtl/>
        </w:rPr>
        <w:t>בעקבות החתימה על הסכם פריז קיבלה הממשלה סדרת החלטות שתכליתן הפחתת פליטות גזי חממה והתייעלות אנרגטית. להלן נסקור את העיקריות שבהן.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באפריל 2016 התקבלה החלטת ממשלה בעניין תוכנית לאומית ליישום היעדים להפחתת פליטות גזי חממה ולהתייעלות אנרגטית</w:t>
      </w:r>
      <w:r>
        <w:rPr>
          <w:rFonts w:ascii="David" w:eastAsia="Calibri" w:hAnsi="David"/>
          <w:vertAlign w:val="superscript"/>
          <w:rtl/>
        </w:rPr>
        <w:footnoteReference w:id="18"/>
      </w:r>
      <w:r w:rsidRPr="006114CB">
        <w:rPr>
          <w:rFonts w:ascii="David" w:eastAsia="Calibri" w:hAnsi="David" w:hint="cs"/>
          <w:rtl/>
        </w:rPr>
        <w:t>. החלטת הממשלה קובעת תוכנית לאומית עם יעדי הפחתת גזי חממה נמוכים יותר מהיעד המתון שבדוח הפחתת הפליטות.</w:t>
      </w:r>
    </w:p>
    <w:p w:rsidR="006114CB" w:rsidRPr="006114CB" w:rsidP="002F4530">
      <w:pPr>
        <w:keepNext/>
        <w:keepLines/>
        <w:spacing w:line="269" w:lineRule="auto"/>
        <w:ind w:left="-567"/>
        <w:rPr>
          <w:rFonts w:eastAsia="Calibri"/>
          <w:szCs w:val="20"/>
          <w:rtl/>
        </w:rPr>
      </w:pPr>
    </w:p>
    <w:p w:rsidR="006114CB" w:rsidP="002F4530">
      <w:pPr>
        <w:spacing w:line="269" w:lineRule="auto"/>
        <w:rPr>
          <w:rFonts w:ascii="David" w:eastAsia="Calibri" w:hAnsi="David"/>
          <w:rtl/>
        </w:rPr>
      </w:pPr>
      <w:r w:rsidRPr="006114CB">
        <w:rPr>
          <w:rFonts w:ascii="David" w:eastAsia="Calibri" w:hAnsi="David" w:hint="cs"/>
          <w:rtl/>
        </w:rPr>
        <w:t>באוקטובר 2020 התקבלה החלטת ממשלה</w:t>
      </w:r>
      <w:r w:rsidRPr="006114CB">
        <w:rPr>
          <w:rFonts w:eastAsia="Calibri" w:hint="cs"/>
          <w:rtl/>
        </w:rPr>
        <w:t xml:space="preserve"> בעניין קידום אנרגיה מתחדשת במשק החשמל</w:t>
      </w:r>
      <w:r>
        <w:rPr>
          <w:rFonts w:eastAsia="Calibri"/>
          <w:vertAlign w:val="superscript"/>
          <w:rtl/>
        </w:rPr>
        <w:footnoteReference w:id="19"/>
      </w:r>
      <w:bookmarkStart w:id="3" w:name="_Hlk212449504"/>
      <w:r w:rsidRPr="006114CB">
        <w:rPr>
          <w:rFonts w:eastAsia="Calibri" w:hint="cs"/>
          <w:rtl/>
        </w:rPr>
        <w:t xml:space="preserve">, </w:t>
      </w:r>
      <w:bookmarkEnd w:id="3"/>
      <w:r w:rsidRPr="006114CB">
        <w:rPr>
          <w:rFonts w:eastAsia="Calibri" w:hint="cs"/>
          <w:rtl/>
        </w:rPr>
        <w:t xml:space="preserve">ולפיה תקבע </w:t>
      </w:r>
      <w:r w:rsidRPr="006114CB">
        <w:rPr>
          <w:rFonts w:eastAsia="Calibri"/>
          <w:rtl/>
        </w:rPr>
        <w:t>הממשלה יעדים חדשים לייצור חשמל מאנרגיות מתחדשות - 30% מסך ייצור החשמל בשנת 2030</w:t>
      </w:r>
      <w:r w:rsidRPr="006114CB">
        <w:rPr>
          <w:rFonts w:eastAsia="Calibri" w:hint="cs"/>
          <w:rtl/>
        </w:rPr>
        <w:t>,</w:t>
      </w:r>
      <w:r w:rsidRPr="006114CB">
        <w:rPr>
          <w:rFonts w:eastAsia="Calibri"/>
          <w:rtl/>
        </w:rPr>
        <w:t xml:space="preserve"> ויעד ביניים של 20% מסך ייצור החשמל בשנת</w:t>
      </w:r>
      <w:r w:rsidRPr="006114CB">
        <w:rPr>
          <w:rFonts w:eastAsia="Calibri" w:hint="cs"/>
          <w:rtl/>
        </w:rPr>
        <w:t xml:space="preserve"> </w:t>
      </w:r>
      <w:r w:rsidRPr="006114CB">
        <w:rPr>
          <w:rFonts w:eastAsia="Calibri"/>
          <w:rtl/>
        </w:rPr>
        <w:t>2025</w:t>
      </w:r>
      <w:r w:rsidRPr="006114CB">
        <w:rPr>
          <w:rFonts w:eastAsia="Calibri" w:hint="cs"/>
          <w:rtl/>
        </w:rPr>
        <w:t>.</w:t>
      </w:r>
    </w:p>
    <w:p w:rsidR="006114CB" w:rsidP="002F4530">
      <w:pPr>
        <w:spacing w:line="269" w:lineRule="auto"/>
        <w:rPr>
          <w:rFonts w:ascii="David" w:eastAsia="Calibri" w:hAnsi="David"/>
          <w:rtl/>
        </w:rPr>
      </w:pPr>
    </w:p>
    <w:p w:rsidR="006114CB" w:rsidRPr="006114CB" w:rsidP="002F4530">
      <w:pPr>
        <w:spacing w:line="269" w:lineRule="auto"/>
        <w:rPr>
          <w:rFonts w:ascii="David" w:eastAsia="Calibri" w:hAnsi="David"/>
          <w:rtl/>
        </w:rPr>
      </w:pPr>
      <w:r w:rsidRPr="006114CB">
        <w:rPr>
          <w:rFonts w:ascii="David" w:eastAsia="Calibri" w:hAnsi="David" w:hint="cs"/>
          <w:rtl/>
        </w:rPr>
        <w:t>ביולי 2021 התקבלה החלטת ממשלה שהציבה יעדים שונים להפחתת פליטות גזי חממה</w:t>
      </w:r>
      <w:r>
        <w:rPr>
          <w:rFonts w:ascii="David" w:eastAsia="Calibri" w:hAnsi="David"/>
          <w:vertAlign w:val="superscript"/>
          <w:rtl/>
        </w:rPr>
        <w:footnoteReference w:id="20"/>
      </w:r>
      <w:r w:rsidRPr="006114CB">
        <w:rPr>
          <w:rFonts w:ascii="David" w:eastAsia="Calibri" w:hAnsi="David" w:hint="cs"/>
          <w:rtl/>
        </w:rPr>
        <w:t xml:space="preserve">. בתחום האנרגיה הוחלט להפחית פליטות גזי חממה מייצור חשמל בשיעור של 30% בשנת 2030, ובשיעור של לפחות 85% - בשנת 2050. </w:t>
      </w:r>
      <w:r w:rsidRPr="006114CB">
        <w:rPr>
          <w:rFonts w:eastAsia="Calibri"/>
          <w:rtl/>
        </w:rPr>
        <w:t xml:space="preserve">החלטת </w:t>
      </w:r>
      <w:r w:rsidRPr="006114CB">
        <w:rPr>
          <w:rFonts w:eastAsia="Calibri" w:hint="cs"/>
          <w:rtl/>
        </w:rPr>
        <w:t>ה</w:t>
      </w:r>
      <w:r w:rsidRPr="006114CB">
        <w:rPr>
          <w:rFonts w:eastAsia="Calibri"/>
          <w:rtl/>
        </w:rPr>
        <w:t>ממשלה לא הציבה יעד של אנרגיות מתחדשות לשנת 2050</w:t>
      </w:r>
      <w:r w:rsidRPr="006114CB">
        <w:rPr>
          <w:rFonts w:ascii="David" w:eastAsia="Calibri" w:hAnsi="David" w:hint="cs"/>
          <w:rtl/>
        </w:rPr>
        <w:t xml:space="preserve">; ההחלטה </w:t>
      </w:r>
      <w:r w:rsidRPr="006114CB">
        <w:rPr>
          <w:rFonts w:eastAsia="Calibri"/>
          <w:rtl/>
        </w:rPr>
        <w:t xml:space="preserve">קובעת כי שרת האנרגיה תפעל </w:t>
      </w:r>
      <w:r w:rsidRPr="006114CB">
        <w:rPr>
          <w:rFonts w:eastAsia="Calibri" w:hint="cs"/>
          <w:rtl/>
        </w:rPr>
        <w:t>״</w:t>
      </w:r>
      <w:r w:rsidRPr="006114CB">
        <w:rPr>
          <w:rFonts w:eastAsia="Calibri"/>
          <w:rtl/>
        </w:rPr>
        <w:t>לבחינת תמהיל ייצור האנרגיה... ולקביעת יעדים לאנרגיה מתחדשת לשנת 2050, תוך הבטחת משק אנרגיה אמין, בר השגה ובר קיימא"</w:t>
      </w:r>
      <w:r w:rsidRPr="006114CB">
        <w:rPr>
          <w:rFonts w:ascii="David" w:eastAsia="Calibri" w:hAnsi="David" w:hint="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eastAsia="Calibri" w:hint="cs"/>
          <w:rtl/>
        </w:rPr>
        <w:t xml:space="preserve">במרץ 2022 התקבלה החלטת הממשלה 1231 העוסקת בהיערכות משק האנרגיה להפסקת זיקוק הנפט והפעילות של התעשייה הפטרוכימית במפרץ חיפה, בהתאם למגמה העולמית לצמצום </w:t>
      </w:r>
      <w:r w:rsidRPr="006114CB">
        <w:rPr>
          <w:rFonts w:eastAsia="Calibri" w:hint="cs"/>
          <w:rtl/>
        </w:rPr>
        <w:t>השימוש בדלקים פוסיליים, לרבות גפ"ם, ומעבר לאנרגיות מתחדשות (להלן - החלטת הממשלה 1231)</w:t>
      </w:r>
      <w:r>
        <w:rPr>
          <w:rFonts w:eastAsia="Calibri"/>
          <w:vertAlign w:val="superscript"/>
          <w:rtl/>
        </w:rPr>
        <w:footnoteReference w:id="21"/>
      </w:r>
      <w:r w:rsidRPr="006114CB">
        <w:rPr>
          <w:rFonts w:eastAsia="Calibri" w:hint="cs"/>
          <w:rtl/>
        </w:rPr>
        <w:t xml:space="preserve">. החלטת הממשלה הבהירה כי הפסקת פעילות התעשייה הפטרוכימית מותנית בהבטחת הרציפות התפקודית של משק האנרגיה, ובפרט בתפקודם המלא של כל המתקנים, ובכלל זה מתקני אחסון החירום. לשם כך יש לקדם הקמת תשתיות ליבוא גפ"ם בצפון הארץ ובאשדוד. עוד קבעה ההחלטה כי יש להקים </w:t>
      </w:r>
      <w:r w:rsidRPr="006114CB">
        <w:rPr>
          <w:rFonts w:ascii="David" w:eastAsia="Calibri" w:hAnsi="David"/>
          <w:rtl/>
        </w:rPr>
        <w:t>צוות בראשות מנכ"ל משרד האנרגיה אשר יגבש ת</w:t>
      </w:r>
      <w:r w:rsidRPr="006114CB">
        <w:rPr>
          <w:rFonts w:ascii="David" w:eastAsia="Calibri" w:hAnsi="David" w:hint="cs"/>
          <w:rtl/>
        </w:rPr>
        <w:t>ו</w:t>
      </w:r>
      <w:r w:rsidRPr="006114CB">
        <w:rPr>
          <w:rFonts w:ascii="David" w:eastAsia="Calibri" w:hAnsi="David"/>
          <w:rtl/>
        </w:rPr>
        <w:t>כנית לצמצום השימוש בגפ"ם</w:t>
      </w:r>
      <w:r w:rsidRPr="006114CB">
        <w:rPr>
          <w:rFonts w:ascii="David" w:eastAsia="Calibri" w:hAnsi="David" w:hint="cs"/>
          <w:rtl/>
        </w:rPr>
        <w:t>. הצוות יגיש את מסקנותיו לאישור הקבינט הכלכלי-חברתי בתוך 180 יום.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בינואר 2024 התקבלה החלטת ממשלה המטילה על שר האוצר לתקן את צו הבלו על דלק (הטלת בלו), התשס"ד-2004, ואת צו תעריף המכס והפטורים ומס קנייה על טובין, התשע"ז-2017, כך שהתיקונים יביאו להפנמה מדורגת של העלויות החיצוניות הסביבתיות של פליטות פחמן ומזהמים מקומיים</w:t>
      </w:r>
      <w:r>
        <w:rPr>
          <w:rFonts w:ascii="David" w:eastAsia="Calibri" w:hAnsi="David"/>
          <w:vertAlign w:val="superscript"/>
          <w:rtl/>
        </w:rPr>
        <w:footnoteReference w:id="22"/>
      </w:r>
      <w:r w:rsidRPr="006114CB">
        <w:rPr>
          <w:rFonts w:ascii="David" w:eastAsia="Calibri" w:hAnsi="David" w:hint="cs"/>
          <w:rtl/>
        </w:rPr>
        <w:t>. על פי התיקון, סכום הבלו ומס הקנייה על גפ"ם יהיה 176 ש"ח לטונה בשנת 2025, 239 ש"ח בשנת 2026, 318 ש"ח בשנת 2027, 423 ש"ח בשנת 2028, 527 ש"ח בשנת 2029, 658 ש"ח בשנת 2030, ואילך. בהחלטת הממשלה צוין כי היא התקבלה "משום שתמחור פליטות נחשב להסדרה היעילה והאפקטיבית ביותר לעידוד הפחתת הפליטות".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eastAsia"/>
          <w:rtl/>
        </w:rPr>
        <w:t>מהחלטות</w:t>
      </w:r>
      <w:r w:rsidRPr="006114CB">
        <w:rPr>
          <w:rFonts w:eastAsia="Calibri"/>
          <w:rtl/>
        </w:rPr>
        <w:t xml:space="preserve"> הממשלה עולה כי מדיניות הממשלה מאז החתימה על הסכם פריז </w:t>
      </w:r>
      <w:r w:rsidRPr="006114CB">
        <w:rPr>
          <w:rFonts w:eastAsia="Calibri" w:hint="eastAsia"/>
          <w:rtl/>
        </w:rPr>
        <w:t>ב</w:t>
      </w:r>
      <w:r w:rsidRPr="006114CB">
        <w:rPr>
          <w:rFonts w:eastAsia="Calibri"/>
          <w:rtl/>
        </w:rPr>
        <w:t xml:space="preserve">-2016 </w:t>
      </w:r>
      <w:r w:rsidRPr="006114CB">
        <w:rPr>
          <w:rFonts w:eastAsia="Calibri" w:hint="eastAsia"/>
          <w:rtl/>
        </w:rPr>
        <w:t>היא</w:t>
      </w:r>
      <w:r w:rsidRPr="006114CB">
        <w:rPr>
          <w:rFonts w:eastAsia="Calibri"/>
          <w:rtl/>
        </w:rPr>
        <w:t xml:space="preserve"> הפחתת פליטות גזי חממה, התייעלות אנרגטית, קידום אנרגיות מתחדשות, הפסקת זיקוק הנפט ופעילות התעשייה הפטרוכימית במפרץ חיפה וצמצום השימוש </w:t>
      </w:r>
      <w:r w:rsidRPr="006114CB">
        <w:rPr>
          <w:rFonts w:eastAsia="Calibri" w:hint="eastAsia"/>
          <w:rtl/>
        </w:rPr>
        <w:t>בגפ</w:t>
      </w:r>
      <w:r w:rsidRPr="006114CB">
        <w:rPr>
          <w:rFonts w:eastAsia="Calibri"/>
          <w:rtl/>
        </w:rPr>
        <w:t>"ם</w:t>
      </w:r>
      <w:r w:rsidRPr="006114CB">
        <w:rPr>
          <w:rFonts w:eastAsia="Calibri" w:hint="cs"/>
          <w:rtl/>
        </w:rPr>
        <w:t>.</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4"/>
        <w:rPr>
          <w:rFonts w:eastAsia="Times New Roman"/>
          <w:bCs/>
          <w:spacing w:val="40"/>
          <w:rtl/>
        </w:rPr>
      </w:pPr>
      <w:r w:rsidRPr="006114CB">
        <w:rPr>
          <w:rFonts w:eastAsia="Times New Roman" w:hint="cs"/>
          <w:bCs/>
          <w:spacing w:val="40"/>
          <w:rtl/>
        </w:rPr>
        <w:t>מסמכי מדיניות בנושא עתיד משק הדלק</w:t>
      </w:r>
    </w:p>
    <w:p w:rsidR="006114CB" w:rsidRPr="006114CB" w:rsidP="002F4530">
      <w:pPr>
        <w:rPr>
          <w:rFonts w:eastAsia="Calibri"/>
          <w:rtl/>
        </w:rPr>
      </w:pPr>
    </w:p>
    <w:p w:rsidR="006114CB" w:rsidRPr="006114CB" w:rsidP="002F4530">
      <w:pPr>
        <w:spacing w:line="269" w:lineRule="auto"/>
        <w:rPr>
          <w:rFonts w:ascii="David" w:eastAsia="Calibri" w:hAnsi="David"/>
          <w:rtl/>
        </w:rPr>
      </w:pPr>
      <w:r w:rsidRPr="006114CB">
        <w:rPr>
          <w:rFonts w:ascii="David" w:eastAsia="Calibri" w:hAnsi="David" w:hint="cs"/>
          <w:rtl/>
        </w:rPr>
        <w:t>משרד האנרגיה מופקד, בין היתר, על תכנונה וביצועה של מדיניות לאומית ארוכת טווח בתחום האנרגיה, לרבות בהיבטים של תכנון משק האנרגיה, התייעלות בשימוש באנרגיה ופיתוח מקורות אנרגיה. לשם קביעת מדיניות בתחום האנרגיה, לרבות החלטה בדבר התמהיל הרצוי של מקורות האנרגיה, נדרש משרד האנרגיה לגבש תוכנית אב למשק האנרגיה. חשיבותה של תוכנית אב היא בקביעת מסגרת אמינה להבטחת אספקת אנרגיה בעת שגרה ובעת חירום, בטווח הקצר ובטווח הארוך. חשיבותה של תוכנית אב נידונה בכמה דוחות של מבקר המדינה</w:t>
      </w:r>
      <w:r>
        <w:rPr>
          <w:rFonts w:ascii="David" w:eastAsia="Calibri" w:hAnsi="David"/>
          <w:vertAlign w:val="superscript"/>
          <w:rtl/>
        </w:rPr>
        <w:footnoteReference w:id="23"/>
      </w:r>
      <w:r w:rsidRPr="006114CB">
        <w:rPr>
          <w:rFonts w:ascii="David" w:eastAsia="Calibri" w:hAnsi="David" w:hint="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b/>
          <w:bCs/>
          <w:rtl/>
        </w:rPr>
      </w:pPr>
      <w:r w:rsidRPr="006114CB">
        <w:rPr>
          <w:rFonts w:ascii="David" w:eastAsia="Calibri" w:hAnsi="David" w:hint="eastAsia"/>
          <w:b/>
          <w:bCs/>
          <w:rtl/>
        </w:rPr>
        <w:t>בעשרים</w:t>
      </w:r>
      <w:r w:rsidRPr="006114CB">
        <w:rPr>
          <w:rFonts w:ascii="David" w:eastAsia="Calibri" w:hAnsi="David"/>
          <w:b/>
          <w:bCs/>
          <w:rtl/>
        </w:rPr>
        <w:t xml:space="preserve"> השנים האחרונות ניסה משרד האנרגיה לקדם תוכנית אב למשק האנרגיה. ואולם התוכניות לא הושלמו או לא </w:t>
      </w:r>
      <w:r w:rsidRPr="006114CB">
        <w:rPr>
          <w:rFonts w:ascii="David" w:eastAsia="Calibri" w:hAnsi="David" w:hint="eastAsia"/>
          <w:b/>
          <w:bCs/>
          <w:rtl/>
        </w:rPr>
        <w:t>אושרו</w:t>
      </w:r>
      <w:r w:rsidRPr="006114CB">
        <w:rPr>
          <w:rFonts w:ascii="David" w:eastAsia="Calibri" w:hAnsi="David"/>
          <w:b/>
          <w:b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ב-2018 הכין משרד האנרגיה מסמך מדיניות בנושא יעדי משק האנרגיה לשנת 2030</w:t>
      </w:r>
      <w:r>
        <w:rPr>
          <w:rFonts w:ascii="David" w:eastAsia="Calibri" w:hAnsi="David"/>
          <w:vertAlign w:val="superscript"/>
          <w:rtl/>
        </w:rPr>
        <w:footnoteReference w:id="24"/>
      </w:r>
      <w:r w:rsidRPr="006114CB">
        <w:rPr>
          <w:rFonts w:ascii="David" w:eastAsia="Calibri" w:hAnsi="David" w:hint="cs"/>
          <w:rtl/>
        </w:rPr>
        <w:t xml:space="preserve">. המסמך, המפרט את היעדים של תמהיל הדלקים הרצוי בשנת 2030 ואת האמצעים הנדרשים להשגתו, הוא צעד מהותי לקראת הפחתת התלות של מדינת ישראל בפחם ובתזקיקי נפט. מדיניות זו תיושם במקטע ייצור החשמל, בתחום התחבורה ובתעשייה. המדיניות תלוּוה בצעדים להשגת יעדי התייעלות אנרגטית. המסמך קיבל את אישור שר האנרגיה באוקטובר 2018 ופורסם במרץ 2019.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ב-2021 פרסם משרד האנרגיה מפת דרכים למשק אנרגיה דל פחמן עד שנת 2050</w:t>
      </w:r>
      <w:r>
        <w:rPr>
          <w:rFonts w:ascii="David" w:eastAsia="Calibri" w:hAnsi="David"/>
          <w:vertAlign w:val="superscript"/>
          <w:rtl/>
        </w:rPr>
        <w:footnoteReference w:id="25"/>
      </w:r>
      <w:r w:rsidRPr="006114CB">
        <w:rPr>
          <w:rFonts w:ascii="David" w:eastAsia="Calibri" w:hAnsi="David" w:hint="cs"/>
          <w:rtl/>
        </w:rPr>
        <w:t xml:space="preserve">. מפת הדרכים היא חלק מתהליך ממשלתי רחב לגיבוש חזון למעבר למשק כאמור עד שנת 2050. העבודה נעשתה על ידי צוות מומחים של משרד האנרגיה וליוותה אותה ועדת היגוי רב-מגזרית. העבודה סקרה את משק האנרגיה המקומי והעולמי וקבעה ״יעד-על״ - הפחתת פליטות גזי חממה בשיעור של 80% בתחום האנרגיה ביחס לשנת 2015, עד לשנת 2050. לצורך השגת יעד-העל נקבעו ארבעה יעדים ראשיים: הפחתת פליטות גזי חממה במשק האנרגיה; הפחתת פליטות גזי חממה במגזר החשמל; </w:t>
      </w:r>
      <w:r w:rsidRPr="006114CB">
        <w:rPr>
          <w:rFonts w:ascii="David" w:eastAsia="Calibri" w:hAnsi="David" w:hint="cs"/>
          <w:rtl/>
        </w:rPr>
        <w:t xml:space="preserve">יעילות באנרגיה; והפחתת השימוש בפחם. עמידה ביעדי התוכנית תלויה במפת הדרכים שתלך ותתגבש עם הזמן.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ב-2024 פרסם משרד האנרגיה עבודה אסטרטגית בנושא עתיד משק הדלק הישראלי</w:t>
      </w:r>
      <w:r>
        <w:rPr>
          <w:rFonts w:ascii="David" w:eastAsia="Calibri" w:hAnsi="David"/>
          <w:vertAlign w:val="superscript"/>
          <w:rtl/>
        </w:rPr>
        <w:footnoteReference w:id="26"/>
      </w:r>
      <w:r w:rsidRPr="006114CB">
        <w:rPr>
          <w:rFonts w:ascii="David" w:eastAsia="Calibri" w:hAnsi="David" w:hint="cs"/>
          <w:rtl/>
        </w:rPr>
        <w:t>. העבודה מתווה את עתיד משק הדלק עד שנת 2050. ההנחות העיקריות העומדות בבסיס העבודה הן: התוכנית עוסקת בדרכים למימוש יעדים ממשלתיים ותוכניות משנה שנקבעו במשרד האנרגיה, כגון יעדי הפחתת הפליטות ויעדי הצטיידות בכלי רכב חשמליים; יש להיערך ליישום החלטת הממשלה 1231 לקידום ולפיתוח של מפרץ חיפה, ובתוך כך להפסקת פעילות בז"ן במהלך 10 - 15 השנים הבאות תוך עמידה בכלל התנאים המוגדרים בהחלטה, וכן יישום הצעדים התשתיתיים הנדרשים למשק לאחר הפסקת פעילות בז"ן.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בתרשים שלהלן מתוארת תחזית צריכת התזקיקים המשקית של משרד האנרגיה בשנים 2023 - 2050</w:t>
      </w:r>
      <w:r>
        <w:rPr>
          <w:rFonts w:eastAsia="Calibri"/>
          <w:vertAlign w:val="superscript"/>
          <w:rtl/>
        </w:rPr>
        <w:footnoteReference w:id="27"/>
      </w:r>
      <w:r w:rsidRPr="006114CB">
        <w:rPr>
          <w:rFonts w:eastAsia="Calibri" w:hint="cs"/>
          <w:rtl/>
        </w:rPr>
        <w:t>.</w:t>
      </w:r>
    </w:p>
    <w:p w:rsidR="006114CB" w:rsidRPr="006114CB" w:rsidP="002F4530">
      <w:pPr>
        <w:keepNext/>
        <w:keepLines/>
        <w:spacing w:line="269" w:lineRule="auto"/>
        <w:jc w:val="center"/>
        <w:rPr>
          <w:rFonts w:eastAsia="Calibri"/>
          <w:b/>
          <w:bCs/>
          <w:rtl/>
        </w:rPr>
      </w:pPr>
      <w:r w:rsidRPr="006114CB">
        <w:rPr>
          <w:rFonts w:eastAsia="Calibri" w:hint="eastAsia"/>
          <w:rtl/>
        </w:rPr>
        <w:t>תרשים</w:t>
      </w:r>
      <w:r w:rsidRPr="006114CB">
        <w:rPr>
          <w:rFonts w:eastAsia="Calibri"/>
          <w:rtl/>
        </w:rPr>
        <w:t xml:space="preserve"> 4:</w:t>
      </w:r>
      <w:r w:rsidRPr="006114CB">
        <w:rPr>
          <w:rFonts w:eastAsia="Calibri" w:hint="cs"/>
          <w:b/>
          <w:bCs/>
          <w:rtl/>
        </w:rPr>
        <w:t xml:space="preserve"> תחזית צריכת התזקיקים המשקית, 2023 - 2050 (במיליוני טונות)</w:t>
      </w:r>
    </w:p>
    <w:p w:rsidR="006114CB" w:rsidRPr="006114CB" w:rsidP="002F4530">
      <w:pPr>
        <w:spacing w:line="269" w:lineRule="auto"/>
        <w:jc w:val="center"/>
        <w:rPr>
          <w:rFonts w:eastAsia="Calibri"/>
          <w:rtl/>
        </w:rPr>
      </w:pPr>
      <w:r w:rsidRPr="006114CB">
        <w:rPr>
          <w:rFonts w:eastAsia="Calibri"/>
          <w:noProof/>
        </w:rPr>
        <w:drawing>
          <wp:inline distT="0" distB="0" distL="0" distR="0">
            <wp:extent cx="5220335" cy="3162300"/>
            <wp:effectExtent l="0" t="0" r="0" b="0"/>
            <wp:docPr id="5" name="תמונה 5" descr="התרשים מתאר את תחזית צריכת התזקיקים המשקית בשנים 2023 - 2050 כך שחלה ירידה של כ-30% בהיקף צריכת התזקיקים ב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3"/>
                    <a:stretch>
                      <a:fillRect/>
                    </a:stretch>
                  </pic:blipFill>
                  <pic:spPr>
                    <a:xfrm>
                      <a:off x="0" y="0"/>
                      <a:ext cx="5220335" cy="3162300"/>
                    </a:xfrm>
                    <a:prstGeom prst="rect">
                      <a:avLst/>
                    </a:prstGeom>
                  </pic:spPr>
                </pic:pic>
              </a:graphicData>
            </a:graphic>
          </wp:inline>
        </w:drawing>
      </w:r>
    </w:p>
    <w:p w:rsidR="006114CB" w:rsidRPr="006114CB" w:rsidP="002F4530">
      <w:pPr>
        <w:spacing w:line="269" w:lineRule="auto"/>
        <w:rPr>
          <w:rFonts w:ascii="David" w:eastAsia="Calibri" w:hAnsi="David"/>
          <w:szCs w:val="20"/>
          <w:rtl/>
        </w:rPr>
      </w:pPr>
      <w:r w:rsidRPr="006114CB">
        <w:rPr>
          <w:rFonts w:ascii="David" w:eastAsia="Calibri" w:hAnsi="David" w:hint="eastAsia"/>
          <w:szCs w:val="20"/>
          <w:rtl/>
        </w:rPr>
        <w:t>המקור</w:t>
      </w:r>
      <w:r w:rsidRPr="006114CB">
        <w:rPr>
          <w:rFonts w:ascii="David" w:eastAsia="Calibri" w:hAnsi="David"/>
          <w:szCs w:val="20"/>
          <w:rtl/>
        </w:rPr>
        <w:t xml:space="preserve">: </w:t>
      </w:r>
      <w:r w:rsidRPr="006114CB">
        <w:rPr>
          <w:rFonts w:ascii="David" w:eastAsia="Calibri" w:hAnsi="David"/>
          <w:szCs w:val="20"/>
        </w:rPr>
        <w:t>TASC</w:t>
      </w:r>
      <w:r w:rsidRPr="006114CB">
        <w:rPr>
          <w:rFonts w:ascii="David" w:eastAsia="Calibri" w:hAnsi="David"/>
          <w:szCs w:val="20"/>
          <w:rtl/>
        </w:rPr>
        <w:t>, עתיד משק הדלק.</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eastAsia"/>
          <w:b/>
          <w:bCs/>
          <w:rtl/>
        </w:rPr>
        <w:t>מהתרשים</w:t>
      </w:r>
      <w:r w:rsidRPr="006114CB">
        <w:rPr>
          <w:rFonts w:eastAsia="Calibri"/>
          <w:b/>
          <w:bCs/>
          <w:rtl/>
        </w:rPr>
        <w:t xml:space="preserve"> </w:t>
      </w:r>
      <w:r w:rsidRPr="006114CB">
        <w:rPr>
          <w:rFonts w:eastAsia="Calibri" w:hint="eastAsia"/>
          <w:b/>
          <w:bCs/>
          <w:rtl/>
        </w:rPr>
        <w:t>עולה</w:t>
      </w:r>
      <w:r w:rsidRPr="006114CB">
        <w:rPr>
          <w:rFonts w:eastAsia="Calibri"/>
          <w:b/>
          <w:bCs/>
          <w:rtl/>
        </w:rPr>
        <w:t xml:space="preserve"> </w:t>
      </w:r>
      <w:r w:rsidRPr="006114CB">
        <w:rPr>
          <w:rFonts w:eastAsia="Calibri" w:hint="eastAsia"/>
          <w:b/>
          <w:bCs/>
          <w:rtl/>
        </w:rPr>
        <w:t>כי</w:t>
      </w:r>
      <w:r w:rsidRPr="006114CB">
        <w:rPr>
          <w:rFonts w:eastAsia="Calibri"/>
          <w:b/>
          <w:bCs/>
          <w:rtl/>
        </w:rPr>
        <w:t xml:space="preserve"> </w:t>
      </w:r>
      <w:r w:rsidRPr="006114CB">
        <w:rPr>
          <w:rFonts w:eastAsia="Calibri" w:hint="eastAsia"/>
          <w:b/>
          <w:bCs/>
          <w:rtl/>
        </w:rPr>
        <w:t>לפי</w:t>
      </w:r>
      <w:r w:rsidRPr="006114CB">
        <w:rPr>
          <w:rFonts w:eastAsia="Calibri"/>
          <w:b/>
          <w:bCs/>
          <w:rtl/>
        </w:rPr>
        <w:t xml:space="preserve"> </w:t>
      </w:r>
      <w:r w:rsidRPr="006114CB">
        <w:rPr>
          <w:rFonts w:eastAsia="Calibri" w:hint="eastAsia"/>
          <w:b/>
          <w:bCs/>
          <w:rtl/>
        </w:rPr>
        <w:t>כלל</w:t>
      </w:r>
      <w:r w:rsidRPr="006114CB">
        <w:rPr>
          <w:rFonts w:eastAsia="Calibri"/>
          <w:b/>
          <w:bCs/>
          <w:rtl/>
        </w:rPr>
        <w:t xml:space="preserve"> </w:t>
      </w:r>
      <w:r w:rsidRPr="006114CB">
        <w:rPr>
          <w:rFonts w:eastAsia="Calibri" w:hint="eastAsia"/>
          <w:b/>
          <w:bCs/>
          <w:rtl/>
        </w:rPr>
        <w:t>תחזיות</w:t>
      </w:r>
      <w:r w:rsidRPr="006114CB">
        <w:rPr>
          <w:rFonts w:eastAsia="Calibri"/>
          <w:b/>
          <w:bCs/>
          <w:rtl/>
        </w:rPr>
        <w:t xml:space="preserve"> </w:t>
      </w:r>
      <w:r w:rsidRPr="006114CB">
        <w:rPr>
          <w:rFonts w:eastAsia="Calibri" w:hint="eastAsia"/>
          <w:b/>
          <w:bCs/>
          <w:rtl/>
        </w:rPr>
        <w:t>הביקוש</w:t>
      </w:r>
      <w:r w:rsidRPr="006114CB">
        <w:rPr>
          <w:rFonts w:eastAsia="Calibri"/>
          <w:b/>
          <w:bCs/>
          <w:rtl/>
        </w:rPr>
        <w:t xml:space="preserve"> </w:t>
      </w:r>
      <w:r w:rsidRPr="006114CB">
        <w:rPr>
          <w:rFonts w:eastAsia="Calibri" w:hint="eastAsia"/>
          <w:b/>
          <w:bCs/>
          <w:rtl/>
        </w:rPr>
        <w:t>המשקיות</w:t>
      </w:r>
      <w:r w:rsidRPr="006114CB">
        <w:rPr>
          <w:rFonts w:eastAsia="Calibri"/>
          <w:b/>
          <w:bCs/>
          <w:rtl/>
        </w:rPr>
        <w:t xml:space="preserve"> </w:t>
      </w:r>
      <w:r w:rsidRPr="006114CB">
        <w:rPr>
          <w:rFonts w:eastAsia="Calibri" w:hint="eastAsia"/>
          <w:b/>
          <w:bCs/>
          <w:rtl/>
        </w:rPr>
        <w:t>של</w:t>
      </w:r>
      <w:r w:rsidRPr="006114CB">
        <w:rPr>
          <w:rFonts w:eastAsia="Calibri"/>
          <w:b/>
          <w:bCs/>
          <w:rtl/>
        </w:rPr>
        <w:t xml:space="preserve"> </w:t>
      </w:r>
      <w:r w:rsidRPr="006114CB">
        <w:rPr>
          <w:rFonts w:eastAsia="Calibri" w:hint="eastAsia"/>
          <w:b/>
          <w:bCs/>
          <w:rtl/>
        </w:rPr>
        <w:t>משרד</w:t>
      </w:r>
      <w:r w:rsidRPr="006114CB">
        <w:rPr>
          <w:rFonts w:eastAsia="Calibri"/>
          <w:b/>
          <w:bCs/>
          <w:rtl/>
        </w:rPr>
        <w:t xml:space="preserve"> </w:t>
      </w:r>
      <w:r w:rsidRPr="006114CB">
        <w:rPr>
          <w:rFonts w:eastAsia="Calibri" w:hint="eastAsia"/>
          <w:b/>
          <w:bCs/>
          <w:rtl/>
        </w:rPr>
        <w:t>האנרגיה</w:t>
      </w:r>
      <w:r w:rsidRPr="006114CB">
        <w:rPr>
          <w:rFonts w:eastAsia="Calibri"/>
          <w:b/>
          <w:bCs/>
          <w:rtl/>
        </w:rPr>
        <w:t xml:space="preserve">, </w:t>
      </w:r>
      <w:r w:rsidRPr="006114CB">
        <w:rPr>
          <w:rFonts w:eastAsia="Calibri" w:hint="eastAsia"/>
          <w:b/>
          <w:bCs/>
          <w:rtl/>
        </w:rPr>
        <w:t>בשנים</w:t>
      </w:r>
      <w:r w:rsidRPr="006114CB">
        <w:rPr>
          <w:rFonts w:eastAsia="Calibri"/>
          <w:b/>
          <w:bCs/>
          <w:rtl/>
        </w:rPr>
        <w:t xml:space="preserve"> 2023 - 2050 </w:t>
      </w:r>
      <w:r w:rsidRPr="006114CB">
        <w:rPr>
          <w:rFonts w:eastAsia="Calibri" w:hint="eastAsia"/>
          <w:b/>
          <w:bCs/>
          <w:rtl/>
        </w:rPr>
        <w:t>צפויה</w:t>
      </w:r>
      <w:r w:rsidRPr="006114CB">
        <w:rPr>
          <w:rFonts w:eastAsia="Calibri"/>
          <w:b/>
          <w:bCs/>
          <w:rtl/>
        </w:rPr>
        <w:t xml:space="preserve"> </w:t>
      </w:r>
      <w:r w:rsidRPr="006114CB">
        <w:rPr>
          <w:rFonts w:eastAsia="Calibri" w:hint="eastAsia"/>
          <w:b/>
          <w:bCs/>
          <w:rtl/>
        </w:rPr>
        <w:t>ירידה</w:t>
      </w:r>
      <w:r w:rsidRPr="006114CB">
        <w:rPr>
          <w:rFonts w:eastAsia="Calibri"/>
          <w:b/>
          <w:bCs/>
          <w:rtl/>
        </w:rPr>
        <w:t xml:space="preserve"> </w:t>
      </w:r>
      <w:r w:rsidRPr="006114CB">
        <w:rPr>
          <w:rFonts w:eastAsia="Calibri" w:hint="eastAsia"/>
          <w:b/>
          <w:bCs/>
          <w:rtl/>
        </w:rPr>
        <w:t>של</w:t>
      </w:r>
      <w:r w:rsidRPr="006114CB">
        <w:rPr>
          <w:rFonts w:eastAsia="Calibri"/>
          <w:b/>
          <w:bCs/>
          <w:rtl/>
        </w:rPr>
        <w:t xml:space="preserve"> </w:t>
      </w:r>
      <w:r w:rsidRPr="006114CB">
        <w:rPr>
          <w:rFonts w:eastAsia="Calibri" w:hint="eastAsia"/>
          <w:b/>
          <w:bCs/>
          <w:rtl/>
        </w:rPr>
        <w:t>כ</w:t>
      </w:r>
      <w:r w:rsidRPr="006114CB">
        <w:rPr>
          <w:rFonts w:eastAsia="Calibri"/>
          <w:b/>
          <w:bCs/>
          <w:rtl/>
        </w:rPr>
        <w:t>-</w:t>
      </w:r>
      <w:r w:rsidRPr="006114CB">
        <w:rPr>
          <w:rFonts w:eastAsia="Calibri" w:hint="cs"/>
          <w:b/>
          <w:bCs/>
          <w:rtl/>
        </w:rPr>
        <w:t>30</w:t>
      </w:r>
      <w:r w:rsidRPr="006114CB">
        <w:rPr>
          <w:rFonts w:eastAsia="Calibri"/>
          <w:b/>
          <w:bCs/>
          <w:rtl/>
        </w:rPr>
        <w:t xml:space="preserve">% </w:t>
      </w:r>
      <w:r w:rsidRPr="006114CB">
        <w:rPr>
          <w:rFonts w:eastAsia="Calibri" w:hint="eastAsia"/>
          <w:b/>
          <w:bCs/>
          <w:rtl/>
        </w:rPr>
        <w:t>בהיקף</w:t>
      </w:r>
      <w:r w:rsidRPr="006114CB">
        <w:rPr>
          <w:rFonts w:eastAsia="Calibri"/>
          <w:b/>
          <w:bCs/>
          <w:rtl/>
        </w:rPr>
        <w:t xml:space="preserve"> </w:t>
      </w:r>
      <w:r w:rsidRPr="006114CB">
        <w:rPr>
          <w:rFonts w:eastAsia="Calibri" w:hint="eastAsia"/>
          <w:b/>
          <w:bCs/>
          <w:rtl/>
        </w:rPr>
        <w:t>צריכת</w:t>
      </w:r>
      <w:r w:rsidRPr="006114CB">
        <w:rPr>
          <w:rFonts w:eastAsia="Calibri"/>
          <w:b/>
          <w:bCs/>
          <w:rtl/>
        </w:rPr>
        <w:t xml:space="preserve"> </w:t>
      </w:r>
      <w:r w:rsidRPr="006114CB">
        <w:rPr>
          <w:rFonts w:eastAsia="Calibri" w:hint="eastAsia"/>
          <w:b/>
          <w:bCs/>
          <w:rtl/>
        </w:rPr>
        <w:t>התזקיקים</w:t>
      </w:r>
      <w:r w:rsidRPr="006114CB">
        <w:rPr>
          <w:rFonts w:eastAsia="Calibri"/>
          <w:b/>
          <w:bCs/>
          <w:rtl/>
        </w:rPr>
        <w:t xml:space="preserve"> </w:t>
      </w:r>
      <w:r w:rsidRPr="006114CB">
        <w:rPr>
          <w:rFonts w:eastAsia="Calibri" w:hint="eastAsia"/>
          <w:b/>
          <w:bCs/>
          <w:rtl/>
        </w:rPr>
        <w:t>בישראל</w:t>
      </w:r>
      <w:r w:rsidRPr="006114CB">
        <w:rPr>
          <w:rFonts w:eastAsia="Calibri"/>
          <w:b/>
          <w:b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בתרשים שלהלן מתוארת תחזית צריכת הגפ"ם המשקית לפי מגזרים בשנים 2023 - 2050.</w:t>
      </w:r>
      <w:r w:rsidRPr="006114CB">
        <w:rPr>
          <w:rFonts w:eastAsia="Calibri"/>
          <w:rtl/>
        </w:rPr>
        <w:t xml:space="preserve"> </w:t>
      </w:r>
    </w:p>
    <w:p w:rsidR="006114CB" w:rsidRPr="006114CB" w:rsidP="002F4530">
      <w:pPr>
        <w:keepNext/>
        <w:keepLines/>
        <w:spacing w:line="269" w:lineRule="auto"/>
        <w:jc w:val="center"/>
        <w:rPr>
          <w:rFonts w:eastAsia="Calibri"/>
          <w:b/>
          <w:bCs/>
          <w:rtl/>
        </w:rPr>
      </w:pPr>
      <w:r w:rsidRPr="006114CB">
        <w:rPr>
          <w:rFonts w:eastAsia="Calibri" w:hint="eastAsia"/>
          <w:rtl/>
        </w:rPr>
        <w:t>תרשים</w:t>
      </w:r>
      <w:r w:rsidRPr="006114CB">
        <w:rPr>
          <w:rFonts w:eastAsia="Calibri"/>
          <w:rtl/>
        </w:rPr>
        <w:t xml:space="preserve"> 5: </w:t>
      </w:r>
      <w:r w:rsidRPr="006114CB">
        <w:rPr>
          <w:rFonts w:eastAsia="Calibri" w:hint="cs"/>
          <w:b/>
          <w:bCs/>
          <w:rtl/>
        </w:rPr>
        <w:t>תחזית צריכת הגפ"ם לפי מגזרים, 2023 - 2050 (באלפי טונות)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jc w:val="center"/>
        <w:rPr>
          <w:rFonts w:eastAsia="Calibri"/>
          <w:rtl/>
        </w:rPr>
      </w:pPr>
      <w:r w:rsidRPr="006114CB">
        <w:rPr>
          <w:rFonts w:eastAsia="Calibri"/>
          <w:noProof/>
        </w:rPr>
        <w:drawing>
          <wp:inline distT="0" distB="0" distL="0" distR="0">
            <wp:extent cx="4743394" cy="3133606"/>
            <wp:effectExtent l="0" t="0" r="635" b="0"/>
            <wp:docPr id="15" name="תמונה 15" descr="התרשים מתאר את צריכת הגפ&quot;ם לפי מגזרים בשנים 2023 - 2050, כך שבמצב של עסקים כרגיל צפוי גידול של 6.5% בסך הצריכ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4"/>
                    <a:stretch>
                      <a:fillRect/>
                    </a:stretch>
                  </pic:blipFill>
                  <pic:spPr>
                    <a:xfrm>
                      <a:off x="0" y="0"/>
                      <a:ext cx="4748404" cy="3136916"/>
                    </a:xfrm>
                    <a:prstGeom prst="rect">
                      <a:avLst/>
                    </a:prstGeom>
                  </pic:spPr>
                </pic:pic>
              </a:graphicData>
            </a:graphic>
          </wp:inline>
        </w:drawing>
      </w:r>
    </w:p>
    <w:p w:rsidR="006114CB" w:rsidRPr="006114CB" w:rsidP="002F4530">
      <w:pPr>
        <w:spacing w:line="269" w:lineRule="auto"/>
        <w:rPr>
          <w:rFonts w:ascii="David" w:eastAsia="Calibri" w:hAnsi="David"/>
          <w:szCs w:val="20"/>
          <w:rtl/>
        </w:rPr>
      </w:pPr>
      <w:r w:rsidRPr="006114CB">
        <w:rPr>
          <w:rFonts w:ascii="David" w:eastAsia="Calibri" w:hAnsi="David" w:hint="eastAsia"/>
          <w:szCs w:val="20"/>
          <w:rtl/>
        </w:rPr>
        <w:t>המקור</w:t>
      </w:r>
      <w:r w:rsidRPr="006114CB">
        <w:rPr>
          <w:rFonts w:ascii="David" w:eastAsia="Calibri" w:hAnsi="David"/>
          <w:szCs w:val="20"/>
          <w:rtl/>
        </w:rPr>
        <w:t xml:space="preserve">: </w:t>
      </w:r>
      <w:r w:rsidRPr="006114CB">
        <w:rPr>
          <w:rFonts w:ascii="David" w:eastAsia="Calibri" w:hAnsi="David"/>
          <w:szCs w:val="20"/>
        </w:rPr>
        <w:t>TASC</w:t>
      </w:r>
      <w:r w:rsidRPr="006114CB">
        <w:rPr>
          <w:rFonts w:ascii="David" w:eastAsia="Calibri" w:hAnsi="David"/>
          <w:szCs w:val="20"/>
          <w:rtl/>
        </w:rPr>
        <w:t>, עתיד משק הדלק.</w:t>
      </w:r>
    </w:p>
    <w:p w:rsidR="006114CB" w:rsidRPr="006114CB" w:rsidP="002F4530">
      <w:pPr>
        <w:spacing w:line="269" w:lineRule="auto"/>
        <w:rPr>
          <w:rFonts w:ascii="David" w:eastAsia="Calibri" w:hAnsi="David"/>
          <w:rtl/>
        </w:rPr>
      </w:pPr>
    </w:p>
    <w:p w:rsidR="006114CB" w:rsidRPr="006114CB" w:rsidP="002F4530">
      <w:pPr>
        <w:spacing w:line="269" w:lineRule="auto"/>
        <w:rPr>
          <w:rFonts w:eastAsia="Calibri"/>
          <w:b/>
          <w:bCs/>
          <w:rtl/>
        </w:rPr>
      </w:pPr>
      <w:r w:rsidRPr="006114CB">
        <w:rPr>
          <w:rFonts w:eastAsia="Calibri" w:hint="eastAsia"/>
          <w:b/>
          <w:bCs/>
          <w:rtl/>
        </w:rPr>
        <w:t>מהתרשים</w:t>
      </w:r>
      <w:r w:rsidRPr="006114CB">
        <w:rPr>
          <w:rFonts w:eastAsia="Calibri"/>
          <w:b/>
          <w:bCs/>
          <w:rtl/>
        </w:rPr>
        <w:t xml:space="preserve"> </w:t>
      </w:r>
      <w:r w:rsidRPr="006114CB">
        <w:rPr>
          <w:rFonts w:eastAsia="Calibri" w:hint="eastAsia"/>
          <w:b/>
          <w:bCs/>
          <w:rtl/>
        </w:rPr>
        <w:t>עולה</w:t>
      </w:r>
      <w:r w:rsidRPr="006114CB">
        <w:rPr>
          <w:rFonts w:eastAsia="Calibri"/>
          <w:b/>
          <w:bCs/>
          <w:rtl/>
        </w:rPr>
        <w:t xml:space="preserve"> </w:t>
      </w:r>
      <w:r w:rsidRPr="006114CB">
        <w:rPr>
          <w:rFonts w:eastAsia="Calibri" w:hint="eastAsia"/>
          <w:b/>
          <w:bCs/>
          <w:rtl/>
        </w:rPr>
        <w:t>כי</w:t>
      </w:r>
      <w:r w:rsidRPr="006114CB">
        <w:rPr>
          <w:rFonts w:eastAsia="Calibri"/>
          <w:b/>
          <w:bCs/>
          <w:rtl/>
        </w:rPr>
        <w:t xml:space="preserve"> </w:t>
      </w:r>
      <w:r w:rsidRPr="006114CB">
        <w:rPr>
          <w:rFonts w:eastAsia="Calibri" w:hint="eastAsia"/>
          <w:b/>
          <w:bCs/>
          <w:rtl/>
        </w:rPr>
        <w:t>בענף</w:t>
      </w:r>
      <w:r w:rsidRPr="006114CB">
        <w:rPr>
          <w:rFonts w:eastAsia="Calibri"/>
          <w:b/>
          <w:bCs/>
          <w:rtl/>
        </w:rPr>
        <w:t xml:space="preserve"> </w:t>
      </w:r>
      <w:r w:rsidRPr="006114CB">
        <w:rPr>
          <w:rFonts w:eastAsia="Calibri" w:hint="eastAsia"/>
          <w:b/>
          <w:bCs/>
          <w:rtl/>
        </w:rPr>
        <w:t>הגפ</w:t>
      </w:r>
      <w:r w:rsidRPr="006114CB">
        <w:rPr>
          <w:rFonts w:eastAsia="Calibri"/>
          <w:b/>
          <w:bCs/>
          <w:rtl/>
        </w:rPr>
        <w:t xml:space="preserve">"ם </w:t>
      </w:r>
      <w:r w:rsidRPr="006114CB">
        <w:rPr>
          <w:rFonts w:eastAsia="Calibri" w:hint="eastAsia"/>
          <w:b/>
          <w:bCs/>
          <w:rtl/>
        </w:rPr>
        <w:t>במצב</w:t>
      </w:r>
      <w:r w:rsidRPr="006114CB">
        <w:rPr>
          <w:rFonts w:eastAsia="Calibri"/>
          <w:b/>
          <w:bCs/>
          <w:rtl/>
        </w:rPr>
        <w:t xml:space="preserve"> </w:t>
      </w:r>
      <w:r w:rsidRPr="006114CB">
        <w:rPr>
          <w:rFonts w:eastAsia="Calibri" w:hint="eastAsia"/>
          <w:b/>
          <w:bCs/>
          <w:rtl/>
        </w:rPr>
        <w:t>של</w:t>
      </w:r>
      <w:r w:rsidRPr="006114CB">
        <w:rPr>
          <w:rFonts w:eastAsia="Calibri"/>
          <w:b/>
          <w:bCs/>
          <w:rtl/>
        </w:rPr>
        <w:t xml:space="preserve"> "עסקים </w:t>
      </w:r>
      <w:r w:rsidRPr="006114CB">
        <w:rPr>
          <w:rFonts w:eastAsia="Calibri" w:hint="eastAsia"/>
          <w:b/>
          <w:bCs/>
          <w:rtl/>
        </w:rPr>
        <w:t>כרגיל</w:t>
      </w:r>
      <w:r w:rsidRPr="006114CB">
        <w:rPr>
          <w:rFonts w:eastAsia="Calibri"/>
          <w:b/>
          <w:bCs/>
          <w:rtl/>
        </w:rPr>
        <w:t xml:space="preserve">" </w:t>
      </w:r>
      <w:r w:rsidRPr="006114CB">
        <w:rPr>
          <w:rFonts w:eastAsia="Calibri" w:hint="eastAsia"/>
          <w:b/>
          <w:bCs/>
          <w:rtl/>
        </w:rPr>
        <w:t>צפוי</w:t>
      </w:r>
      <w:r w:rsidRPr="006114CB">
        <w:rPr>
          <w:rFonts w:eastAsia="Calibri"/>
          <w:b/>
          <w:bCs/>
          <w:rtl/>
        </w:rPr>
        <w:t xml:space="preserve"> </w:t>
      </w:r>
      <w:r w:rsidRPr="006114CB">
        <w:rPr>
          <w:rFonts w:eastAsia="Calibri" w:hint="eastAsia"/>
          <w:b/>
          <w:bCs/>
          <w:rtl/>
        </w:rPr>
        <w:t>גידול</w:t>
      </w:r>
      <w:r w:rsidRPr="006114CB">
        <w:rPr>
          <w:rFonts w:eastAsia="Calibri"/>
          <w:b/>
          <w:bCs/>
          <w:rtl/>
        </w:rPr>
        <w:t xml:space="preserve"> </w:t>
      </w:r>
      <w:r w:rsidRPr="006114CB">
        <w:rPr>
          <w:rFonts w:eastAsia="Calibri" w:hint="eastAsia"/>
          <w:b/>
          <w:bCs/>
          <w:rtl/>
        </w:rPr>
        <w:t>של</w:t>
      </w:r>
      <w:r w:rsidRPr="006114CB">
        <w:rPr>
          <w:rFonts w:eastAsia="Calibri"/>
          <w:b/>
          <w:bCs/>
          <w:rtl/>
        </w:rPr>
        <w:t xml:space="preserve"> 6.5% </w:t>
      </w:r>
      <w:r w:rsidRPr="006114CB">
        <w:rPr>
          <w:rFonts w:eastAsia="Calibri" w:hint="eastAsia"/>
          <w:b/>
          <w:bCs/>
          <w:rtl/>
        </w:rPr>
        <w:t>בסך</w:t>
      </w:r>
      <w:r w:rsidRPr="006114CB">
        <w:rPr>
          <w:rFonts w:eastAsia="Calibri"/>
          <w:b/>
          <w:bCs/>
          <w:rtl/>
        </w:rPr>
        <w:t xml:space="preserve"> </w:t>
      </w:r>
      <w:r w:rsidRPr="006114CB">
        <w:rPr>
          <w:rFonts w:eastAsia="Calibri" w:hint="eastAsia"/>
          <w:b/>
          <w:bCs/>
          <w:rtl/>
        </w:rPr>
        <w:t>הצריכה</w:t>
      </w:r>
      <w:r w:rsidRPr="006114CB">
        <w:rPr>
          <w:rFonts w:eastAsia="Calibri"/>
          <w:b/>
          <w:bCs/>
          <w:rtl/>
        </w:rPr>
        <w:t xml:space="preserve">, </w:t>
      </w:r>
      <w:r w:rsidRPr="006114CB">
        <w:rPr>
          <w:rFonts w:eastAsia="Calibri" w:hint="eastAsia"/>
          <w:b/>
          <w:bCs/>
          <w:rtl/>
        </w:rPr>
        <w:t>בשל</w:t>
      </w:r>
      <w:r w:rsidRPr="006114CB">
        <w:rPr>
          <w:rFonts w:eastAsia="Calibri"/>
          <w:b/>
          <w:bCs/>
          <w:rtl/>
        </w:rPr>
        <w:t xml:space="preserve"> </w:t>
      </w:r>
      <w:r w:rsidRPr="006114CB">
        <w:rPr>
          <w:rFonts w:eastAsia="Calibri" w:hint="eastAsia"/>
          <w:b/>
          <w:bCs/>
          <w:rtl/>
        </w:rPr>
        <w:t>גידול</w:t>
      </w:r>
      <w:r w:rsidRPr="006114CB">
        <w:rPr>
          <w:rFonts w:eastAsia="Calibri"/>
          <w:b/>
          <w:bCs/>
          <w:rtl/>
        </w:rPr>
        <w:t xml:space="preserve"> </w:t>
      </w:r>
      <w:r w:rsidRPr="006114CB">
        <w:rPr>
          <w:rFonts w:eastAsia="Calibri" w:hint="eastAsia"/>
          <w:b/>
          <w:bCs/>
          <w:rtl/>
        </w:rPr>
        <w:t>צפוי</w:t>
      </w:r>
      <w:r w:rsidRPr="006114CB">
        <w:rPr>
          <w:rFonts w:eastAsia="Calibri"/>
          <w:b/>
          <w:bCs/>
          <w:rtl/>
        </w:rPr>
        <w:t xml:space="preserve"> </w:t>
      </w:r>
      <w:r w:rsidRPr="006114CB">
        <w:rPr>
          <w:rFonts w:eastAsia="Calibri" w:hint="eastAsia"/>
          <w:b/>
          <w:bCs/>
          <w:rtl/>
        </w:rPr>
        <w:t>של</w:t>
      </w:r>
      <w:r w:rsidRPr="006114CB">
        <w:rPr>
          <w:rFonts w:eastAsia="Calibri"/>
          <w:b/>
          <w:bCs/>
          <w:rtl/>
        </w:rPr>
        <w:t xml:space="preserve"> </w:t>
      </w:r>
      <w:r w:rsidRPr="006114CB">
        <w:rPr>
          <w:rFonts w:eastAsia="Calibri" w:hint="eastAsia"/>
          <w:b/>
          <w:bCs/>
          <w:rtl/>
        </w:rPr>
        <w:t>כ</w:t>
      </w:r>
      <w:r w:rsidRPr="006114CB">
        <w:rPr>
          <w:rFonts w:eastAsia="Calibri"/>
          <w:b/>
          <w:bCs/>
          <w:rtl/>
        </w:rPr>
        <w:t xml:space="preserve">-66% </w:t>
      </w:r>
      <w:r w:rsidRPr="006114CB">
        <w:rPr>
          <w:rFonts w:eastAsia="Calibri" w:hint="eastAsia"/>
          <w:b/>
          <w:bCs/>
          <w:rtl/>
        </w:rPr>
        <w:t>בצריכה</w:t>
      </w:r>
      <w:r w:rsidRPr="006114CB">
        <w:rPr>
          <w:rFonts w:eastAsia="Calibri"/>
          <w:b/>
          <w:bCs/>
          <w:rtl/>
        </w:rPr>
        <w:t xml:space="preserve"> </w:t>
      </w:r>
      <w:r w:rsidRPr="006114CB">
        <w:rPr>
          <w:rFonts w:eastAsia="Calibri" w:hint="eastAsia"/>
          <w:b/>
          <w:bCs/>
          <w:rtl/>
        </w:rPr>
        <w:t>ברשות</w:t>
      </w:r>
      <w:r w:rsidRPr="006114CB">
        <w:rPr>
          <w:rFonts w:eastAsia="Calibri"/>
          <w:b/>
          <w:bCs/>
          <w:rtl/>
        </w:rPr>
        <w:t xml:space="preserve"> </w:t>
      </w:r>
      <w:r w:rsidRPr="006114CB">
        <w:rPr>
          <w:rFonts w:eastAsia="Calibri" w:hint="eastAsia"/>
          <w:b/>
          <w:bCs/>
          <w:rtl/>
        </w:rPr>
        <w:t>הפלסטינית</w:t>
      </w:r>
      <w:r w:rsidRPr="006114CB">
        <w:rPr>
          <w:rFonts w:eastAsia="Calibri"/>
          <w:b/>
          <w:bCs/>
          <w:rtl/>
        </w:rPr>
        <w:t xml:space="preserve">. </w:t>
      </w:r>
      <w:r w:rsidRPr="006114CB">
        <w:rPr>
          <w:rFonts w:eastAsia="Calibri" w:hint="eastAsia"/>
          <w:b/>
          <w:bCs/>
          <w:rtl/>
        </w:rPr>
        <w:t>במגזר</w:t>
      </w:r>
      <w:r w:rsidRPr="006114CB">
        <w:rPr>
          <w:rFonts w:eastAsia="Calibri"/>
          <w:b/>
          <w:bCs/>
          <w:rtl/>
        </w:rPr>
        <w:t xml:space="preserve"> </w:t>
      </w:r>
      <w:r w:rsidRPr="006114CB">
        <w:rPr>
          <w:rFonts w:eastAsia="Calibri" w:hint="eastAsia"/>
          <w:b/>
          <w:bCs/>
          <w:rtl/>
        </w:rPr>
        <w:t>החקלאות</w:t>
      </w:r>
      <w:r w:rsidRPr="006114CB">
        <w:rPr>
          <w:rFonts w:eastAsia="Calibri"/>
          <w:b/>
          <w:bCs/>
          <w:rtl/>
        </w:rPr>
        <w:t xml:space="preserve"> </w:t>
      </w:r>
      <w:r w:rsidRPr="006114CB">
        <w:rPr>
          <w:rFonts w:eastAsia="Calibri" w:hint="eastAsia"/>
          <w:b/>
          <w:bCs/>
          <w:rtl/>
        </w:rPr>
        <w:t>צפויה</w:t>
      </w:r>
      <w:r w:rsidRPr="006114CB">
        <w:rPr>
          <w:rFonts w:eastAsia="Calibri"/>
          <w:b/>
          <w:bCs/>
          <w:rtl/>
        </w:rPr>
        <w:t xml:space="preserve"> </w:t>
      </w:r>
      <w:r w:rsidRPr="006114CB">
        <w:rPr>
          <w:rFonts w:eastAsia="Calibri" w:hint="eastAsia"/>
          <w:b/>
          <w:bCs/>
          <w:rtl/>
        </w:rPr>
        <w:t>יציבות</w:t>
      </w:r>
      <w:r w:rsidRPr="006114CB">
        <w:rPr>
          <w:rFonts w:eastAsia="Calibri"/>
          <w:b/>
          <w:bCs/>
          <w:rtl/>
        </w:rPr>
        <w:t xml:space="preserve">, </w:t>
      </w:r>
      <w:r w:rsidRPr="006114CB">
        <w:rPr>
          <w:rFonts w:eastAsia="Calibri" w:hint="eastAsia"/>
          <w:b/>
          <w:bCs/>
          <w:rtl/>
        </w:rPr>
        <w:t>במגזר</w:t>
      </w:r>
      <w:r w:rsidRPr="006114CB">
        <w:rPr>
          <w:rFonts w:eastAsia="Calibri"/>
          <w:b/>
          <w:bCs/>
          <w:rtl/>
        </w:rPr>
        <w:t xml:space="preserve"> </w:t>
      </w:r>
      <w:r w:rsidRPr="006114CB">
        <w:rPr>
          <w:rFonts w:eastAsia="Calibri" w:hint="eastAsia"/>
          <w:b/>
          <w:bCs/>
          <w:rtl/>
        </w:rPr>
        <w:t>המסחר</w:t>
      </w:r>
      <w:r w:rsidRPr="006114CB">
        <w:rPr>
          <w:rFonts w:eastAsia="Calibri"/>
          <w:b/>
          <w:bCs/>
          <w:rtl/>
        </w:rPr>
        <w:t xml:space="preserve"> </w:t>
      </w:r>
      <w:r w:rsidRPr="006114CB">
        <w:rPr>
          <w:rFonts w:eastAsia="Calibri" w:hint="eastAsia"/>
          <w:b/>
          <w:bCs/>
          <w:rtl/>
        </w:rPr>
        <w:t>והתעשייה</w:t>
      </w:r>
      <w:r w:rsidRPr="006114CB">
        <w:rPr>
          <w:rFonts w:eastAsia="Calibri"/>
          <w:b/>
          <w:bCs/>
          <w:rtl/>
        </w:rPr>
        <w:t xml:space="preserve"> </w:t>
      </w:r>
      <w:r w:rsidRPr="006114CB">
        <w:rPr>
          <w:rFonts w:eastAsia="Calibri" w:hint="eastAsia"/>
          <w:b/>
          <w:bCs/>
          <w:rtl/>
        </w:rPr>
        <w:t>צפויה</w:t>
      </w:r>
      <w:r w:rsidRPr="006114CB">
        <w:rPr>
          <w:rFonts w:eastAsia="Calibri"/>
          <w:b/>
          <w:bCs/>
          <w:rtl/>
        </w:rPr>
        <w:t xml:space="preserve"> </w:t>
      </w:r>
      <w:r w:rsidRPr="006114CB">
        <w:rPr>
          <w:rFonts w:eastAsia="Calibri" w:hint="eastAsia"/>
          <w:b/>
          <w:bCs/>
          <w:rtl/>
        </w:rPr>
        <w:t>ירידה</w:t>
      </w:r>
      <w:r w:rsidRPr="006114CB">
        <w:rPr>
          <w:rFonts w:eastAsia="Calibri"/>
          <w:b/>
          <w:bCs/>
          <w:rtl/>
        </w:rPr>
        <w:t xml:space="preserve"> </w:t>
      </w:r>
      <w:r w:rsidRPr="006114CB">
        <w:rPr>
          <w:rFonts w:eastAsia="Calibri" w:hint="eastAsia"/>
          <w:b/>
          <w:bCs/>
          <w:rtl/>
        </w:rPr>
        <w:t>של</w:t>
      </w:r>
      <w:r w:rsidRPr="006114CB">
        <w:rPr>
          <w:rFonts w:eastAsia="Calibri"/>
          <w:b/>
          <w:bCs/>
          <w:rtl/>
        </w:rPr>
        <w:t xml:space="preserve"> 7% </w:t>
      </w:r>
      <w:r w:rsidRPr="006114CB">
        <w:rPr>
          <w:rFonts w:eastAsia="Calibri" w:hint="eastAsia"/>
          <w:b/>
          <w:bCs/>
          <w:rtl/>
        </w:rPr>
        <w:t>עד</w:t>
      </w:r>
      <w:r w:rsidRPr="006114CB">
        <w:rPr>
          <w:rFonts w:eastAsia="Calibri"/>
          <w:b/>
          <w:bCs/>
          <w:rtl/>
        </w:rPr>
        <w:t xml:space="preserve"> </w:t>
      </w:r>
      <w:r w:rsidRPr="006114CB">
        <w:rPr>
          <w:rFonts w:eastAsia="Calibri" w:hint="eastAsia"/>
          <w:b/>
          <w:bCs/>
          <w:rtl/>
        </w:rPr>
        <w:t>שנת</w:t>
      </w:r>
      <w:r w:rsidRPr="006114CB">
        <w:rPr>
          <w:rFonts w:eastAsia="Calibri"/>
          <w:b/>
          <w:bCs/>
          <w:rtl/>
        </w:rPr>
        <w:t xml:space="preserve"> 2030 </w:t>
      </w:r>
      <w:r w:rsidRPr="006114CB">
        <w:rPr>
          <w:rFonts w:eastAsia="Calibri" w:hint="eastAsia"/>
          <w:b/>
          <w:bCs/>
          <w:rtl/>
        </w:rPr>
        <w:t>ויציבות</w:t>
      </w:r>
      <w:r w:rsidRPr="006114CB">
        <w:rPr>
          <w:rFonts w:eastAsia="Calibri"/>
          <w:b/>
          <w:bCs/>
          <w:rtl/>
        </w:rPr>
        <w:t xml:space="preserve"> </w:t>
      </w:r>
      <w:r w:rsidRPr="006114CB">
        <w:rPr>
          <w:rFonts w:eastAsia="Calibri" w:hint="eastAsia"/>
          <w:b/>
          <w:bCs/>
          <w:rtl/>
        </w:rPr>
        <w:t>בצריכה</w:t>
      </w:r>
      <w:r w:rsidRPr="006114CB">
        <w:rPr>
          <w:rFonts w:eastAsia="Calibri"/>
          <w:b/>
          <w:bCs/>
          <w:rtl/>
        </w:rPr>
        <w:t xml:space="preserve"> </w:t>
      </w:r>
      <w:r w:rsidRPr="006114CB">
        <w:rPr>
          <w:rFonts w:eastAsia="Calibri" w:hint="eastAsia"/>
          <w:b/>
          <w:bCs/>
          <w:rtl/>
        </w:rPr>
        <w:t>בשנים</w:t>
      </w:r>
      <w:r w:rsidRPr="006114CB">
        <w:rPr>
          <w:rFonts w:eastAsia="Calibri"/>
          <w:b/>
          <w:bCs/>
          <w:rtl/>
        </w:rPr>
        <w:t xml:space="preserve"> </w:t>
      </w:r>
      <w:r w:rsidRPr="006114CB">
        <w:rPr>
          <w:rFonts w:eastAsia="Calibri" w:hint="eastAsia"/>
          <w:b/>
          <w:bCs/>
          <w:rtl/>
        </w:rPr>
        <w:t>הבאות</w:t>
      </w:r>
      <w:r w:rsidRPr="006114CB">
        <w:rPr>
          <w:rFonts w:eastAsia="Calibri"/>
          <w:b/>
          <w:bCs/>
          <w:rtl/>
        </w:rPr>
        <w:t xml:space="preserve">, </w:t>
      </w:r>
      <w:r w:rsidRPr="006114CB">
        <w:rPr>
          <w:rFonts w:eastAsia="Calibri" w:hint="eastAsia"/>
          <w:b/>
          <w:bCs/>
          <w:rtl/>
        </w:rPr>
        <w:t>ואילו</w:t>
      </w:r>
      <w:r w:rsidRPr="006114CB">
        <w:rPr>
          <w:rFonts w:eastAsia="Calibri"/>
          <w:b/>
          <w:bCs/>
          <w:rtl/>
        </w:rPr>
        <w:t xml:space="preserve"> </w:t>
      </w:r>
      <w:r w:rsidRPr="006114CB">
        <w:rPr>
          <w:rFonts w:eastAsia="Calibri" w:hint="eastAsia"/>
          <w:b/>
          <w:bCs/>
          <w:rtl/>
        </w:rPr>
        <w:t>במגזר</w:t>
      </w:r>
      <w:r w:rsidRPr="006114CB">
        <w:rPr>
          <w:rFonts w:eastAsia="Calibri"/>
          <w:b/>
          <w:bCs/>
          <w:rtl/>
        </w:rPr>
        <w:t xml:space="preserve"> </w:t>
      </w:r>
      <w:r w:rsidRPr="006114CB">
        <w:rPr>
          <w:rFonts w:eastAsia="Calibri" w:hint="eastAsia"/>
          <w:b/>
          <w:bCs/>
          <w:rtl/>
        </w:rPr>
        <w:t>הביתי</w:t>
      </w:r>
      <w:r w:rsidRPr="006114CB">
        <w:rPr>
          <w:rFonts w:eastAsia="Calibri"/>
          <w:b/>
          <w:bCs/>
          <w:rtl/>
        </w:rPr>
        <w:t xml:space="preserve"> </w:t>
      </w:r>
      <w:r w:rsidRPr="006114CB">
        <w:rPr>
          <w:rFonts w:eastAsia="Calibri" w:hint="eastAsia"/>
          <w:b/>
          <w:bCs/>
          <w:rtl/>
        </w:rPr>
        <w:t>צפויה</w:t>
      </w:r>
      <w:r w:rsidRPr="006114CB">
        <w:rPr>
          <w:rFonts w:eastAsia="Calibri"/>
          <w:b/>
          <w:bCs/>
          <w:rtl/>
        </w:rPr>
        <w:t xml:space="preserve"> </w:t>
      </w:r>
      <w:r w:rsidRPr="006114CB">
        <w:rPr>
          <w:rFonts w:eastAsia="Calibri" w:hint="eastAsia"/>
          <w:b/>
          <w:bCs/>
          <w:rtl/>
        </w:rPr>
        <w:t>ירידה</w:t>
      </w:r>
      <w:r w:rsidRPr="006114CB">
        <w:rPr>
          <w:rFonts w:eastAsia="Calibri"/>
          <w:b/>
          <w:bCs/>
          <w:rtl/>
        </w:rPr>
        <w:t xml:space="preserve"> </w:t>
      </w:r>
      <w:r w:rsidRPr="006114CB">
        <w:rPr>
          <w:rFonts w:eastAsia="Calibri" w:hint="eastAsia"/>
          <w:b/>
          <w:bCs/>
          <w:rtl/>
        </w:rPr>
        <w:t>של</w:t>
      </w:r>
      <w:r w:rsidRPr="006114CB">
        <w:rPr>
          <w:rFonts w:eastAsia="Calibri"/>
          <w:b/>
          <w:bCs/>
          <w:rtl/>
        </w:rPr>
        <w:t xml:space="preserve"> </w:t>
      </w:r>
      <w:r w:rsidRPr="006114CB">
        <w:rPr>
          <w:rFonts w:eastAsia="Calibri" w:hint="eastAsia"/>
          <w:b/>
          <w:bCs/>
          <w:rtl/>
        </w:rPr>
        <w:t>כ</w:t>
      </w:r>
      <w:r w:rsidRPr="006114CB">
        <w:rPr>
          <w:rFonts w:eastAsia="Calibri"/>
          <w:b/>
          <w:bCs/>
          <w:rtl/>
        </w:rPr>
        <w:t>-</w:t>
      </w:r>
      <w:r w:rsidRPr="006114CB">
        <w:rPr>
          <w:rFonts w:eastAsia="Calibri" w:hint="cs"/>
          <w:b/>
          <w:bCs/>
          <w:rtl/>
        </w:rPr>
        <w:t>32</w:t>
      </w:r>
      <w:r w:rsidRPr="006114CB">
        <w:rPr>
          <w:rFonts w:eastAsia="Calibri"/>
          <w:b/>
          <w:b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 xml:space="preserve">ממסמכי המדיניות במהלך השנים עולה כי מדיניות משרד האנרגיה היא הפחתת התלות בדלקים מזהמים והפחתת פליטות גזי חממה. עם זאת, לפי תחזית צריכת הגפ"ם לשנים 2023 - 2050, היקף השימוש בגפ"ם אומנם יקטן במגזר הפרטי בכ-32%, אבל ברש"פ הצריכה תגדל בכ-66%.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על משרד האנרגיה ומשרד האוצר לקדם תוכנית אב למשק האנרגיה, ובכלל זאת לתת את הדעת על הכנת תוכניות ארוכות טווח להפחתת התלות בדלקים מזהמים, תוך התחשבות בין היתר, בגידול הצפוי בשימוש בגפ"ם.</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4"/>
        <w:rPr>
          <w:rFonts w:eastAsia="Times New Roman"/>
          <w:bCs/>
          <w:spacing w:val="40"/>
          <w:rtl/>
        </w:rPr>
      </w:pPr>
      <w:r w:rsidRPr="006114CB">
        <w:rPr>
          <w:rFonts w:eastAsia="Times New Roman" w:hint="cs"/>
          <w:bCs/>
          <w:spacing w:val="40"/>
          <w:rtl/>
        </w:rPr>
        <w:t>הצוות לצמצום השימוש בגפ"ם</w:t>
      </w:r>
    </w:p>
    <w:p w:rsidR="006114CB" w:rsidRPr="006114CB" w:rsidP="002F4530">
      <w:pPr>
        <w:rPr>
          <w:rFonts w:eastAsia="Calibri"/>
          <w:rtl/>
        </w:rPr>
      </w:pPr>
    </w:p>
    <w:p w:rsidR="006114CB" w:rsidRPr="006114CB" w:rsidP="002F4530">
      <w:pPr>
        <w:spacing w:line="269" w:lineRule="auto"/>
        <w:rPr>
          <w:rFonts w:ascii="David" w:eastAsia="Calibri" w:hAnsi="David"/>
          <w:rtl/>
        </w:rPr>
      </w:pPr>
      <w:r w:rsidRPr="006114CB">
        <w:rPr>
          <w:rFonts w:ascii="David" w:eastAsia="Calibri" w:hAnsi="David"/>
          <w:rtl/>
        </w:rPr>
        <w:t>כחלק מההיערכות לסגירת בז"ן, המספק כ-44% מהגפ"ם בישראל</w:t>
      </w:r>
      <w:r w:rsidRPr="006114CB">
        <w:rPr>
          <w:rFonts w:ascii="David" w:eastAsia="Calibri" w:hAnsi="David" w:hint="cs"/>
          <w:rtl/>
        </w:rPr>
        <w:t>,</w:t>
      </w:r>
      <w:r w:rsidRPr="006114CB">
        <w:rPr>
          <w:rFonts w:ascii="David" w:eastAsia="Calibri" w:hAnsi="David"/>
          <w:rtl/>
        </w:rPr>
        <w:t xml:space="preserve"> החל</w:t>
      </w:r>
      <w:r w:rsidRPr="006114CB">
        <w:rPr>
          <w:rFonts w:ascii="David" w:eastAsia="Calibri" w:hAnsi="David" w:hint="cs"/>
          <w:rtl/>
        </w:rPr>
        <w:t>י</w:t>
      </w:r>
      <w:r w:rsidRPr="006114CB">
        <w:rPr>
          <w:rFonts w:ascii="David" w:eastAsia="Calibri" w:hAnsi="David"/>
          <w:rtl/>
        </w:rPr>
        <w:t>ט</w:t>
      </w:r>
      <w:r w:rsidRPr="006114CB">
        <w:rPr>
          <w:rFonts w:ascii="David" w:eastAsia="Calibri" w:hAnsi="David" w:hint="cs"/>
          <w:rtl/>
        </w:rPr>
        <w:t>ה</w:t>
      </w:r>
      <w:r w:rsidRPr="006114CB">
        <w:rPr>
          <w:rFonts w:ascii="David" w:eastAsia="Calibri" w:hAnsi="David"/>
          <w:rtl/>
        </w:rPr>
        <w:t xml:space="preserve"> </w:t>
      </w:r>
      <w:r w:rsidRPr="006114CB">
        <w:rPr>
          <w:rFonts w:ascii="David" w:eastAsia="Calibri" w:hAnsi="David" w:hint="cs"/>
          <w:rtl/>
        </w:rPr>
        <w:t>ה</w:t>
      </w:r>
      <w:r w:rsidRPr="006114CB">
        <w:rPr>
          <w:rFonts w:ascii="David" w:eastAsia="Calibri" w:hAnsi="David"/>
          <w:rtl/>
        </w:rPr>
        <w:t xml:space="preserve">ממשלה </w:t>
      </w:r>
      <w:r w:rsidRPr="006114CB">
        <w:rPr>
          <w:rFonts w:ascii="David" w:eastAsia="Calibri" w:hAnsi="David" w:hint="cs"/>
          <w:rtl/>
        </w:rPr>
        <w:t>ב</w:t>
      </w:r>
      <w:r w:rsidRPr="006114CB">
        <w:rPr>
          <w:rFonts w:ascii="David" w:eastAsia="Calibri" w:hAnsi="David"/>
          <w:rtl/>
        </w:rPr>
        <w:t>מרץ 2022</w:t>
      </w:r>
      <w:r>
        <w:rPr>
          <w:rFonts w:ascii="David" w:eastAsia="Calibri" w:hAnsi="David"/>
          <w:vertAlign w:val="superscript"/>
          <w:rtl/>
        </w:rPr>
        <w:footnoteReference w:id="28"/>
      </w:r>
      <w:r w:rsidRPr="006114CB">
        <w:rPr>
          <w:rFonts w:ascii="David" w:eastAsia="Calibri" w:hAnsi="David"/>
          <w:vertAlign w:val="superscript"/>
          <w:rtl/>
        </w:rPr>
        <w:t xml:space="preserve"> </w:t>
      </w:r>
      <w:r w:rsidRPr="006114CB">
        <w:rPr>
          <w:rFonts w:ascii="David" w:eastAsia="Calibri" w:hAnsi="David"/>
          <w:rtl/>
        </w:rPr>
        <w:t xml:space="preserve">כי יש להקים </w:t>
      </w:r>
      <w:bookmarkStart w:id="4" w:name="_Hlk212451510"/>
      <w:r w:rsidRPr="006114CB">
        <w:rPr>
          <w:rFonts w:ascii="David" w:eastAsia="Calibri" w:hAnsi="David"/>
          <w:rtl/>
        </w:rPr>
        <w:t>צוות בראשות מנכ"ל משרד האנרגיה אשר יגבש ת</w:t>
      </w:r>
      <w:r w:rsidRPr="006114CB">
        <w:rPr>
          <w:rFonts w:ascii="David" w:eastAsia="Calibri" w:hAnsi="David" w:hint="cs"/>
          <w:rtl/>
        </w:rPr>
        <w:t>ו</w:t>
      </w:r>
      <w:r w:rsidRPr="006114CB">
        <w:rPr>
          <w:rFonts w:ascii="David" w:eastAsia="Calibri" w:hAnsi="David"/>
          <w:rtl/>
        </w:rPr>
        <w:t>כנית לצמצום השימוש בגפ"ם</w:t>
      </w:r>
      <w:bookmarkEnd w:id="4"/>
      <w:r w:rsidRPr="006114CB">
        <w:rPr>
          <w:rFonts w:ascii="David" w:eastAsia="Calibri" w:hAnsi="David"/>
          <w:b/>
          <w:bCs/>
          <w:rtl/>
        </w:rPr>
        <w:t xml:space="preserve"> </w:t>
      </w:r>
      <w:r w:rsidRPr="006114CB">
        <w:rPr>
          <w:rFonts w:ascii="David" w:eastAsia="Calibri" w:hAnsi="David"/>
          <w:rtl/>
        </w:rPr>
        <w:t>במגזר הביתי, במגזר המסחרי-עסקי ובמגזר התעשייתי.</w:t>
      </w:r>
      <w:r w:rsidRPr="006114CB">
        <w:rPr>
          <w:rFonts w:ascii="David" w:eastAsia="Calibri" w:hAnsi="David" w:hint="cs"/>
          <w:rtl/>
        </w:rPr>
        <w:t xml:space="preserve"> הצוות יגיש את מסקנותיו לאישור הקבינט הכלכלי-חברתי בתוך 180 יום.</w:t>
      </w:r>
      <w:r w:rsidRPr="006114CB">
        <w:rPr>
          <w:rFonts w:ascii="David" w:eastAsia="Calibri" w:hAnsi="David"/>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rtl/>
        </w:rPr>
        <w:t xml:space="preserve">הצוות הגיש את המלצותיו בנובמבר 2024, ובהן, בין היתר: התאמת תקן הבנייה כך שבדירות חדשות תהיה מערכת </w:t>
      </w:r>
      <w:r w:rsidRPr="006114CB">
        <w:rPr>
          <w:rFonts w:ascii="David" w:eastAsia="Calibri" w:hAnsi="David" w:hint="cs"/>
          <w:rtl/>
        </w:rPr>
        <w:t xml:space="preserve">חשמל </w:t>
      </w:r>
      <w:r w:rsidRPr="006114CB">
        <w:rPr>
          <w:rFonts w:ascii="David" w:eastAsia="Calibri" w:hAnsi="David"/>
          <w:rtl/>
        </w:rPr>
        <w:t xml:space="preserve">תלת-פאזית; </w:t>
      </w:r>
      <w:bookmarkStart w:id="5" w:name="_Hlk212451616"/>
      <w:r w:rsidRPr="006114CB">
        <w:rPr>
          <w:rFonts w:ascii="David" w:eastAsia="Calibri" w:hAnsi="David"/>
          <w:rtl/>
        </w:rPr>
        <w:t xml:space="preserve">קמפיין הסברתי ופרסומי הנוגע </w:t>
      </w:r>
      <w:r w:rsidRPr="006114CB">
        <w:rPr>
          <w:rFonts w:ascii="David" w:eastAsia="Calibri" w:hAnsi="David" w:hint="cs"/>
          <w:rtl/>
        </w:rPr>
        <w:t>ל</w:t>
      </w:r>
      <w:r w:rsidRPr="006114CB">
        <w:rPr>
          <w:rFonts w:ascii="David" w:eastAsia="Calibri" w:hAnsi="David"/>
          <w:rtl/>
        </w:rPr>
        <w:t xml:space="preserve">יתרונות </w:t>
      </w:r>
      <w:r w:rsidRPr="006114CB">
        <w:rPr>
          <w:rFonts w:ascii="David" w:eastAsia="Calibri" w:hAnsi="David" w:hint="cs"/>
          <w:rtl/>
        </w:rPr>
        <w:t>ה</w:t>
      </w:r>
      <w:r w:rsidRPr="006114CB">
        <w:rPr>
          <w:rFonts w:ascii="David" w:eastAsia="Calibri" w:hAnsi="David"/>
          <w:rtl/>
        </w:rPr>
        <w:t xml:space="preserve">מעבר משימוש ביתי בגפ"ם לחשמל; קידום מתווה להרחבת פריסת רשת החלוקה של הגז הטבעי, כך שתכלול צרכני גז </w:t>
      </w:r>
      <w:r w:rsidRPr="006114CB">
        <w:rPr>
          <w:rFonts w:ascii="David" w:eastAsia="Calibri" w:hAnsi="David" w:hint="cs"/>
          <w:rtl/>
        </w:rPr>
        <w:t>גדולים</w:t>
      </w:r>
      <w:r w:rsidRPr="006114CB">
        <w:rPr>
          <w:rFonts w:ascii="David" w:eastAsia="Calibri" w:hAnsi="David"/>
          <w:rtl/>
        </w:rPr>
        <w:t xml:space="preserve">; עדכון תקן 6464 </w:t>
      </w:r>
      <w:r w:rsidRPr="006114CB">
        <w:rPr>
          <w:rFonts w:ascii="David" w:eastAsia="Calibri" w:hAnsi="David" w:hint="cs"/>
          <w:rtl/>
        </w:rPr>
        <w:t>ו</w:t>
      </w:r>
      <w:r w:rsidRPr="006114CB">
        <w:rPr>
          <w:rFonts w:ascii="David" w:eastAsia="Calibri" w:hAnsi="David"/>
          <w:rtl/>
        </w:rPr>
        <w:t xml:space="preserve">הקלה בדרישות לחקלאות ולתעשייה כך שיוכלו לעבור משימוש בגפ"ם לגז טבעי; הגדלת האגרה השנתית על </w:t>
      </w:r>
      <w:r w:rsidRPr="006114CB">
        <w:rPr>
          <w:rFonts w:ascii="David" w:eastAsia="Calibri" w:hAnsi="David" w:hint="cs"/>
          <w:rtl/>
        </w:rPr>
        <w:t xml:space="preserve">כלי </w:t>
      </w:r>
      <w:r w:rsidRPr="006114CB">
        <w:rPr>
          <w:rFonts w:ascii="David" w:eastAsia="Calibri" w:hAnsi="David"/>
          <w:rtl/>
        </w:rPr>
        <w:t>רכב המונעים בגפ"ם</w:t>
      </w:r>
      <w:bookmarkEnd w:id="5"/>
      <w:r w:rsidRPr="006114CB">
        <w:rPr>
          <w:rFonts w:ascii="David" w:eastAsia="Calibri" w:hAnsi="David"/>
          <w:rtl/>
        </w:rPr>
        <w:t xml:space="preserve">; בחינת ירידת צריכת הגפ"ם </w:t>
      </w:r>
      <w:r w:rsidRPr="006114CB">
        <w:rPr>
          <w:rFonts w:ascii="David" w:eastAsia="Calibri" w:hAnsi="David" w:hint="cs"/>
          <w:rtl/>
        </w:rPr>
        <w:t>כל</w:t>
      </w:r>
      <w:r w:rsidRPr="006114CB">
        <w:rPr>
          <w:rFonts w:ascii="David" w:eastAsia="Calibri" w:hAnsi="David"/>
          <w:rtl/>
        </w:rPr>
        <w:t xml:space="preserve"> שנתיים ועדכון צ</w:t>
      </w:r>
      <w:r w:rsidRPr="006114CB">
        <w:rPr>
          <w:rFonts w:ascii="David" w:eastAsia="Calibri" w:hAnsi="David" w:hint="cs"/>
          <w:rtl/>
        </w:rPr>
        <w:t>ו</w:t>
      </w:r>
      <w:r w:rsidRPr="006114CB">
        <w:rPr>
          <w:rFonts w:ascii="David" w:eastAsia="Calibri" w:hAnsi="David"/>
          <w:rtl/>
        </w:rPr>
        <w:t>רכי האחסון כלפי מטה.</w:t>
      </w:r>
    </w:p>
    <w:p w:rsidR="006114CB" w:rsidRPr="006114CB" w:rsidP="002F4530">
      <w:pPr>
        <w:spacing w:line="269" w:lineRule="auto"/>
        <w:rPr>
          <w:rFonts w:ascii="David" w:eastAsia="Calibri" w:hAnsi="David"/>
          <w:rtl/>
        </w:rPr>
      </w:pPr>
      <w:r w:rsidRPr="006114CB">
        <w:rPr>
          <w:rFonts w:ascii="David" w:eastAsia="Calibri" w:hAnsi="David" w:hint="cs"/>
          <w:rtl/>
        </w:rPr>
        <w:t>לאחר הגשת המלצות הצוות, במרץ 2025, גיבש מינהל הדלק מסמך המחדד את המלצות הצוות</w:t>
      </w:r>
      <w:r>
        <w:rPr>
          <w:rFonts w:ascii="David" w:eastAsia="Calibri" w:hAnsi="David"/>
          <w:vertAlign w:val="superscript"/>
          <w:rtl/>
        </w:rPr>
        <w:footnoteReference w:id="29"/>
      </w:r>
      <w:r w:rsidRPr="006114CB">
        <w:rPr>
          <w:rFonts w:ascii="David" w:eastAsia="Calibri" w:hAnsi="David" w:hint="cs"/>
          <w:rtl/>
        </w:rPr>
        <w:t xml:space="preserve">. המסמך מביא את </w:t>
      </w:r>
      <w:bookmarkStart w:id="6" w:name="_Hlk212451663"/>
      <w:r w:rsidRPr="006114CB">
        <w:rPr>
          <w:rFonts w:ascii="David" w:eastAsia="Calibri" w:hAnsi="David" w:hint="cs"/>
          <w:rtl/>
        </w:rPr>
        <w:t xml:space="preserve">התייחסותם של בעלי העניין, ובהם רשות החשמל, משרד המשפטים, משרד התחבורה והבטיחות בדרכים (להלן - משרד התחבורה) ועוד. </w:t>
      </w:r>
      <w:bookmarkEnd w:id="6"/>
      <w:r w:rsidRPr="006114CB">
        <w:rPr>
          <w:rFonts w:ascii="David" w:eastAsia="Calibri" w:hAnsi="David" w:hint="cs"/>
          <w:rtl/>
        </w:rPr>
        <w:t xml:space="preserve">מינהל הדלק מסר למשרד מבקר המדינה כי </w:t>
      </w:r>
      <w:r w:rsidRPr="006114CB">
        <w:rPr>
          <w:rFonts w:ascii="David" w:eastAsia="Calibri" w:hAnsi="David"/>
          <w:rtl/>
        </w:rPr>
        <w:t>המשרד ר</w:t>
      </w:r>
      <w:r w:rsidRPr="006114CB">
        <w:rPr>
          <w:rFonts w:ascii="David" w:eastAsia="Calibri" w:hAnsi="David" w:hint="cs"/>
          <w:rtl/>
        </w:rPr>
        <w:t>ו</w:t>
      </w:r>
      <w:r w:rsidRPr="006114CB">
        <w:rPr>
          <w:rFonts w:ascii="David" w:eastAsia="Calibri" w:hAnsi="David"/>
          <w:rtl/>
        </w:rPr>
        <w:t>צה ליישם את המלצות הצוות במסגרת החלטת ממשלה.</w:t>
      </w:r>
      <w:r w:rsidRPr="006114CB">
        <w:rPr>
          <w:rFonts w:ascii="David" w:eastAsia="Calibri" w:hAnsi="David" w:hint="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בנובמבר 2025 מסר מינהל הדלק למשרד מבקר המדינה כי לאחר חידוד המלצות הצוות התקיימו התייעצויות פנים-משרדיות וחוץ-משרדיות בניסיון להגיע להסכמות ביישום המלצות</w:t>
      </w:r>
      <w:r w:rsidRPr="006114CB">
        <w:rPr>
          <w:rFonts w:ascii="David" w:eastAsia="Calibri" w:hAnsi="David" w:hint="cs"/>
          <w:color w:val="FF0000"/>
          <w:rtl/>
        </w:rPr>
        <w:t xml:space="preserve"> </w:t>
      </w:r>
      <w:r w:rsidRPr="006114CB">
        <w:rPr>
          <w:rFonts w:ascii="David" w:eastAsia="Calibri" w:hAnsi="David" w:hint="cs"/>
          <w:rtl/>
        </w:rPr>
        <w:t>הצוות. התברר כי חלק מההמלצות כבר מיושמות הלכה למעשה, ולחלק מההמלצות ישנן התנגדויות מצד משרדים מסוימים.</w:t>
      </w:r>
    </w:p>
    <w:p w:rsidR="006114CB" w:rsidRPr="006114CB" w:rsidP="002F4530">
      <w:pPr>
        <w:keepNext/>
        <w:keepLines/>
        <w:spacing w:line="269" w:lineRule="auto"/>
        <w:ind w:left="-567"/>
        <w:rPr>
          <w:rFonts w:eastAsia="Calibri"/>
          <w:szCs w:val="20"/>
          <w:rtl/>
        </w:rPr>
      </w:pPr>
    </w:p>
    <w:p w:rsidR="006114CB" w:rsidP="002F4530">
      <w:pPr>
        <w:spacing w:line="269" w:lineRule="auto"/>
        <w:rPr>
          <w:rFonts w:ascii="David" w:eastAsia="Calibri" w:hAnsi="David"/>
          <w:b/>
          <w:bCs/>
          <w:rtl/>
        </w:rPr>
      </w:pPr>
      <w:r w:rsidRPr="006114CB">
        <w:rPr>
          <w:rFonts w:ascii="David" w:eastAsia="Calibri" w:hAnsi="David" w:hint="cs"/>
          <w:b/>
          <w:bCs/>
          <w:rtl/>
        </w:rPr>
        <w:t xml:space="preserve">הצוות לצמצום השימוש בגפ"ם הוקם מכוח החלטת הממשלה 1231 והגיש את המלצותיו בנובמבר 2024 לאישור הקבינט הכלכלי-חברתי. עיקרי ההמלצות הם </w:t>
      </w:r>
      <w:r w:rsidRPr="006114CB">
        <w:rPr>
          <w:rFonts w:ascii="David" w:eastAsia="Calibri" w:hAnsi="David"/>
          <w:b/>
          <w:bCs/>
          <w:rtl/>
        </w:rPr>
        <w:t>התאמת תקן הבנייה כך שבדירות חדשות תהיה מערכת</w:t>
      </w:r>
      <w:r w:rsidRPr="006114CB">
        <w:rPr>
          <w:rFonts w:ascii="David" w:eastAsia="Calibri" w:hAnsi="David" w:hint="cs"/>
          <w:b/>
          <w:bCs/>
          <w:rtl/>
        </w:rPr>
        <w:t xml:space="preserve"> חשמל</w:t>
      </w:r>
      <w:r w:rsidRPr="006114CB">
        <w:rPr>
          <w:rFonts w:ascii="David" w:eastAsia="Calibri" w:hAnsi="David"/>
          <w:b/>
          <w:bCs/>
          <w:rtl/>
        </w:rPr>
        <w:t xml:space="preserve"> תלת-פאזית</w:t>
      </w:r>
      <w:r w:rsidRPr="006114CB">
        <w:rPr>
          <w:rFonts w:ascii="David" w:eastAsia="Calibri" w:hAnsi="David" w:hint="cs"/>
          <w:b/>
          <w:bCs/>
          <w:rtl/>
        </w:rPr>
        <w:t>,</w:t>
      </w:r>
      <w:r w:rsidRPr="006114CB">
        <w:rPr>
          <w:rFonts w:ascii="David" w:eastAsia="Calibri" w:hAnsi="David"/>
          <w:b/>
          <w:bCs/>
          <w:rtl/>
        </w:rPr>
        <w:t xml:space="preserve"> קמפיין הסברתי ופרסומי הנוגע </w:t>
      </w:r>
      <w:r w:rsidRPr="006114CB">
        <w:rPr>
          <w:rFonts w:ascii="David" w:eastAsia="Calibri" w:hAnsi="David" w:hint="eastAsia"/>
          <w:b/>
          <w:bCs/>
          <w:rtl/>
        </w:rPr>
        <w:t>ל</w:t>
      </w:r>
      <w:r w:rsidRPr="006114CB">
        <w:rPr>
          <w:rFonts w:ascii="David" w:eastAsia="Calibri" w:hAnsi="David"/>
          <w:b/>
          <w:bCs/>
          <w:rtl/>
        </w:rPr>
        <w:t xml:space="preserve">יתרונות </w:t>
      </w:r>
      <w:r w:rsidRPr="006114CB">
        <w:rPr>
          <w:rFonts w:ascii="David" w:eastAsia="Calibri" w:hAnsi="David" w:hint="eastAsia"/>
          <w:b/>
          <w:bCs/>
          <w:rtl/>
        </w:rPr>
        <w:t>ה</w:t>
      </w:r>
      <w:r w:rsidRPr="006114CB">
        <w:rPr>
          <w:rFonts w:ascii="David" w:eastAsia="Calibri" w:hAnsi="David"/>
          <w:b/>
          <w:bCs/>
          <w:rtl/>
        </w:rPr>
        <w:t xml:space="preserve">מעבר משימוש ביתי בגפ"ם לחשמל; קידום מתווה להרחבת פריסת רשת החלוקה של הגז הטבעי, כך שתכלול צרכני </w:t>
      </w:r>
      <w:r w:rsidRPr="006114CB">
        <w:rPr>
          <w:rFonts w:ascii="David" w:eastAsia="Calibri" w:hAnsi="David" w:hint="cs"/>
          <w:b/>
          <w:bCs/>
          <w:rtl/>
        </w:rPr>
        <w:t>גפ"ם</w:t>
      </w:r>
      <w:r w:rsidRPr="006114CB">
        <w:rPr>
          <w:rFonts w:ascii="David" w:eastAsia="Calibri" w:hAnsi="David"/>
          <w:b/>
          <w:bCs/>
          <w:rtl/>
        </w:rPr>
        <w:t xml:space="preserve"> </w:t>
      </w:r>
      <w:r w:rsidRPr="006114CB">
        <w:rPr>
          <w:rFonts w:ascii="David" w:eastAsia="Calibri" w:hAnsi="David" w:hint="eastAsia"/>
          <w:b/>
          <w:bCs/>
          <w:rtl/>
        </w:rPr>
        <w:t>גדולים</w:t>
      </w:r>
      <w:r w:rsidRPr="006114CB">
        <w:rPr>
          <w:rFonts w:ascii="David" w:eastAsia="Calibri" w:hAnsi="David"/>
          <w:b/>
          <w:bCs/>
          <w:rtl/>
        </w:rPr>
        <w:t xml:space="preserve">; עדכון תקן 6464 </w:t>
      </w:r>
      <w:r w:rsidRPr="006114CB">
        <w:rPr>
          <w:rFonts w:ascii="David" w:eastAsia="Calibri" w:hAnsi="David" w:hint="eastAsia"/>
          <w:b/>
          <w:bCs/>
          <w:rtl/>
        </w:rPr>
        <w:t>ו</w:t>
      </w:r>
      <w:r w:rsidRPr="006114CB">
        <w:rPr>
          <w:rFonts w:ascii="David" w:eastAsia="Calibri" w:hAnsi="David"/>
          <w:b/>
          <w:bCs/>
          <w:rtl/>
        </w:rPr>
        <w:t xml:space="preserve">הקלה בדרישות לחקלאות ולתעשייה כך שיוכלו לעבור משימוש בגפ"ם לגז טבעי; </w:t>
      </w:r>
      <w:r w:rsidRPr="006114CB">
        <w:rPr>
          <w:rFonts w:ascii="David" w:eastAsia="Calibri" w:hAnsi="David" w:hint="cs"/>
          <w:b/>
          <w:bCs/>
          <w:rtl/>
        </w:rPr>
        <w:t>ו</w:t>
      </w:r>
      <w:r w:rsidRPr="006114CB">
        <w:rPr>
          <w:rFonts w:ascii="David" w:eastAsia="Calibri" w:hAnsi="David"/>
          <w:b/>
          <w:bCs/>
          <w:rtl/>
        </w:rPr>
        <w:t xml:space="preserve">הגדלת האגרה השנתית על </w:t>
      </w:r>
      <w:r w:rsidRPr="006114CB">
        <w:rPr>
          <w:rFonts w:ascii="David" w:eastAsia="Calibri" w:hAnsi="David" w:hint="eastAsia"/>
          <w:b/>
          <w:bCs/>
          <w:rtl/>
        </w:rPr>
        <w:t>כלי</w:t>
      </w:r>
      <w:r w:rsidRPr="006114CB">
        <w:rPr>
          <w:rFonts w:ascii="David" w:eastAsia="Calibri" w:hAnsi="David"/>
          <w:b/>
          <w:bCs/>
          <w:rtl/>
        </w:rPr>
        <w:t xml:space="preserve"> רכב המונעים בגפ"ם</w:t>
      </w:r>
      <w:r w:rsidRPr="006114CB">
        <w:rPr>
          <w:rFonts w:ascii="David" w:eastAsia="Calibri" w:hAnsi="David" w:hint="cs"/>
          <w:b/>
          <w:bCs/>
          <w:rtl/>
        </w:rPr>
        <w:t>. נמצא כי מאז הגשת המלצות הצוות ועד מועד סיום הביקורת חלפה יותר משנה. לנוכח לוח הזמנים שקבעה המינהלת לפיתוח מפרץ חיפה לסגירת בז"ן</w:t>
      </w:r>
      <w:r>
        <w:rPr>
          <w:rFonts w:ascii="David" w:eastAsia="Calibri" w:hAnsi="David"/>
          <w:b/>
          <w:bCs/>
          <w:vertAlign w:val="superscript"/>
          <w:rtl/>
        </w:rPr>
        <w:footnoteReference w:id="30"/>
      </w:r>
      <w:r w:rsidRPr="006114CB">
        <w:rPr>
          <w:rFonts w:ascii="David" w:eastAsia="Calibri" w:hAnsi="David" w:hint="cs"/>
          <w:b/>
          <w:bCs/>
          <w:rtl/>
        </w:rPr>
        <w:t xml:space="preserve">, אי-קידום המלצות הצוות מעכב את יישום החלטת הממשלה 1231. </w:t>
      </w:r>
    </w:p>
    <w:p w:rsidR="006114CB" w:rsidP="002F4530">
      <w:pPr>
        <w:spacing w:line="269" w:lineRule="auto"/>
        <w:rPr>
          <w:rFonts w:ascii="David" w:eastAsia="Calibri" w:hAnsi="David"/>
          <w:b/>
          <w:bCs/>
          <w:rtl/>
        </w:rPr>
      </w:pPr>
    </w:p>
    <w:p w:rsidR="006114CB" w:rsidRPr="006114CB" w:rsidP="002F4530">
      <w:pPr>
        <w:spacing w:line="269" w:lineRule="auto"/>
        <w:rPr>
          <w:rFonts w:ascii="David" w:eastAsia="Calibri" w:hAnsi="David"/>
          <w:b/>
          <w:bCs/>
          <w:rtl/>
        </w:rPr>
      </w:pPr>
      <w:r w:rsidRPr="006114CB">
        <w:rPr>
          <w:rFonts w:ascii="David" w:eastAsia="Calibri" w:hAnsi="David" w:hint="cs"/>
          <w:b/>
          <w:bCs/>
          <w:rtl/>
        </w:rPr>
        <w:t>על משרד האנרגיה לקדם את יישום המלצות הצוות לצמצום השימוש בגפ"ם בשים לב למטרתו ולמטרת החלטת הממשלה - צמצום השימוש בגפ"ם.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בתשובתו למשרד מבקר המדינה מאפריל 2026 מסר אגף התקציבים במשרד האוצר (להלן - אג"ת) כי במסגרת המאמצים להפחתת צריכת הגפ"ם, הצעד הפשוט והאפקטיבי ביותר הוא ביטול חובת החיבור לגפ"ם בבניינים חדשים.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מן האמור לעיל עולה כי לפי הסכם פריז, החלטות הממשלה, מסמכי המדיניות בנושא עתיד משק הדלק ומסקנות הצוות לצמצום השימוש בגפ"ם, מדינת ישראל קיבלה החלטה להפחית את פליטות גזי החממה, להתייעל אנרגטית ולצמצם את השימוש בגפ"ם. ואולם מבחינת תשתיות יבוא ואחסון המדינה אינה ערוכה לצמצום הצריכה במשק הגפ"ם ולסגירת בז"ן</w:t>
      </w:r>
      <w:r>
        <w:rPr>
          <w:rFonts w:eastAsia="Calibri"/>
          <w:b/>
          <w:bCs/>
          <w:vertAlign w:val="superscript"/>
          <w:rtl/>
        </w:rPr>
        <w:footnoteReference w:id="31"/>
      </w:r>
      <w:r w:rsidRPr="006114CB">
        <w:rPr>
          <w:rFonts w:eastAsia="Calibri" w:hint="cs"/>
          <w:b/>
          <w:b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b/>
          <w:bCs/>
          <w:rtl/>
        </w:rPr>
      </w:pPr>
      <w:r w:rsidRPr="006114CB">
        <w:rPr>
          <w:rFonts w:ascii="David" w:eastAsia="Calibri" w:hAnsi="David" w:hint="cs"/>
          <w:b/>
          <w:bCs/>
          <w:rtl/>
        </w:rPr>
        <w:t xml:space="preserve">על משרד האנרגיה לנקוט את הצעדים הנדרשים כדי שהמדינה תהיה ערוכה לצמצום הצריכה במשק הגפ"ם ולסגירת בז"ן בהתאם למדיניות הממשלה בעניין הפחתת </w:t>
      </w:r>
      <w:r w:rsidRPr="006114CB">
        <w:rPr>
          <w:rFonts w:eastAsia="Calibri" w:hint="cs"/>
          <w:b/>
          <w:bCs/>
          <w:rtl/>
        </w:rPr>
        <w:t>פליטות גזי חממה, התייעלות אנרגטית וצמצום השימוש בגפ"ם.</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3"/>
        <w:rPr>
          <w:rFonts w:eastAsia="Times New Roman"/>
          <w:bCs/>
          <w:szCs w:val="26"/>
          <w:rtl/>
        </w:rPr>
      </w:pPr>
      <w:r w:rsidRPr="006114CB">
        <w:rPr>
          <w:rFonts w:eastAsia="Times New Roman" w:hint="cs"/>
          <w:bCs/>
          <w:szCs w:val="26"/>
          <w:rtl/>
        </w:rPr>
        <w:t>ייצור מקומי של גפ"ם</w:t>
      </w:r>
    </w:p>
    <w:p w:rsidR="006114CB" w:rsidRPr="006114CB" w:rsidP="002F4530">
      <w:pPr>
        <w:rPr>
          <w:rFonts w:eastAsia="Calibri"/>
          <w:rtl/>
        </w:rPr>
      </w:pPr>
    </w:p>
    <w:p w:rsidR="006114CB" w:rsidRPr="006114CB" w:rsidP="002F4530">
      <w:pPr>
        <w:spacing w:line="269" w:lineRule="auto"/>
        <w:rPr>
          <w:rFonts w:ascii="David" w:eastAsia="Calibri" w:hAnsi="David"/>
          <w:rtl/>
        </w:rPr>
      </w:pPr>
      <w:r w:rsidRPr="006114CB">
        <w:rPr>
          <w:rFonts w:ascii="David" w:eastAsia="Calibri" w:hAnsi="David" w:hint="cs"/>
          <w:rtl/>
        </w:rPr>
        <w:t>הגפ"ם בישראל מגיע משני מקורות: ייצור על ידי</w:t>
      </w:r>
      <w:r w:rsidRPr="006114CB">
        <w:rPr>
          <w:rFonts w:ascii="David" w:eastAsia="Calibri" w:hAnsi="David"/>
          <w:rtl/>
        </w:rPr>
        <w:t xml:space="preserve"> בז"ן</w:t>
      </w:r>
      <w:r w:rsidRPr="006114CB">
        <w:rPr>
          <w:rFonts w:ascii="David" w:eastAsia="Calibri" w:hAnsi="David" w:hint="cs"/>
          <w:rtl/>
        </w:rPr>
        <w:t xml:space="preserve"> ו</w:t>
      </w:r>
      <w:r w:rsidRPr="006114CB">
        <w:rPr>
          <w:rFonts w:ascii="David" w:eastAsia="Calibri" w:hAnsi="David"/>
          <w:rtl/>
        </w:rPr>
        <w:t>בז"א; ו</w:t>
      </w:r>
      <w:r w:rsidRPr="006114CB">
        <w:rPr>
          <w:rFonts w:ascii="David" w:eastAsia="Calibri" w:hAnsi="David" w:hint="cs"/>
          <w:rtl/>
        </w:rPr>
        <w:t>י</w:t>
      </w:r>
      <w:r w:rsidRPr="006114CB">
        <w:rPr>
          <w:rFonts w:ascii="David" w:eastAsia="Calibri" w:hAnsi="David"/>
          <w:rtl/>
        </w:rPr>
        <w:t>ב</w:t>
      </w:r>
      <w:r w:rsidRPr="006114CB">
        <w:rPr>
          <w:rFonts w:ascii="David" w:eastAsia="Calibri" w:hAnsi="David" w:hint="cs"/>
          <w:rtl/>
        </w:rPr>
        <w:t>ו</w:t>
      </w:r>
      <w:r w:rsidRPr="006114CB">
        <w:rPr>
          <w:rFonts w:ascii="David" w:eastAsia="Calibri" w:hAnsi="David"/>
          <w:rtl/>
        </w:rPr>
        <w:t xml:space="preserve">א דרך נמל הנפט באשקלון, </w:t>
      </w:r>
      <w:r w:rsidRPr="006114CB">
        <w:rPr>
          <w:rFonts w:ascii="David" w:eastAsia="Calibri" w:hAnsi="David" w:hint="cs"/>
          <w:rtl/>
        </w:rPr>
        <w:t>ה</w:t>
      </w:r>
      <w:r w:rsidRPr="006114CB">
        <w:rPr>
          <w:rFonts w:ascii="David" w:eastAsia="Calibri" w:hAnsi="David"/>
          <w:rtl/>
        </w:rPr>
        <w:t xml:space="preserve">מופעל על ידי חברת קצא"א.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כאמור, סך הייצור המקומי של גפ"ם מספק 63% בלבד מהצריכה המקומית (44% מבז"ן ו-19% מבז"א). כדי לספק את כלל צריכת הגפ"ם במשק יש לייבא את היתרה (37%).</w:t>
      </w:r>
      <w:r w:rsidRPr="006114CB">
        <w:rPr>
          <w:rFonts w:ascii="David" w:eastAsia="Calibri" w:hAnsi="David" w:hint="cs"/>
          <w:rtl/>
        </w:rPr>
        <w:t xml:space="preserve"> </w:t>
      </w:r>
      <w:r w:rsidRPr="006114CB">
        <w:rPr>
          <w:rFonts w:ascii="David" w:eastAsia="Calibri" w:hAnsi="David"/>
          <w:rtl/>
        </w:rPr>
        <w:t xml:space="preserve">בתי הזיקוק המקומיים מצויים זה שנים במגבלת כושר ייצור או קרובים אליה. מחבית נפט גולמי </w:t>
      </w:r>
      <w:r w:rsidRPr="006114CB">
        <w:rPr>
          <w:rFonts w:ascii="David" w:eastAsia="Calibri" w:hAnsi="David" w:hint="cs"/>
          <w:rtl/>
        </w:rPr>
        <w:t>אפשר</w:t>
      </w:r>
      <w:r w:rsidRPr="006114CB">
        <w:rPr>
          <w:rFonts w:ascii="David" w:eastAsia="Calibri" w:hAnsi="David"/>
          <w:rtl/>
        </w:rPr>
        <w:t xml:space="preserve"> לזקק כ-</w:t>
      </w:r>
      <w:r w:rsidRPr="006114CB">
        <w:rPr>
          <w:rFonts w:ascii="David" w:eastAsia="Calibri" w:hAnsi="David" w:hint="cs"/>
          <w:rtl/>
        </w:rPr>
        <w:t>2% - 4%</w:t>
      </w:r>
      <w:r w:rsidRPr="006114CB">
        <w:rPr>
          <w:rFonts w:ascii="David" w:eastAsia="Calibri" w:hAnsi="David"/>
          <w:rtl/>
        </w:rPr>
        <w:t xml:space="preserve"> גפ"ם בלבד</w:t>
      </w:r>
      <w:r w:rsidRPr="006114CB">
        <w:rPr>
          <w:rFonts w:ascii="David" w:eastAsia="Calibri" w:hAnsi="David" w:hint="cs"/>
          <w:rtl/>
        </w:rPr>
        <w:t>,</w:t>
      </w:r>
      <w:r w:rsidRPr="006114CB">
        <w:rPr>
          <w:rFonts w:ascii="David" w:eastAsia="Calibri" w:hAnsi="David"/>
          <w:rtl/>
        </w:rPr>
        <w:t xml:space="preserve"> </w:t>
      </w:r>
      <w:r w:rsidRPr="006114CB">
        <w:rPr>
          <w:rFonts w:ascii="David" w:eastAsia="Calibri" w:hAnsi="David" w:hint="cs"/>
          <w:rtl/>
        </w:rPr>
        <w:t>ו</w:t>
      </w:r>
      <w:r w:rsidRPr="006114CB">
        <w:rPr>
          <w:rFonts w:ascii="David" w:eastAsia="Calibri" w:hAnsi="David"/>
          <w:rtl/>
        </w:rPr>
        <w:t xml:space="preserve">עיקר התוצרים הם מזוט, בנזין וסולר. כך שגם אם </w:t>
      </w:r>
      <w:r w:rsidRPr="006114CB">
        <w:rPr>
          <w:rFonts w:ascii="David" w:eastAsia="Calibri" w:hAnsi="David" w:hint="cs"/>
          <w:rtl/>
        </w:rPr>
        <w:t>אפשר</w:t>
      </w:r>
      <w:r w:rsidRPr="006114CB">
        <w:rPr>
          <w:rFonts w:ascii="David" w:eastAsia="Calibri" w:hAnsi="David"/>
          <w:rtl/>
        </w:rPr>
        <w:t xml:space="preserve"> היה להגדיל </w:t>
      </w:r>
      <w:r w:rsidRPr="006114CB">
        <w:rPr>
          <w:rFonts w:ascii="David" w:eastAsia="Calibri" w:hAnsi="David"/>
          <w:rtl/>
        </w:rPr>
        <w:t xml:space="preserve">את כושר הייצור (באמצעות </w:t>
      </w:r>
      <w:r w:rsidRPr="006114CB">
        <w:rPr>
          <w:rFonts w:ascii="David" w:eastAsia="Calibri" w:hAnsi="David" w:hint="cs"/>
          <w:rtl/>
        </w:rPr>
        <w:t>הקמ</w:t>
      </w:r>
      <w:r w:rsidRPr="006114CB">
        <w:rPr>
          <w:rFonts w:ascii="David" w:eastAsia="Calibri" w:hAnsi="David"/>
          <w:rtl/>
        </w:rPr>
        <w:t xml:space="preserve">ת מתקן זיקוק נוסף, המצריכה השקעת הון </w:t>
      </w:r>
      <w:r w:rsidRPr="006114CB">
        <w:rPr>
          <w:rFonts w:ascii="David" w:eastAsia="Calibri" w:hAnsi="David" w:hint="cs"/>
          <w:rtl/>
        </w:rPr>
        <w:t>ניכר</w:t>
      </w:r>
      <w:r w:rsidRPr="006114CB">
        <w:rPr>
          <w:rFonts w:ascii="David" w:eastAsia="Calibri" w:hAnsi="David"/>
          <w:rtl/>
        </w:rPr>
        <w:t xml:space="preserve">), ספק אם יש </w:t>
      </w:r>
      <w:r w:rsidRPr="006114CB">
        <w:rPr>
          <w:rFonts w:ascii="David" w:eastAsia="Calibri" w:hAnsi="David" w:hint="cs"/>
          <w:rtl/>
        </w:rPr>
        <w:t xml:space="preserve">בכך </w:t>
      </w:r>
      <w:r w:rsidRPr="006114CB">
        <w:rPr>
          <w:rFonts w:ascii="David" w:eastAsia="Calibri" w:hAnsi="David"/>
          <w:rtl/>
        </w:rPr>
        <w:t>כדאיות רק לצורך הגדלת כמות הגפ"ם</w:t>
      </w:r>
      <w:r>
        <w:rPr>
          <w:rFonts w:ascii="David" w:eastAsia="Calibri" w:hAnsi="David"/>
          <w:vertAlign w:val="superscript"/>
          <w:rtl/>
        </w:rPr>
        <w:footnoteReference w:id="32"/>
      </w:r>
      <w:r w:rsidRPr="006114CB">
        <w:rPr>
          <w:rFonts w:ascii="David" w:eastAsia="Calibri" w:hAnsi="David"/>
          <w:rtl/>
        </w:rPr>
        <w:t xml:space="preserve">. </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4"/>
        <w:rPr>
          <w:rFonts w:eastAsia="Times New Roman"/>
          <w:bCs/>
          <w:spacing w:val="40"/>
          <w:rtl/>
        </w:rPr>
      </w:pPr>
      <w:r w:rsidRPr="006114CB">
        <w:rPr>
          <w:rFonts w:eastAsia="Times New Roman" w:hint="cs"/>
          <w:bCs/>
          <w:spacing w:val="40"/>
          <w:rtl/>
        </w:rPr>
        <w:t>סגירת בז"ן</w:t>
      </w:r>
    </w:p>
    <w:p w:rsidR="006114CB" w:rsidRPr="006114CB" w:rsidP="002F4530">
      <w:pPr>
        <w:rPr>
          <w:rFonts w:eastAsia="Calibri"/>
          <w:rtl/>
        </w:rPr>
      </w:pPr>
    </w:p>
    <w:p w:rsidR="006114CB" w:rsidRPr="006114CB" w:rsidP="002F4530">
      <w:pPr>
        <w:spacing w:line="269" w:lineRule="auto"/>
        <w:rPr>
          <w:rFonts w:eastAsia="Calibri"/>
          <w:rtl/>
        </w:rPr>
      </w:pPr>
      <w:r w:rsidRPr="006114CB">
        <w:rPr>
          <w:rFonts w:eastAsia="Calibri" w:hint="cs"/>
          <w:rtl/>
        </w:rPr>
        <w:t>בז"ן מייצר כ-44% מצריכת הגפ"ם המקומית, ולכן הוא בדרך כלל מקור הגפ"ם העיקרי במשק</w:t>
      </w:r>
      <w:r>
        <w:rPr>
          <w:rFonts w:eastAsia="Calibri"/>
          <w:vertAlign w:val="superscript"/>
          <w:rtl/>
        </w:rPr>
        <w:footnoteReference w:id="33"/>
      </w:r>
      <w:r w:rsidRPr="006114CB">
        <w:rPr>
          <w:rFonts w:eastAsia="Calibri" w:hint="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ב</w:t>
      </w:r>
      <w:r w:rsidRPr="006114CB">
        <w:rPr>
          <w:rFonts w:eastAsia="Calibri"/>
          <w:rtl/>
        </w:rPr>
        <w:t>מרץ 2022</w:t>
      </w:r>
      <w:r w:rsidRPr="006114CB">
        <w:rPr>
          <w:rFonts w:eastAsia="Calibri" w:hint="cs"/>
          <w:rtl/>
        </w:rPr>
        <w:t xml:space="preserve"> התקבלה </w:t>
      </w:r>
      <w:r w:rsidRPr="006114CB">
        <w:rPr>
          <w:rFonts w:eastAsia="Calibri"/>
          <w:rtl/>
        </w:rPr>
        <w:t xml:space="preserve">החלטת </w:t>
      </w:r>
      <w:r w:rsidRPr="006114CB">
        <w:rPr>
          <w:rFonts w:eastAsia="Calibri" w:hint="cs"/>
          <w:rtl/>
        </w:rPr>
        <w:t>ה</w:t>
      </w:r>
      <w:r w:rsidRPr="006114CB">
        <w:rPr>
          <w:rFonts w:eastAsia="Calibri"/>
          <w:rtl/>
        </w:rPr>
        <w:t xml:space="preserve">ממשלה </w:t>
      </w:r>
      <w:r w:rsidRPr="006114CB">
        <w:rPr>
          <w:rFonts w:eastAsia="Calibri" w:hint="cs"/>
          <w:rtl/>
        </w:rPr>
        <w:t xml:space="preserve">1231 </w:t>
      </w:r>
      <w:r w:rsidRPr="006114CB">
        <w:rPr>
          <w:rFonts w:eastAsia="Calibri"/>
          <w:rtl/>
        </w:rPr>
        <w:t>לפיתוח ו</w:t>
      </w:r>
      <w:r w:rsidRPr="006114CB">
        <w:rPr>
          <w:rFonts w:eastAsia="Calibri" w:hint="cs"/>
          <w:rtl/>
        </w:rPr>
        <w:t>ל</w:t>
      </w:r>
      <w:r w:rsidRPr="006114CB">
        <w:rPr>
          <w:rFonts w:eastAsia="Calibri"/>
          <w:rtl/>
        </w:rPr>
        <w:t xml:space="preserve">קידום </w:t>
      </w:r>
      <w:r w:rsidRPr="006114CB">
        <w:rPr>
          <w:rFonts w:eastAsia="Calibri" w:hint="cs"/>
          <w:rtl/>
        </w:rPr>
        <w:t xml:space="preserve">של </w:t>
      </w:r>
      <w:r w:rsidRPr="006114CB">
        <w:rPr>
          <w:rFonts w:eastAsia="Calibri"/>
          <w:rtl/>
        </w:rPr>
        <w:t>מפרץ חיפה</w:t>
      </w:r>
      <w:r w:rsidRPr="006114CB">
        <w:rPr>
          <w:rFonts w:eastAsia="Calibri" w:hint="cs"/>
          <w:rtl/>
        </w:rPr>
        <w:t xml:space="preserve">. החלטת הממשלה </w:t>
      </w:r>
      <w:r w:rsidRPr="006114CB">
        <w:rPr>
          <w:rFonts w:eastAsia="Calibri"/>
          <w:rtl/>
        </w:rPr>
        <w:t xml:space="preserve">קבעה, בין היתר, </w:t>
      </w:r>
      <w:r w:rsidRPr="006114CB">
        <w:rPr>
          <w:rFonts w:eastAsia="Calibri" w:hint="cs"/>
          <w:rtl/>
        </w:rPr>
        <w:t xml:space="preserve">כי יש לקדם אסטרטגיה לפיתוח ולקידום של אזור מפרץ חיפה אשר תתמקד בשיפור איכות החיים של תושבי המפרץ באמצעות פרויקטים כלכליים משמעותיים, וכן היערכות מתאימה של משק האנרגיה להפסקת זיקוק הנפט והפעילות של התעשייה הפטרוכימית במפרץ חיפה, בהתאם למגמה העולמית לצמצום השימוש בדלקים פוסיליים, לרבות גפ"ם, ומעבר לאנרגיות מתחדשות. ההחלטה קבעה כי יש להטיל על צוות בין-משרדי לקיים משא ומתן, בין היתר עם בז"ן, כדי להביא להפסקת </w:t>
      </w:r>
      <w:r w:rsidRPr="006114CB">
        <w:rPr>
          <w:rFonts w:eastAsia="Calibri"/>
          <w:rtl/>
        </w:rPr>
        <w:t xml:space="preserve">פעילות התעשייה הפטרוכימית והכימית במפרץ חיפה, </w:t>
      </w:r>
      <w:r w:rsidRPr="006114CB">
        <w:rPr>
          <w:rFonts w:eastAsia="Calibri" w:hint="cs"/>
          <w:rtl/>
        </w:rPr>
        <w:t>מ</w:t>
      </w:r>
      <w:r w:rsidRPr="006114CB">
        <w:rPr>
          <w:rFonts w:eastAsia="Calibri"/>
          <w:rtl/>
        </w:rPr>
        <w:t>תוך שמירה על הביטחון האנרגטי ו</w:t>
      </w:r>
      <w:r w:rsidRPr="006114CB">
        <w:rPr>
          <w:rFonts w:eastAsia="Calibri" w:hint="cs"/>
          <w:rtl/>
        </w:rPr>
        <w:t xml:space="preserve">על </w:t>
      </w:r>
      <w:r w:rsidRPr="006114CB">
        <w:rPr>
          <w:rFonts w:eastAsia="Calibri"/>
          <w:rtl/>
        </w:rPr>
        <w:t>אספקת דלקים סדירה למשק.</w:t>
      </w:r>
      <w:r w:rsidRPr="006114CB">
        <w:rPr>
          <w:rFonts w:eastAsia="Calibri" w:hint="cs"/>
          <w:rtl/>
        </w:rPr>
        <w:t xml:space="preserve"> </w:t>
      </w:r>
    </w:p>
    <w:p w:rsidR="006114CB" w:rsidRPr="006114CB" w:rsidP="002F4530">
      <w:pPr>
        <w:keepNext/>
        <w:keepLines/>
        <w:spacing w:line="269" w:lineRule="auto"/>
        <w:ind w:left="-567"/>
        <w:rPr>
          <w:rFonts w:eastAsia="Calibri"/>
          <w:szCs w:val="20"/>
          <w:rtl/>
        </w:rPr>
      </w:pPr>
    </w:p>
    <w:p w:rsidR="006114CB" w:rsidP="002F4530">
      <w:pPr>
        <w:spacing w:line="269" w:lineRule="auto"/>
        <w:rPr>
          <w:rFonts w:ascii="David" w:eastAsia="Calibri" w:hAnsi="David"/>
          <w:b/>
          <w:bCs/>
          <w:rtl/>
        </w:rPr>
      </w:pPr>
      <w:r w:rsidRPr="006114CB">
        <w:rPr>
          <w:rFonts w:eastAsia="Calibri" w:hint="cs"/>
          <w:rtl/>
        </w:rPr>
        <w:t>לפי תוכנית העבודה הרב-שנתית של ועדת ההיגוי לפיתוח מפרץ חיפה (להלן - תוכנית העבודה של ועדת ההיגוי לסיכום שנת 2024)</w:t>
      </w:r>
      <w:r>
        <w:rPr>
          <w:rFonts w:ascii="David" w:eastAsia="Calibri" w:hAnsi="David"/>
          <w:vertAlign w:val="superscript"/>
          <w:rtl/>
        </w:rPr>
        <w:footnoteReference w:id="34"/>
      </w:r>
      <w:r w:rsidRPr="006114CB">
        <w:rPr>
          <w:rFonts w:eastAsia="Calibri" w:hint="cs"/>
          <w:rtl/>
        </w:rPr>
        <w:t>, משק האנרגיה נערך להפסקת ייצור גפ"ם ברבעון השני של שנת</w:t>
      </w:r>
      <w:r>
        <w:rPr>
          <w:rFonts w:ascii="David" w:eastAsia="Calibri" w:hAnsi="David" w:hint="cs"/>
          <w:b/>
          <w:bCs/>
          <w:rtl/>
        </w:rPr>
        <w:t xml:space="preserve"> </w:t>
      </w:r>
      <w:r w:rsidRPr="006114CB">
        <w:rPr>
          <w:rFonts w:eastAsia="Calibri" w:hint="cs"/>
          <w:rtl/>
        </w:rPr>
        <w:t>2030</w:t>
      </w:r>
      <w:r>
        <w:rPr>
          <w:rFonts w:eastAsia="Calibri"/>
          <w:vertAlign w:val="superscript"/>
          <w:rtl/>
        </w:rPr>
        <w:footnoteReference w:id="35"/>
      </w:r>
      <w:r w:rsidRPr="006114CB">
        <w:rPr>
          <w:rFonts w:eastAsia="Calibri" w:hint="cs"/>
          <w:rtl/>
        </w:rPr>
        <w:t xml:space="preserve">. </w:t>
      </w:r>
      <w:r w:rsidRPr="006114CB">
        <w:rPr>
          <w:rFonts w:eastAsia="Calibri" w:hint="eastAsia"/>
          <w:rtl/>
        </w:rPr>
        <w:t>הפסקת</w:t>
      </w:r>
      <w:r w:rsidRPr="006114CB">
        <w:rPr>
          <w:rFonts w:eastAsia="Calibri"/>
          <w:rtl/>
        </w:rPr>
        <w:t xml:space="preserve"> </w:t>
      </w:r>
      <w:r w:rsidRPr="006114CB">
        <w:rPr>
          <w:rFonts w:eastAsia="Calibri" w:hint="eastAsia"/>
          <w:rtl/>
        </w:rPr>
        <w:t>פעילות</w:t>
      </w:r>
      <w:r w:rsidRPr="006114CB">
        <w:rPr>
          <w:rFonts w:eastAsia="Calibri"/>
          <w:rtl/>
        </w:rPr>
        <w:t xml:space="preserve"> </w:t>
      </w:r>
      <w:r w:rsidRPr="006114CB">
        <w:rPr>
          <w:rFonts w:eastAsia="Calibri" w:hint="eastAsia"/>
          <w:rtl/>
        </w:rPr>
        <w:t>התעשייה</w:t>
      </w:r>
      <w:r w:rsidRPr="006114CB">
        <w:rPr>
          <w:rFonts w:eastAsia="Calibri"/>
          <w:rtl/>
        </w:rPr>
        <w:t xml:space="preserve"> </w:t>
      </w:r>
      <w:r w:rsidRPr="006114CB">
        <w:rPr>
          <w:rFonts w:eastAsia="Calibri" w:hint="eastAsia"/>
          <w:rtl/>
        </w:rPr>
        <w:t>הפטרוכימית</w:t>
      </w:r>
      <w:r w:rsidRPr="006114CB">
        <w:rPr>
          <w:rFonts w:eastAsia="Calibri"/>
          <w:rtl/>
        </w:rPr>
        <w:t xml:space="preserve"> </w:t>
      </w:r>
      <w:r w:rsidRPr="006114CB">
        <w:rPr>
          <w:rFonts w:eastAsia="Calibri" w:hint="eastAsia"/>
          <w:rtl/>
        </w:rPr>
        <w:t>מותנית</w:t>
      </w:r>
      <w:r w:rsidRPr="006114CB">
        <w:rPr>
          <w:rFonts w:eastAsia="Calibri"/>
          <w:rtl/>
        </w:rPr>
        <w:t xml:space="preserve"> </w:t>
      </w:r>
      <w:r w:rsidRPr="006114CB">
        <w:rPr>
          <w:rFonts w:eastAsia="Calibri" w:hint="eastAsia"/>
          <w:rtl/>
        </w:rPr>
        <w:t>בהבטחת</w:t>
      </w:r>
      <w:r w:rsidRPr="006114CB">
        <w:rPr>
          <w:rFonts w:eastAsia="Calibri"/>
          <w:rtl/>
        </w:rPr>
        <w:t xml:space="preserve"> </w:t>
      </w:r>
      <w:r w:rsidRPr="006114CB">
        <w:rPr>
          <w:rFonts w:eastAsia="Calibri" w:hint="eastAsia"/>
          <w:rtl/>
        </w:rPr>
        <w:t>הרציפות</w:t>
      </w:r>
      <w:r w:rsidRPr="006114CB">
        <w:rPr>
          <w:rFonts w:eastAsia="Calibri"/>
          <w:rtl/>
        </w:rPr>
        <w:t xml:space="preserve"> </w:t>
      </w:r>
      <w:r w:rsidRPr="006114CB">
        <w:rPr>
          <w:rFonts w:eastAsia="Calibri" w:hint="eastAsia"/>
          <w:rtl/>
        </w:rPr>
        <w:t>התפקודית</w:t>
      </w:r>
      <w:r w:rsidRPr="006114CB">
        <w:rPr>
          <w:rFonts w:eastAsia="Calibri"/>
          <w:rtl/>
        </w:rPr>
        <w:t xml:space="preserve"> </w:t>
      </w:r>
      <w:r w:rsidRPr="006114CB">
        <w:rPr>
          <w:rFonts w:eastAsia="Calibri" w:hint="eastAsia"/>
          <w:rtl/>
        </w:rPr>
        <w:t>של</w:t>
      </w:r>
      <w:r w:rsidRPr="006114CB">
        <w:rPr>
          <w:rFonts w:eastAsia="Calibri"/>
          <w:rtl/>
        </w:rPr>
        <w:t xml:space="preserve"> </w:t>
      </w:r>
      <w:r w:rsidRPr="006114CB">
        <w:rPr>
          <w:rFonts w:eastAsia="Calibri" w:hint="eastAsia"/>
          <w:rtl/>
        </w:rPr>
        <w:t>משק</w:t>
      </w:r>
      <w:r w:rsidRPr="006114CB">
        <w:rPr>
          <w:rFonts w:eastAsia="Calibri"/>
          <w:rtl/>
        </w:rPr>
        <w:t xml:space="preserve"> </w:t>
      </w:r>
      <w:r w:rsidRPr="006114CB">
        <w:rPr>
          <w:rFonts w:eastAsia="Calibri" w:hint="eastAsia"/>
          <w:rtl/>
        </w:rPr>
        <w:t>האנרגיה</w:t>
      </w:r>
      <w:r w:rsidRPr="006114CB">
        <w:rPr>
          <w:rFonts w:eastAsia="Calibri"/>
          <w:rtl/>
        </w:rPr>
        <w:t>.</w:t>
      </w:r>
    </w:p>
    <w:p w:rsidR="006114CB" w:rsidP="002F4530">
      <w:pPr>
        <w:spacing w:line="269" w:lineRule="auto"/>
        <w:rPr>
          <w:rFonts w:ascii="David" w:eastAsia="Calibri" w:hAnsi="David"/>
          <w:b/>
          <w:bCs/>
          <w:rtl/>
        </w:rPr>
      </w:pPr>
    </w:p>
    <w:p w:rsidR="006114CB" w:rsidRPr="006114CB" w:rsidP="002F4530">
      <w:pPr>
        <w:keepNext/>
        <w:keepLines/>
        <w:spacing w:line="269" w:lineRule="auto"/>
        <w:outlineLvl w:val="5"/>
        <w:rPr>
          <w:rFonts w:eastAsia="Times New Roman"/>
          <w:spacing w:val="40"/>
          <w:rtl/>
        </w:rPr>
      </w:pPr>
      <w:r w:rsidRPr="006114CB">
        <w:rPr>
          <w:rFonts w:eastAsia="Times New Roman" w:hint="cs"/>
          <w:spacing w:val="40"/>
          <w:rtl/>
        </w:rPr>
        <w:t>גפ"ם אולפיני</w:t>
      </w:r>
      <w:r>
        <w:rPr>
          <w:rFonts w:eastAsia="Times New Roman"/>
          <w:spacing w:val="40"/>
          <w:vertAlign w:val="superscript"/>
          <w:rtl/>
        </w:rPr>
        <w:footnoteReference w:id="36"/>
      </w:r>
    </w:p>
    <w:p w:rsidR="006114CB" w:rsidRPr="006114CB" w:rsidP="002F4530">
      <w:pPr>
        <w:rPr>
          <w:rFonts w:eastAsia="Calibri"/>
          <w:rtl/>
        </w:rPr>
      </w:pPr>
    </w:p>
    <w:p w:rsidR="006114CB" w:rsidRPr="006114CB" w:rsidP="002F4530">
      <w:pPr>
        <w:spacing w:line="269" w:lineRule="auto"/>
        <w:rPr>
          <w:rFonts w:eastAsia="Calibri"/>
          <w:rtl/>
        </w:rPr>
      </w:pPr>
      <w:r w:rsidRPr="006114CB">
        <w:rPr>
          <w:rFonts w:eastAsia="Calibri" w:hint="cs"/>
          <w:rtl/>
        </w:rPr>
        <w:t>עד שנת 2006 היה בז"ן חברה ממשלתית שהפעילה שני בתי זיקוק - בז"ן ובז"א. על פי החלטת ועדת שרים מ-2004</w:t>
      </w:r>
      <w:r>
        <w:rPr>
          <w:rFonts w:eastAsia="Calibri"/>
          <w:vertAlign w:val="superscript"/>
          <w:rtl/>
        </w:rPr>
        <w:footnoteReference w:id="37"/>
      </w:r>
      <w:r w:rsidRPr="006114CB">
        <w:rPr>
          <w:rFonts w:eastAsia="Calibri" w:hint="cs"/>
          <w:rtl/>
        </w:rPr>
        <w:t>, בשנים 2006 - 2007 הופרט בז"ן בדרך של פיצול מתקניו ומכירתם בנפרד, לשם יצירת תחרות במשק האנרגיה. במסגרת ההפרטה הופרד בז"א כלכלית מבז"ן והפך לחברה עצמאית. לפני הפרטת בז"ן הייתה הפעילות בין בתי הזיקוק מתואמת כדי להשיג אופטימיזציה תפעולית. כדי לאפשר לבז"א קיום עצמאי נפרד היה צורך ליצור מערכת הסכמית שאפשרה החלפת תוצרים ותזקיקים בין שני בתי הזיקוק, כדי להמשיך ולקיים תיאום כמו שהיה לפני ההפרטה</w:t>
      </w:r>
      <w:r>
        <w:rPr>
          <w:rFonts w:eastAsia="Calibri"/>
          <w:vertAlign w:val="superscript"/>
          <w:rtl/>
        </w:rPr>
        <w:footnoteReference w:id="38"/>
      </w:r>
      <w:r w:rsidRPr="006114CB">
        <w:rPr>
          <w:rFonts w:eastAsia="Calibri" w:hint="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בתהליך זיקוק הנפט בז"א מייצר סוגים שונים של תזקיקים, ובהם גפ"ם</w:t>
      </w:r>
      <w:r>
        <w:rPr>
          <w:rFonts w:eastAsia="Calibri"/>
          <w:vertAlign w:val="superscript"/>
          <w:rtl/>
        </w:rPr>
        <w:footnoteReference w:id="39"/>
      </w:r>
      <w:r w:rsidRPr="006114CB">
        <w:rPr>
          <w:rFonts w:eastAsia="Calibri" w:hint="cs"/>
          <w:rtl/>
        </w:rPr>
        <w:t>. חלק מן הגפ"ם מיוצר לשימוש ביתי ומוסדי, וחלקו גפ"ם אולפיני ואינו מתאים לשימוש ביתי ומוסדי</w:t>
      </w:r>
      <w:r>
        <w:rPr>
          <w:rFonts w:eastAsia="Calibri"/>
          <w:vertAlign w:val="superscript"/>
          <w:rtl/>
        </w:rPr>
        <w:footnoteReference w:id="40"/>
      </w:r>
      <w:r w:rsidRPr="006114CB">
        <w:rPr>
          <w:rFonts w:eastAsia="Calibri" w:hint="cs"/>
          <w:rtl/>
        </w:rPr>
        <w:t>. מאחר שלבז"א אין תעשיית המשך הוא מוביל את הגפ"ם האולפיני שהוא מייצר, כ-80,000 טונה בשנה</w:t>
      </w:r>
      <w:r>
        <w:rPr>
          <w:rFonts w:eastAsia="Calibri"/>
          <w:vertAlign w:val="superscript"/>
          <w:rtl/>
        </w:rPr>
        <w:footnoteReference w:id="41"/>
      </w:r>
      <w:r w:rsidRPr="006114CB">
        <w:rPr>
          <w:rFonts w:eastAsia="Calibri" w:hint="cs"/>
          <w:rtl/>
        </w:rPr>
        <w:t>, לבז"ן באמצעות מכליות כביש</w:t>
      </w:r>
      <w:r>
        <w:rPr>
          <w:rFonts w:eastAsia="Calibri"/>
          <w:vertAlign w:val="superscript"/>
          <w:rtl/>
        </w:rPr>
        <w:footnoteReference w:id="42"/>
      </w:r>
      <w:r w:rsidRPr="006114CB">
        <w:rPr>
          <w:rFonts w:eastAsia="Calibri" w:hint="cs"/>
          <w:rtl/>
        </w:rPr>
        <w:t>, ובז"ן מטפל בו בתהליך ייצור האולפינים שהוא מבצע בתעשיית ההמשך שלו - בעיקר תעשיית הפלסטיק - במפעל כרמל אולפינים (להלן - כאו"ל)</w:t>
      </w:r>
      <w:r>
        <w:rPr>
          <w:rFonts w:eastAsia="Calibri"/>
          <w:vertAlign w:val="superscript"/>
          <w:rtl/>
        </w:rPr>
        <w:footnoteReference w:id="43"/>
      </w:r>
      <w:r w:rsidRPr="006114CB">
        <w:rPr>
          <w:rFonts w:eastAsia="Calibri" w:hint="cs"/>
          <w:rtl/>
        </w:rPr>
        <w:t xml:space="preserve">. </w:t>
      </w:r>
    </w:p>
    <w:p w:rsidR="006114CB" w:rsidRPr="006114CB" w:rsidP="002F4530">
      <w:pPr>
        <w:spacing w:line="269" w:lineRule="auto"/>
        <w:rPr>
          <w:rFonts w:eastAsia="Calibri"/>
          <w:rtl/>
        </w:rPr>
      </w:pPr>
      <w:r w:rsidRPr="006114CB">
        <w:rPr>
          <w:rFonts w:eastAsia="Calibri" w:hint="cs"/>
          <w:rtl/>
        </w:rPr>
        <w:t xml:space="preserve">בפגישה עם צוות הביקורת באוקטובר 2025 מסר בז"א </w:t>
      </w:r>
      <w:r w:rsidRPr="006114CB">
        <w:rPr>
          <w:rFonts w:eastAsia="Calibri" w:hint="cs"/>
          <w:sz w:val="24"/>
          <w:rtl/>
        </w:rPr>
        <w:t xml:space="preserve">כי </w:t>
      </w:r>
      <w:r w:rsidRPr="006114CB">
        <w:rPr>
          <w:rFonts w:eastAsia="Calibri" w:hint="cs"/>
          <w:rtl/>
        </w:rPr>
        <w:t>מאחר ש</w:t>
      </w:r>
      <w:r w:rsidRPr="006114CB">
        <w:rPr>
          <w:rFonts w:eastAsia="Calibri" w:hint="cs"/>
          <w:sz w:val="24"/>
          <w:rtl/>
        </w:rPr>
        <w:t>אין כיום תשתית ליצוא גפ"ם אולפיני</w:t>
      </w:r>
      <w:r>
        <w:rPr>
          <w:rFonts w:eastAsia="Calibri"/>
          <w:sz w:val="24"/>
          <w:vertAlign w:val="superscript"/>
          <w:rtl/>
        </w:rPr>
        <w:footnoteReference w:id="44"/>
      </w:r>
      <w:r w:rsidRPr="006114CB">
        <w:rPr>
          <w:rFonts w:eastAsia="Calibri" w:hint="cs"/>
          <w:sz w:val="24"/>
          <w:rtl/>
        </w:rPr>
        <w:t>,</w:t>
      </w:r>
      <w:r w:rsidRPr="006114CB">
        <w:rPr>
          <w:rFonts w:eastAsia="Calibri" w:hint="cs"/>
          <w:rtl/>
        </w:rPr>
        <w:t xml:space="preserve"> הוא אינו יכול לייצא אותו, אבל גם אין לו די מקום לאחסן אותו בחצריו.</w:t>
      </w:r>
      <w:r w:rsidRPr="006114CB">
        <w:rPr>
          <w:rFonts w:eastAsia="Calibri" w:hint="cs"/>
          <w:sz w:val="24"/>
          <w:rtl/>
        </w:rPr>
        <w:t xml:space="preserve"> כשיש בעיה בכאו"ל נאלץ בז"א לשרוף את הגפ"ם האולפיני, עד למגבלה של כ-50,000 טונה בשנה</w:t>
      </w:r>
      <w:r w:rsidRPr="006114CB">
        <w:rPr>
          <w:rFonts w:eastAsia="Calibri" w:hint="cs"/>
          <w:rtl/>
        </w:rPr>
        <w:t xml:space="preserve">. שריפת גפ"ם אולפיני היא </w:t>
      </w:r>
      <w:r w:rsidRPr="006114CB">
        <w:rPr>
          <w:rFonts w:eastAsia="Calibri" w:hint="cs"/>
          <w:sz w:val="24"/>
          <w:rtl/>
        </w:rPr>
        <w:t>בעייתית מבחינה כלכלית</w:t>
      </w:r>
      <w:r>
        <w:rPr>
          <w:rFonts w:eastAsia="Calibri"/>
          <w:sz w:val="24"/>
          <w:vertAlign w:val="superscript"/>
          <w:rtl/>
        </w:rPr>
        <w:footnoteReference w:id="45"/>
      </w:r>
      <w:r w:rsidRPr="006114CB">
        <w:rPr>
          <w:rFonts w:eastAsia="Calibri" w:hint="cs"/>
          <w:sz w:val="24"/>
          <w:rtl/>
        </w:rPr>
        <w:t xml:space="preserve"> ומבחינה סביבתית כאחד.</w:t>
      </w:r>
      <w:r w:rsidRPr="006114CB">
        <w:rPr>
          <w:rFonts w:eastAsia="Calibri" w:hint="cs"/>
          <w:rtl/>
        </w:rPr>
        <w:t xml:space="preserve"> </w:t>
      </w:r>
      <w:r w:rsidRPr="006114CB">
        <w:rPr>
          <w:rFonts w:eastAsia="Calibri" w:hint="cs"/>
          <w:sz w:val="24"/>
          <w:rtl/>
        </w:rPr>
        <w:t>במבצע עם כלביא נסגר כאו"ל לפרק זמן מסוים, ובז"א קיבל היתר מיוחד לזמן קצר לשווק למשק המקומי גפ"ם עם שיעור אולפינים גבוה יותר - עד 30%</w:t>
      </w:r>
      <w:r>
        <w:rPr>
          <w:rFonts w:eastAsia="Calibri"/>
          <w:sz w:val="24"/>
          <w:vertAlign w:val="superscript"/>
          <w:rtl/>
        </w:rPr>
        <w:footnoteReference w:id="46"/>
      </w:r>
      <w:r w:rsidRPr="006114CB">
        <w:rPr>
          <w:rFonts w:eastAsia="Calibri" w:hint="cs"/>
          <w:sz w:val="24"/>
          <w:rtl/>
        </w:rPr>
        <w:t>.</w:t>
      </w:r>
      <w:r w:rsidRPr="006114CB">
        <w:rPr>
          <w:rFonts w:eastAsia="Calibri" w:hint="cs"/>
          <w:rtl/>
        </w:rPr>
        <w:t xml:space="preserve"> עוד מסר בז"א לצוות הביקורת כי כאשר בז"ן ייסגר, ובעקבותיו גם כאו"ל, ייאלץ בז"א להפסיק את תהליך הזיקוק במפעליו, ובעצם לסגור את שעריו, אלא אם יימצא פתרון אחר לגפ"ם האולפיני שהוא מייצר בתהליך הזיקוק, כמו שיפורט להלן.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החלטת הממשלה 1231 מ-2022 קבעה כי יש להטיל על שרת התחבורה לבחון ולתכנן הקמה של מבנים ימיים נמליים (או מקשר ימי) ליבוא וליצוא של גפ"ם רגיל וגפ"ם אולפיני במרחב הנמלי באשדוד, וכ</w:t>
      </w:r>
      <w:r w:rsidRPr="006114CB">
        <w:rPr>
          <w:rFonts w:eastAsia="Calibri" w:hint="eastAsia"/>
          <w:rtl/>
        </w:rPr>
        <w:t>כ</w:t>
      </w:r>
      <w:r w:rsidRPr="006114CB">
        <w:rPr>
          <w:rFonts w:eastAsia="Calibri" w:hint="cs"/>
          <w:rtl/>
        </w:rPr>
        <w:t>ל שיוחלט על קידום התוכנית, היא תוגש למוסד התכנון המוסמך.</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sz w:val="24"/>
          <w:rtl/>
        </w:rPr>
      </w:pPr>
      <w:r w:rsidRPr="006114CB">
        <w:rPr>
          <w:rFonts w:eastAsia="Calibri" w:hint="cs"/>
          <w:sz w:val="24"/>
          <w:rtl/>
        </w:rPr>
        <w:t xml:space="preserve">בז"א מסר לצוות הביקורת כי כדי לייצא את </w:t>
      </w:r>
      <w:r w:rsidRPr="006114CB">
        <w:rPr>
          <w:rFonts w:eastAsia="Calibri" w:hint="cs"/>
          <w:rtl/>
        </w:rPr>
        <w:t>הגפ"ם האולפיני יש להופכו לפרופילן באיכות פולימר. לשם כך</w:t>
      </w:r>
      <w:r w:rsidRPr="006114CB">
        <w:rPr>
          <w:rFonts w:eastAsia="Calibri" w:hint="cs"/>
          <w:sz w:val="24"/>
          <w:rtl/>
        </w:rPr>
        <w:t xml:space="preserve"> יש לעשות שני דברים: </w:t>
      </w:r>
      <w:r w:rsidRPr="006114CB">
        <w:rPr>
          <w:rFonts w:ascii="David" w:eastAsia="Calibri" w:hAnsi="David"/>
          <w:rtl/>
        </w:rPr>
        <w:t xml:space="preserve">להקים מתקן הפרדה </w:t>
      </w:r>
      <w:r w:rsidRPr="006114CB">
        <w:rPr>
          <w:rFonts w:ascii="David" w:eastAsia="Calibri" w:hAnsi="David" w:hint="cs"/>
          <w:rtl/>
        </w:rPr>
        <w:t>המ</w:t>
      </w:r>
      <w:r w:rsidRPr="006114CB">
        <w:rPr>
          <w:rFonts w:ascii="David" w:eastAsia="Calibri" w:hAnsi="David"/>
          <w:rtl/>
        </w:rPr>
        <w:t>פריד בין פרופילן לפרופ</w:t>
      </w:r>
      <w:r w:rsidRPr="006114CB">
        <w:rPr>
          <w:rFonts w:ascii="David" w:eastAsia="Calibri" w:hAnsi="David" w:hint="cs"/>
          <w:rtl/>
        </w:rPr>
        <w:t>א</w:t>
      </w:r>
      <w:r w:rsidRPr="006114CB">
        <w:rPr>
          <w:rFonts w:ascii="David" w:eastAsia="Calibri" w:hAnsi="David"/>
          <w:rtl/>
        </w:rPr>
        <w:t>ן</w:t>
      </w:r>
      <w:r w:rsidRPr="006114CB">
        <w:rPr>
          <w:rFonts w:ascii="David" w:eastAsia="Calibri" w:hAnsi="David" w:hint="cs"/>
          <w:rtl/>
        </w:rPr>
        <w:t>,</w:t>
      </w:r>
      <w:r w:rsidRPr="006114CB">
        <w:rPr>
          <w:rFonts w:ascii="David" w:eastAsia="Calibri" w:hAnsi="David"/>
          <w:rtl/>
        </w:rPr>
        <w:t xml:space="preserve"> </w:t>
      </w:r>
      <w:r w:rsidRPr="006114CB">
        <w:rPr>
          <w:rFonts w:ascii="David" w:eastAsia="Calibri" w:hAnsi="David" w:hint="cs"/>
          <w:rtl/>
        </w:rPr>
        <w:t>ב</w:t>
      </w:r>
      <w:r w:rsidRPr="006114CB">
        <w:rPr>
          <w:rFonts w:ascii="David" w:eastAsia="Calibri" w:hAnsi="David"/>
          <w:rtl/>
        </w:rPr>
        <w:t xml:space="preserve">עלות </w:t>
      </w:r>
      <w:r w:rsidRPr="006114CB">
        <w:rPr>
          <w:rFonts w:ascii="David" w:eastAsia="Calibri" w:hAnsi="David" w:hint="cs"/>
          <w:rtl/>
        </w:rPr>
        <w:t>מוערכת</w:t>
      </w:r>
      <w:r w:rsidRPr="006114CB">
        <w:rPr>
          <w:rFonts w:ascii="David" w:eastAsia="Calibri" w:hAnsi="David"/>
          <w:rtl/>
        </w:rPr>
        <w:t xml:space="preserve"> </w:t>
      </w:r>
      <w:r w:rsidRPr="006114CB">
        <w:rPr>
          <w:rFonts w:ascii="David" w:eastAsia="Calibri" w:hAnsi="David" w:hint="cs"/>
          <w:rtl/>
        </w:rPr>
        <w:t>של כ-70</w:t>
      </w:r>
      <w:r w:rsidRPr="006114CB">
        <w:rPr>
          <w:rFonts w:ascii="David" w:eastAsia="Calibri" w:hAnsi="David"/>
          <w:rtl/>
        </w:rPr>
        <w:t xml:space="preserve"> מ</w:t>
      </w:r>
      <w:r w:rsidRPr="006114CB">
        <w:rPr>
          <w:rFonts w:ascii="David" w:eastAsia="Calibri" w:hAnsi="David" w:hint="cs"/>
          <w:rtl/>
        </w:rPr>
        <w:t>י</w:t>
      </w:r>
      <w:r w:rsidRPr="006114CB">
        <w:rPr>
          <w:rFonts w:ascii="David" w:eastAsia="Calibri" w:hAnsi="David"/>
          <w:rtl/>
        </w:rPr>
        <w:t>ל</w:t>
      </w:r>
      <w:r w:rsidRPr="006114CB">
        <w:rPr>
          <w:rFonts w:ascii="David" w:eastAsia="Calibri" w:hAnsi="David" w:hint="cs"/>
          <w:rtl/>
        </w:rPr>
        <w:t xml:space="preserve">יון דולר; ולהקים </w:t>
      </w:r>
      <w:r w:rsidRPr="006114CB">
        <w:rPr>
          <w:rFonts w:ascii="David" w:eastAsia="Calibri" w:hAnsi="David"/>
          <w:rtl/>
        </w:rPr>
        <w:t>מכל</w:t>
      </w:r>
      <w:r w:rsidRPr="006114CB">
        <w:rPr>
          <w:rFonts w:ascii="David" w:eastAsia="Calibri" w:hAnsi="David" w:hint="cs"/>
          <w:rtl/>
        </w:rPr>
        <w:t>י אחסון</w:t>
      </w:r>
      <w:r w:rsidRPr="006114CB">
        <w:rPr>
          <w:rFonts w:ascii="David" w:eastAsia="Calibri" w:hAnsi="David"/>
          <w:rtl/>
        </w:rPr>
        <w:t xml:space="preserve"> של 7,500 </w:t>
      </w:r>
      <w:r w:rsidRPr="006114CB">
        <w:rPr>
          <w:rFonts w:ascii="David" w:eastAsia="Calibri" w:hAnsi="David" w:hint="cs"/>
          <w:rtl/>
        </w:rPr>
        <w:t>טונה לכל הפחות,</w:t>
      </w:r>
      <w:r w:rsidRPr="006114CB">
        <w:rPr>
          <w:rFonts w:ascii="David" w:eastAsia="Calibri" w:hAnsi="David"/>
          <w:rtl/>
        </w:rPr>
        <w:t xml:space="preserve"> </w:t>
      </w:r>
      <w:r w:rsidRPr="006114CB">
        <w:rPr>
          <w:rFonts w:ascii="David" w:eastAsia="Calibri" w:hAnsi="David" w:hint="cs"/>
          <w:rtl/>
        </w:rPr>
        <w:t>ב</w:t>
      </w:r>
      <w:r w:rsidRPr="006114CB">
        <w:rPr>
          <w:rFonts w:ascii="David" w:eastAsia="Calibri" w:hAnsi="David"/>
          <w:rtl/>
        </w:rPr>
        <w:t xml:space="preserve">עלות </w:t>
      </w:r>
      <w:r w:rsidRPr="006114CB">
        <w:rPr>
          <w:rFonts w:ascii="David" w:eastAsia="Calibri" w:hAnsi="David" w:hint="cs"/>
          <w:rtl/>
        </w:rPr>
        <w:t xml:space="preserve">של </w:t>
      </w:r>
      <w:r w:rsidRPr="006114CB">
        <w:rPr>
          <w:rFonts w:ascii="David" w:eastAsia="Calibri" w:hAnsi="David"/>
          <w:rtl/>
        </w:rPr>
        <w:t>כ-</w:t>
      </w:r>
      <w:r w:rsidRPr="006114CB">
        <w:rPr>
          <w:rFonts w:ascii="David" w:eastAsia="Calibri" w:hAnsi="David" w:hint="cs"/>
          <w:rtl/>
        </w:rPr>
        <w:t>65</w:t>
      </w:r>
      <w:r w:rsidRPr="006114CB">
        <w:rPr>
          <w:rFonts w:ascii="David" w:eastAsia="Calibri" w:hAnsi="David"/>
          <w:rtl/>
        </w:rPr>
        <w:t xml:space="preserve"> מ</w:t>
      </w:r>
      <w:r w:rsidRPr="006114CB">
        <w:rPr>
          <w:rFonts w:ascii="David" w:eastAsia="Calibri" w:hAnsi="David" w:hint="cs"/>
          <w:rtl/>
        </w:rPr>
        <w:t>י</w:t>
      </w:r>
      <w:r w:rsidRPr="006114CB">
        <w:rPr>
          <w:rFonts w:ascii="David" w:eastAsia="Calibri" w:hAnsi="David"/>
          <w:rtl/>
        </w:rPr>
        <w:t>ל</w:t>
      </w:r>
      <w:r w:rsidRPr="006114CB">
        <w:rPr>
          <w:rFonts w:ascii="David" w:eastAsia="Calibri" w:hAnsi="David" w:hint="cs"/>
          <w:rtl/>
        </w:rPr>
        <w:t>יון</w:t>
      </w:r>
      <w:r>
        <w:rPr>
          <w:rFonts w:ascii="David" w:eastAsia="Calibri" w:hAnsi="David" w:hint="cs"/>
          <w:rtl/>
        </w:rPr>
        <w:t xml:space="preserve"> </w:t>
      </w:r>
      <w:r w:rsidRPr="006114CB">
        <w:rPr>
          <w:rFonts w:ascii="David" w:eastAsia="Calibri" w:hAnsi="David" w:hint="cs"/>
          <w:rtl/>
        </w:rPr>
        <w:t>דולר</w:t>
      </w:r>
      <w:r>
        <w:rPr>
          <w:rFonts w:ascii="David" w:eastAsia="Calibri" w:hAnsi="David"/>
          <w:vertAlign w:val="superscript"/>
          <w:rtl/>
        </w:rPr>
        <w:footnoteReference w:id="47"/>
      </w:r>
      <w:r w:rsidRPr="006114CB">
        <w:rPr>
          <w:rFonts w:ascii="David" w:eastAsia="Calibri" w:hAnsi="David"/>
          <w:rtl/>
        </w:rPr>
        <w:t>.</w:t>
      </w:r>
      <w:r w:rsidRPr="006114CB">
        <w:rPr>
          <w:rFonts w:eastAsia="Calibri" w:hint="cs"/>
          <w:rtl/>
        </w:rPr>
        <w:t xml:space="preserve"> </w:t>
      </w:r>
      <w:r w:rsidRPr="006114CB">
        <w:rPr>
          <w:rFonts w:eastAsia="Calibri" w:hint="cs"/>
          <w:sz w:val="24"/>
          <w:rtl/>
        </w:rPr>
        <w:t>לאלה יתווספו עלויות הובלה ימית (כ-150 דולר לטון) ועלויות תפעול שוטפות של ה</w:t>
      </w:r>
      <w:r w:rsidRPr="006114CB">
        <w:rPr>
          <w:rFonts w:eastAsia="Calibri" w:hint="eastAsia"/>
          <w:sz w:val="24"/>
          <w:rtl/>
        </w:rPr>
        <w:t>מִקשר</w:t>
      </w:r>
      <w:r w:rsidRPr="006114CB">
        <w:rPr>
          <w:rFonts w:eastAsia="Calibri" w:hint="cs"/>
          <w:sz w:val="24"/>
          <w:rtl/>
        </w:rPr>
        <w:t xml:space="preserve"> שעתיד לקום באשדוד לפי החלטת הממשלה</w:t>
      </w:r>
      <w:r>
        <w:rPr>
          <w:rFonts w:eastAsia="Calibri"/>
          <w:sz w:val="24"/>
          <w:vertAlign w:val="superscript"/>
          <w:rtl/>
        </w:rPr>
        <w:footnoteReference w:id="48"/>
      </w:r>
      <w:r w:rsidRPr="006114CB">
        <w:rPr>
          <w:rFonts w:eastAsia="Calibri" w:hint="cs"/>
          <w:sz w:val="24"/>
          <w:rtl/>
        </w:rPr>
        <w:t>. בז"א סבור כי מדובר בהשקעה כספית נכבדת מצידו, ומנגד אין לו ערובה שתהיה תשואה להשקעה ואין התחייבות של המדינה להמשך פעילותו של בז"א.</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sz w:val="24"/>
          <w:rtl/>
        </w:rPr>
      </w:pPr>
      <w:r w:rsidRPr="006114CB">
        <w:rPr>
          <w:rFonts w:eastAsia="Calibri" w:hint="cs"/>
          <w:sz w:val="24"/>
          <w:rtl/>
        </w:rPr>
        <w:t>בינואר 2025 הוגשה למינהלת לפיתוח מפרץ חיפה עבודה בנושא גפ"ם אולפיני. העבודה נעשתה במסגרת בחינת יישום החלטת הממשלה 1231 וההיערכות לסגירת בז"ן וכאו"ל, והמשמעויות הנגזרות מכך לגבי בז"א. מהעבודה עולה כי אין פתרון לשימוש במרבית הגפ"ם האולפיני מלבד יצוא, וכי לצורך כך יש להקים תשתיות מתאימות.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sz w:val="24"/>
          <w:rtl/>
        </w:rPr>
      </w:pPr>
      <w:r w:rsidRPr="006114CB">
        <w:rPr>
          <w:rFonts w:eastAsia="Calibri" w:hint="cs"/>
          <w:rtl/>
        </w:rPr>
        <w:t>ביוני 2025 העלה בז"א לפני מינהל הדלק את השלכות סגירת בז"ן על האחסון והטיפול בגפ"ם האולפיני בבז"א ואת ההשקעה הכספית הנדרשת להקמת תשתיות ליצוא.</w:t>
      </w:r>
      <w:r w:rsidRPr="006114CB">
        <w:rPr>
          <w:rFonts w:eastAsia="Calibri" w:hint="cs"/>
          <w:sz w:val="24"/>
          <w:rtl/>
        </w:rPr>
        <w:t xml:space="preserve"> בז"א ביקש כי מינהל הדלק ייזום דיון דחוף ורחב היקף לצורך בחינה יסודית של ההשלכות וגיבוש מענה כולל ואחראי שיבטיח את המשך הפעילות התקינה של בז"א.</w:t>
      </w:r>
    </w:p>
    <w:p w:rsidR="006114CB" w:rsidRPr="006114CB" w:rsidP="002F4530">
      <w:pPr>
        <w:keepNext/>
        <w:keepLines/>
        <w:spacing w:line="269" w:lineRule="auto"/>
        <w:ind w:left="-567"/>
        <w:rPr>
          <w:rFonts w:eastAsia="Calibri"/>
          <w:szCs w:val="20"/>
          <w:rtl/>
        </w:rPr>
      </w:pPr>
    </w:p>
    <w:p w:rsidR="006114CB" w:rsidP="002F4530">
      <w:pPr>
        <w:spacing w:line="269" w:lineRule="auto"/>
        <w:rPr>
          <w:rFonts w:eastAsia="Calibri"/>
          <w:sz w:val="24"/>
          <w:rtl/>
        </w:rPr>
      </w:pPr>
      <w:r w:rsidRPr="006114CB">
        <w:rPr>
          <w:rFonts w:eastAsia="Calibri" w:hint="cs"/>
          <w:sz w:val="24"/>
          <w:rtl/>
        </w:rPr>
        <w:t>בנובמבר 2025 בחן מינהל הדלק את החלופות האפשריות לגפ"ם האולפיני שמייצר בז"א. הפתרונות הטכניים האפשריים הם: ערבוב גפ"ם של בז"א עם גפ"ם מיובא; יצוא אולפינים; עיבוד אולפינים בתחומי בז"א; וצירוף פתרונות חלקיים: מיהול</w:t>
      </w:r>
      <w:r>
        <w:rPr>
          <w:rFonts w:eastAsia="Calibri"/>
          <w:sz w:val="24"/>
          <w:vertAlign w:val="superscript"/>
          <w:rtl/>
        </w:rPr>
        <w:footnoteReference w:id="49"/>
      </w:r>
      <w:r w:rsidRPr="006114CB">
        <w:rPr>
          <w:rFonts w:eastAsia="Calibri" w:hint="cs"/>
          <w:sz w:val="24"/>
          <w:rtl/>
        </w:rPr>
        <w:t>, הידרוגנציה</w:t>
      </w:r>
      <w:r>
        <w:rPr>
          <w:rFonts w:eastAsia="Calibri"/>
          <w:sz w:val="24"/>
          <w:vertAlign w:val="superscript"/>
          <w:rtl/>
        </w:rPr>
        <w:footnoteReference w:id="50"/>
      </w:r>
      <w:r w:rsidRPr="006114CB">
        <w:rPr>
          <w:rFonts w:eastAsia="Calibri" w:hint="cs"/>
          <w:sz w:val="24"/>
          <w:rtl/>
        </w:rPr>
        <w:t>, הפחתת ייצור, לקוחות מיוחדים ועוד. מינהל הדלק המליץ לבחון את החלופות הבאות: דילול גפ"ם אולפיני על ידי גפ"ם מיובא; יצוא פרופילן גולמי (בדומה להצעת בז"א); ושימוש מיטבי בפרופילן. לכל חלופה יש יתרונות וחסרונות.</w:t>
      </w:r>
    </w:p>
    <w:p w:rsidR="00086C69" w:rsidRPr="006114CB" w:rsidP="002F4530">
      <w:pPr>
        <w:spacing w:line="269" w:lineRule="auto"/>
        <w:rPr>
          <w:rFonts w:eastAsia="Calibri"/>
          <w:sz w:val="24"/>
          <w:rtl/>
        </w:rPr>
      </w:pPr>
    </w:p>
    <w:p w:rsidR="006114CB" w:rsidRPr="006114CB" w:rsidP="002F4530">
      <w:pPr>
        <w:spacing w:line="269" w:lineRule="auto"/>
        <w:rPr>
          <w:rFonts w:eastAsia="Calibri"/>
          <w:sz w:val="24"/>
          <w:rtl/>
        </w:rPr>
      </w:pPr>
      <w:r w:rsidRPr="006114CB">
        <w:rPr>
          <w:rFonts w:eastAsia="Calibri" w:hint="cs"/>
          <w:sz w:val="24"/>
          <w:rtl/>
        </w:rPr>
        <w:t xml:space="preserve">בנובמבר 2025 מסר בז"א למשרד מבקר המדינה כי נושא הגפ"ם האולפיני נדון בימים אלה מול מינהל הדלק, חנ"י והמועצה הלאומית לכלכלה. בז"א מגבש את עמדתו בדבר עלויות הקמת מתקנים שיאפשרו יצוא גפ"ם אולפיני לאחר סגירת בז"ן (מִקשר לייצוא פרופילן, מכלי אחסון ומתקן הפרדה), וצפוי להעביר את עמדתו למינהל הדלק. </w:t>
      </w:r>
    </w:p>
    <w:p w:rsidR="006114CB" w:rsidRPr="006114CB" w:rsidP="002F4530">
      <w:pPr>
        <w:spacing w:line="269" w:lineRule="auto"/>
        <w:rPr>
          <w:rFonts w:eastAsia="Calibri"/>
          <w:b/>
          <w:bCs/>
          <w:sz w:val="24"/>
          <w:rtl/>
        </w:rPr>
      </w:pPr>
      <w:r w:rsidRPr="006114CB">
        <w:rPr>
          <w:rFonts w:eastAsia="Calibri" w:hint="cs"/>
          <w:b/>
          <w:bCs/>
          <w:sz w:val="24"/>
          <w:rtl/>
        </w:rPr>
        <w:t xml:space="preserve">בנספח א' להחלטת הממשלה 1231 על סגירת בז"ן נקבעה רשימת תנאים שללא התקיימותם לא תופסק פעילות </w:t>
      </w:r>
      <w:r w:rsidRPr="006114CB" w:rsidR="00A23EA9">
        <w:rPr>
          <w:rFonts w:eastAsia="Calibri" w:hint="cs"/>
          <w:b/>
          <w:bCs/>
          <w:sz w:val="24"/>
          <w:rtl/>
        </w:rPr>
        <w:t>התעשיי</w:t>
      </w:r>
      <w:r w:rsidRPr="006114CB" w:rsidR="00A23EA9">
        <w:rPr>
          <w:rFonts w:eastAsia="Calibri" w:hint="eastAsia"/>
          <w:b/>
          <w:bCs/>
          <w:sz w:val="24"/>
          <w:rtl/>
        </w:rPr>
        <w:t>ה</w:t>
      </w:r>
      <w:r w:rsidRPr="006114CB">
        <w:rPr>
          <w:rFonts w:eastAsia="Calibri" w:hint="cs"/>
          <w:b/>
          <w:bCs/>
          <w:sz w:val="24"/>
          <w:rtl/>
        </w:rPr>
        <w:t xml:space="preserve"> הפטרוכימית במפרץ חיפה. אף שלהחלטה יש השלכות גם על הטיפול בגפ"ם האולפיני שנוצר על ידי בז"א (</w:t>
      </w:r>
      <w:r w:rsidRPr="006114CB">
        <w:rPr>
          <w:rFonts w:eastAsia="Calibri" w:hint="cs"/>
          <w:b/>
          <w:bCs/>
          <w:rtl/>
        </w:rPr>
        <w:t>כ-80,000 טונה</w:t>
      </w:r>
      <w:r w:rsidRPr="006114CB">
        <w:rPr>
          <w:rFonts w:eastAsia="Calibri" w:hint="cs"/>
          <w:rtl/>
        </w:rPr>
        <w:t xml:space="preserve"> </w:t>
      </w:r>
      <w:r w:rsidRPr="006114CB">
        <w:rPr>
          <w:rFonts w:eastAsia="Calibri" w:hint="cs"/>
          <w:b/>
          <w:bCs/>
          <w:rtl/>
        </w:rPr>
        <w:t xml:space="preserve">בשנה), </w:t>
      </w:r>
      <w:r w:rsidRPr="006114CB">
        <w:rPr>
          <w:rFonts w:eastAsia="Calibri" w:hint="cs"/>
          <w:b/>
          <w:bCs/>
          <w:sz w:val="24"/>
          <w:rtl/>
        </w:rPr>
        <w:t xml:space="preserve">נושא הגפ"ם האולפיני לא נכלל בנספח. </w:t>
      </w:r>
      <w:r w:rsidRPr="006114CB">
        <w:rPr>
          <w:rFonts w:eastAsia="Calibri" w:hint="cs"/>
          <w:b/>
          <w:bCs/>
          <w:rtl/>
        </w:rPr>
        <w:t>מאחר ש</w:t>
      </w:r>
      <w:r w:rsidRPr="006114CB">
        <w:rPr>
          <w:rFonts w:eastAsia="Calibri" w:hint="cs"/>
          <w:b/>
          <w:bCs/>
          <w:sz w:val="24"/>
          <w:rtl/>
        </w:rPr>
        <w:t>אין כיום תשתית ליצוא גפ"ם אולפיני,</w:t>
      </w:r>
      <w:r w:rsidRPr="006114CB">
        <w:rPr>
          <w:rFonts w:eastAsia="Calibri" w:hint="cs"/>
          <w:b/>
          <w:bCs/>
          <w:rtl/>
        </w:rPr>
        <w:t xml:space="preserve"> בז"א אינו יכול לייצא אותו, וגם אין לו די מקום לאחסן אותו בחצריו.</w:t>
      </w:r>
      <w:r w:rsidRPr="006114CB">
        <w:rPr>
          <w:rFonts w:eastAsia="Calibri" w:hint="cs"/>
          <w:b/>
          <w:bCs/>
          <w:sz w:val="24"/>
          <w:rtl/>
        </w:rPr>
        <w:t xml:space="preserve"> בחלוף כארבע שנים מקבלת החלטת הממשלה 1231 טרם נבחרה חלופה לטיפול בגפ"ם האולפיני</w:t>
      </w:r>
      <w:r>
        <w:rPr>
          <w:rFonts w:eastAsia="Calibri"/>
          <w:b/>
          <w:bCs/>
          <w:sz w:val="24"/>
          <w:vertAlign w:val="superscript"/>
          <w:rtl/>
        </w:rPr>
        <w:footnoteReference w:id="51"/>
      </w:r>
      <w:r w:rsidRPr="006114CB">
        <w:rPr>
          <w:rFonts w:eastAsia="Calibri" w:hint="cs"/>
          <w:b/>
          <w:bCs/>
          <w:sz w:val="24"/>
          <w:rtl/>
        </w:rPr>
        <w:t xml:space="preserve"> של בז"א.</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sz w:val="24"/>
          <w:rtl/>
        </w:rPr>
      </w:pPr>
      <w:r w:rsidRPr="006114CB">
        <w:rPr>
          <w:rFonts w:eastAsia="Calibri" w:hint="cs"/>
          <w:sz w:val="24"/>
          <w:rtl/>
        </w:rPr>
        <w:t xml:space="preserve">בתשובתה למשרד מבקר המדינה ממרץ 2026 מסרה המועצה הלאומית לכלכלה כי די בהקמת מתקני אחסון ומקשר ימי כדי שבז"א יוכל לייצא גפ"ם אולפיני גם ללא הקמת מתקן הפרדה שיביא לשיפור רמתו ולכדאיות רכישתו על ידי גורמים חוץ לישראל. עוד מסרה המועצה הלאומית לכלכלה כי נושא הגפ"ם האולפיני לא נכלל בנספח א' מאחר שהמדינה אינה צריכה, לדעתה, לדאוג לכל התשתיות. זאת ועוד, מאז התקבלה החלטת הממשלה 1231 ביצעה המדינה מהלכים משמעותיים כדי לקדם את חלופת הייצוא: (א) אישור פורמלי (במסגרת תמ"א 32) להקמת מכלי אחסון ל-10,000 טון גפ"ם (לרבות גפ"ם אולפיני) בשטח בז"א. (ב) </w:t>
      </w:r>
      <w:r w:rsidRPr="006114CB">
        <w:rPr>
          <w:rFonts w:eastAsia="Calibri" w:hint="eastAsia"/>
          <w:sz w:val="24"/>
          <w:rtl/>
        </w:rPr>
        <w:t>אישור</w:t>
      </w:r>
      <w:r w:rsidRPr="006114CB">
        <w:rPr>
          <w:rFonts w:eastAsia="Calibri" w:hint="cs"/>
          <w:sz w:val="24"/>
          <w:rtl/>
        </w:rPr>
        <w:t xml:space="preserve"> תת"ל 81א, המאפשרת שיפוץ או החלפה של מקשרי הדלק באשדוד והוספת שני צינורות ימיים (אחד מהם מיועד לגפ"ם</w:t>
      </w:r>
      <w:r>
        <w:rPr>
          <w:rFonts w:ascii="David" w:eastAsia="Calibri" w:hAnsi="David" w:hint="cs"/>
          <w:b/>
          <w:bCs/>
          <w:rtl/>
        </w:rPr>
        <w:t xml:space="preserve"> </w:t>
      </w:r>
      <w:r w:rsidRPr="006114CB">
        <w:rPr>
          <w:rFonts w:eastAsia="Calibri" w:hint="cs"/>
          <w:sz w:val="24"/>
          <w:rtl/>
        </w:rPr>
        <w:t xml:space="preserve">אולפיני), לרבות הקמת צנרת גפ"ם וצנרת גפ"ם אולפיני עד לגדר של בז"א כדי לאפשר את הייצוא. בד בבד קידמה חנ"י מכרז להקמת המקשרים, בחרה זוכה בסתיו 2025 ונמצאת בתחילת עבודות - שצפויות להימשך עד 2029. כמו כן, משרד האנרגיה מוביל זה כשנתיים מהלך לקבלת פטור ממכרז לתש"א להפעלת המקשרים. רשות התחרות אישרה את המהלך והוא נמצא "בישורת האחרונה".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sz w:val="24"/>
          <w:rtl/>
        </w:rPr>
      </w:pPr>
      <w:r w:rsidRPr="006114CB">
        <w:rPr>
          <w:rFonts w:eastAsia="Calibri" w:hint="cs"/>
          <w:sz w:val="24"/>
          <w:rtl/>
        </w:rPr>
        <w:t>בתשובתו למשרד מבקר המדינה ממאי 2026 מסר משרד האנרגיה כי במסגרת בחינה כוללת שהוא מבצע נבחנות חלופות להקמת מתקני גפ"ם. כמו כן, המשרד מקדם את הקמת המקשרים הימיים באשדוד ומלווה את כלל הגורמים הרלוונטיים.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b/>
          <w:bCs/>
          <w:sz w:val="24"/>
          <w:rtl/>
        </w:rPr>
        <w:t xml:space="preserve">כחלק מהמהלך לסגירת בז"ן על המועצה הלאומית לכלכלה, משרד האנרגיה, משרד התחבורה וחנ"י לסיים את הליך בחינת החלופות לגפ"ם האולפיני ובכלל זה הקמת מתקנים שיאפשרו את ביצוע החלופה שתיבחר וקביעת זהותם של הגורמים שיממנו את המיזם. על שרת התחבורה לפעול, </w:t>
      </w:r>
      <w:r w:rsidRPr="006114CB">
        <w:rPr>
          <w:rFonts w:eastAsia="Calibri" w:hint="cs"/>
          <w:b/>
          <w:bCs/>
          <w:rtl/>
        </w:rPr>
        <w:t xml:space="preserve">לבחון ולתכנן הקמה של מבנים ימיים נמליים (או מקשר ימי) ליבוא וליצוא של גפ"ם רגיל וגפ"ם אולפיני במרחב הנמלי באשדוד </w:t>
      </w:r>
      <w:r w:rsidRPr="006114CB">
        <w:rPr>
          <w:rFonts w:eastAsia="Calibri" w:hint="eastAsia"/>
          <w:b/>
          <w:bCs/>
          <w:rtl/>
        </w:rPr>
        <w:t>וככל</w:t>
      </w:r>
      <w:r w:rsidRPr="006114CB">
        <w:rPr>
          <w:rFonts w:eastAsia="Calibri"/>
          <w:b/>
          <w:bCs/>
          <w:rtl/>
        </w:rPr>
        <w:t xml:space="preserve"> שיוחלט על הקמתם, </w:t>
      </w:r>
      <w:r w:rsidRPr="006114CB">
        <w:rPr>
          <w:rFonts w:eastAsia="Calibri" w:hint="cs"/>
          <w:b/>
          <w:bCs/>
          <w:rtl/>
        </w:rPr>
        <w:t>לה</w:t>
      </w:r>
      <w:r w:rsidRPr="006114CB">
        <w:rPr>
          <w:rFonts w:eastAsia="Calibri" w:hint="eastAsia"/>
          <w:b/>
          <w:bCs/>
          <w:rtl/>
        </w:rPr>
        <w:t>גיש</w:t>
      </w:r>
      <w:r w:rsidRPr="006114CB">
        <w:rPr>
          <w:rFonts w:eastAsia="Calibri"/>
          <w:b/>
          <w:bCs/>
          <w:rtl/>
        </w:rPr>
        <w:t xml:space="preserve"> </w:t>
      </w:r>
      <w:r w:rsidRPr="006114CB">
        <w:rPr>
          <w:rFonts w:eastAsia="Calibri" w:hint="eastAsia"/>
          <w:b/>
          <w:bCs/>
          <w:rtl/>
        </w:rPr>
        <w:t>ת</w:t>
      </w:r>
      <w:r w:rsidRPr="006114CB">
        <w:rPr>
          <w:rFonts w:eastAsia="Calibri" w:hint="cs"/>
          <w:b/>
          <w:bCs/>
          <w:rtl/>
        </w:rPr>
        <w:t>ו</w:t>
      </w:r>
      <w:r w:rsidRPr="006114CB">
        <w:rPr>
          <w:rFonts w:eastAsia="Calibri" w:hint="eastAsia"/>
          <w:b/>
          <w:bCs/>
          <w:rtl/>
        </w:rPr>
        <w:t>כניות</w:t>
      </w:r>
      <w:r w:rsidRPr="006114CB">
        <w:rPr>
          <w:rFonts w:eastAsia="Calibri"/>
          <w:b/>
          <w:bCs/>
          <w:rtl/>
        </w:rPr>
        <w:t xml:space="preserve"> </w:t>
      </w:r>
      <w:r w:rsidRPr="006114CB">
        <w:rPr>
          <w:rFonts w:eastAsia="Calibri" w:hint="eastAsia"/>
          <w:b/>
          <w:bCs/>
          <w:rtl/>
        </w:rPr>
        <w:t>למוסדות</w:t>
      </w:r>
      <w:r w:rsidRPr="006114CB">
        <w:rPr>
          <w:rFonts w:eastAsia="Calibri"/>
          <w:b/>
          <w:bCs/>
          <w:rtl/>
        </w:rPr>
        <w:t xml:space="preserve"> </w:t>
      </w:r>
      <w:r w:rsidRPr="006114CB">
        <w:rPr>
          <w:rFonts w:eastAsia="Calibri" w:hint="eastAsia"/>
          <w:b/>
          <w:bCs/>
          <w:rtl/>
        </w:rPr>
        <w:t>התכנון</w:t>
      </w:r>
      <w:r w:rsidRPr="006114CB">
        <w:rPr>
          <w:rFonts w:eastAsia="Calibri"/>
          <w:b/>
          <w:bCs/>
          <w:rtl/>
        </w:rPr>
        <w:t>.</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4"/>
        <w:rPr>
          <w:rFonts w:eastAsia="Times New Roman"/>
          <w:bCs/>
          <w:spacing w:val="40"/>
          <w:rtl/>
        </w:rPr>
      </w:pPr>
      <w:r w:rsidRPr="006114CB">
        <w:rPr>
          <w:rFonts w:eastAsia="Times New Roman" w:hint="cs"/>
          <w:bCs/>
          <w:spacing w:val="40"/>
          <w:rtl/>
        </w:rPr>
        <w:t>פגיעות ותקלות בבתי הזיקוק</w:t>
      </w:r>
    </w:p>
    <w:p w:rsidR="006114CB" w:rsidRPr="006114CB" w:rsidP="002F4530">
      <w:pPr>
        <w:spacing w:line="269" w:lineRule="auto"/>
        <w:rPr>
          <w:rFonts w:eastAsia="Calibri"/>
          <w:rtl/>
        </w:rPr>
      </w:pPr>
    </w:p>
    <w:p w:rsidR="006114CB" w:rsidRPr="006114CB" w:rsidP="002F4530">
      <w:pPr>
        <w:spacing w:line="269" w:lineRule="auto"/>
        <w:rPr>
          <w:rFonts w:eastAsia="Calibri"/>
          <w:rtl/>
        </w:rPr>
      </w:pPr>
      <w:r w:rsidRPr="006114CB">
        <w:rPr>
          <w:rFonts w:eastAsia="Calibri" w:hint="cs"/>
          <w:rtl/>
        </w:rPr>
        <w:t>בשנת 2025 אירעו פגיעות ותקלות בבתי הזיקוק, כמפורט להלן.</w:t>
      </w:r>
    </w:p>
    <w:p w:rsidR="006114CB" w:rsidRPr="006114CB" w:rsidP="002F4530">
      <w:pPr>
        <w:keepNext/>
        <w:keepLines/>
        <w:spacing w:line="269" w:lineRule="auto"/>
        <w:ind w:left="-567"/>
        <w:rPr>
          <w:rFonts w:eastAsia="Calibri"/>
          <w:szCs w:val="20"/>
          <w:rtl/>
        </w:rPr>
      </w:pPr>
    </w:p>
    <w:p w:rsidR="006114CB" w:rsidRPr="006114CB" w:rsidP="002F4530">
      <w:pPr>
        <w:keepNext/>
        <w:keepLines/>
        <w:numPr>
          <w:ilvl w:val="0"/>
          <w:numId w:val="12"/>
        </w:numPr>
        <w:spacing w:line="269" w:lineRule="auto"/>
        <w:ind w:left="312"/>
        <w:outlineLvl w:val="5"/>
        <w:rPr>
          <w:rFonts w:eastAsia="Times New Roman"/>
          <w:spacing w:val="40"/>
          <w:rtl/>
        </w:rPr>
      </w:pPr>
      <w:r w:rsidRPr="006114CB">
        <w:rPr>
          <w:rFonts w:eastAsia="Times New Roman" w:hint="cs"/>
          <w:spacing w:val="40"/>
          <w:rtl/>
        </w:rPr>
        <w:t>פגיעות בבז"ן</w:t>
      </w:r>
    </w:p>
    <w:p w:rsidR="006114CB" w:rsidRPr="006114CB" w:rsidP="002F4530">
      <w:pPr>
        <w:rPr>
          <w:rFonts w:eastAsia="Calibri"/>
          <w:rtl/>
        </w:rPr>
      </w:pPr>
    </w:p>
    <w:p w:rsidR="006114CB" w:rsidRPr="006114CB" w:rsidP="002F4530">
      <w:pPr>
        <w:spacing w:line="269" w:lineRule="auto"/>
        <w:ind w:left="312"/>
        <w:rPr>
          <w:rFonts w:ascii="David" w:eastAsia="Calibri" w:hAnsi="David"/>
          <w:rtl/>
        </w:rPr>
      </w:pPr>
      <w:r w:rsidRPr="006114CB">
        <w:rPr>
          <w:rFonts w:ascii="David" w:eastAsia="Calibri" w:hAnsi="David"/>
          <w:rtl/>
        </w:rPr>
        <w:t xml:space="preserve">באמצע יוני 2025, במהלך מבצע עם כלביא, </w:t>
      </w:r>
      <w:r w:rsidRPr="006114CB">
        <w:rPr>
          <w:rFonts w:ascii="David" w:eastAsia="Calibri" w:hAnsi="David" w:hint="cs"/>
          <w:rtl/>
        </w:rPr>
        <w:t>הודיע</w:t>
      </w:r>
      <w:r w:rsidRPr="006114CB">
        <w:rPr>
          <w:rFonts w:ascii="David" w:eastAsia="Calibri" w:hAnsi="David"/>
          <w:rtl/>
        </w:rPr>
        <w:t xml:space="preserve"> בז"ן</w:t>
      </w:r>
      <w:r w:rsidRPr="006114CB">
        <w:rPr>
          <w:rFonts w:ascii="David" w:eastAsia="Calibri" w:hAnsi="David" w:hint="cs"/>
          <w:rtl/>
        </w:rPr>
        <w:t xml:space="preserve"> לבורסה לניירות ערך</w:t>
      </w:r>
      <w:r>
        <w:rPr>
          <w:rFonts w:ascii="David" w:eastAsia="Calibri" w:hAnsi="David"/>
          <w:vertAlign w:val="superscript"/>
          <w:rtl/>
        </w:rPr>
        <w:footnoteReference w:id="52"/>
      </w:r>
      <w:r w:rsidRPr="006114CB">
        <w:rPr>
          <w:rFonts w:ascii="David" w:eastAsia="Calibri" w:hAnsi="David" w:hint="cs"/>
          <w:rtl/>
        </w:rPr>
        <w:t xml:space="preserve"> (להלן - ההודעה הראשונה) כי בהתקפת הטילים לצפון הארץ נפגעו באופן נקודתי קווי צנרת והולכה בין מתקנים במתחם בז"ן</w:t>
      </w:r>
      <w:r w:rsidRPr="006114CB">
        <w:rPr>
          <w:rFonts w:ascii="David" w:eastAsia="Calibri" w:hAnsi="David"/>
          <w:rtl/>
        </w:rPr>
        <w:t>.</w:t>
      </w:r>
      <w:r w:rsidRPr="006114CB">
        <w:rPr>
          <w:rFonts w:ascii="David" w:eastAsia="Calibri" w:hAnsi="David" w:hint="cs"/>
          <w:rtl/>
        </w:rPr>
        <w:t xml:space="preserve"> החברה ציינה בהודעה כי נכון למועד הדיווח, מתקני הזיקוק ממשיכים לעבוד, וחלק ממתקני ההמשך במתחם הודממו.</w:t>
      </w:r>
      <w:r w:rsidRPr="006114CB">
        <w:rPr>
          <w:rFonts w:ascii="David" w:eastAsia="Calibri" w:hAnsi="David"/>
          <w:rtl/>
        </w:rPr>
        <w:t xml:space="preserve"> </w:t>
      </w:r>
      <w:r w:rsidRPr="006114CB">
        <w:rPr>
          <w:rFonts w:ascii="David" w:eastAsia="Calibri" w:hAnsi="David" w:hint="cs"/>
          <w:rtl/>
        </w:rPr>
        <w:t xml:space="preserve">כן ציינה החברה כי היא בוחנת את השפעת הפגיעה על המשך פעילותה, את אופן החזרתם של מתקני ההמשך האמורים לפעילות ואת עיתויה.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יום לאחר ההודעה הראשונה הודיע בז"ן לבורסה לניירות ערך</w:t>
      </w:r>
      <w:r>
        <w:rPr>
          <w:rFonts w:ascii="David" w:eastAsia="Calibri" w:hAnsi="David"/>
          <w:vertAlign w:val="superscript"/>
          <w:rtl/>
        </w:rPr>
        <w:footnoteReference w:id="53"/>
      </w:r>
      <w:r w:rsidRPr="006114CB">
        <w:rPr>
          <w:rFonts w:ascii="David" w:eastAsia="Calibri" w:hAnsi="David" w:hint="cs"/>
          <w:rtl/>
        </w:rPr>
        <w:t xml:space="preserve"> כי בגלל פגיעה במתחם קבוצת בז"ן נפגעה במידה ניכרת תחנת הכוח האחראית על חלק מייצור הקיטור והחשמל המשמשים </w:t>
      </w:r>
      <w:r w:rsidRPr="006114CB">
        <w:rPr>
          <w:rFonts w:ascii="David" w:eastAsia="Calibri" w:hAnsi="David" w:hint="cs"/>
          <w:rtl/>
        </w:rPr>
        <w:t>את מתקני הקבוצה, לצד פגיעות נוספות, ולעת הזאת הודממו כלל מתקני בית הזיקוק והחברות הבנות. החברה ציינה כי היא פועלת בשיתוף חברת החשמל לבצע בהקדם את הפעולות הנדרשות לאספקת חשמל סדירה למתחם, וכי היא אומדת את הנזקים הנוספים ואת אופן הטיפול המיטבי בהם.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color w:val="FF0000"/>
          <w:rtl/>
        </w:rPr>
      </w:pPr>
      <w:bookmarkStart w:id="7" w:name="_Hlk212534922"/>
      <w:r w:rsidRPr="006114CB">
        <w:rPr>
          <w:rFonts w:ascii="David" w:eastAsia="Calibri" w:hAnsi="David" w:hint="cs"/>
          <w:rtl/>
        </w:rPr>
        <w:t xml:space="preserve">בעקבות זאת </w:t>
      </w:r>
      <w:r w:rsidRPr="006114CB">
        <w:rPr>
          <w:rFonts w:ascii="David" w:eastAsia="Calibri" w:hAnsi="David"/>
          <w:rtl/>
        </w:rPr>
        <w:t>ב</w:t>
      </w:r>
      <w:r w:rsidRPr="006114CB">
        <w:rPr>
          <w:rFonts w:ascii="David" w:eastAsia="Calibri" w:hAnsi="David" w:hint="cs"/>
          <w:rtl/>
        </w:rPr>
        <w:t>אמצע</w:t>
      </w:r>
      <w:r w:rsidRPr="006114CB">
        <w:rPr>
          <w:rFonts w:ascii="David" w:eastAsia="Calibri" w:hAnsi="David"/>
          <w:rtl/>
        </w:rPr>
        <w:t xml:space="preserve"> יוני 2025 </w:t>
      </w:r>
      <w:bookmarkEnd w:id="7"/>
      <w:r w:rsidRPr="006114CB">
        <w:rPr>
          <w:rFonts w:ascii="David" w:eastAsia="Calibri" w:hAnsi="David"/>
          <w:rtl/>
        </w:rPr>
        <w:t>הו</w:t>
      </w:r>
      <w:r w:rsidRPr="006114CB">
        <w:rPr>
          <w:rFonts w:ascii="David" w:eastAsia="Calibri" w:hAnsi="David" w:hint="cs"/>
          <w:rtl/>
        </w:rPr>
        <w:t>רתה מנהלת מינהל הדלק, מכוח סמכותה בצו הפיקוח על מצרכים ושירותים (חרבות ברזל) (הוראת שעה), התשפ"ה-2025,</w:t>
      </w:r>
      <w:r w:rsidRPr="006114CB">
        <w:rPr>
          <w:rFonts w:ascii="David" w:eastAsia="Calibri" w:hAnsi="David"/>
          <w:rtl/>
        </w:rPr>
        <w:t xml:space="preserve"> </w:t>
      </w:r>
      <w:r w:rsidRPr="006114CB">
        <w:rPr>
          <w:rFonts w:ascii="David" w:eastAsia="Calibri" w:hAnsi="David" w:hint="cs"/>
          <w:rtl/>
        </w:rPr>
        <w:t xml:space="preserve">על אספקת </w:t>
      </w:r>
      <w:r w:rsidRPr="006114CB">
        <w:rPr>
          <w:rFonts w:ascii="David" w:eastAsia="Calibri" w:hAnsi="David"/>
          <w:rtl/>
        </w:rPr>
        <w:t xml:space="preserve">גפ"ם </w:t>
      </w:r>
      <w:r w:rsidRPr="006114CB">
        <w:rPr>
          <w:rFonts w:ascii="David" w:eastAsia="Calibri" w:hAnsi="David" w:hint="cs"/>
          <w:rtl/>
        </w:rPr>
        <w:t>לצרכנים לפי סדר קדימויות. מנהלת המינהל הורתה כי אין לספק גפ"ם לצרכנים שיש להם אפשרות לעבור לדלק חלופי.</w:t>
      </w:r>
      <w:r w:rsidRPr="006114CB">
        <w:rPr>
          <w:rFonts w:ascii="David" w:eastAsia="Calibri" w:hAnsi="David" w:hint="cs"/>
          <w:color w:val="FF0000"/>
          <w:rtl/>
        </w:rPr>
        <w:t xml:space="preserve"> </w:t>
      </w:r>
      <w:r w:rsidRPr="006114CB">
        <w:rPr>
          <w:rFonts w:ascii="David" w:eastAsia="Calibri" w:hAnsi="David" w:hint="cs"/>
          <w:rtl/>
        </w:rPr>
        <w:t>בקשה לס</w:t>
      </w:r>
      <w:r w:rsidRPr="006114CB">
        <w:rPr>
          <w:rFonts w:ascii="David" w:eastAsia="Calibri" w:hAnsi="David"/>
          <w:rtl/>
        </w:rPr>
        <w:t>פֵּ</w:t>
      </w:r>
      <w:r w:rsidRPr="006114CB">
        <w:rPr>
          <w:rFonts w:ascii="David" w:eastAsia="Calibri" w:hAnsi="David" w:hint="cs"/>
          <w:rtl/>
        </w:rPr>
        <w:t>ק גז לצרכן גז שאינו מפורט בסדר הקדימויות או בסדר קדימות שונה מהמפורט בנספח תוגש בכתב לאישור מנהלת המינהל.</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בסוף יוני 2025 הודיע בז"ן לבורסה לניירות ערך</w:t>
      </w:r>
      <w:r>
        <w:rPr>
          <w:rFonts w:ascii="David" w:eastAsia="Calibri" w:hAnsi="David"/>
          <w:vertAlign w:val="superscript"/>
          <w:rtl/>
        </w:rPr>
        <w:footnoteReference w:id="54"/>
      </w:r>
      <w:r w:rsidRPr="006114CB">
        <w:rPr>
          <w:rFonts w:ascii="David" w:eastAsia="Calibri" w:hAnsi="David"/>
          <w:rtl/>
        </w:rPr>
        <w:t xml:space="preserve"> </w:t>
      </w:r>
      <w:r w:rsidRPr="006114CB">
        <w:rPr>
          <w:rFonts w:ascii="David" w:eastAsia="Calibri" w:hAnsi="David" w:hint="cs"/>
          <w:rtl/>
        </w:rPr>
        <w:t>כי החברה החלה בהפעלה חלקית של מתקני הזיקוק וכן בפעילות חלקית של מתקני המשך</w:t>
      </w:r>
      <w:r>
        <w:rPr>
          <w:rFonts w:ascii="David" w:eastAsia="Calibri" w:hAnsi="David"/>
          <w:vertAlign w:val="superscript"/>
          <w:rtl/>
        </w:rPr>
        <w:footnoteReference w:id="55"/>
      </w:r>
      <w:r w:rsidRPr="006114CB">
        <w:rPr>
          <w:rFonts w:ascii="David" w:eastAsia="Calibri" w:hAnsi="David" w:hint="cs"/>
          <w:rtl/>
        </w:rPr>
        <w:t xml:space="preserve">. החברה גיבשה תוכנית עבודה סדורה והחלה ביישומה להשבה הדרגתית של כלל פעילות מתקני בז"ן, אשר תסתיים עם </w:t>
      </w:r>
      <w:r w:rsidRPr="006114CB">
        <w:rPr>
          <w:rFonts w:ascii="David" w:eastAsia="Calibri" w:hAnsi="David"/>
          <w:rtl/>
        </w:rPr>
        <w:t>השלמת מתקני</w:t>
      </w:r>
      <w:r>
        <w:rPr>
          <w:rFonts w:ascii="David" w:eastAsia="Calibri" w:hAnsi="David" w:hint="cs"/>
          <w:b/>
          <w:bCs/>
          <w:rtl/>
        </w:rPr>
        <w:t xml:space="preserve"> </w:t>
      </w:r>
      <w:r w:rsidRPr="006114CB">
        <w:rPr>
          <w:rFonts w:ascii="David" w:eastAsia="Calibri" w:hAnsi="David"/>
          <w:rtl/>
        </w:rPr>
        <w:t xml:space="preserve">הקיטור </w:t>
      </w:r>
      <w:r w:rsidRPr="006114CB">
        <w:rPr>
          <w:rFonts w:ascii="David" w:eastAsia="Calibri" w:hAnsi="David" w:hint="cs"/>
          <w:rtl/>
        </w:rPr>
        <w:t>שיאפשרו חזרה</w:t>
      </w:r>
      <w:r w:rsidRPr="006114CB">
        <w:rPr>
          <w:rFonts w:ascii="David" w:eastAsia="Calibri" w:hAnsi="David"/>
          <w:rtl/>
        </w:rPr>
        <w:t xml:space="preserve"> לפע</w:t>
      </w:r>
      <w:r w:rsidRPr="006114CB">
        <w:rPr>
          <w:rFonts w:ascii="David" w:eastAsia="Calibri" w:hAnsi="David" w:hint="cs"/>
          <w:rtl/>
        </w:rPr>
        <w:t>י</w:t>
      </w:r>
      <w:r w:rsidRPr="006114CB">
        <w:rPr>
          <w:rFonts w:ascii="David" w:eastAsia="Calibri" w:hAnsi="David"/>
          <w:rtl/>
        </w:rPr>
        <w:t>ל</w:t>
      </w:r>
      <w:r w:rsidRPr="006114CB">
        <w:rPr>
          <w:rFonts w:ascii="David" w:eastAsia="Calibri" w:hAnsi="David" w:hint="cs"/>
          <w:rtl/>
        </w:rPr>
        <w:t>ות</w:t>
      </w:r>
      <w:r w:rsidRPr="006114CB">
        <w:rPr>
          <w:rFonts w:ascii="David" w:eastAsia="Calibri" w:hAnsi="David"/>
          <w:rtl/>
        </w:rPr>
        <w:t xml:space="preserve"> מלאה</w:t>
      </w:r>
      <w:r w:rsidRPr="006114CB">
        <w:rPr>
          <w:rFonts w:ascii="David" w:eastAsia="Calibri" w:hAnsi="David" w:hint="cs"/>
          <w:rtl/>
        </w:rPr>
        <w:t xml:space="preserve"> של מתקני הקבוצה. בהתאם לתוכנית האמורה, השלמת כל מתקני הקיטור צפויה</w:t>
      </w:r>
      <w:r w:rsidRPr="006114CB">
        <w:rPr>
          <w:rFonts w:ascii="David" w:eastAsia="Calibri" w:hAnsi="David"/>
          <w:rtl/>
        </w:rPr>
        <w:t xml:space="preserve"> להסתיים </w:t>
      </w:r>
      <w:r w:rsidRPr="006114CB">
        <w:rPr>
          <w:rFonts w:ascii="David" w:eastAsia="Calibri" w:hAnsi="David" w:hint="cs"/>
          <w:rtl/>
        </w:rPr>
        <w:t>ב</w:t>
      </w:r>
      <w:r w:rsidRPr="006114CB">
        <w:rPr>
          <w:rFonts w:ascii="David" w:eastAsia="Calibri" w:hAnsi="David"/>
          <w:rtl/>
        </w:rPr>
        <w:t>חודשים ספטמבר - אוקטובר 2025.</w:t>
      </w:r>
      <w:r w:rsidRPr="006114CB">
        <w:rPr>
          <w:rFonts w:ascii="David" w:eastAsia="Calibri" w:hAnsi="David" w:hint="cs"/>
          <w:rtl/>
        </w:rPr>
        <w:t xml:space="preserve"> בז"ן הדגיש כי הפעלה של מתקני הקבוצה לאחר עצירה פתאומית ככלל, ולאחר עצירה שמקורה בפגיעה חיצונית במתקנים בפרט, היא תהליך מורכב שיש בו אלמנטים רבים של אי-ודאות. הערכות החברה בנוגע למועד השלמת מתקני הקיטור וליכולת מימון תוכנית העבודה והעמידה באמות המידה הן מידע צופה פני עתיד כהגדרתו בחוק ניירות ערך, וככזה אינו ודאי ועלול שלא להתממש, כולו או חלקו, או שיתממש באופן שונה מכפי שנצפה.</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באוגוסט 2025 הודיע בז"ן לבורסה לניירות ערך</w:t>
      </w:r>
      <w:r>
        <w:rPr>
          <w:rFonts w:ascii="David" w:eastAsia="Calibri" w:hAnsi="David"/>
          <w:vertAlign w:val="superscript"/>
          <w:rtl/>
        </w:rPr>
        <w:footnoteReference w:id="56"/>
      </w:r>
      <w:r w:rsidRPr="006114CB">
        <w:rPr>
          <w:rFonts w:ascii="David" w:eastAsia="Calibri" w:hAnsi="David" w:hint="cs"/>
          <w:rtl/>
        </w:rPr>
        <w:t xml:space="preserve"> כי חזרת המתקנים לפעילות בנויה משלושה שלבים: בשלב ראשון - חזרה לפעילות מתום חודש יוני 2025; בשלב שני - חזרה לפעילות במהלך חודש אוגוסט 2025; בשלב שלישי - חזרה לפעילות ייצור מלאה הצפויה ברבעון הרביעי של 2025.</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eastAsia"/>
          <w:rtl/>
        </w:rPr>
        <w:t>במחצית</w:t>
      </w:r>
      <w:r w:rsidRPr="006114CB">
        <w:rPr>
          <w:rFonts w:ascii="David" w:eastAsia="Calibri" w:hAnsi="David"/>
          <w:rtl/>
        </w:rPr>
        <w:t xml:space="preserve"> </w:t>
      </w:r>
      <w:r w:rsidRPr="006114CB">
        <w:rPr>
          <w:rFonts w:ascii="David" w:eastAsia="Calibri" w:hAnsi="David" w:hint="eastAsia"/>
          <w:rtl/>
        </w:rPr>
        <w:t>השנייה</w:t>
      </w:r>
      <w:r w:rsidRPr="006114CB">
        <w:rPr>
          <w:rFonts w:ascii="David" w:eastAsia="Calibri" w:hAnsi="David"/>
          <w:rtl/>
        </w:rPr>
        <w:t xml:space="preserve"> </w:t>
      </w:r>
      <w:r w:rsidRPr="006114CB">
        <w:rPr>
          <w:rFonts w:ascii="David" w:eastAsia="Calibri" w:hAnsi="David" w:hint="eastAsia"/>
          <w:rtl/>
        </w:rPr>
        <w:t>של</w:t>
      </w:r>
      <w:r w:rsidRPr="006114CB">
        <w:rPr>
          <w:rFonts w:ascii="David" w:eastAsia="Calibri" w:hAnsi="David"/>
          <w:rtl/>
        </w:rPr>
        <w:t xml:space="preserve"> </w:t>
      </w:r>
      <w:r w:rsidRPr="006114CB">
        <w:rPr>
          <w:rFonts w:ascii="David" w:eastAsia="Calibri" w:hAnsi="David" w:hint="eastAsia"/>
          <w:rtl/>
        </w:rPr>
        <w:t>יוני</w:t>
      </w:r>
      <w:r w:rsidRPr="006114CB">
        <w:rPr>
          <w:rFonts w:ascii="David" w:eastAsia="Calibri" w:hAnsi="David"/>
          <w:rtl/>
        </w:rPr>
        <w:t xml:space="preserve"> 2025, במהלך מבצע עם כלביא,</w:t>
      </w:r>
      <w:r w:rsidRPr="006114CB">
        <w:rPr>
          <w:rFonts w:ascii="David" w:eastAsia="Calibri" w:hAnsi="David" w:hint="cs"/>
          <w:rtl/>
        </w:rPr>
        <w:t xml:space="preserve"> היה בז"ן מושבת כתוצאה מפגיעת טילים; מסוף יוני 2025 ועד אוקטובר 2025 פעל בז"ן באופן חלקי. בז"ן מסר למשרד מבקר המדינה כי הוא שב לפעילות ייצור מלאה באוקטובר 2025.</w:t>
      </w:r>
    </w:p>
    <w:p w:rsidR="006114CB" w:rsidRPr="006114CB" w:rsidP="002F4530">
      <w:pPr>
        <w:keepNext/>
        <w:keepLines/>
        <w:spacing w:line="269" w:lineRule="auto"/>
        <w:ind w:left="-567"/>
        <w:rPr>
          <w:rFonts w:eastAsia="Calibri"/>
          <w:szCs w:val="20"/>
          <w:rtl/>
        </w:rPr>
      </w:pPr>
    </w:p>
    <w:p w:rsidR="006114CB" w:rsidRPr="006114CB" w:rsidP="002F4530">
      <w:pPr>
        <w:keepNext/>
        <w:keepLines/>
        <w:numPr>
          <w:ilvl w:val="0"/>
          <w:numId w:val="12"/>
        </w:numPr>
        <w:spacing w:line="269" w:lineRule="auto"/>
        <w:ind w:left="312"/>
        <w:outlineLvl w:val="5"/>
        <w:rPr>
          <w:rFonts w:eastAsia="Times New Roman"/>
          <w:spacing w:val="40"/>
          <w:rtl/>
        </w:rPr>
      </w:pPr>
      <w:r w:rsidRPr="006114CB">
        <w:rPr>
          <w:rFonts w:eastAsia="Times New Roman" w:hint="cs"/>
          <w:spacing w:val="40"/>
          <w:rtl/>
        </w:rPr>
        <w:t>עבודות ריענון מתקנים ותקלות בבז"א</w:t>
      </w:r>
    </w:p>
    <w:p w:rsidR="006114CB" w:rsidRPr="006114CB" w:rsidP="002F4530">
      <w:pPr>
        <w:spacing w:line="269" w:lineRule="auto"/>
        <w:rPr>
          <w:rFonts w:eastAsia="Calibri"/>
          <w:rtl/>
        </w:rPr>
      </w:pPr>
    </w:p>
    <w:p w:rsidR="006114CB" w:rsidRPr="006114CB" w:rsidP="002F4530">
      <w:pPr>
        <w:keepNext/>
        <w:keepLines/>
        <w:spacing w:line="269" w:lineRule="auto"/>
        <w:ind w:left="312"/>
        <w:outlineLvl w:val="6"/>
        <w:rPr>
          <w:rFonts w:eastAsia="Times New Roman"/>
          <w:bCs/>
          <w:spacing w:val="40"/>
          <w:rtl/>
        </w:rPr>
      </w:pPr>
      <w:r w:rsidRPr="006114CB">
        <w:rPr>
          <w:rFonts w:eastAsia="Times New Roman" w:hint="cs"/>
          <w:bCs/>
          <w:spacing w:val="40"/>
          <w:rtl/>
        </w:rPr>
        <w:t>עבודות ריענון מתקנים בבז"א</w:t>
      </w:r>
    </w:p>
    <w:p w:rsidR="006114CB" w:rsidRPr="006114CB" w:rsidP="002F4530">
      <w:pPr>
        <w:rPr>
          <w:rFonts w:eastAsia="Calibri"/>
          <w:rtl/>
        </w:rPr>
      </w:pPr>
    </w:p>
    <w:p w:rsidR="006114CB" w:rsidRPr="006114CB" w:rsidP="002F4530">
      <w:pPr>
        <w:spacing w:line="269" w:lineRule="auto"/>
        <w:ind w:left="312"/>
        <w:rPr>
          <w:rFonts w:eastAsia="Calibri"/>
          <w:sz w:val="24"/>
          <w:rtl/>
        </w:rPr>
      </w:pPr>
      <w:r w:rsidRPr="006114CB">
        <w:rPr>
          <w:rFonts w:eastAsia="Calibri" w:hint="cs"/>
          <w:sz w:val="24"/>
          <w:rtl/>
        </w:rPr>
        <w:t xml:space="preserve">בסוף מאי 2025 הודיע בז"א </w:t>
      </w:r>
      <w:r w:rsidRPr="006114CB">
        <w:rPr>
          <w:rFonts w:ascii="David" w:eastAsia="Calibri" w:hAnsi="David" w:hint="cs"/>
          <w:rtl/>
        </w:rPr>
        <w:t>לבורסה לניירות ערך</w:t>
      </w:r>
      <w:r>
        <w:rPr>
          <w:rFonts w:ascii="David" w:eastAsia="Calibri" w:hAnsi="David"/>
          <w:vertAlign w:val="superscript"/>
          <w:rtl/>
        </w:rPr>
        <w:footnoteReference w:id="57"/>
      </w:r>
      <w:r w:rsidRPr="006114CB">
        <w:rPr>
          <w:rFonts w:eastAsia="Calibri" w:hint="cs"/>
          <w:sz w:val="24"/>
          <w:rtl/>
        </w:rPr>
        <w:t xml:space="preserve"> כי במהלך הרבעון השני צפויות עבודות ריענון שגרתיות במתקני הזיקוק ותחזוקת תחנות הכוח. </w:t>
      </w:r>
    </w:p>
    <w:p w:rsidR="002667BB" w:rsidP="002F4530">
      <w:pPr>
        <w:spacing w:line="269" w:lineRule="auto"/>
        <w:ind w:left="312"/>
        <w:rPr>
          <w:rFonts w:eastAsia="Calibri"/>
          <w:sz w:val="24"/>
          <w:rtl/>
        </w:rPr>
      </w:pPr>
    </w:p>
    <w:p w:rsidR="006114CB" w:rsidRPr="006114CB" w:rsidP="002F4530">
      <w:pPr>
        <w:spacing w:line="269" w:lineRule="auto"/>
        <w:ind w:left="312"/>
        <w:rPr>
          <w:rFonts w:eastAsia="Calibri"/>
          <w:sz w:val="24"/>
          <w:rtl/>
        </w:rPr>
      </w:pPr>
      <w:r w:rsidRPr="006114CB">
        <w:rPr>
          <w:rFonts w:eastAsia="Calibri" w:hint="cs"/>
          <w:sz w:val="24"/>
          <w:rtl/>
        </w:rPr>
        <w:t>ב-15.6.25, במהלך מבצע עם כלביא, החל בז"א בעבודות ריענון במתקני הזיקוק</w:t>
      </w:r>
      <w:r>
        <w:rPr>
          <w:rFonts w:eastAsia="Calibri"/>
          <w:sz w:val="24"/>
          <w:vertAlign w:val="superscript"/>
          <w:rtl/>
        </w:rPr>
        <w:footnoteReference w:id="58"/>
      </w:r>
      <w:r w:rsidRPr="006114CB">
        <w:rPr>
          <w:rFonts w:eastAsia="Calibri" w:hint="cs"/>
          <w:sz w:val="24"/>
          <w:rtl/>
        </w:rPr>
        <w:t>. בפגישתו עם צוות הביקורת באוקטובר 2025 מסר בז"א כי זהו תהליך שנערך אחת לכשנה וחצי והוא אורך כשבועיים. במקרה זה נמשך ההליך כשלושה שבועות, עד ליום 4.7.25</w:t>
      </w:r>
      <w:r>
        <w:rPr>
          <w:rFonts w:eastAsia="Calibri"/>
          <w:sz w:val="24"/>
          <w:vertAlign w:val="superscript"/>
          <w:rtl/>
        </w:rPr>
        <w:footnoteReference w:id="59"/>
      </w:r>
      <w:r w:rsidRPr="006114CB">
        <w:rPr>
          <w:rFonts w:eastAsia="Calibri" w:hint="cs"/>
          <w:sz w:val="24"/>
          <w:rtl/>
        </w:rPr>
        <w:t xml:space="preserve">. עוד מסר בז"א כי הוא נערך מראש לעבודות הריענון על ידי אגירה ויבוא של מוצרים. לדבריו, עבודות הריענון לא השפיעו על לקוחותיו פרט ללקוחות הצורכים גפ"ם, שייצורו פחת במידה ניכרת בזמן </w:t>
      </w:r>
      <w:r w:rsidRPr="006114CB">
        <w:rPr>
          <w:rFonts w:eastAsia="Calibri" w:hint="cs"/>
          <w:sz w:val="24"/>
          <w:rtl/>
        </w:rPr>
        <w:t>עבודות הריענון: בזמן עבודות הריענון ייצר בז"א כ-100 טונה גפ"ם ליום, לעומת השגרה, שבה הוא מייצר כ-330 טונה גפ"ם ליום בתקופת הקיץ וכ-220 טונה גפ"ם ליום בתקופת החורף.</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eastAsia="Calibri"/>
          <w:sz w:val="24"/>
          <w:rtl/>
        </w:rPr>
      </w:pPr>
      <w:r w:rsidRPr="006114CB">
        <w:rPr>
          <w:rFonts w:ascii="David" w:eastAsia="Calibri" w:hAnsi="David" w:hint="cs"/>
          <w:rtl/>
        </w:rPr>
        <w:t xml:space="preserve">לפי </w:t>
      </w:r>
      <w:r w:rsidRPr="006114CB">
        <w:rPr>
          <w:rFonts w:ascii="David" w:eastAsia="Calibri" w:hAnsi="David"/>
          <w:rtl/>
        </w:rPr>
        <w:t>תקנות ההסדרים במשק המדינה (תיקוני חקיקה) (מכירת גז על ידי בתי זיקוק וספקי גז), התש"ע-2009 (להלן - תקנות ההקצבות</w:t>
      </w:r>
      <w:r w:rsidRPr="006114CB">
        <w:rPr>
          <w:rFonts w:ascii="David" w:eastAsia="Calibri" w:hAnsi="David" w:hint="cs"/>
          <w:rtl/>
        </w:rPr>
        <w:t xml:space="preserve"> או התקנות</w:t>
      </w:r>
      <w:r w:rsidRPr="006114CB">
        <w:rPr>
          <w:rFonts w:ascii="David" w:eastAsia="Calibri" w:hAnsi="David"/>
          <w:rtl/>
        </w:rPr>
        <w:t>)</w:t>
      </w:r>
      <w:r w:rsidRPr="006114CB">
        <w:rPr>
          <w:rFonts w:ascii="David" w:eastAsia="Calibri" w:hAnsi="David" w:hint="cs"/>
          <w:rtl/>
        </w:rPr>
        <w:t>,</w:t>
      </w:r>
      <w:r w:rsidRPr="006114CB">
        <w:rPr>
          <w:rFonts w:ascii="David" w:eastAsia="Calibri" w:hAnsi="David"/>
          <w:rtl/>
        </w:rPr>
        <w:t xml:space="preserve"> על בתי הזיקוק להודיע בכתב לכל ספקי הגז ולמנהל מינהל הדלק ביום העסקים הראשון בכל חודש מהי תחזית כושר האספקה הצפויה להם לכל אחד משלושת החודשים הבאים.</w:t>
      </w:r>
    </w:p>
    <w:p w:rsidR="006114CB" w:rsidRPr="006114CB" w:rsidP="002F4530">
      <w:pPr>
        <w:keepNext/>
        <w:keepLines/>
        <w:spacing w:line="269" w:lineRule="auto"/>
        <w:ind w:left="-567"/>
        <w:rPr>
          <w:rFonts w:eastAsia="Calibri"/>
          <w:szCs w:val="20"/>
          <w:rtl/>
        </w:rPr>
      </w:pPr>
    </w:p>
    <w:p w:rsidR="006114CB" w:rsidP="002F4530">
      <w:pPr>
        <w:spacing w:line="269" w:lineRule="auto"/>
        <w:ind w:left="312"/>
        <w:rPr>
          <w:rFonts w:eastAsia="Calibri"/>
          <w:sz w:val="24"/>
          <w:rtl/>
        </w:rPr>
      </w:pPr>
      <w:r w:rsidRPr="006114CB">
        <w:rPr>
          <w:rFonts w:eastAsia="Calibri" w:hint="cs"/>
          <w:sz w:val="24"/>
          <w:rtl/>
        </w:rPr>
        <w:t>לפי צו החברות הממשלתיות (הכרזה על אינטרסים חיוניים למדינה בחברת בית הזיקוק לנפט - אשדוד בע"מ), התשס"ו-2006</w:t>
      </w:r>
      <w:r>
        <w:rPr>
          <w:rFonts w:eastAsia="Calibri"/>
          <w:sz w:val="24"/>
          <w:vertAlign w:val="superscript"/>
          <w:rtl/>
        </w:rPr>
        <w:footnoteReference w:id="60"/>
      </w:r>
      <w:r w:rsidRPr="006114CB">
        <w:rPr>
          <w:rFonts w:eastAsia="Calibri" w:hint="cs"/>
          <w:sz w:val="24"/>
          <w:rtl/>
        </w:rPr>
        <w:t xml:space="preserve">, על בז"א לדווח למנהל מינהל הדלק ביום העשירי בכל חודש על כל שיבוש מהותי, שינוי מהותי או הפחתה מהותית הצפויים בכושר או ביכולת האספקה של תזקיקים בישראל. </w:t>
      </w:r>
    </w:p>
    <w:p w:rsidR="006114CB" w:rsidP="002F4530">
      <w:pPr>
        <w:spacing w:line="269" w:lineRule="auto"/>
        <w:ind w:left="312"/>
        <w:rPr>
          <w:rFonts w:eastAsia="Calibri"/>
          <w:sz w:val="24"/>
          <w:rtl/>
        </w:rPr>
      </w:pPr>
    </w:p>
    <w:p w:rsidR="006114CB" w:rsidRPr="006114CB" w:rsidP="002F4530">
      <w:pPr>
        <w:spacing w:line="269" w:lineRule="auto"/>
        <w:ind w:left="312"/>
        <w:rPr>
          <w:rFonts w:eastAsia="Calibri"/>
          <w:sz w:val="24"/>
          <w:rtl/>
        </w:rPr>
      </w:pPr>
      <w:r w:rsidRPr="006114CB">
        <w:rPr>
          <w:rFonts w:ascii="David" w:eastAsia="Calibri" w:hAnsi="David" w:hint="cs"/>
          <w:rtl/>
        </w:rPr>
        <w:t>נוהל בין-משרדי מפברואר 2023</w:t>
      </w:r>
      <w:r>
        <w:rPr>
          <w:rFonts w:ascii="David" w:eastAsia="Calibri" w:hAnsi="David"/>
          <w:vertAlign w:val="superscript"/>
          <w:rtl/>
        </w:rPr>
        <w:footnoteReference w:id="61"/>
      </w:r>
      <w:r w:rsidRPr="006114CB">
        <w:rPr>
          <w:rFonts w:ascii="David" w:eastAsia="Calibri" w:hAnsi="David" w:hint="cs"/>
          <w:rtl/>
        </w:rPr>
        <w:t xml:space="preserve"> (להלן - נוהל בין-משרדי) מסדיר את העדיפות הלאומית באספקת גפ"ם במקרה של מחסור במשק באמצעות ניהול ביקושים בין צרכנים שונים. הנוהל קובע כי ספקי הגפ"ם יספקו את מלאי הגפ"ם של הצרכנים לפי סוגי הצרכנים ולפי עדיפויות</w:t>
      </w:r>
      <w:r w:rsidRPr="006114CB">
        <w:rPr>
          <w:rFonts w:eastAsia="Calibri" w:hint="cs"/>
          <w:sz w:val="24"/>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eastAsia="Calibri"/>
          <w:sz w:val="24"/>
          <w:rtl/>
        </w:rPr>
      </w:pPr>
      <w:r w:rsidRPr="006114CB">
        <w:rPr>
          <w:rFonts w:eastAsia="Calibri" w:hint="cs"/>
          <w:sz w:val="24"/>
          <w:rtl/>
        </w:rPr>
        <w:t xml:space="preserve">בז"א מסר לצוות הביקורת כי הוא לא מילא את חובתו לפי תקנות ההקצבות ולא הודיע למינהל הדלק בכתב ביום העסקים הראשון של יוני 2025 (או ביום העסקים הראשון של אפריל או מאי 2025) </w:t>
      </w:r>
      <w:r w:rsidRPr="006114CB">
        <w:rPr>
          <w:rFonts w:ascii="David" w:eastAsia="Calibri" w:hAnsi="David"/>
          <w:rtl/>
        </w:rPr>
        <w:t>מהי תחזית כושר האספקה הצפויה ל</w:t>
      </w:r>
      <w:r w:rsidRPr="006114CB">
        <w:rPr>
          <w:rFonts w:ascii="David" w:eastAsia="Calibri" w:hAnsi="David" w:hint="cs"/>
          <w:rtl/>
        </w:rPr>
        <w:t>ו</w:t>
      </w:r>
      <w:r w:rsidRPr="006114CB">
        <w:rPr>
          <w:rFonts w:ascii="David" w:eastAsia="Calibri" w:hAnsi="David"/>
          <w:rtl/>
        </w:rPr>
        <w:t xml:space="preserve"> לכל אחד משלושת החודשים הבאים</w:t>
      </w:r>
      <w:r w:rsidRPr="006114CB">
        <w:rPr>
          <w:rFonts w:eastAsia="Calibri" w:hint="cs"/>
          <w:sz w:val="24"/>
          <w:rtl/>
        </w:rPr>
        <w:t>. בז"א הודיע על כך רק לספקי הגז. עוד מסר בז"א כי במהלך השנים הוא לא עדכן את מינהל הדלק לפני ביצוע עבודות ריענון וגם לא התבקש לעשות זאת. בפגישת היכרות שהתקיימה ב-21.5.25 בין מנכ"ל בז"א הנכנס למנהלת מינהל הדלק הנכנסת הציג מנכ"ל בז"א בעל פה את נושא עבודות ריענון המתקנים. בז"א לא עדכן בכתב את מינהל הדלק על עבודות הריענון.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eastAsia="Calibri"/>
          <w:b/>
          <w:bCs/>
          <w:rtl/>
        </w:rPr>
      </w:pPr>
      <w:r w:rsidRPr="006114CB">
        <w:rPr>
          <w:rFonts w:eastAsia="Calibri" w:hint="cs"/>
          <w:b/>
          <w:bCs/>
          <w:rtl/>
        </w:rPr>
        <w:t xml:space="preserve">בז"א מייצר כ-19% מצריכת הגפ"ם במשק, והצפי הוא שהוא יוסיף לייצר כמות זו גם לאחר סגירת בז"ן. לפי תקנות ההקצבות, בתי הזיקוק נדרשים להודיע בכתב למינהל הדלק ביום העסקים הראשון בחודש על תחזית כושר האספקה הצפויה להם בשלושת החודשים העוקבים. מטרת ההודעה היא לאפשר למינהל הדלק להיערך מבעוד מועד לייצור מופחת או למחסור בייצור.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eastAsia="Calibri"/>
          <w:b/>
          <w:bCs/>
          <w:rtl/>
        </w:rPr>
      </w:pPr>
      <w:r w:rsidRPr="006114CB">
        <w:rPr>
          <w:rFonts w:eastAsia="Calibri" w:hint="eastAsia"/>
          <w:b/>
          <w:bCs/>
          <w:rtl/>
        </w:rPr>
        <w:t>נמצא</w:t>
      </w:r>
      <w:r w:rsidRPr="006114CB">
        <w:rPr>
          <w:rFonts w:eastAsia="Calibri"/>
          <w:b/>
          <w:bCs/>
          <w:rtl/>
        </w:rPr>
        <w:t xml:space="preserve"> </w:t>
      </w:r>
      <w:r w:rsidRPr="006114CB">
        <w:rPr>
          <w:rFonts w:eastAsia="Calibri" w:hint="eastAsia"/>
          <w:b/>
          <w:bCs/>
          <w:rtl/>
        </w:rPr>
        <w:t>כי</w:t>
      </w:r>
      <w:r w:rsidRPr="006114CB">
        <w:rPr>
          <w:rFonts w:eastAsia="Calibri"/>
          <w:b/>
          <w:bCs/>
          <w:rtl/>
        </w:rPr>
        <w:t xml:space="preserve"> </w:t>
      </w:r>
      <w:r w:rsidRPr="006114CB">
        <w:rPr>
          <w:rFonts w:eastAsia="Calibri" w:hint="eastAsia"/>
          <w:b/>
          <w:bCs/>
          <w:rtl/>
        </w:rPr>
        <w:t>בשל</w:t>
      </w:r>
      <w:r w:rsidRPr="006114CB">
        <w:rPr>
          <w:rFonts w:eastAsia="Calibri"/>
          <w:b/>
          <w:bCs/>
          <w:rtl/>
        </w:rPr>
        <w:t xml:space="preserve"> עבודות ר</w:t>
      </w:r>
      <w:r w:rsidRPr="006114CB">
        <w:rPr>
          <w:rFonts w:eastAsia="Calibri" w:hint="eastAsia"/>
          <w:b/>
          <w:bCs/>
          <w:rtl/>
        </w:rPr>
        <w:t>יענון</w:t>
      </w:r>
      <w:r w:rsidRPr="006114CB">
        <w:rPr>
          <w:rFonts w:eastAsia="Calibri"/>
          <w:b/>
          <w:bCs/>
          <w:rtl/>
        </w:rPr>
        <w:t xml:space="preserve"> המתקנים</w:t>
      </w:r>
      <w:r w:rsidRPr="006114CB">
        <w:rPr>
          <w:rFonts w:eastAsia="Calibri" w:hint="cs"/>
          <w:b/>
          <w:bCs/>
          <w:rtl/>
        </w:rPr>
        <w:t xml:space="preserve"> שהחלו</w:t>
      </w:r>
      <w:r w:rsidRPr="006114CB">
        <w:rPr>
          <w:rFonts w:eastAsia="Calibri"/>
          <w:b/>
          <w:bCs/>
          <w:rtl/>
        </w:rPr>
        <w:t xml:space="preserve"> </w:t>
      </w:r>
      <w:r w:rsidRPr="006114CB">
        <w:rPr>
          <w:rFonts w:eastAsia="Calibri" w:hint="cs"/>
          <w:b/>
          <w:bCs/>
          <w:rtl/>
        </w:rPr>
        <w:t xml:space="preserve">ביוני 2025 </w:t>
      </w:r>
      <w:r w:rsidRPr="006114CB">
        <w:rPr>
          <w:rFonts w:eastAsia="Calibri"/>
          <w:b/>
          <w:bCs/>
          <w:rtl/>
        </w:rPr>
        <w:t xml:space="preserve">בז"א </w:t>
      </w:r>
      <w:r w:rsidRPr="006114CB">
        <w:rPr>
          <w:rFonts w:eastAsia="Calibri" w:hint="eastAsia"/>
          <w:b/>
          <w:bCs/>
          <w:rtl/>
        </w:rPr>
        <w:t>ייצר</w:t>
      </w:r>
      <w:r w:rsidRPr="006114CB">
        <w:rPr>
          <w:rFonts w:eastAsia="Calibri"/>
          <w:b/>
          <w:bCs/>
          <w:rtl/>
        </w:rPr>
        <w:t xml:space="preserve"> </w:t>
      </w:r>
      <w:r w:rsidRPr="006114CB">
        <w:rPr>
          <w:rFonts w:eastAsia="Calibri" w:hint="cs"/>
          <w:b/>
          <w:bCs/>
          <w:rtl/>
        </w:rPr>
        <w:t xml:space="preserve">גפ"ם </w:t>
      </w:r>
      <w:r w:rsidRPr="006114CB">
        <w:rPr>
          <w:rFonts w:eastAsia="Calibri"/>
          <w:b/>
          <w:bCs/>
          <w:rtl/>
        </w:rPr>
        <w:t>בכמות מופחתת מבשגרה</w:t>
      </w:r>
      <w:r w:rsidRPr="006114CB">
        <w:rPr>
          <w:rFonts w:eastAsia="Calibri" w:hint="cs"/>
          <w:b/>
          <w:bCs/>
          <w:rtl/>
        </w:rPr>
        <w:t xml:space="preserve"> במשך כשלושה שבועות</w:t>
      </w:r>
      <w:r w:rsidRPr="006114CB">
        <w:rPr>
          <w:rFonts w:eastAsia="Calibri"/>
          <w:b/>
          <w:bCs/>
          <w:rtl/>
        </w:rPr>
        <w:t>,</w:t>
      </w:r>
      <w:r w:rsidRPr="006114CB">
        <w:rPr>
          <w:rFonts w:eastAsia="Calibri" w:hint="cs"/>
          <w:b/>
          <w:bCs/>
          <w:rtl/>
        </w:rPr>
        <w:t xml:space="preserve"> ולא הודיע למינהל הדלק בכתב על תחזית כושר האספקה הצפויה לו ביוני וביולי 2025, כמחויב לפי תקנות ההקצבות. </w:t>
      </w:r>
      <w:r w:rsidRPr="006114CB">
        <w:rPr>
          <w:rFonts w:eastAsia="Calibri" w:hint="eastAsia"/>
          <w:b/>
          <w:bCs/>
          <w:rtl/>
        </w:rPr>
        <w:t>עם</w:t>
      </w:r>
      <w:r w:rsidRPr="006114CB">
        <w:rPr>
          <w:rFonts w:eastAsia="Calibri"/>
          <w:b/>
          <w:bCs/>
          <w:rtl/>
        </w:rPr>
        <w:t xml:space="preserve"> </w:t>
      </w:r>
      <w:r w:rsidRPr="006114CB">
        <w:rPr>
          <w:rFonts w:eastAsia="Calibri" w:hint="eastAsia"/>
          <w:b/>
          <w:bCs/>
          <w:rtl/>
        </w:rPr>
        <w:t>זאת</w:t>
      </w:r>
      <w:r w:rsidRPr="006114CB">
        <w:rPr>
          <w:rFonts w:eastAsia="Calibri"/>
          <w:b/>
          <w:bCs/>
          <w:rtl/>
        </w:rPr>
        <w:t>,</w:t>
      </w:r>
      <w:r w:rsidRPr="006114CB">
        <w:rPr>
          <w:rFonts w:eastAsia="Calibri" w:hint="cs"/>
          <w:b/>
          <w:bCs/>
          <w:rtl/>
        </w:rPr>
        <w:t xml:space="preserve"> בז"א הודיע על כך לספקי הגז. בז"א גם לא עדכן את מינהל הדלק בכתב לפני ביצוע עבודות הריענון. בעקבות זאת מינהל הדלק לא נערך לייצור מופחת של גפ"ם או למחסור בייצור לפי סדרי העדיפויות שבתקנות ההקצבות ובהתאם לנוהל הבין-משרדי.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eastAsia="Calibri"/>
          <w:b/>
          <w:bCs/>
          <w:rtl/>
        </w:rPr>
      </w:pPr>
      <w:r w:rsidRPr="006114CB">
        <w:rPr>
          <w:rFonts w:eastAsia="Calibri" w:hint="cs"/>
          <w:b/>
          <w:bCs/>
          <w:rtl/>
        </w:rPr>
        <w:t xml:space="preserve">על מינהל הדלק לוודא כי בתי הזיקוק עומדים בחובת ההודעה בכתב, מדי חודש, על תחזית כושר האספקה, בהתאם לתקנות וכן על מסירת עדכונים כנדרש לפי הצווים הרלוונטיים. </w:t>
      </w:r>
    </w:p>
    <w:p w:rsidR="002667BB" w:rsidP="002F4530">
      <w:pPr>
        <w:spacing w:line="269" w:lineRule="auto"/>
        <w:ind w:left="312"/>
        <w:rPr>
          <w:rFonts w:eastAsia="Calibri"/>
          <w:b/>
          <w:bCs/>
          <w:rtl/>
        </w:rPr>
      </w:pPr>
    </w:p>
    <w:p w:rsidR="006114CB" w:rsidRPr="006114CB" w:rsidP="002F4530">
      <w:pPr>
        <w:spacing w:line="269" w:lineRule="auto"/>
        <w:ind w:left="312"/>
        <w:rPr>
          <w:rFonts w:eastAsia="Calibri"/>
          <w:b/>
          <w:bCs/>
          <w:rtl/>
        </w:rPr>
      </w:pPr>
      <w:r w:rsidRPr="006114CB">
        <w:rPr>
          <w:rFonts w:eastAsia="Calibri" w:hint="cs"/>
          <w:b/>
          <w:bCs/>
          <w:rtl/>
        </w:rPr>
        <w:t xml:space="preserve">עוד מומלץ למינהל הדלק לבקש </w:t>
      </w:r>
      <w:bookmarkStart w:id="8" w:name="_Hlk219966470"/>
      <w:r w:rsidRPr="006114CB">
        <w:rPr>
          <w:rFonts w:eastAsia="Calibri" w:hint="cs"/>
          <w:b/>
          <w:bCs/>
          <w:rtl/>
        </w:rPr>
        <w:t>מבתי הזיקוק לעדכן אותו באופן מיוחד מבעוד מועד, בכתב, בנוגע לעבודות הריענון בבתי הזיקוק, בייחוד כשעבודות אלה מפחיתות את ייצור הגפ"ם</w:t>
      </w:r>
      <w:bookmarkEnd w:id="8"/>
      <w:r w:rsidRPr="006114CB">
        <w:rPr>
          <w:rFonts w:eastAsia="Calibri" w:hint="cs"/>
          <w:b/>
          <w:bCs/>
          <w:rtl/>
        </w:rPr>
        <w:t xml:space="preserve"> ומשפיעות על כמויות הגפ"ם שניתן להקצות לספקי הגפ"ם. כך יוכל מינהל הדלק לה</w:t>
      </w:r>
      <w:bookmarkStart w:id="9" w:name="_Hlk219966362"/>
      <w:r w:rsidRPr="006114CB">
        <w:rPr>
          <w:rFonts w:eastAsia="Calibri" w:hint="cs"/>
          <w:b/>
          <w:bCs/>
          <w:rtl/>
        </w:rPr>
        <w:t>יערך אליהן מבעוד מועד, לפי סדרי העדיפויות שבנוהל הבין-משרדי, ולוודא, בין היתר, כי בזמן העבודות האמורות לא צפויה פגיעה באספקת הגפ"ם למשק</w:t>
      </w:r>
      <w:bookmarkEnd w:id="9"/>
      <w:r w:rsidRPr="006114CB">
        <w:rPr>
          <w:rFonts w:eastAsia="Calibri" w:hint="cs"/>
          <w:b/>
          <w:bCs/>
          <w:rtl/>
        </w:rPr>
        <w:t xml:space="preserve">, מכל סיבה שהיא. זאת ועוד, מומלץ למשרד האנרגיה לבחון את הצורך </w:t>
      </w:r>
      <w:r w:rsidRPr="006114CB">
        <w:rPr>
          <w:rFonts w:eastAsia="Calibri" w:hint="eastAsia"/>
          <w:b/>
          <w:bCs/>
          <w:rtl/>
        </w:rPr>
        <w:t>בהסדרה</w:t>
      </w:r>
      <w:r w:rsidRPr="006114CB">
        <w:rPr>
          <w:rFonts w:eastAsia="Calibri"/>
          <w:b/>
          <w:bCs/>
          <w:rtl/>
        </w:rPr>
        <w:t xml:space="preserve"> </w:t>
      </w:r>
      <w:r w:rsidRPr="006114CB">
        <w:rPr>
          <w:rFonts w:eastAsia="Calibri" w:hint="eastAsia"/>
          <w:b/>
          <w:bCs/>
          <w:rtl/>
        </w:rPr>
        <w:t>מפורשת</w:t>
      </w:r>
      <w:r w:rsidRPr="006114CB">
        <w:rPr>
          <w:rFonts w:eastAsia="Calibri"/>
          <w:b/>
          <w:bCs/>
          <w:rtl/>
        </w:rPr>
        <w:t xml:space="preserve"> </w:t>
      </w:r>
      <w:r w:rsidRPr="006114CB">
        <w:rPr>
          <w:rFonts w:eastAsia="Calibri" w:hint="cs"/>
          <w:b/>
          <w:bCs/>
          <w:rtl/>
        </w:rPr>
        <w:t>של חובת בתי הזיקוק לעדכן את מינהל הדלק מבעוד מועד בנוגע לעבודות ריענון במתקניהם.</w:t>
      </w:r>
    </w:p>
    <w:p w:rsidR="006114CB" w:rsidRPr="006114CB" w:rsidP="002F4530">
      <w:pPr>
        <w:keepNext/>
        <w:keepLines/>
        <w:spacing w:line="269" w:lineRule="auto"/>
        <w:ind w:left="312"/>
        <w:outlineLvl w:val="6"/>
        <w:rPr>
          <w:rFonts w:eastAsia="Times New Roman"/>
          <w:bCs/>
          <w:spacing w:val="40"/>
          <w:rtl/>
        </w:rPr>
      </w:pPr>
      <w:r w:rsidRPr="006114CB">
        <w:rPr>
          <w:rFonts w:eastAsia="Times New Roman" w:hint="cs"/>
          <w:bCs/>
          <w:spacing w:val="40"/>
          <w:rtl/>
        </w:rPr>
        <w:t>תקלה במתקני בז"א</w:t>
      </w:r>
    </w:p>
    <w:p w:rsidR="006114CB" w:rsidRPr="006114CB" w:rsidP="002F4530">
      <w:pPr>
        <w:rPr>
          <w:rFonts w:eastAsia="Calibri"/>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 xml:space="preserve">בתחילת יולי 2025, בסמוך לסיום עבודות הריענון, </w:t>
      </w:r>
      <w:bookmarkStart w:id="10" w:name="_Hlk217399005"/>
      <w:r w:rsidRPr="006114CB">
        <w:rPr>
          <w:rFonts w:ascii="David" w:eastAsia="Calibri" w:hAnsi="David" w:hint="cs"/>
          <w:rtl/>
        </w:rPr>
        <w:t xml:space="preserve">התגלתה </w:t>
      </w:r>
      <w:bookmarkStart w:id="11" w:name="_Hlk212455926"/>
      <w:r w:rsidRPr="006114CB">
        <w:rPr>
          <w:rFonts w:ascii="David" w:eastAsia="Calibri" w:hAnsi="David" w:hint="cs"/>
          <w:rtl/>
        </w:rPr>
        <w:t xml:space="preserve">תקלה במתקני הזיקוק </w:t>
      </w:r>
      <w:bookmarkEnd w:id="10"/>
      <w:r w:rsidRPr="006114CB">
        <w:rPr>
          <w:rFonts w:ascii="David" w:eastAsia="Calibri" w:hAnsi="David" w:hint="cs"/>
          <w:rtl/>
        </w:rPr>
        <w:t>של בז"א, ובעקבותיה נאלץ בז"א להדמים חלק ממתקני</w:t>
      </w:r>
      <w:bookmarkEnd w:id="11"/>
      <w:r w:rsidRPr="006114CB">
        <w:rPr>
          <w:rFonts w:ascii="David" w:eastAsia="Calibri" w:hAnsi="David" w:hint="cs"/>
          <w:rtl/>
        </w:rPr>
        <w:t>ו</w:t>
      </w:r>
      <w:r>
        <w:rPr>
          <w:rFonts w:ascii="David" w:eastAsia="Calibri" w:hAnsi="David"/>
          <w:vertAlign w:val="superscript"/>
          <w:rtl/>
        </w:rPr>
        <w:footnoteReference w:id="62"/>
      </w:r>
      <w:r w:rsidRPr="006114CB">
        <w:rPr>
          <w:rFonts w:ascii="David" w:eastAsia="Calibri" w:hAnsi="David" w:hint="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eastAsia="Calibri"/>
          <w:sz w:val="24"/>
          <w:rtl/>
        </w:rPr>
      </w:pPr>
      <w:r w:rsidRPr="006114CB">
        <w:rPr>
          <w:rFonts w:ascii="David" w:eastAsia="Calibri" w:hAnsi="David" w:hint="cs"/>
          <w:rtl/>
        </w:rPr>
        <w:t>באמצע יולי 2025 הודיע בז"א לבורסה לניירות ערך</w:t>
      </w:r>
      <w:r>
        <w:rPr>
          <w:rFonts w:ascii="David" w:eastAsia="Calibri" w:hAnsi="David"/>
          <w:vertAlign w:val="superscript"/>
          <w:rtl/>
        </w:rPr>
        <w:footnoteReference w:id="63"/>
      </w:r>
      <w:r w:rsidRPr="006114CB">
        <w:rPr>
          <w:rFonts w:ascii="David" w:eastAsia="Calibri" w:hAnsi="David" w:hint="cs"/>
          <w:rtl/>
        </w:rPr>
        <w:t xml:space="preserve"> כי בשל תקלות מתקני הזיקוק טרם שבו לפעילות סדירה לאחר סיום הריענון שלהם. נכון למועד הדיווח בז"א עובד באופן חלקי, ובין היתר מייצר גפ"ם באופן חלקי. בנובמבר 2025 מסר בז"א למשרד מבקר המדינה כי הוא ייצר כ-230 טונה גפ"ם ליום בתקופת הקיץ (כ-70% מהיקף הייצור בשגרה) וכ-180 טונה גפ"ם ליום</w:t>
      </w:r>
      <w:r>
        <w:rPr>
          <w:rFonts w:eastAsia="Calibri" w:hint="cs"/>
          <w:sz w:val="24"/>
          <w:rtl/>
        </w:rPr>
        <w:t xml:space="preserve"> </w:t>
      </w:r>
      <w:r w:rsidRPr="006114CB">
        <w:rPr>
          <w:rFonts w:ascii="David" w:eastAsia="Calibri" w:hAnsi="David" w:hint="cs"/>
          <w:rtl/>
        </w:rPr>
        <w:t>בתקופת החורף (כ-82% מהיקף הייצור בשגרה).</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בסוף יולי 2025 הודיע בז"א לבורסה לניירות ערך</w:t>
      </w:r>
      <w:r>
        <w:rPr>
          <w:rFonts w:ascii="David" w:eastAsia="Calibri" w:hAnsi="David"/>
          <w:vertAlign w:val="superscript"/>
          <w:rtl/>
        </w:rPr>
        <w:footnoteReference w:id="64"/>
      </w:r>
      <w:r w:rsidRPr="006114CB">
        <w:rPr>
          <w:rFonts w:ascii="David" w:eastAsia="Calibri" w:hAnsi="David" w:hint="cs"/>
          <w:rtl/>
        </w:rPr>
        <w:t xml:space="preserve"> כי החלה הפעלה של מתקני בית הזיקוק, ובית הזיקוק החל בייצור מוצרים תקינים, וכי להערכתו, המבוססת על בחינה ראשונית, מקור התקלה הוא חומר גלם (נפט גולמי) מזוהם שסופק לחברה.</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בתחילת אוגוסט 2025 הודיע בז"א לבורסה לניירות ערך</w:t>
      </w:r>
      <w:r>
        <w:rPr>
          <w:rFonts w:ascii="David" w:eastAsia="Calibri" w:hAnsi="David"/>
          <w:vertAlign w:val="superscript"/>
          <w:rtl/>
        </w:rPr>
        <w:footnoteReference w:id="65"/>
      </w:r>
      <w:r w:rsidRPr="006114CB">
        <w:rPr>
          <w:rFonts w:ascii="David" w:eastAsia="Calibri" w:hAnsi="David" w:hint="cs"/>
          <w:rtl/>
        </w:rPr>
        <w:t xml:space="preserve"> כי בעקבות התקלה, שהתגלתה לאחר תחילת הפעלת המתקנים, נאלצה החברה להדמים חלק ממתקני בית הזיקוק. החברה ציינה כי היא נוקטת את מרב המאמצים להשבת מתקני בית הזיקוק לפעילות בתוך כמה ימים. עם זאת, גם לאחר חזרת בית הזיקוק לפעילות ועד תיקון מלא של התקלה שהתגלתה, שלהערכת החברה צפוי היה לקחת כשלושה חודשים, צפוי בית הזיקוק לעבוד בתפוקות לא מלאות. החברה הבהירה כי בשל התקלה היא נאלצת לייצר מוצרים לא </w:t>
      </w:r>
      <w:r w:rsidRPr="006114CB">
        <w:rPr>
          <w:rFonts w:ascii="David" w:eastAsia="Calibri" w:hAnsi="David" w:hint="eastAsia"/>
          <w:rtl/>
        </w:rPr>
        <w:t>תקניים</w:t>
      </w:r>
      <w:r w:rsidRPr="006114CB">
        <w:rPr>
          <w:rFonts w:ascii="David" w:eastAsia="Calibri" w:hAnsi="David" w:hint="cs"/>
          <w:rtl/>
        </w:rPr>
        <w:t xml:space="preserve">. אם החברה לא תמצא פתרון לאחסון המוצרים הלא </w:t>
      </w:r>
      <w:r w:rsidRPr="006114CB">
        <w:rPr>
          <w:rFonts w:ascii="David" w:eastAsia="Calibri" w:hAnsi="David" w:hint="eastAsia"/>
          <w:rtl/>
        </w:rPr>
        <w:t>תקניים</w:t>
      </w:r>
      <w:r w:rsidRPr="006114CB">
        <w:rPr>
          <w:rFonts w:ascii="David" w:eastAsia="Calibri" w:hAnsi="David" w:hint="cs"/>
          <w:rtl/>
        </w:rPr>
        <w:t xml:space="preserve"> היא תידרש להדמים את כל פעילות מתקני הזיקוק.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 xml:space="preserve">לקראת אמצע אוגוסט 2025 </w:t>
      </w:r>
      <w:bookmarkStart w:id="12" w:name="_Hlk212456116"/>
      <w:r w:rsidRPr="006114CB">
        <w:rPr>
          <w:rFonts w:ascii="David" w:eastAsia="Calibri" w:hAnsi="David" w:hint="cs"/>
          <w:rtl/>
        </w:rPr>
        <w:t xml:space="preserve">עדכן בז"א את הבורסה </w:t>
      </w:r>
      <w:bookmarkEnd w:id="12"/>
      <w:r w:rsidRPr="006114CB">
        <w:rPr>
          <w:rFonts w:ascii="David" w:eastAsia="Calibri" w:hAnsi="David" w:hint="cs"/>
          <w:rtl/>
        </w:rPr>
        <w:t>לניירות ערך</w:t>
      </w:r>
      <w:r>
        <w:rPr>
          <w:rFonts w:ascii="David" w:eastAsia="Calibri" w:hAnsi="David"/>
          <w:vertAlign w:val="superscript"/>
          <w:rtl/>
        </w:rPr>
        <w:footnoteReference w:id="66"/>
      </w:r>
      <w:r w:rsidRPr="006114CB">
        <w:rPr>
          <w:rFonts w:ascii="David" w:eastAsia="Calibri" w:hAnsi="David" w:hint="cs"/>
          <w:rtl/>
        </w:rPr>
        <w:t xml:space="preserve"> </w:t>
      </w:r>
      <w:bookmarkStart w:id="13" w:name="_Hlk212456129"/>
      <w:r w:rsidRPr="006114CB">
        <w:rPr>
          <w:rFonts w:ascii="David" w:eastAsia="Calibri" w:hAnsi="David" w:hint="cs"/>
          <w:rtl/>
        </w:rPr>
        <w:t xml:space="preserve">כי מתקני בית הזיקוק שבו לפעול ולייצר מוצרים </w:t>
      </w:r>
      <w:r w:rsidRPr="006114CB">
        <w:rPr>
          <w:rFonts w:ascii="David" w:eastAsia="Calibri" w:hAnsi="David" w:hint="eastAsia"/>
          <w:rtl/>
        </w:rPr>
        <w:t>תקנ</w:t>
      </w:r>
      <w:r w:rsidRPr="006114CB">
        <w:rPr>
          <w:rFonts w:ascii="David" w:eastAsia="Calibri" w:hAnsi="David" w:hint="cs"/>
          <w:rtl/>
        </w:rPr>
        <w:t>י</w:t>
      </w:r>
      <w:r w:rsidRPr="006114CB">
        <w:rPr>
          <w:rFonts w:ascii="David" w:eastAsia="Calibri" w:hAnsi="David" w:hint="eastAsia"/>
          <w:rtl/>
        </w:rPr>
        <w:t>ים</w:t>
      </w:r>
      <w:r w:rsidRPr="006114CB">
        <w:rPr>
          <w:rFonts w:ascii="David" w:eastAsia="Calibri" w:hAnsi="David" w:hint="cs"/>
          <w:rtl/>
        </w:rPr>
        <w:t xml:space="preserve"> בתפוקות לא מלאות, עד תיקון מלא של התקלה שהתגלתה</w:t>
      </w:r>
      <w:bookmarkEnd w:id="13"/>
      <w:r w:rsidRPr="006114CB">
        <w:rPr>
          <w:rFonts w:ascii="David" w:eastAsia="Calibri" w:hAnsi="David" w:hint="cs"/>
          <w:rtl/>
        </w:rPr>
        <w:t>. בז"א הודיע לבורסה</w:t>
      </w:r>
      <w:r>
        <w:rPr>
          <w:rFonts w:ascii="David" w:eastAsia="Calibri" w:hAnsi="David"/>
          <w:vertAlign w:val="superscript"/>
          <w:rtl/>
        </w:rPr>
        <w:footnoteReference w:id="67"/>
      </w:r>
      <w:r w:rsidRPr="006114CB">
        <w:rPr>
          <w:rFonts w:ascii="David" w:eastAsia="Calibri" w:hAnsi="David" w:hint="cs"/>
          <w:rtl/>
        </w:rPr>
        <w:t xml:space="preserve"> כי </w:t>
      </w:r>
      <w:bookmarkStart w:id="14" w:name="_Hlk212456161"/>
      <w:r w:rsidRPr="006114CB">
        <w:rPr>
          <w:rFonts w:ascii="David" w:eastAsia="Calibri" w:hAnsi="David" w:hint="cs"/>
          <w:rtl/>
        </w:rPr>
        <w:t xml:space="preserve">להערכתו הוא צפוי לחזור לייצר תפוקות שגרה בתוך כשלושה חודשים מאותו מועד. </w:t>
      </w:r>
      <w:bookmarkEnd w:id="14"/>
      <w:r w:rsidRPr="006114CB">
        <w:rPr>
          <w:rFonts w:ascii="David" w:eastAsia="Calibri" w:hAnsi="David" w:hint="cs"/>
          <w:rtl/>
        </w:rPr>
        <w:t>עוד הודיע בז"א</w:t>
      </w:r>
      <w:r>
        <w:rPr>
          <w:rFonts w:ascii="David" w:eastAsia="Calibri" w:hAnsi="David"/>
          <w:vertAlign w:val="superscript"/>
          <w:rtl/>
        </w:rPr>
        <w:footnoteReference w:id="68"/>
      </w:r>
      <w:r w:rsidRPr="006114CB">
        <w:rPr>
          <w:rFonts w:ascii="David" w:eastAsia="Calibri" w:hAnsi="David" w:hint="cs"/>
          <w:rtl/>
        </w:rPr>
        <w:t xml:space="preserve"> כי לאורך התקופה הוסיפה החברה לעמוד בהתחייבויותיה כלפי לקוחותיה בשוק המקומי, וסיפקה דלקים באופן סדיר, לרבות תזקיקים.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בסוף נובמבר 2025 הודיע בז"א לבורסה לניירות ערך</w:t>
      </w:r>
      <w:r>
        <w:rPr>
          <w:rFonts w:ascii="David" w:eastAsia="Calibri" w:hAnsi="David"/>
          <w:vertAlign w:val="superscript"/>
          <w:rtl/>
        </w:rPr>
        <w:footnoteReference w:id="69"/>
      </w:r>
      <w:r w:rsidRPr="006114CB">
        <w:rPr>
          <w:rFonts w:ascii="David" w:eastAsia="Calibri" w:hAnsi="David" w:hint="cs"/>
          <w:rtl/>
        </w:rPr>
        <w:t xml:space="preserve"> כי בתחילת אוקטובר 2025 שבה החברה לייצר בתפוקות כמעט מלאות. עוד הודיע בז"א כי כדי להביא לתיקון מלא של התקלה, ברבעון הראשון של 2026 מתכננת החברה ריענון במתקניה ובמסגרתו תוגבל ניצולת מתקני החברה ברבעון הראשון. עד מועד סיום הביקורת טרם שב בז"א לייצר בתפוקות מלאות.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b/>
          <w:bCs/>
          <w:rtl/>
        </w:rPr>
      </w:pPr>
      <w:r w:rsidRPr="006114CB">
        <w:rPr>
          <w:rFonts w:ascii="David" w:eastAsia="Calibri" w:hAnsi="David" w:hint="cs"/>
          <w:b/>
          <w:bCs/>
          <w:rtl/>
        </w:rPr>
        <w:t>מן האמור עולה כי בשל התקלה במתקני בז"א, כחודש וחצי, מתחילת יולי ועד אמצע אוגוסט 2025, לא ייצרה החברה גפ"ם. עד מועד סיום הביקורת טרם שב בז"א לפעילות מלאה.</w:t>
      </w:r>
    </w:p>
    <w:p w:rsidR="006114CB" w:rsidRPr="006114CB" w:rsidP="002F4530">
      <w:pPr>
        <w:keepNext/>
        <w:keepLines/>
        <w:spacing w:line="269" w:lineRule="auto"/>
        <w:ind w:left="-567"/>
        <w:rPr>
          <w:rFonts w:eastAsia="Calibri"/>
          <w:szCs w:val="20"/>
          <w:rtl/>
        </w:rPr>
      </w:pPr>
    </w:p>
    <w:p w:rsidR="006114CB" w:rsidP="002F4530">
      <w:pPr>
        <w:spacing w:line="269" w:lineRule="auto"/>
        <w:rPr>
          <w:rFonts w:ascii="David" w:eastAsia="Calibri" w:hAnsi="David"/>
          <w:rtl/>
        </w:rPr>
      </w:pPr>
      <w:r w:rsidRPr="006114CB">
        <w:rPr>
          <w:rFonts w:ascii="David" w:eastAsia="Calibri" w:hAnsi="David" w:hint="cs"/>
          <w:rtl/>
        </w:rPr>
        <w:t>בתרשים שלהלן מפורטים זמני ההשבתה והפעילות החלקית של בתי הזיקוק במחצית השנייה של 2025.</w:t>
      </w:r>
    </w:p>
    <w:p w:rsidR="006114CB" w:rsidRPr="006114CB" w:rsidP="002F4530">
      <w:pPr>
        <w:keepNext/>
        <w:keepLines/>
        <w:spacing w:line="269" w:lineRule="auto"/>
        <w:jc w:val="center"/>
        <w:rPr>
          <w:rFonts w:ascii="David" w:eastAsia="Calibri" w:hAnsi="David"/>
          <w:b/>
          <w:bCs/>
          <w:rtl/>
        </w:rPr>
      </w:pPr>
      <w:r w:rsidRPr="006114CB">
        <w:rPr>
          <w:rFonts w:ascii="David" w:eastAsia="Calibri" w:hAnsi="David" w:hint="eastAsia"/>
          <w:rtl/>
        </w:rPr>
        <w:t>תרשים</w:t>
      </w:r>
      <w:r w:rsidRPr="006114CB">
        <w:rPr>
          <w:rFonts w:ascii="David" w:eastAsia="Calibri" w:hAnsi="David"/>
          <w:rtl/>
        </w:rPr>
        <w:t xml:space="preserve"> 6:</w:t>
      </w:r>
      <w:r w:rsidRPr="006114CB">
        <w:rPr>
          <w:rFonts w:ascii="David" w:eastAsia="Calibri" w:hAnsi="David" w:hint="cs"/>
          <w:b/>
          <w:bCs/>
          <w:rtl/>
        </w:rPr>
        <w:t xml:space="preserve"> זמני השבתה ופעילות חלקית של בתי הזיקוק, יוני עד דצמבר 2025 </w:t>
      </w:r>
    </w:p>
    <w:p w:rsidR="006114CB" w:rsidRPr="006114CB" w:rsidP="002F4530">
      <w:pPr>
        <w:spacing w:line="269" w:lineRule="auto"/>
        <w:rPr>
          <w:rFonts w:ascii="David" w:eastAsia="Calibri" w:hAnsi="David"/>
          <w:szCs w:val="20"/>
          <w:rtl/>
        </w:rPr>
      </w:pPr>
      <w:r w:rsidRPr="006114CB">
        <w:rPr>
          <w:rFonts w:eastAsia="Calibri"/>
          <w:noProof/>
          <w:szCs w:val="20"/>
          <w:rtl/>
        </w:rPr>
        <w:drawing>
          <wp:inline distT="0" distB="0" distL="0" distR="0">
            <wp:extent cx="5220335" cy="1729703"/>
            <wp:effectExtent l="0" t="0" r="0" b="4445"/>
            <wp:docPr id="76" name="תמונה 76" descr="התרשים מתאר את זמני ההשבתה ופעילות חלקית של בתי הזיקוק מיוני עד דצמבר 2025, כך שלכל אורך התקופה היו השבתות ופעילות חלקית של בתי הזיקו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5220335" cy="1729703"/>
                    </a:xfrm>
                    <a:prstGeom prst="rect">
                      <a:avLst/>
                    </a:prstGeom>
                    <a:noFill/>
                    <a:ln>
                      <a:noFill/>
                    </a:ln>
                  </pic:spPr>
                </pic:pic>
              </a:graphicData>
            </a:graphic>
          </wp:inline>
        </w:drawing>
      </w:r>
    </w:p>
    <w:p w:rsidR="006114CB" w:rsidRPr="006114CB" w:rsidP="002F4530">
      <w:pPr>
        <w:spacing w:line="269" w:lineRule="auto"/>
        <w:rPr>
          <w:rFonts w:ascii="David" w:eastAsia="Calibri" w:hAnsi="David"/>
          <w:szCs w:val="20"/>
          <w:rtl/>
        </w:rPr>
      </w:pPr>
      <w:r w:rsidRPr="006114CB">
        <w:rPr>
          <w:rFonts w:ascii="David" w:eastAsia="Calibri" w:hAnsi="David" w:hint="eastAsia"/>
          <w:szCs w:val="20"/>
          <w:rtl/>
        </w:rPr>
        <w:t>על</w:t>
      </w:r>
      <w:r w:rsidRPr="006114CB">
        <w:rPr>
          <w:rFonts w:ascii="David" w:eastAsia="Calibri" w:hAnsi="David"/>
          <w:szCs w:val="20"/>
          <w:rtl/>
        </w:rPr>
        <w:t xml:space="preserve"> פי </w:t>
      </w:r>
      <w:r w:rsidRPr="006114CB">
        <w:rPr>
          <w:rFonts w:ascii="David" w:eastAsia="Calibri" w:hAnsi="David" w:hint="eastAsia"/>
          <w:szCs w:val="20"/>
          <w:rtl/>
        </w:rPr>
        <w:t>דיווחי</w:t>
      </w:r>
      <w:r w:rsidRPr="006114CB">
        <w:rPr>
          <w:rFonts w:ascii="David" w:eastAsia="Calibri" w:hAnsi="David"/>
          <w:szCs w:val="20"/>
          <w:rtl/>
        </w:rPr>
        <w:t xml:space="preserve"> החברות לבורסה לניירות ערך, בעיבוד משרד מבקר המדינה.</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 xml:space="preserve">מהתרשים עולה כי במחצית השנייה של יוני 2025 היה בז"ן מושבת ובז"א עבד בתפוקה חלקית; מיולי ועד אמצע אוגוסט 2025 היה בז"א מושבת; מתחילת יולי 2025 ועד אוקטובר 2025 עבד בז"ן בתפוקה חלקית; מאוקטובר 2025 בז"ן עובד בתפוקה מלאה; ומאמצע אוגוסט 2025 ועד מועד סיום הביקורת (דצמבר 2025) בז"א עובד בתפוקה חלקית.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באוגוסט 2025 גיבשו רשות החירום הלאומית (רח״ל) ומינהל הדלק טיוטה ראשונה לנוהל ניהול ביקושי גפ"ם בחירום לאור לקחי מלחמת חרבות ברזל ומבצע עם כלביא</w:t>
      </w:r>
      <w:r>
        <w:rPr>
          <w:rFonts w:ascii="David" w:eastAsia="Calibri" w:hAnsi="David"/>
          <w:vertAlign w:val="superscript"/>
          <w:rtl/>
        </w:rPr>
        <w:footnoteReference w:id="70"/>
      </w:r>
      <w:r w:rsidRPr="006114CB">
        <w:rPr>
          <w:rFonts w:ascii="David" w:eastAsia="Calibri" w:hAnsi="David" w:hint="cs"/>
          <w:rtl/>
        </w:rPr>
        <w:t>. טיוטת הנוהל מעדכנת את הנוהל הקודם בנושא</w:t>
      </w:r>
      <w:r>
        <w:rPr>
          <w:rFonts w:ascii="David" w:eastAsia="Calibri" w:hAnsi="David"/>
          <w:vertAlign w:val="superscript"/>
          <w:rtl/>
        </w:rPr>
        <w:footnoteReference w:id="71"/>
      </w:r>
      <w:r w:rsidRPr="006114CB">
        <w:rPr>
          <w:rFonts w:ascii="David" w:eastAsia="Calibri" w:hAnsi="David" w:hint="cs"/>
          <w:rtl/>
        </w:rPr>
        <w:t xml:space="preserve"> ודומה לו במהותה. מטרתה של טיוטת הנוהל היא הסדרת העדיפות הלאומית באספקת גפ"ם במקרה של מחסור במשק באמצעות ניהול ביקושים בין צרכנים שונים. הטיוטה קובעת כי חברות הגפ"ם יספקו את מלאי הגפ"ם של החברה לפי סוגי צרכנים לפי סדר עדיפות. רמה א' לצרכנים הבאים: בתי חולים, מכבסות המשרתות בתי חולים, מאפיות ומפעלי מזון, בתי אבות ודיור מוגן, מעונות חוסים, מפעלי ייצור חיוניים. לצרכנים אלו יספקו חברות הגפ"ם עד 60% ממלאי החברה; רמה ב' לצרכנים הבאים: בתי סוהר, לולים ומדגרות, בתי מלון ושירותי הסעדה. לצרכנים אלו יסופקו עד 30% ממלאי החברה, ובלבד שנותר עודף מלאי מצרכני רמה א'; רמה ג' לצרכנים הבאים: משקי בית </w:t>
      </w:r>
      <w:r w:rsidRPr="006114CB">
        <w:rPr>
          <w:rFonts w:ascii="David" w:eastAsia="Calibri" w:hAnsi="David" w:hint="eastAsia"/>
          <w:rtl/>
        </w:rPr>
        <w:t>ב</w:t>
      </w:r>
      <w:r w:rsidRPr="006114CB">
        <w:rPr>
          <w:rFonts w:ascii="David" w:eastAsia="Calibri" w:hAnsi="David"/>
          <w:rtl/>
        </w:rPr>
        <w:t>מרכזיית</w:t>
      </w:r>
      <w:r w:rsidRPr="006114CB">
        <w:rPr>
          <w:rFonts w:ascii="David" w:eastAsia="Calibri" w:hAnsi="David" w:hint="cs"/>
          <w:rtl/>
        </w:rPr>
        <w:t xml:space="preserve"> מכל נייח, משקי בית במכלים (עד מכל אחד למשק בית), צה"ל, משטרה. לצרכנים אלו יסופקו עד 10% ממלאי החברה, ובלבד שנותר עודף מלאי מצרכני רמה ב'; הטיוטה אוסרת לספק גפ"ם לצרכני רמה ד': תחנות תדלוק בגפ"ם וצרכנים בעלי יכולת לשימוש בדלק חלופי או בחשמל.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b/>
          <w:bCs/>
          <w:rtl/>
        </w:rPr>
      </w:pPr>
      <w:r w:rsidRPr="006114CB">
        <w:rPr>
          <w:rFonts w:ascii="David" w:eastAsia="Calibri" w:hAnsi="David" w:hint="cs"/>
          <w:b/>
          <w:bCs/>
          <w:rtl/>
        </w:rPr>
        <w:t xml:space="preserve">מן האמור לעיל עולה כי עבודות ריענון המתקנים, התקלות והפגיעות בבתי הזיקוק במחצית השנייה של 2025 צמצמו ואף השביתו את כושר הייצור שלהם. במועד סיום הביקורת בז"א עובד בתפוקה חלקית וללא אמינות אספקה. נמצא כי עבודות הריענון, התקלות והפגיעות אירעו בזמן מלחמת חרבות ברזל, וחלקן בזמן מבצע עם כלביא. בתקופה זו התחדדה החשיבות של פעילות בתי הזיקוק </w:t>
      </w:r>
      <w:r w:rsidRPr="006114CB">
        <w:rPr>
          <w:rFonts w:ascii="David" w:eastAsia="Calibri" w:hAnsi="David"/>
          <w:b/>
          <w:bCs/>
          <w:rtl/>
        </w:rPr>
        <w:t>ו</w:t>
      </w:r>
      <w:r w:rsidRPr="006114CB">
        <w:rPr>
          <w:rFonts w:ascii="David" w:eastAsia="Calibri" w:hAnsi="David" w:hint="cs"/>
          <w:b/>
          <w:bCs/>
          <w:rtl/>
        </w:rPr>
        <w:t xml:space="preserve">גברה </w:t>
      </w:r>
      <w:r w:rsidRPr="006114CB">
        <w:rPr>
          <w:rFonts w:ascii="David" w:eastAsia="Calibri" w:hAnsi="David"/>
          <w:b/>
          <w:bCs/>
          <w:rtl/>
        </w:rPr>
        <w:t xml:space="preserve">התלות של המשק </w:t>
      </w:r>
      <w:r w:rsidRPr="006114CB">
        <w:rPr>
          <w:rFonts w:ascii="David" w:eastAsia="Calibri" w:hAnsi="David" w:hint="eastAsia"/>
          <w:b/>
          <w:bCs/>
          <w:rtl/>
        </w:rPr>
        <w:t>בהם</w:t>
      </w:r>
      <w:r w:rsidRPr="006114CB">
        <w:rPr>
          <w:rFonts w:ascii="David" w:eastAsia="Calibri" w:hAnsi="David"/>
          <w:b/>
          <w:bCs/>
          <w:rtl/>
        </w:rPr>
        <w:t xml:space="preserve"> </w:t>
      </w:r>
      <w:r w:rsidRPr="006114CB">
        <w:rPr>
          <w:rFonts w:ascii="David" w:eastAsia="Calibri" w:hAnsi="David" w:hint="cs"/>
          <w:b/>
          <w:bCs/>
          <w:rtl/>
        </w:rPr>
        <w:t>ל</w:t>
      </w:r>
      <w:r w:rsidRPr="006114CB">
        <w:rPr>
          <w:rFonts w:ascii="David" w:eastAsia="Calibri" w:hAnsi="David" w:hint="eastAsia"/>
          <w:b/>
          <w:bCs/>
          <w:rtl/>
        </w:rPr>
        <w:t>ייצור</w:t>
      </w:r>
      <w:r w:rsidRPr="006114CB">
        <w:rPr>
          <w:rFonts w:ascii="David" w:eastAsia="Calibri" w:hAnsi="David"/>
          <w:b/>
          <w:bCs/>
          <w:rtl/>
        </w:rPr>
        <w:t xml:space="preserve"> </w:t>
      </w:r>
      <w:r w:rsidRPr="006114CB">
        <w:rPr>
          <w:rFonts w:ascii="David" w:eastAsia="Calibri" w:hAnsi="David" w:hint="eastAsia"/>
          <w:b/>
          <w:bCs/>
          <w:rtl/>
        </w:rPr>
        <w:t>גפ</w:t>
      </w:r>
      <w:r w:rsidRPr="006114CB">
        <w:rPr>
          <w:rFonts w:ascii="David" w:eastAsia="Calibri" w:hAnsi="David"/>
          <w:b/>
          <w:bCs/>
          <w:rtl/>
        </w:rPr>
        <w:t>"ם.</w:t>
      </w:r>
      <w:r w:rsidRPr="006114CB">
        <w:rPr>
          <w:rFonts w:ascii="David" w:eastAsia="Calibri" w:hAnsi="David" w:hint="cs"/>
          <w:b/>
          <w:bCs/>
          <w:rtl/>
        </w:rPr>
        <w:t xml:space="preserve"> עוד נמצא כי עבודות הריענון, התקלות והפגיעות אירעו בחודשי הקיץ, כשהביקוש לגפ"ם נמוך יותר. פגיעה בכושר הייצור בחודשי החורף הייתה עלולה להביא למחסור ממשי בגפ"ם. </w:t>
      </w:r>
      <w:bookmarkStart w:id="15" w:name="_Hlk222832608"/>
      <w:r w:rsidRPr="006114CB">
        <w:rPr>
          <w:rFonts w:ascii="David" w:eastAsia="Calibri" w:hAnsi="David" w:hint="cs"/>
          <w:b/>
          <w:bCs/>
          <w:rtl/>
        </w:rPr>
        <w:t>מינהל הדלק לא עודכן בנוגע ל</w:t>
      </w:r>
      <w:r w:rsidRPr="006114CB">
        <w:rPr>
          <w:rFonts w:eastAsia="Calibri" w:hint="cs"/>
          <w:b/>
          <w:bCs/>
          <w:rtl/>
        </w:rPr>
        <w:t>תחזית כושר האספקה הצפויה לבז"א ביוני וביולי 2025</w:t>
      </w:r>
      <w:r w:rsidRPr="006114CB">
        <w:rPr>
          <w:rFonts w:ascii="David" w:eastAsia="Calibri" w:hAnsi="David" w:hint="cs"/>
          <w:b/>
          <w:bCs/>
          <w:rtl/>
        </w:rPr>
        <w:t xml:space="preserve"> ובנוגע לעבודות ריענון המתקנים, ולכן לא נערך אליהן מבעוד מועד.</w:t>
      </w:r>
      <w:bookmarkEnd w:id="15"/>
      <w:r w:rsidRPr="006114CB">
        <w:rPr>
          <w:rFonts w:ascii="David" w:eastAsia="Calibri" w:hAnsi="David" w:hint="cs"/>
          <w:b/>
          <w:bCs/>
          <w:rtl/>
        </w:rPr>
        <w:t xml:space="preserve"> לאחר מועד סיום הביקורת מסרה רח"ל כי הנוהל בנושא ניהול ביקושי גפ"ם בחירום נמצא בתהליכים סופיים של אישור וייחתם בזמן הקרוב.</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b/>
          <w:bCs/>
          <w:rtl/>
        </w:rPr>
      </w:pPr>
      <w:r w:rsidRPr="006114CB">
        <w:rPr>
          <w:rFonts w:ascii="David" w:eastAsia="Calibri" w:hAnsi="David" w:hint="cs"/>
          <w:b/>
          <w:bCs/>
          <w:rtl/>
        </w:rPr>
        <w:t xml:space="preserve">על מינהל הדלק </w:t>
      </w:r>
      <w:r w:rsidRPr="006114CB">
        <w:rPr>
          <w:rFonts w:eastAsia="Calibri" w:hint="cs"/>
          <w:b/>
          <w:bCs/>
          <w:rtl/>
        </w:rPr>
        <w:t>לוודא כי בתי הזיקוק עומדים בחובת ההודעה בכתב, מדי חודש, על תחזית כושר האספקה שלהם,</w:t>
      </w:r>
      <w:r w:rsidRPr="006114CB">
        <w:rPr>
          <w:rFonts w:ascii="David" w:eastAsia="Calibri" w:hAnsi="David" w:hint="cs"/>
          <w:b/>
          <w:bCs/>
          <w:rtl/>
        </w:rPr>
        <w:t xml:space="preserve"> ולהיערך לעבודות ריענון מתקנים בבתי הזיקוק, לתקלות במתקניהם ולפגיעות</w:t>
      </w:r>
      <w:r>
        <w:rPr>
          <w:rFonts w:ascii="David" w:eastAsia="Calibri" w:hAnsi="David" w:hint="cs"/>
          <w:rtl/>
        </w:rPr>
        <w:t xml:space="preserve"> </w:t>
      </w:r>
      <w:r w:rsidRPr="006114CB">
        <w:rPr>
          <w:rFonts w:ascii="David" w:eastAsia="Calibri" w:hAnsi="David" w:hint="cs"/>
          <w:b/>
          <w:bCs/>
          <w:rtl/>
        </w:rPr>
        <w:t xml:space="preserve">בהם, בייחוד בעיתות מלחמה, כדי להבטיח אספקת גפ"ם סדירה למשק. </w:t>
      </w:r>
      <w:bookmarkStart w:id="16" w:name="_Hlk230535402"/>
      <w:r w:rsidRPr="006114CB">
        <w:rPr>
          <w:rFonts w:ascii="David" w:eastAsia="Calibri" w:hAnsi="David" w:hint="cs"/>
          <w:b/>
          <w:bCs/>
          <w:rtl/>
        </w:rPr>
        <w:t xml:space="preserve">על משרד הביטחון, רח"ל ומשרד האנרגיה לסיים את תהליכי אישור הנוהל בנושא ניהול ביקושי גפ"ם בחירום </w:t>
      </w:r>
      <w:r w:rsidRPr="006114CB">
        <w:rPr>
          <w:rFonts w:ascii="David" w:eastAsia="Calibri" w:hAnsi="David" w:hint="cs"/>
          <w:b/>
          <w:bCs/>
          <w:rtl/>
        </w:rPr>
        <w:t xml:space="preserve">וחתימתו. </w:t>
      </w:r>
      <w:bookmarkEnd w:id="16"/>
      <w:r w:rsidRPr="006114CB">
        <w:rPr>
          <w:rFonts w:ascii="David" w:eastAsia="Calibri" w:hAnsi="David" w:hint="cs"/>
          <w:b/>
          <w:bCs/>
          <w:rtl/>
        </w:rPr>
        <w:t>כמו כן, מומלץ למועצה הלאומית לכלכלה, בשיתוף משרד האנרגיה ומשרד האוצר, להבטיח כי יסופקו צורכי האנרגיה של ישראל, בין היתר על בסיס הלקחים ממלחמת חרבות ברזל וממבצע עם כלביא.</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3"/>
        <w:rPr>
          <w:rFonts w:eastAsia="Times New Roman"/>
          <w:bCs/>
          <w:szCs w:val="26"/>
          <w:rtl/>
        </w:rPr>
      </w:pPr>
      <w:r w:rsidRPr="006114CB">
        <w:rPr>
          <w:rFonts w:eastAsia="Times New Roman" w:hint="cs"/>
          <w:bCs/>
          <w:szCs w:val="26"/>
          <w:rtl/>
        </w:rPr>
        <w:t>יבוא גפ"ם</w:t>
      </w:r>
    </w:p>
    <w:p w:rsidR="006114CB" w:rsidRPr="006114CB" w:rsidP="002F4530">
      <w:pPr>
        <w:spacing w:line="269" w:lineRule="auto"/>
        <w:rPr>
          <w:rFonts w:eastAsia="Calibri"/>
          <w:rtl/>
        </w:rPr>
      </w:pPr>
    </w:p>
    <w:p w:rsidR="006114CB" w:rsidRPr="006114CB" w:rsidP="002F4530">
      <w:pPr>
        <w:keepNext/>
        <w:keepLines/>
        <w:spacing w:line="269" w:lineRule="auto"/>
        <w:outlineLvl w:val="4"/>
        <w:rPr>
          <w:rFonts w:eastAsia="Times New Roman"/>
          <w:bCs/>
          <w:spacing w:val="40"/>
          <w:rtl/>
        </w:rPr>
      </w:pPr>
      <w:r w:rsidRPr="006114CB">
        <w:rPr>
          <w:rFonts w:eastAsia="Times New Roman" w:hint="cs"/>
          <w:bCs/>
          <w:spacing w:val="40"/>
          <w:rtl/>
        </w:rPr>
        <w:t>מבוא</w:t>
      </w:r>
    </w:p>
    <w:p w:rsidR="006114CB" w:rsidRPr="006114CB" w:rsidP="002F4530">
      <w:pPr>
        <w:spacing w:line="269" w:lineRule="auto"/>
        <w:rPr>
          <w:rFonts w:eastAsia="Calibri"/>
          <w:rtl/>
        </w:rPr>
      </w:pPr>
      <w:r w:rsidRPr="006114CB">
        <w:rPr>
          <w:rFonts w:eastAsia="Calibri" w:hint="cs"/>
          <w:rtl/>
        </w:rPr>
        <w:t>הייצור המקומי של גפ"ם לא יכול לעלות מעבר לכושר הייצור הקיים, המספק כיום כ-63% מהביקוש לגפ"ם במשק. נכון למועד סיום הביקורת כמות הגפ</w:t>
      </w:r>
      <w:r w:rsidRPr="006114CB">
        <w:rPr>
          <w:rFonts w:eastAsia="Calibri"/>
          <w:rtl/>
        </w:rPr>
        <w:t>"</w:t>
      </w:r>
      <w:r w:rsidRPr="006114CB">
        <w:rPr>
          <w:rFonts w:eastAsia="Calibri" w:hint="cs"/>
          <w:rtl/>
        </w:rPr>
        <w:t xml:space="preserve">ם החסרה למשק המקומי (כ-37%) מיובאת דרך </w:t>
      </w:r>
      <w:r w:rsidR="00A23EA9">
        <w:rPr>
          <w:rFonts w:eastAsia="Calibri" w:hint="cs"/>
          <w:rtl/>
        </w:rPr>
        <w:t>ה</w:t>
      </w:r>
      <w:r w:rsidRPr="006114CB">
        <w:rPr>
          <w:rFonts w:eastAsia="Calibri" w:hint="cs"/>
          <w:rtl/>
        </w:rPr>
        <w:t>מ</w:t>
      </w:r>
      <w:r w:rsidR="00A23EA9">
        <w:rPr>
          <w:rFonts w:eastAsia="Calibri" w:hint="cs"/>
          <w:rtl/>
        </w:rPr>
        <w:t>ִ</w:t>
      </w:r>
      <w:r w:rsidRPr="006114CB">
        <w:rPr>
          <w:rFonts w:eastAsia="Calibri" w:hint="cs"/>
          <w:rtl/>
        </w:rPr>
        <w:t>קש</w:t>
      </w:r>
      <w:r w:rsidR="00A23EA9">
        <w:rPr>
          <w:rFonts w:eastAsia="Calibri" w:hint="cs"/>
          <w:rtl/>
        </w:rPr>
        <w:t>ָ</w:t>
      </w:r>
      <w:r w:rsidRPr="006114CB">
        <w:rPr>
          <w:rFonts w:eastAsia="Calibri" w:hint="cs"/>
          <w:rtl/>
        </w:rPr>
        <w:t xml:space="preserve">ר הימי.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בתרשים להלן מתוארים מקורות הגפ"ם - ייצור מקומי ויבוא - לפי חודשי השנה.</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jc w:val="center"/>
        <w:rPr>
          <w:rFonts w:eastAsia="Calibri"/>
          <w:b/>
          <w:bCs/>
          <w:rtl/>
        </w:rPr>
      </w:pPr>
      <w:r w:rsidRPr="006114CB">
        <w:rPr>
          <w:rFonts w:eastAsia="Calibri" w:hint="eastAsia"/>
          <w:rtl/>
        </w:rPr>
        <w:t>תרשים</w:t>
      </w:r>
      <w:r w:rsidRPr="006114CB">
        <w:rPr>
          <w:rFonts w:eastAsia="Calibri"/>
          <w:rtl/>
        </w:rPr>
        <w:t xml:space="preserve"> 7:</w:t>
      </w:r>
      <w:r w:rsidRPr="006114CB">
        <w:rPr>
          <w:rFonts w:eastAsia="Calibri" w:hint="cs"/>
          <w:b/>
          <w:bCs/>
          <w:rtl/>
        </w:rPr>
        <w:t xml:space="preserve"> מקורות הגפ"ם לפי חודשי השנה</w:t>
      </w:r>
    </w:p>
    <w:p w:rsidR="006114CB" w:rsidRPr="006114CB" w:rsidP="002F4530">
      <w:pPr>
        <w:spacing w:line="269" w:lineRule="auto"/>
        <w:jc w:val="center"/>
        <w:rPr>
          <w:rFonts w:eastAsia="Calibri"/>
          <w:b/>
          <w:bCs/>
          <w:rtl/>
        </w:rPr>
      </w:pPr>
      <w:r w:rsidRPr="006114CB">
        <w:rPr>
          <w:rFonts w:eastAsia="Calibri"/>
          <w:noProof/>
        </w:rPr>
        <w:drawing>
          <wp:inline distT="0" distB="0" distL="0" distR="0">
            <wp:extent cx="5220335" cy="3040380"/>
            <wp:effectExtent l="0" t="0" r="0" b="7620"/>
            <wp:docPr id="18" name="תמונה 18" descr="התרשים מתאר את מקורות הגפ&quot;ם לפי חודשי השנה - ייצור מקומי ויבוא - לפי חודשי השנ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16"/>
                    <a:stretch>
                      <a:fillRect/>
                    </a:stretch>
                  </pic:blipFill>
                  <pic:spPr>
                    <a:xfrm>
                      <a:off x="0" y="0"/>
                      <a:ext cx="5220335" cy="3040380"/>
                    </a:xfrm>
                    <a:prstGeom prst="rect">
                      <a:avLst/>
                    </a:prstGeom>
                  </pic:spPr>
                </pic:pic>
              </a:graphicData>
            </a:graphic>
          </wp:inline>
        </w:drawing>
      </w:r>
    </w:p>
    <w:p w:rsidR="006114CB" w:rsidRPr="006114CB" w:rsidP="002F4530">
      <w:pPr>
        <w:spacing w:line="269" w:lineRule="auto"/>
        <w:rPr>
          <w:rFonts w:eastAsia="Calibri"/>
          <w:szCs w:val="20"/>
          <w:rtl/>
        </w:rPr>
      </w:pPr>
      <w:r w:rsidRPr="006114CB">
        <w:rPr>
          <w:rFonts w:eastAsia="Calibri" w:hint="eastAsia"/>
          <w:szCs w:val="20"/>
          <w:rtl/>
        </w:rPr>
        <w:t>המקור</w:t>
      </w:r>
      <w:r w:rsidRPr="006114CB">
        <w:rPr>
          <w:rFonts w:eastAsia="Calibri"/>
          <w:szCs w:val="20"/>
          <w:rtl/>
        </w:rPr>
        <w:t>: מינהל הדלק במשרד ה</w:t>
      </w:r>
      <w:r w:rsidRPr="006114CB">
        <w:rPr>
          <w:rFonts w:eastAsia="Calibri" w:hint="eastAsia"/>
          <w:szCs w:val="20"/>
          <w:rtl/>
        </w:rPr>
        <w:t>אנרגיה</w:t>
      </w:r>
      <w:r w:rsidRPr="006114CB">
        <w:rPr>
          <w:rFonts w:eastAsia="Calibri" w:hint="cs"/>
          <w:szCs w:val="20"/>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sz w:val="24"/>
          <w:rtl/>
        </w:rPr>
      </w:pPr>
      <w:r w:rsidRPr="006114CB">
        <w:rPr>
          <w:rFonts w:eastAsia="Calibri" w:hint="cs"/>
          <w:rtl/>
        </w:rPr>
        <w:t>מהתרשים עולה כי בחודשי הקיץ כמות היבוא נמוכה יותר, ובממוצע מיובאים כ-8,000 טונה בחודש, ובחודשי החורף כמות היבוא גבוהה יותר, ובממוצע מיובאים כ-35,000 טונה בחודש.</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על פי נתוני מינהל הדלק, בשנת 2023 צרך המשק הישראלי כ-600,000 טונה גפ</w:t>
      </w:r>
      <w:r w:rsidRPr="006114CB">
        <w:rPr>
          <w:rFonts w:eastAsia="Calibri"/>
          <w:rtl/>
        </w:rPr>
        <w:t>"</w:t>
      </w:r>
      <w:r w:rsidRPr="006114CB">
        <w:rPr>
          <w:rFonts w:eastAsia="Calibri" w:hint="cs"/>
          <w:rtl/>
        </w:rPr>
        <w:t>ם, ומתוכם יובאו 222,000 טונה גפ"ם (כ-37% מסך הצריכה). הגפ"ם מיובא באמצעות מקשר ימי</w:t>
      </w:r>
      <w:bookmarkStart w:id="17" w:name="_Hlk212457451"/>
      <w:r w:rsidRPr="006114CB">
        <w:rPr>
          <w:rFonts w:eastAsia="Calibri" w:hint="cs"/>
          <w:rtl/>
        </w:rPr>
        <w:t xml:space="preserve"> יחיד הקולט את הגפ"ם מאוניות בנמל חברת קצא"א</w:t>
      </w:r>
      <w:bookmarkEnd w:id="17"/>
      <w:r w:rsidRPr="006114CB">
        <w:rPr>
          <w:rFonts w:eastAsia="Calibri" w:hint="cs"/>
          <w:rtl/>
        </w:rPr>
        <w:t xml:space="preserve"> - הנמל היחיד בארץ ליבוא גפ"ם - ומוזרם למתקן פריקת הגפ"ם בנמל.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אוניית הגפ"ם נקשרת בלב ים למצופים כדי לייצבה במהלך הפריקה, ובעזרת צינור גמיש המתחבר אליה מוזרם הגפ"ם דרך צנרת קבועה עד למתקן האחסון בחוף.</w:t>
      </w:r>
    </w:p>
    <w:p w:rsidR="006114CB" w:rsidRPr="006114CB" w:rsidP="002F4530">
      <w:pPr>
        <w:spacing w:line="269" w:lineRule="auto"/>
        <w:rPr>
          <w:rFonts w:eastAsia="Calibri"/>
          <w:rtl/>
        </w:rPr>
      </w:pPr>
      <w:r w:rsidRPr="006114CB">
        <w:rPr>
          <w:rFonts w:ascii="David" w:eastAsia="Calibri" w:hAnsi="David"/>
          <w:rtl/>
        </w:rPr>
        <w:t>בדוח</w:t>
      </w:r>
      <w:r w:rsidRPr="006114CB">
        <w:rPr>
          <w:rFonts w:ascii="David" w:eastAsia="Calibri" w:hAnsi="David" w:hint="cs"/>
          <w:rtl/>
        </w:rPr>
        <w:t xml:space="preserve"> מבקר המדינה</w:t>
      </w:r>
      <w:r w:rsidRPr="006114CB">
        <w:rPr>
          <w:rFonts w:ascii="David" w:eastAsia="Calibri" w:hAnsi="David"/>
          <w:rtl/>
        </w:rPr>
        <w:t xml:space="preserve"> הקודם מ-2017</w:t>
      </w:r>
      <w:r>
        <w:rPr>
          <w:rFonts w:ascii="David" w:eastAsia="Calibri" w:hAnsi="David"/>
          <w:vertAlign w:val="superscript"/>
          <w:rtl/>
        </w:rPr>
        <w:footnoteReference w:id="72"/>
      </w:r>
      <w:r w:rsidRPr="006114CB">
        <w:rPr>
          <w:rFonts w:ascii="David" w:eastAsia="Calibri" w:hAnsi="David"/>
          <w:rtl/>
        </w:rPr>
        <w:t xml:space="preserve"> </w:t>
      </w:r>
      <w:r w:rsidRPr="006114CB">
        <w:rPr>
          <w:rFonts w:ascii="David" w:eastAsia="Calibri" w:hAnsi="David" w:hint="cs"/>
          <w:rtl/>
        </w:rPr>
        <w:t xml:space="preserve">(להלן - הדוח הקודם) </w:t>
      </w:r>
      <w:r w:rsidRPr="006114CB">
        <w:rPr>
          <w:rFonts w:ascii="David" w:eastAsia="Calibri" w:hAnsi="David"/>
          <w:rtl/>
        </w:rPr>
        <w:t xml:space="preserve">נמצא כי למתקן הפריקה </w:t>
      </w:r>
      <w:r w:rsidRPr="006114CB">
        <w:rPr>
          <w:rFonts w:ascii="David" w:eastAsia="Calibri" w:hAnsi="David" w:hint="cs"/>
          <w:rtl/>
        </w:rPr>
        <w:t>בקצא"א</w:t>
      </w:r>
      <w:r>
        <w:rPr>
          <w:rFonts w:ascii="David" w:eastAsia="Calibri" w:hAnsi="David" w:hint="cs"/>
          <w:rtl/>
        </w:rPr>
        <w:t xml:space="preserve"> </w:t>
      </w:r>
      <w:r w:rsidRPr="006114CB">
        <w:rPr>
          <w:rFonts w:ascii="David" w:eastAsia="Calibri" w:hAnsi="David"/>
          <w:rtl/>
        </w:rPr>
        <w:t>יש מגבלות וכי יש לדאוג למתקן פריקת גפ"ם נוסף בצפון הארץ. משרד מבקר המדינה ה</w:t>
      </w:r>
      <w:r w:rsidRPr="006114CB">
        <w:rPr>
          <w:rFonts w:ascii="David" w:eastAsia="Calibri" w:hAnsi="David" w:hint="cs"/>
          <w:rtl/>
        </w:rPr>
        <w:t>מליץ</w:t>
      </w:r>
      <w:r w:rsidRPr="006114CB">
        <w:rPr>
          <w:rFonts w:ascii="David" w:eastAsia="Calibri" w:hAnsi="David"/>
          <w:rtl/>
        </w:rPr>
        <w:t xml:space="preserve"> בדוח הקודם למשרד האנרגיה ולמשרד האוצר כי יש לקדם החלטה לפתרון </w:t>
      </w:r>
      <w:r w:rsidRPr="006114CB">
        <w:rPr>
          <w:rFonts w:ascii="David" w:eastAsia="Calibri" w:hAnsi="David" w:hint="cs"/>
          <w:rtl/>
        </w:rPr>
        <w:t>שיספק</w:t>
      </w:r>
      <w:r w:rsidRPr="006114CB">
        <w:rPr>
          <w:rFonts w:ascii="David" w:eastAsia="Calibri" w:hAnsi="David"/>
          <w:rtl/>
        </w:rPr>
        <w:t xml:space="preserve"> </w:t>
      </w:r>
      <w:r w:rsidRPr="006114CB">
        <w:rPr>
          <w:rFonts w:ascii="David" w:eastAsia="Calibri" w:hAnsi="David" w:hint="cs"/>
          <w:rtl/>
        </w:rPr>
        <w:t>את ה</w:t>
      </w:r>
      <w:r w:rsidRPr="006114CB">
        <w:rPr>
          <w:rFonts w:ascii="David" w:eastAsia="Calibri" w:hAnsi="David"/>
          <w:rtl/>
        </w:rPr>
        <w:t>צורך במתקן פריקת גפ"ם נוסף בצפון הארץ.</w:t>
      </w:r>
      <w:r w:rsidRPr="006114CB">
        <w:rPr>
          <w:rFonts w:eastAsia="Calibri" w:hint="cs"/>
          <w:rtl/>
        </w:rPr>
        <w:t xml:space="preserve"> </w:t>
      </w:r>
    </w:p>
    <w:p w:rsidR="002667BB" w:rsidP="002F4530">
      <w:pPr>
        <w:spacing w:line="269" w:lineRule="auto"/>
        <w:rPr>
          <w:rFonts w:ascii="David" w:eastAsia="Calibri" w:hAnsi="David"/>
          <w:rtl/>
        </w:rPr>
      </w:pPr>
      <w:bookmarkStart w:id="19" w:name="_Hlk212457756"/>
    </w:p>
    <w:p w:rsidR="006114CB" w:rsidRPr="006114CB" w:rsidP="002F4530">
      <w:pPr>
        <w:spacing w:line="269" w:lineRule="auto"/>
        <w:rPr>
          <w:rFonts w:eastAsia="Calibri"/>
          <w:rtl/>
        </w:rPr>
      </w:pPr>
      <w:r w:rsidRPr="006114CB">
        <w:rPr>
          <w:rFonts w:ascii="David" w:eastAsia="Calibri" w:hAnsi="David" w:hint="cs"/>
          <w:rtl/>
        </w:rPr>
        <w:t>המגבלה העיקרית לכמות היבוא בחודשי החורף היא מצב הים בנמל ההעמסה ובקצא"א</w:t>
      </w:r>
      <w:bookmarkEnd w:id="19"/>
      <w:r w:rsidRPr="006114CB">
        <w:rPr>
          <w:rFonts w:ascii="David" w:eastAsia="Calibri" w:hAnsi="David" w:hint="cs"/>
          <w:rtl/>
        </w:rPr>
        <w:t xml:space="preserve">. </w:t>
      </w:r>
      <w:bookmarkStart w:id="20" w:name="_Hlk212457773"/>
      <w:r w:rsidRPr="006114CB">
        <w:rPr>
          <w:rFonts w:ascii="David" w:eastAsia="Calibri" w:hAnsi="David" w:hint="cs"/>
          <w:rtl/>
        </w:rPr>
        <w:t>הנמל בקצא"א הוא נמל פתוח, ללא שובר גלים, ובמזג אוויר סוער, כשגובה הגלים עולה על 1.5 מטרים, אי אפשר לקשור אוניות גפ"ם למקשר הימי.</w:t>
      </w:r>
      <w:bookmarkEnd w:id="20"/>
      <w:r w:rsidRPr="006114CB">
        <w:rPr>
          <w:rFonts w:ascii="David" w:eastAsia="Calibri" w:hAnsi="David" w:hint="cs"/>
          <w:rtl/>
        </w:rPr>
        <w:t xml:space="preserve"> קצא"א מסרה לצוות הביקורת כי מדובר בכ-30 ימים בשנה, בתקופת החורף</w:t>
      </w:r>
      <w:r>
        <w:rPr>
          <w:rFonts w:ascii="David" w:eastAsia="Calibri" w:hAnsi="David"/>
          <w:vertAlign w:val="superscript"/>
          <w:rtl/>
        </w:rPr>
        <w:footnoteReference w:id="73"/>
      </w:r>
      <w:r w:rsidRPr="006114CB">
        <w:rPr>
          <w:rFonts w:ascii="David" w:eastAsia="Calibri" w:hAnsi="David" w:hint="cs"/>
          <w:rtl/>
        </w:rPr>
        <w:t>. זאת ועוד, מנייר עמדה שהוגש למינהלת לפיתוח מפרץ חיפה ביוני 2024 (להלן - נייר העמדה) עולה כי מסיבות בטיחותיות לא קושרים או מתירים אוניות בלילה, כך שהמקשר אינו מנוצל בכל שעות היממה. מגבלות נוספות הן זמינות הגפ"ם בנמלי ההעמסה, תורים תפעוליים ותקלות</w:t>
      </w:r>
      <w:r>
        <w:rPr>
          <w:rFonts w:ascii="David" w:eastAsia="Calibri" w:hAnsi="David"/>
          <w:vertAlign w:val="superscript"/>
          <w:rtl/>
        </w:rPr>
        <w:footnoteReference w:id="74"/>
      </w:r>
      <w:r w:rsidRPr="006114CB">
        <w:rPr>
          <w:rFonts w:ascii="David" w:eastAsia="Calibri" w:hAnsi="David" w:hint="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eastAsia="Calibri" w:hint="cs"/>
          <w:rtl/>
        </w:rPr>
        <w:t xml:space="preserve">נוסף על כך, </w:t>
      </w:r>
      <w:bookmarkStart w:id="21" w:name="_Hlk212457530"/>
      <w:r w:rsidRPr="006114CB">
        <w:rPr>
          <w:rFonts w:eastAsia="Calibri" w:hint="cs"/>
          <w:rtl/>
        </w:rPr>
        <w:t>יש בנמל קצא"א מגבלות לנפח האוניות שיכולות לפקוד את הנמל</w:t>
      </w:r>
      <w:bookmarkEnd w:id="21"/>
      <w:r w:rsidRPr="006114CB">
        <w:rPr>
          <w:rFonts w:eastAsia="Calibri" w:hint="cs"/>
          <w:rtl/>
        </w:rPr>
        <w:t>.</w:t>
      </w:r>
      <w:r w:rsidRPr="006114CB">
        <w:rPr>
          <w:rFonts w:ascii="David" w:eastAsia="Calibri" w:hAnsi="David" w:hint="cs"/>
          <w:rtl/>
        </w:rPr>
        <w:t xml:space="preserve"> המקשר הימי בקצא"א קרוב לחוף, ולכן יכולות לעגון בו רק מכליות קטנות יחסית, עד 7,000 טונה</w:t>
      </w:r>
      <w:r>
        <w:rPr>
          <w:rFonts w:eastAsia="Calibri"/>
          <w:vertAlign w:val="superscript"/>
          <w:rtl/>
        </w:rPr>
        <w:footnoteReference w:id="75"/>
      </w:r>
      <w:r w:rsidRPr="006114CB">
        <w:rPr>
          <w:rFonts w:ascii="David" w:eastAsia="Calibri" w:hAnsi="David" w:hint="cs"/>
          <w:rtl/>
        </w:rPr>
        <w:t>, שהשוקע שלהן עד 7 מטר</w:t>
      </w:r>
      <w:r>
        <w:rPr>
          <w:rFonts w:ascii="David" w:eastAsia="Calibri" w:hAnsi="David"/>
          <w:vertAlign w:val="superscript"/>
          <w:rtl/>
        </w:rPr>
        <w:footnoteReference w:id="76"/>
      </w:r>
      <w:r w:rsidRPr="006114CB">
        <w:rPr>
          <w:rFonts w:ascii="David" w:eastAsia="Calibri" w:hAnsi="David" w:hint="cs"/>
          <w:rtl/>
        </w:rPr>
        <w:t xml:space="preserve">. </w:t>
      </w:r>
      <w:bookmarkStart w:id="22" w:name="_Hlk212457684"/>
      <w:r w:rsidRPr="006114CB">
        <w:rPr>
          <w:rFonts w:eastAsia="Calibri" w:hint="cs"/>
          <w:rtl/>
        </w:rPr>
        <w:t>בהתאם לכך, יש צורך ב</w:t>
      </w:r>
      <w:r w:rsidRPr="006114CB">
        <w:rPr>
          <w:rFonts w:eastAsia="Calibri" w:hint="eastAsia"/>
          <w:rtl/>
        </w:rPr>
        <w:t>שינוע</w:t>
      </w:r>
      <w:r w:rsidRPr="006114CB">
        <w:rPr>
          <w:rFonts w:eastAsia="Calibri"/>
          <w:rtl/>
        </w:rPr>
        <w:t xml:space="preserve"> </w:t>
      </w:r>
      <w:r w:rsidRPr="006114CB">
        <w:rPr>
          <w:rFonts w:eastAsia="Calibri" w:hint="eastAsia"/>
          <w:rtl/>
        </w:rPr>
        <w:t>תכוף</w:t>
      </w:r>
      <w:r w:rsidRPr="006114CB">
        <w:rPr>
          <w:rFonts w:eastAsia="Calibri" w:hint="cs"/>
          <w:rtl/>
        </w:rPr>
        <w:t xml:space="preserve"> </w:t>
      </w:r>
      <w:r w:rsidRPr="006114CB">
        <w:rPr>
          <w:rFonts w:eastAsia="Calibri" w:hint="eastAsia"/>
          <w:rtl/>
        </w:rPr>
        <w:t>של</w:t>
      </w:r>
      <w:r w:rsidRPr="006114CB">
        <w:rPr>
          <w:rFonts w:eastAsia="Calibri"/>
          <w:rtl/>
        </w:rPr>
        <w:t xml:space="preserve"> </w:t>
      </w:r>
      <w:r w:rsidRPr="006114CB">
        <w:rPr>
          <w:rFonts w:eastAsia="Calibri" w:hint="eastAsia"/>
          <w:rtl/>
        </w:rPr>
        <w:t>א</w:t>
      </w:r>
      <w:r w:rsidRPr="006114CB">
        <w:rPr>
          <w:rFonts w:eastAsia="Calibri" w:hint="cs"/>
          <w:rtl/>
        </w:rPr>
        <w:t>ו</w:t>
      </w:r>
      <w:r w:rsidRPr="006114CB">
        <w:rPr>
          <w:rFonts w:eastAsia="Calibri" w:hint="eastAsia"/>
          <w:rtl/>
        </w:rPr>
        <w:t>ניות</w:t>
      </w:r>
      <w:r w:rsidRPr="006114CB">
        <w:rPr>
          <w:rFonts w:eastAsia="Calibri" w:hint="cs"/>
          <w:rtl/>
        </w:rPr>
        <w:t xml:space="preserve"> גפ"ם</w:t>
      </w:r>
      <w:r w:rsidRPr="006114CB">
        <w:rPr>
          <w:rFonts w:eastAsia="Calibri"/>
          <w:rtl/>
        </w:rPr>
        <w:t xml:space="preserve"> </w:t>
      </w:r>
      <w:r w:rsidRPr="006114CB">
        <w:rPr>
          <w:rFonts w:eastAsia="Calibri" w:hint="cs"/>
          <w:rtl/>
        </w:rPr>
        <w:t>(כל שישה ימים בממוצע)</w:t>
      </w:r>
      <w:bookmarkEnd w:id="22"/>
      <w:r w:rsidRPr="006114CB">
        <w:rPr>
          <w:rFonts w:eastAsia="Calibri" w:hint="cs"/>
          <w:rtl/>
        </w:rPr>
        <w:t xml:space="preserve"> כדי</w:t>
      </w:r>
      <w:r w:rsidRPr="006114CB">
        <w:rPr>
          <w:rFonts w:eastAsia="Calibri"/>
          <w:rtl/>
        </w:rPr>
        <w:t xml:space="preserve"> </w:t>
      </w:r>
      <w:r w:rsidRPr="006114CB">
        <w:rPr>
          <w:rFonts w:eastAsia="Calibri" w:hint="eastAsia"/>
          <w:rtl/>
        </w:rPr>
        <w:t>להשלים</w:t>
      </w:r>
      <w:r w:rsidRPr="006114CB">
        <w:rPr>
          <w:rFonts w:eastAsia="Calibri"/>
          <w:rtl/>
        </w:rPr>
        <w:t xml:space="preserve"> </w:t>
      </w:r>
      <w:r w:rsidRPr="006114CB">
        <w:rPr>
          <w:rFonts w:eastAsia="Calibri" w:hint="eastAsia"/>
          <w:rtl/>
        </w:rPr>
        <w:t>את</w:t>
      </w:r>
      <w:r w:rsidRPr="006114CB">
        <w:rPr>
          <w:rFonts w:eastAsia="Calibri"/>
          <w:rtl/>
        </w:rPr>
        <w:t xml:space="preserve"> </w:t>
      </w:r>
      <w:r w:rsidRPr="006114CB">
        <w:rPr>
          <w:rFonts w:eastAsia="Calibri" w:hint="eastAsia"/>
          <w:rtl/>
        </w:rPr>
        <w:t>כמות</w:t>
      </w:r>
      <w:r w:rsidRPr="006114CB">
        <w:rPr>
          <w:rFonts w:eastAsia="Calibri"/>
          <w:rtl/>
        </w:rPr>
        <w:t xml:space="preserve"> </w:t>
      </w:r>
      <w:r w:rsidRPr="006114CB">
        <w:rPr>
          <w:rFonts w:eastAsia="Calibri" w:hint="cs"/>
          <w:rtl/>
        </w:rPr>
        <w:t xml:space="preserve">הגפ"ם המיובאת </w:t>
      </w:r>
      <w:r w:rsidRPr="006114CB">
        <w:rPr>
          <w:rFonts w:eastAsia="Calibri" w:hint="eastAsia"/>
          <w:rtl/>
        </w:rPr>
        <w:t>הנדרשת</w:t>
      </w:r>
      <w:r w:rsidRPr="006114CB">
        <w:rPr>
          <w:rFonts w:eastAsia="Calibri"/>
          <w:rtl/>
        </w:rPr>
        <w:t xml:space="preserve"> </w:t>
      </w:r>
      <w:r w:rsidRPr="006114CB">
        <w:rPr>
          <w:rFonts w:eastAsia="Calibri" w:hint="eastAsia"/>
          <w:rtl/>
        </w:rPr>
        <w:t>למשק</w:t>
      </w:r>
      <w:r w:rsidRPr="006114CB">
        <w:rPr>
          <w:rFonts w:eastAsia="Calibri" w:hint="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bookmarkStart w:id="23" w:name="_Hlk214359324"/>
      <w:r w:rsidRPr="006114CB">
        <w:rPr>
          <w:rFonts w:eastAsia="Calibri" w:hint="cs"/>
          <w:rtl/>
        </w:rPr>
        <w:t>זאת ועוד, נמל קצא"א יכול בכל רגע נתון לאחסן עד 10,000 טונה גפ</w:t>
      </w:r>
      <w:r w:rsidRPr="006114CB">
        <w:rPr>
          <w:rFonts w:eastAsia="Calibri"/>
          <w:rtl/>
        </w:rPr>
        <w:t>"</w:t>
      </w:r>
      <w:r w:rsidRPr="006114CB">
        <w:rPr>
          <w:rFonts w:eastAsia="Calibri" w:hint="cs"/>
          <w:rtl/>
        </w:rPr>
        <w:t xml:space="preserve">ם בלבד. </w:t>
      </w:r>
      <w:bookmarkEnd w:id="23"/>
      <w:r w:rsidRPr="006114CB">
        <w:rPr>
          <w:rFonts w:eastAsia="Calibri" w:hint="cs"/>
          <w:rtl/>
        </w:rPr>
        <w:t>נפח האחסון המצומצם בנמל קצא"א מספיק לכשישה ימי צריכה של המשק הישראלי בתקופת הקיץ, ולכשלושה ימי צריכה בתקופת החורף. כאמור, החלטת הממשלה 1231 מ-2022 קבעה כי יקודמו הקמת מסוף חדש לפריקת תזקיקים מיובאים בתחום נמל המפרץ בחיפה והסדרה של מסוף הכימיקלים לצורכי משק האנרגיה, וכי תיבחן הקמה של מבנים ימיים נמליים (או מקשר ימי) ליבוא וליצוא של גפ"ם במרחב הנמלי באשדוד.</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עולה כי יבוא גפ"ם נעשה כיום באמצעות מקשר ימי יחיד ונמל יבוא יחיד (קצא"א), הנתונים למגבלות עקב גובה גלים בים העולה על 1.5 מטרים, ולמגבלות של נפח האוניות שיכולות לפקוד את הנמל (</w:t>
      </w:r>
      <w:r w:rsidRPr="006114CB">
        <w:rPr>
          <w:rFonts w:ascii="David" w:eastAsia="Calibri" w:hAnsi="David" w:hint="cs"/>
          <w:b/>
          <w:bCs/>
          <w:rtl/>
        </w:rPr>
        <w:t>עד 7,000 טונה, שהשוקע שלהן עד 7 מטר</w:t>
      </w:r>
      <w:r w:rsidRPr="006114CB">
        <w:rPr>
          <w:rFonts w:eastAsia="Calibri" w:hint="cs"/>
          <w:b/>
          <w:bCs/>
          <w:rtl/>
        </w:rPr>
        <w:t xml:space="preserve">) ונפח האחסון בנמל </w:t>
      </w:r>
      <w:r w:rsidRPr="006114CB">
        <w:rPr>
          <w:rFonts w:ascii="David" w:eastAsia="Calibri" w:hAnsi="David" w:hint="cs"/>
          <w:b/>
          <w:bCs/>
          <w:rtl/>
        </w:rPr>
        <w:t>(</w:t>
      </w:r>
      <w:r w:rsidRPr="006114CB">
        <w:rPr>
          <w:rFonts w:eastAsia="Calibri" w:hint="cs"/>
          <w:b/>
          <w:bCs/>
          <w:rtl/>
        </w:rPr>
        <w:t>עד 10,000 טונה גפ</w:t>
      </w:r>
      <w:r w:rsidRPr="006114CB">
        <w:rPr>
          <w:rFonts w:eastAsia="Calibri"/>
          <w:b/>
          <w:bCs/>
          <w:rtl/>
        </w:rPr>
        <w:t>"</w:t>
      </w:r>
      <w:r w:rsidRPr="006114CB">
        <w:rPr>
          <w:rFonts w:eastAsia="Calibri" w:hint="cs"/>
          <w:b/>
          <w:bCs/>
          <w:rtl/>
        </w:rPr>
        <w:t>ם). מצב דברים זה יוצר תלות של המדינה בנמל אחד וחוסר יתירות ביבוא. מבקר המדינה הצביע על ליקוי זה גם בדוח הקודם.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בתשובתו למשרד מבקר המדינה מסר משרד האנרגיה כי הוא עושה כל שביכולתו בשיתוף המינהלת לפיתוח מפרץ חיפה, כדי לקדם את כלל הפתרונות הנדרשים בהתאם להחלטה 1231.</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 xml:space="preserve">על משרד האנרגיה, משרד האוצר ומשרד התחבורה להשלים את קידום פתרונות היבוא המפורטים בהחלטת הממשלה 1231 - הקמת מסוף חדש בתחום נמל המפרץ בחיפה ובחינה ותכנון הקמה של מבנים ימיים נמליים (או מקשר ימי) במרחב הנמלי באשדוד. </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4"/>
        <w:rPr>
          <w:rFonts w:eastAsia="Times New Roman"/>
          <w:bCs/>
          <w:spacing w:val="40"/>
          <w:rtl/>
        </w:rPr>
      </w:pPr>
      <w:bookmarkStart w:id="24" w:name="_Hlk230605370"/>
      <w:r w:rsidRPr="006114CB">
        <w:rPr>
          <w:rFonts w:eastAsia="Times New Roman" w:hint="cs"/>
          <w:bCs/>
          <w:spacing w:val="40"/>
          <w:rtl/>
        </w:rPr>
        <w:t>יבוא גפ"ם לאחר סגירת בז"ן</w:t>
      </w:r>
    </w:p>
    <w:bookmarkEnd w:id="24"/>
    <w:p w:rsidR="006114CB" w:rsidRPr="006114CB" w:rsidP="002F4530">
      <w:pPr>
        <w:spacing w:line="269" w:lineRule="auto"/>
        <w:rPr>
          <w:rFonts w:eastAsia="Calibri"/>
          <w:rtl/>
        </w:rPr>
      </w:pPr>
    </w:p>
    <w:p w:rsidR="006114CB" w:rsidRPr="006114CB" w:rsidP="002F4530">
      <w:pPr>
        <w:keepNext/>
        <w:keepLines/>
        <w:spacing w:line="269" w:lineRule="auto"/>
        <w:outlineLvl w:val="5"/>
        <w:rPr>
          <w:rFonts w:eastAsia="Times New Roman"/>
          <w:spacing w:val="40"/>
          <w:rtl/>
        </w:rPr>
      </w:pPr>
      <w:r w:rsidRPr="006114CB">
        <w:rPr>
          <w:rFonts w:eastAsia="Times New Roman" w:hint="cs"/>
          <w:spacing w:val="40"/>
          <w:rtl/>
        </w:rPr>
        <w:t>תוכנית ליבוא גפ"ם</w:t>
      </w:r>
    </w:p>
    <w:p w:rsidR="006114CB" w:rsidRPr="006114CB" w:rsidP="002F4530">
      <w:pPr>
        <w:rPr>
          <w:rFonts w:eastAsia="Calibri"/>
          <w:rtl/>
        </w:rPr>
      </w:pPr>
    </w:p>
    <w:p w:rsidR="006114CB" w:rsidRPr="006114CB" w:rsidP="002F4530">
      <w:pPr>
        <w:spacing w:line="269" w:lineRule="auto"/>
        <w:rPr>
          <w:rFonts w:eastAsia="Calibri"/>
          <w:rtl/>
        </w:rPr>
      </w:pPr>
      <w:r w:rsidRPr="006114CB">
        <w:rPr>
          <w:rFonts w:eastAsia="Calibri" w:hint="cs"/>
          <w:rtl/>
        </w:rPr>
        <w:t xml:space="preserve">לאחר סגירתו המתוכננת של בז"ן לפי החלטת הממשלה, יהיה צורך להשלים את חלקו בייצור גפ"ם (כיום 44%) באמצעות יבוא.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בתרשים שלהלן מפורטת תחזית תמהיל מקורות הגפ"ם לשנים 2023 - 2050.</w:t>
      </w:r>
    </w:p>
    <w:p w:rsidR="006114CB" w:rsidRPr="006114CB" w:rsidP="002F4530">
      <w:pPr>
        <w:spacing w:line="269" w:lineRule="auto"/>
        <w:jc w:val="center"/>
        <w:rPr>
          <w:rFonts w:ascii="David" w:eastAsia="Calibri" w:hAnsi="David"/>
          <w:b/>
          <w:bCs/>
          <w:rtl/>
        </w:rPr>
      </w:pPr>
      <w:r w:rsidRPr="006114CB">
        <w:rPr>
          <w:rFonts w:ascii="David" w:eastAsia="Calibri" w:hAnsi="David" w:hint="eastAsia"/>
          <w:rtl/>
        </w:rPr>
        <w:t>תרשים</w:t>
      </w:r>
      <w:r w:rsidRPr="006114CB">
        <w:rPr>
          <w:rFonts w:ascii="David" w:eastAsia="Calibri" w:hAnsi="David"/>
          <w:rtl/>
        </w:rPr>
        <w:t xml:space="preserve"> 8: </w:t>
      </w:r>
      <w:r w:rsidRPr="006114CB">
        <w:rPr>
          <w:rFonts w:ascii="David" w:eastAsia="Calibri" w:hAnsi="David" w:hint="cs"/>
          <w:b/>
          <w:bCs/>
          <w:rtl/>
        </w:rPr>
        <w:t xml:space="preserve">תחזית תמהיל מקורות הגפ"ם (באלפי טון), 2023 - 2050 </w:t>
      </w:r>
    </w:p>
    <w:p w:rsidR="006114CB" w:rsidRPr="006114CB" w:rsidP="002F4530">
      <w:pPr>
        <w:spacing w:line="269" w:lineRule="auto"/>
        <w:jc w:val="center"/>
        <w:rPr>
          <w:rFonts w:ascii="David" w:eastAsia="Calibri" w:hAnsi="David"/>
          <w:rtl/>
        </w:rPr>
      </w:pPr>
      <w:r w:rsidRPr="006114CB">
        <w:rPr>
          <w:rFonts w:eastAsia="Calibri"/>
          <w:noProof/>
        </w:rPr>
        <w:drawing>
          <wp:inline distT="0" distB="0" distL="0" distR="0">
            <wp:extent cx="4687487" cy="2422714"/>
            <wp:effectExtent l="0" t="0" r="0" b="0"/>
            <wp:docPr id="13" name="תמונה 13" descr="התרשים מתאר את תחזית תמהיל מקורות הגפ&quot;ם בשנים 2023 - 2050, כך שלאחר סגירת בז&quot;ן צפוי שיעור הגפ&quot;ם להיות מוכפל ולעמוד על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7"/>
                    <a:stretch>
                      <a:fillRect/>
                    </a:stretch>
                  </pic:blipFill>
                  <pic:spPr>
                    <a:xfrm>
                      <a:off x="0" y="0"/>
                      <a:ext cx="4691180" cy="2424623"/>
                    </a:xfrm>
                    <a:prstGeom prst="rect">
                      <a:avLst/>
                    </a:prstGeom>
                  </pic:spPr>
                </pic:pic>
              </a:graphicData>
            </a:graphic>
          </wp:inline>
        </w:drawing>
      </w:r>
    </w:p>
    <w:p w:rsidR="006114CB" w:rsidRPr="006114CB" w:rsidP="002F4530">
      <w:pPr>
        <w:spacing w:line="269" w:lineRule="auto"/>
        <w:rPr>
          <w:rFonts w:ascii="David" w:eastAsia="Calibri" w:hAnsi="David"/>
          <w:szCs w:val="20"/>
          <w:rtl/>
        </w:rPr>
      </w:pPr>
      <w:r w:rsidRPr="006114CB">
        <w:rPr>
          <w:rFonts w:ascii="David" w:eastAsia="Calibri" w:hAnsi="David" w:hint="eastAsia"/>
          <w:szCs w:val="20"/>
          <w:rtl/>
        </w:rPr>
        <w:t>המקור</w:t>
      </w:r>
      <w:r w:rsidRPr="006114CB">
        <w:rPr>
          <w:rFonts w:ascii="David" w:eastAsia="Calibri" w:hAnsi="David"/>
          <w:szCs w:val="20"/>
          <w:rtl/>
        </w:rPr>
        <w:t xml:space="preserve">: </w:t>
      </w:r>
      <w:r w:rsidRPr="006114CB">
        <w:rPr>
          <w:rFonts w:ascii="David" w:eastAsia="Calibri" w:hAnsi="David"/>
          <w:sz w:val="18"/>
          <w:szCs w:val="18"/>
        </w:rPr>
        <w:t>TASC</w:t>
      </w:r>
      <w:r w:rsidRPr="006114CB">
        <w:rPr>
          <w:rFonts w:ascii="David" w:eastAsia="Calibri" w:hAnsi="David"/>
          <w:szCs w:val="20"/>
          <w:rtl/>
        </w:rPr>
        <w:t>, עתיד משק הדלק.</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b/>
          <w:bCs/>
          <w:rtl/>
        </w:rPr>
      </w:pPr>
      <w:r w:rsidRPr="006114CB">
        <w:rPr>
          <w:rFonts w:ascii="David" w:eastAsia="Calibri" w:hAnsi="David" w:hint="eastAsia"/>
          <w:b/>
          <w:bCs/>
          <w:rtl/>
        </w:rPr>
        <w:t>מהתרשים</w:t>
      </w:r>
      <w:r w:rsidRPr="006114CB">
        <w:rPr>
          <w:rFonts w:ascii="David" w:eastAsia="Calibri" w:hAnsi="David"/>
          <w:b/>
          <w:bCs/>
          <w:rtl/>
        </w:rPr>
        <w:t xml:space="preserve"> עולה כי לאחר סגירת </w:t>
      </w:r>
      <w:r w:rsidRPr="006114CB">
        <w:rPr>
          <w:rFonts w:ascii="David" w:eastAsia="Calibri" w:hAnsi="David" w:hint="eastAsia"/>
          <w:b/>
          <w:bCs/>
          <w:rtl/>
        </w:rPr>
        <w:t>בז</w:t>
      </w:r>
      <w:r w:rsidRPr="006114CB">
        <w:rPr>
          <w:rFonts w:ascii="David" w:eastAsia="Calibri" w:hAnsi="David"/>
          <w:b/>
          <w:bCs/>
          <w:rtl/>
        </w:rPr>
        <w:t>"ן צפוי שיעור יבוא הגפ"ם להיות מוכפל (</w:t>
      </w:r>
      <w:r w:rsidRPr="006114CB">
        <w:rPr>
          <w:rFonts w:ascii="David" w:eastAsia="Calibri" w:hAnsi="David" w:hint="cs"/>
          <w:b/>
          <w:bCs/>
          <w:rtl/>
        </w:rPr>
        <w:t xml:space="preserve">ולעמוד על </w:t>
      </w:r>
      <w:r w:rsidRPr="006114CB">
        <w:rPr>
          <w:rFonts w:ascii="David" w:eastAsia="Calibri" w:hAnsi="David"/>
          <w:b/>
          <w:bCs/>
          <w:rtl/>
        </w:rPr>
        <w:t xml:space="preserve">כ-82%), כך שיידרשו קרוב ל-500,000 </w:t>
      </w:r>
      <w:r w:rsidRPr="006114CB">
        <w:rPr>
          <w:rFonts w:ascii="David" w:eastAsia="Calibri" w:hAnsi="David" w:hint="eastAsia"/>
          <w:b/>
          <w:bCs/>
          <w:rtl/>
        </w:rPr>
        <w:t>טונה</w:t>
      </w:r>
      <w:r w:rsidRPr="006114CB">
        <w:rPr>
          <w:rFonts w:ascii="David" w:eastAsia="Calibri" w:hAnsi="David"/>
          <w:b/>
          <w:bCs/>
          <w:rtl/>
        </w:rPr>
        <w:t xml:space="preserve"> </w:t>
      </w:r>
      <w:r w:rsidRPr="006114CB">
        <w:rPr>
          <w:rFonts w:ascii="David" w:eastAsia="Calibri" w:hAnsi="David" w:hint="eastAsia"/>
          <w:b/>
          <w:bCs/>
          <w:rtl/>
        </w:rPr>
        <w:t>יבוא</w:t>
      </w:r>
      <w:r w:rsidRPr="006114CB">
        <w:rPr>
          <w:rFonts w:ascii="David" w:eastAsia="Calibri" w:hAnsi="David"/>
          <w:b/>
          <w:bCs/>
          <w:rtl/>
        </w:rPr>
        <w:t xml:space="preserve"> גפ"ם בשנה (40,000 </w:t>
      </w:r>
      <w:r w:rsidRPr="006114CB">
        <w:rPr>
          <w:rFonts w:ascii="David" w:eastAsia="Calibri" w:hAnsi="David" w:hint="eastAsia"/>
          <w:b/>
          <w:bCs/>
          <w:rtl/>
        </w:rPr>
        <w:t>טונה</w:t>
      </w:r>
      <w:r w:rsidRPr="006114CB">
        <w:rPr>
          <w:rFonts w:ascii="David" w:eastAsia="Calibri" w:hAnsi="David"/>
          <w:b/>
          <w:bCs/>
          <w:rtl/>
        </w:rPr>
        <w:t xml:space="preserve"> </w:t>
      </w:r>
      <w:r w:rsidRPr="006114CB">
        <w:rPr>
          <w:rFonts w:ascii="David" w:eastAsia="Calibri" w:hAnsi="David" w:hint="eastAsia"/>
          <w:b/>
          <w:bCs/>
          <w:rtl/>
        </w:rPr>
        <w:t>בחודש</w:t>
      </w:r>
      <w:r w:rsidRPr="006114CB">
        <w:rPr>
          <w:rFonts w:ascii="David" w:eastAsia="Calibri" w:hAnsi="David"/>
          <w:b/>
          <w:b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color w:val="FF0000"/>
          <w:rtl/>
        </w:rPr>
      </w:pPr>
      <w:r w:rsidRPr="006114CB">
        <w:rPr>
          <w:rFonts w:eastAsia="Calibri" w:hint="eastAsia"/>
          <w:b/>
          <w:bCs/>
          <w:rtl/>
        </w:rPr>
        <w:t>במועד</w:t>
      </w:r>
      <w:r w:rsidRPr="006114CB">
        <w:rPr>
          <w:rFonts w:eastAsia="Calibri"/>
          <w:b/>
          <w:bCs/>
          <w:rtl/>
        </w:rPr>
        <w:t xml:space="preserve"> סיום הביקורת הגפ"ם מיובא לישראל על ידי סוחר </w:t>
      </w:r>
      <w:r w:rsidRPr="006114CB">
        <w:rPr>
          <w:rFonts w:eastAsia="Calibri" w:hint="eastAsia"/>
          <w:b/>
          <w:bCs/>
          <w:rtl/>
        </w:rPr>
        <w:t>גפ</w:t>
      </w:r>
      <w:r w:rsidRPr="006114CB">
        <w:rPr>
          <w:rFonts w:eastAsia="Calibri"/>
          <w:b/>
          <w:bCs/>
          <w:rtl/>
        </w:rPr>
        <w:t>"ם</w:t>
      </w:r>
      <w:r w:rsidRPr="006114CB">
        <w:rPr>
          <w:rFonts w:eastAsia="Calibri" w:hint="eastAsia"/>
          <w:b/>
          <w:bCs/>
          <w:rtl/>
        </w:rPr>
        <w:t xml:space="preserve"> </w:t>
      </w:r>
      <w:r w:rsidRPr="006114CB">
        <w:rPr>
          <w:rFonts w:eastAsia="Calibri"/>
          <w:b/>
          <w:bCs/>
          <w:rtl/>
        </w:rPr>
        <w:t>(</w:t>
      </w:r>
      <w:r w:rsidRPr="006114CB">
        <w:rPr>
          <w:rFonts w:eastAsia="Calibri" w:hint="eastAsia"/>
          <w:b/>
          <w:bCs/>
          <w:rtl/>
        </w:rPr>
        <w:t>טריידר</w:t>
      </w:r>
      <w:r w:rsidRPr="006114CB">
        <w:rPr>
          <w:rFonts w:eastAsia="Calibri"/>
          <w:b/>
          <w:bCs/>
          <w:rtl/>
        </w:rPr>
        <w:t xml:space="preserve">) </w:t>
      </w:r>
      <w:r w:rsidRPr="006114CB">
        <w:rPr>
          <w:rFonts w:eastAsia="Calibri" w:hint="eastAsia"/>
          <w:b/>
          <w:bCs/>
          <w:rtl/>
        </w:rPr>
        <w:t>בין</w:t>
      </w:r>
      <w:r w:rsidRPr="006114CB">
        <w:rPr>
          <w:rFonts w:eastAsia="Calibri"/>
          <w:b/>
          <w:bCs/>
          <w:rtl/>
        </w:rPr>
        <w:t xml:space="preserve">-לאומי </w:t>
      </w:r>
      <w:r w:rsidRPr="006114CB">
        <w:rPr>
          <w:rFonts w:eastAsia="Calibri" w:hint="eastAsia"/>
          <w:b/>
          <w:bCs/>
          <w:rtl/>
        </w:rPr>
        <w:t>יחיד</w:t>
      </w:r>
      <w:r w:rsidRPr="006114CB">
        <w:rPr>
          <w:rFonts w:eastAsia="Calibri"/>
          <w:b/>
          <w:b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b/>
          <w:bCs/>
          <w:rtl/>
        </w:rPr>
      </w:pPr>
      <w:r w:rsidRPr="006114CB">
        <w:rPr>
          <w:rFonts w:eastAsia="Calibri" w:hint="eastAsia"/>
          <w:b/>
          <w:bCs/>
          <w:rtl/>
        </w:rPr>
        <w:t>עולה</w:t>
      </w:r>
      <w:r w:rsidRPr="006114CB">
        <w:rPr>
          <w:rFonts w:eastAsia="Calibri"/>
          <w:b/>
          <w:bCs/>
          <w:rtl/>
        </w:rPr>
        <w:t xml:space="preserve"> </w:t>
      </w:r>
      <w:r w:rsidRPr="006114CB">
        <w:rPr>
          <w:rFonts w:eastAsia="Calibri" w:hint="eastAsia"/>
          <w:b/>
          <w:bCs/>
          <w:rtl/>
        </w:rPr>
        <w:t>כי</w:t>
      </w:r>
      <w:r w:rsidRPr="006114CB">
        <w:rPr>
          <w:rFonts w:eastAsia="Calibri"/>
          <w:b/>
          <w:bCs/>
          <w:rtl/>
        </w:rPr>
        <w:t xml:space="preserve"> </w:t>
      </w:r>
      <w:r w:rsidRPr="006114CB">
        <w:rPr>
          <w:rFonts w:eastAsia="Calibri" w:hint="eastAsia"/>
          <w:b/>
          <w:bCs/>
          <w:rtl/>
        </w:rPr>
        <w:t>משרד</w:t>
      </w:r>
      <w:r w:rsidRPr="006114CB">
        <w:rPr>
          <w:rFonts w:eastAsia="Calibri"/>
          <w:b/>
          <w:bCs/>
          <w:rtl/>
        </w:rPr>
        <w:t xml:space="preserve"> </w:t>
      </w:r>
      <w:r w:rsidRPr="006114CB">
        <w:rPr>
          <w:rFonts w:eastAsia="Calibri" w:hint="eastAsia"/>
          <w:b/>
          <w:bCs/>
          <w:rtl/>
        </w:rPr>
        <w:t>האנרגיה</w:t>
      </w:r>
      <w:r w:rsidRPr="006114CB">
        <w:rPr>
          <w:rFonts w:eastAsia="Calibri"/>
          <w:b/>
          <w:bCs/>
          <w:rtl/>
        </w:rPr>
        <w:t xml:space="preserve"> </w:t>
      </w:r>
      <w:r w:rsidRPr="006114CB">
        <w:rPr>
          <w:rFonts w:eastAsia="Calibri" w:hint="eastAsia"/>
          <w:b/>
          <w:bCs/>
          <w:rtl/>
        </w:rPr>
        <w:t>ומשרד</w:t>
      </w:r>
      <w:r w:rsidRPr="006114CB">
        <w:rPr>
          <w:rFonts w:eastAsia="Calibri"/>
          <w:b/>
          <w:bCs/>
          <w:rtl/>
        </w:rPr>
        <w:t xml:space="preserve"> </w:t>
      </w:r>
      <w:r w:rsidRPr="006114CB">
        <w:rPr>
          <w:rFonts w:eastAsia="Calibri" w:hint="eastAsia"/>
          <w:b/>
          <w:bCs/>
          <w:rtl/>
        </w:rPr>
        <w:t>האוצר</w:t>
      </w:r>
      <w:r w:rsidRPr="006114CB">
        <w:rPr>
          <w:rFonts w:eastAsia="Calibri"/>
          <w:b/>
          <w:bCs/>
          <w:rtl/>
        </w:rPr>
        <w:t xml:space="preserve"> </w:t>
      </w:r>
      <w:r w:rsidRPr="006114CB">
        <w:rPr>
          <w:rFonts w:eastAsia="Calibri" w:hint="eastAsia"/>
          <w:b/>
          <w:bCs/>
          <w:rtl/>
        </w:rPr>
        <w:t>לא</w:t>
      </w:r>
      <w:r w:rsidRPr="006114CB">
        <w:rPr>
          <w:rFonts w:eastAsia="Calibri"/>
          <w:b/>
          <w:bCs/>
          <w:rtl/>
        </w:rPr>
        <w:t xml:space="preserve"> </w:t>
      </w:r>
      <w:r w:rsidRPr="006114CB">
        <w:rPr>
          <w:rFonts w:eastAsia="Calibri" w:hint="eastAsia"/>
          <w:b/>
          <w:bCs/>
          <w:rtl/>
        </w:rPr>
        <w:t>הכינו</w:t>
      </w:r>
      <w:r w:rsidRPr="006114CB">
        <w:rPr>
          <w:rFonts w:eastAsia="Calibri"/>
          <w:b/>
          <w:bCs/>
          <w:rtl/>
        </w:rPr>
        <w:t xml:space="preserve"> </w:t>
      </w:r>
      <w:r w:rsidRPr="006114CB">
        <w:rPr>
          <w:rFonts w:eastAsia="Calibri" w:hint="eastAsia"/>
          <w:b/>
          <w:bCs/>
          <w:rtl/>
        </w:rPr>
        <w:t>תוכנית</w:t>
      </w:r>
      <w:r w:rsidRPr="006114CB">
        <w:rPr>
          <w:rFonts w:eastAsia="Calibri"/>
          <w:b/>
          <w:bCs/>
          <w:rtl/>
        </w:rPr>
        <w:t xml:space="preserve"> </w:t>
      </w:r>
      <w:r w:rsidRPr="006114CB">
        <w:rPr>
          <w:rFonts w:eastAsia="Calibri" w:hint="eastAsia"/>
          <w:b/>
          <w:bCs/>
          <w:rtl/>
        </w:rPr>
        <w:t>ליבוא</w:t>
      </w:r>
      <w:r w:rsidRPr="006114CB">
        <w:rPr>
          <w:rFonts w:eastAsia="Calibri"/>
          <w:b/>
          <w:bCs/>
          <w:rtl/>
        </w:rPr>
        <w:t xml:space="preserve"> </w:t>
      </w:r>
      <w:r w:rsidRPr="006114CB">
        <w:rPr>
          <w:rFonts w:eastAsia="Calibri" w:hint="eastAsia"/>
          <w:b/>
          <w:bCs/>
          <w:rtl/>
        </w:rPr>
        <w:t>גפ</w:t>
      </w:r>
      <w:r w:rsidRPr="006114CB">
        <w:rPr>
          <w:rFonts w:eastAsia="Calibri"/>
          <w:b/>
          <w:bCs/>
          <w:rtl/>
        </w:rPr>
        <w:t xml:space="preserve">"ם </w:t>
      </w:r>
      <w:r w:rsidRPr="006114CB">
        <w:rPr>
          <w:rFonts w:eastAsia="Calibri" w:hint="eastAsia"/>
          <w:b/>
          <w:bCs/>
          <w:rtl/>
        </w:rPr>
        <w:t>לאחר</w:t>
      </w:r>
      <w:r w:rsidRPr="006114CB">
        <w:rPr>
          <w:rFonts w:eastAsia="Calibri"/>
          <w:b/>
          <w:bCs/>
          <w:rtl/>
        </w:rPr>
        <w:t xml:space="preserve"> </w:t>
      </w:r>
      <w:r w:rsidRPr="006114CB">
        <w:rPr>
          <w:rFonts w:eastAsia="Calibri" w:hint="eastAsia"/>
          <w:b/>
          <w:bCs/>
          <w:rtl/>
        </w:rPr>
        <w:t>סגירתו</w:t>
      </w:r>
      <w:r w:rsidRPr="006114CB">
        <w:rPr>
          <w:rFonts w:eastAsia="Calibri"/>
          <w:b/>
          <w:bCs/>
          <w:rtl/>
        </w:rPr>
        <w:t xml:space="preserve"> </w:t>
      </w:r>
      <w:r w:rsidRPr="006114CB">
        <w:rPr>
          <w:rFonts w:eastAsia="Calibri" w:hint="eastAsia"/>
          <w:b/>
          <w:bCs/>
          <w:rtl/>
        </w:rPr>
        <w:t>של</w:t>
      </w:r>
      <w:r w:rsidRPr="006114CB">
        <w:rPr>
          <w:rFonts w:eastAsia="Calibri"/>
          <w:b/>
          <w:bCs/>
          <w:rtl/>
        </w:rPr>
        <w:t xml:space="preserve"> </w:t>
      </w:r>
      <w:r w:rsidRPr="006114CB">
        <w:rPr>
          <w:rFonts w:eastAsia="Calibri" w:hint="eastAsia"/>
          <w:b/>
          <w:bCs/>
          <w:rtl/>
        </w:rPr>
        <w:t>בז</w:t>
      </w:r>
      <w:r w:rsidRPr="006114CB">
        <w:rPr>
          <w:rFonts w:eastAsia="Calibri"/>
          <w:b/>
          <w:bCs/>
          <w:rtl/>
        </w:rPr>
        <w:t xml:space="preserve">"ן, </w:t>
      </w:r>
      <w:r w:rsidRPr="006114CB">
        <w:rPr>
          <w:rFonts w:eastAsia="Calibri" w:hint="eastAsia"/>
          <w:b/>
          <w:bCs/>
          <w:rtl/>
        </w:rPr>
        <w:t>הכוללת</w:t>
      </w:r>
      <w:r w:rsidRPr="006114CB">
        <w:rPr>
          <w:rFonts w:eastAsia="Calibri"/>
          <w:b/>
          <w:bCs/>
          <w:rtl/>
        </w:rPr>
        <w:t xml:space="preserve"> </w:t>
      </w:r>
      <w:r w:rsidRPr="006114CB">
        <w:rPr>
          <w:rFonts w:eastAsia="Calibri" w:hint="eastAsia"/>
          <w:b/>
          <w:bCs/>
          <w:rtl/>
        </w:rPr>
        <w:t>את</w:t>
      </w:r>
      <w:r w:rsidRPr="006114CB">
        <w:rPr>
          <w:rFonts w:eastAsia="Calibri"/>
          <w:b/>
          <w:bCs/>
          <w:rtl/>
        </w:rPr>
        <w:t xml:space="preserve"> </w:t>
      </w:r>
      <w:r w:rsidRPr="006114CB">
        <w:rPr>
          <w:rFonts w:eastAsia="Calibri" w:hint="eastAsia"/>
          <w:b/>
          <w:bCs/>
          <w:rtl/>
        </w:rPr>
        <w:t>כמויות</w:t>
      </w:r>
      <w:r w:rsidRPr="006114CB">
        <w:rPr>
          <w:rFonts w:eastAsia="Calibri"/>
          <w:b/>
          <w:bCs/>
          <w:rtl/>
        </w:rPr>
        <w:t xml:space="preserve"> </w:t>
      </w:r>
      <w:r w:rsidRPr="006114CB">
        <w:rPr>
          <w:rFonts w:eastAsia="Calibri" w:hint="eastAsia"/>
          <w:b/>
          <w:bCs/>
          <w:rtl/>
        </w:rPr>
        <w:t>היבוא</w:t>
      </w:r>
      <w:r w:rsidRPr="006114CB">
        <w:rPr>
          <w:rFonts w:eastAsia="Calibri"/>
          <w:b/>
          <w:bCs/>
          <w:rtl/>
        </w:rPr>
        <w:t xml:space="preserve"> </w:t>
      </w:r>
      <w:r w:rsidRPr="006114CB">
        <w:rPr>
          <w:rFonts w:eastAsia="Calibri" w:hint="eastAsia"/>
          <w:b/>
          <w:bCs/>
          <w:rtl/>
        </w:rPr>
        <w:t>הנדרשות</w:t>
      </w:r>
      <w:r w:rsidRPr="006114CB">
        <w:rPr>
          <w:rFonts w:eastAsia="Calibri" w:hint="cs"/>
          <w:b/>
          <w:bCs/>
          <w:rtl/>
        </w:rPr>
        <w:t xml:space="preserve"> למשק (כ-500,000 טונה גפ"ם בשנה) ואת אופן רכישת הגפ"ם</w:t>
      </w:r>
      <w:r w:rsidRPr="006114CB">
        <w:rPr>
          <w:rFonts w:eastAsia="Calibri"/>
          <w:b/>
          <w:bCs/>
          <w:rtl/>
        </w:rPr>
        <w:t xml:space="preserve"> </w:t>
      </w:r>
      <w:r w:rsidRPr="006114CB">
        <w:rPr>
          <w:rFonts w:eastAsia="Calibri" w:hint="cs"/>
          <w:b/>
          <w:bCs/>
          <w:rtl/>
        </w:rPr>
        <w:t>מ</w:t>
      </w:r>
      <w:r w:rsidRPr="006114CB">
        <w:rPr>
          <w:rFonts w:eastAsia="Calibri" w:hint="eastAsia"/>
          <w:b/>
          <w:bCs/>
          <w:rtl/>
        </w:rPr>
        <w:t>הטריידרים</w:t>
      </w:r>
      <w:r w:rsidRPr="006114CB">
        <w:rPr>
          <w:rFonts w:eastAsia="Calibri"/>
          <w:b/>
          <w:bCs/>
          <w:rtl/>
        </w:rPr>
        <w:t xml:space="preserve">. </w:t>
      </w:r>
      <w:r w:rsidRPr="006114CB">
        <w:rPr>
          <w:rFonts w:eastAsia="Calibri" w:hint="eastAsia"/>
          <w:b/>
          <w:bCs/>
          <w:rtl/>
        </w:rPr>
        <w:t>כמו</w:t>
      </w:r>
      <w:r w:rsidRPr="006114CB">
        <w:rPr>
          <w:rFonts w:eastAsia="Calibri"/>
          <w:b/>
          <w:bCs/>
          <w:rtl/>
        </w:rPr>
        <w:t xml:space="preserve"> </w:t>
      </w:r>
      <w:r w:rsidRPr="006114CB">
        <w:rPr>
          <w:rFonts w:eastAsia="Calibri" w:hint="eastAsia"/>
          <w:b/>
          <w:bCs/>
          <w:rtl/>
        </w:rPr>
        <w:t>כן</w:t>
      </w:r>
      <w:r w:rsidRPr="006114CB">
        <w:rPr>
          <w:rFonts w:eastAsia="Calibri"/>
          <w:b/>
          <w:bCs/>
          <w:rtl/>
        </w:rPr>
        <w:t xml:space="preserve">, </w:t>
      </w:r>
      <w:r w:rsidRPr="006114CB">
        <w:rPr>
          <w:rFonts w:eastAsia="Calibri" w:hint="eastAsia"/>
          <w:b/>
          <w:bCs/>
          <w:rtl/>
        </w:rPr>
        <w:t>המשרדים</w:t>
      </w:r>
      <w:r w:rsidRPr="006114CB">
        <w:rPr>
          <w:rFonts w:eastAsia="Calibri"/>
          <w:b/>
          <w:bCs/>
          <w:rtl/>
        </w:rPr>
        <w:t xml:space="preserve"> </w:t>
      </w:r>
      <w:r w:rsidRPr="006114CB">
        <w:rPr>
          <w:rFonts w:eastAsia="Calibri" w:hint="eastAsia"/>
          <w:b/>
          <w:bCs/>
          <w:rtl/>
        </w:rPr>
        <w:t>לא</w:t>
      </w:r>
      <w:r w:rsidRPr="006114CB">
        <w:rPr>
          <w:rFonts w:eastAsia="Calibri"/>
          <w:b/>
          <w:bCs/>
          <w:rtl/>
        </w:rPr>
        <w:t xml:space="preserve"> </w:t>
      </w:r>
      <w:r w:rsidRPr="006114CB">
        <w:rPr>
          <w:rFonts w:eastAsia="Calibri" w:hint="eastAsia"/>
          <w:b/>
          <w:bCs/>
          <w:rtl/>
        </w:rPr>
        <w:t>נדרשו</w:t>
      </w:r>
      <w:r w:rsidRPr="006114CB">
        <w:rPr>
          <w:rFonts w:eastAsia="Calibri"/>
          <w:b/>
          <w:bCs/>
          <w:rtl/>
        </w:rPr>
        <w:t xml:space="preserve"> </w:t>
      </w:r>
      <w:r w:rsidRPr="006114CB">
        <w:rPr>
          <w:rFonts w:eastAsia="Calibri" w:hint="eastAsia"/>
          <w:b/>
          <w:bCs/>
          <w:rtl/>
        </w:rPr>
        <w:t>לסוגיה</w:t>
      </w:r>
      <w:r w:rsidRPr="006114CB">
        <w:rPr>
          <w:rFonts w:eastAsia="Calibri"/>
          <w:b/>
          <w:bCs/>
          <w:rtl/>
        </w:rPr>
        <w:t xml:space="preserve"> </w:t>
      </w:r>
      <w:r w:rsidRPr="006114CB">
        <w:rPr>
          <w:rFonts w:eastAsia="Calibri" w:hint="eastAsia"/>
          <w:b/>
          <w:bCs/>
          <w:rtl/>
        </w:rPr>
        <w:t>אם</w:t>
      </w:r>
      <w:r w:rsidRPr="006114CB">
        <w:rPr>
          <w:rFonts w:eastAsia="Calibri"/>
          <w:b/>
          <w:bCs/>
          <w:rtl/>
        </w:rPr>
        <w:t xml:space="preserve"> </w:t>
      </w:r>
      <w:r w:rsidRPr="006114CB">
        <w:rPr>
          <w:rFonts w:eastAsia="Calibri" w:hint="eastAsia"/>
          <w:b/>
          <w:bCs/>
          <w:rtl/>
        </w:rPr>
        <w:t>המדינה</w:t>
      </w:r>
      <w:r w:rsidRPr="006114CB">
        <w:rPr>
          <w:rFonts w:eastAsia="Calibri"/>
          <w:b/>
          <w:bCs/>
          <w:rtl/>
        </w:rPr>
        <w:t xml:space="preserve"> </w:t>
      </w:r>
      <w:r w:rsidRPr="006114CB">
        <w:rPr>
          <w:rFonts w:eastAsia="Calibri" w:hint="eastAsia"/>
          <w:b/>
          <w:bCs/>
          <w:rtl/>
        </w:rPr>
        <w:t>תסייע</w:t>
      </w:r>
      <w:r w:rsidRPr="006114CB">
        <w:rPr>
          <w:rFonts w:eastAsia="Calibri"/>
          <w:b/>
          <w:bCs/>
          <w:rtl/>
        </w:rPr>
        <w:t xml:space="preserve"> </w:t>
      </w:r>
      <w:r w:rsidRPr="006114CB">
        <w:rPr>
          <w:rFonts w:eastAsia="Calibri" w:hint="eastAsia"/>
          <w:b/>
          <w:bCs/>
          <w:rtl/>
        </w:rPr>
        <w:t>לספקי</w:t>
      </w:r>
      <w:r w:rsidRPr="006114CB">
        <w:rPr>
          <w:rFonts w:eastAsia="Calibri"/>
          <w:b/>
          <w:bCs/>
          <w:rtl/>
        </w:rPr>
        <w:t xml:space="preserve"> </w:t>
      </w:r>
      <w:r w:rsidRPr="006114CB">
        <w:rPr>
          <w:rFonts w:eastAsia="Calibri" w:hint="eastAsia"/>
          <w:b/>
          <w:bCs/>
          <w:rtl/>
        </w:rPr>
        <w:t>הגפ</w:t>
      </w:r>
      <w:r w:rsidRPr="006114CB">
        <w:rPr>
          <w:rFonts w:eastAsia="Calibri"/>
          <w:b/>
          <w:bCs/>
          <w:rtl/>
        </w:rPr>
        <w:t xml:space="preserve">"ם </w:t>
      </w:r>
      <w:r w:rsidRPr="006114CB">
        <w:rPr>
          <w:rFonts w:eastAsia="Calibri" w:hint="eastAsia"/>
          <w:b/>
          <w:bCs/>
          <w:rtl/>
        </w:rPr>
        <w:t>ב</w:t>
      </w:r>
      <w:r w:rsidRPr="006114CB">
        <w:rPr>
          <w:rFonts w:eastAsia="Calibri" w:hint="cs"/>
          <w:b/>
          <w:bCs/>
          <w:rtl/>
        </w:rPr>
        <w:t>תהליך ההתקשרות ל</w:t>
      </w:r>
      <w:r w:rsidRPr="006114CB">
        <w:rPr>
          <w:rFonts w:eastAsia="Calibri" w:hint="eastAsia"/>
          <w:b/>
          <w:bCs/>
          <w:rtl/>
        </w:rPr>
        <w:t>יבוא</w:t>
      </w:r>
      <w:r w:rsidRPr="006114CB">
        <w:rPr>
          <w:rFonts w:eastAsia="Calibri"/>
          <w:b/>
          <w:bCs/>
          <w:rtl/>
        </w:rPr>
        <w:t xml:space="preserve"> </w:t>
      </w:r>
      <w:r w:rsidRPr="006114CB">
        <w:rPr>
          <w:rFonts w:eastAsia="Calibri" w:hint="eastAsia"/>
          <w:b/>
          <w:bCs/>
          <w:rtl/>
        </w:rPr>
        <w:t>או</w:t>
      </w:r>
      <w:r w:rsidRPr="006114CB">
        <w:rPr>
          <w:rFonts w:eastAsia="Calibri"/>
          <w:b/>
          <w:bCs/>
          <w:rtl/>
        </w:rPr>
        <w:t xml:space="preserve"> </w:t>
      </w:r>
      <w:r w:rsidRPr="006114CB">
        <w:rPr>
          <w:rFonts w:eastAsia="Calibri" w:hint="eastAsia"/>
          <w:b/>
          <w:bCs/>
          <w:rtl/>
        </w:rPr>
        <w:t>שהאחריות</w:t>
      </w:r>
      <w:r w:rsidRPr="006114CB">
        <w:rPr>
          <w:rFonts w:eastAsia="Calibri"/>
          <w:b/>
          <w:bCs/>
          <w:rtl/>
        </w:rPr>
        <w:t xml:space="preserve"> </w:t>
      </w:r>
      <w:r w:rsidRPr="006114CB">
        <w:rPr>
          <w:rFonts w:eastAsia="Calibri" w:hint="eastAsia"/>
          <w:b/>
          <w:bCs/>
          <w:rtl/>
        </w:rPr>
        <w:t>כולה</w:t>
      </w:r>
      <w:r w:rsidRPr="006114CB">
        <w:rPr>
          <w:rFonts w:eastAsia="Calibri"/>
          <w:b/>
          <w:bCs/>
          <w:rtl/>
        </w:rPr>
        <w:t xml:space="preserve"> </w:t>
      </w:r>
      <w:r w:rsidRPr="006114CB">
        <w:rPr>
          <w:rFonts w:eastAsia="Calibri" w:hint="eastAsia"/>
          <w:b/>
          <w:bCs/>
          <w:rtl/>
        </w:rPr>
        <w:t>תוטל</w:t>
      </w:r>
      <w:r w:rsidRPr="006114CB">
        <w:rPr>
          <w:rFonts w:eastAsia="Calibri"/>
          <w:b/>
          <w:bCs/>
          <w:rtl/>
        </w:rPr>
        <w:t xml:space="preserve"> </w:t>
      </w:r>
      <w:r w:rsidRPr="006114CB">
        <w:rPr>
          <w:rFonts w:eastAsia="Calibri" w:hint="eastAsia"/>
          <w:b/>
          <w:bCs/>
          <w:rtl/>
        </w:rPr>
        <w:t>עליהם</w:t>
      </w:r>
      <w:r w:rsidRPr="006114CB">
        <w:rPr>
          <w:rFonts w:eastAsia="Calibri"/>
          <w:b/>
          <w:b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eastAsia="Calibri" w:hint="cs"/>
          <w:rtl/>
        </w:rPr>
        <w:t xml:space="preserve">בתשובתה למשרד מבקר המדינה מסרה </w:t>
      </w:r>
      <w:r w:rsidRPr="006114CB">
        <w:rPr>
          <w:rFonts w:eastAsia="Calibri" w:hint="eastAsia"/>
          <w:rtl/>
        </w:rPr>
        <w:t>רשות</w:t>
      </w:r>
      <w:r w:rsidRPr="006114CB">
        <w:rPr>
          <w:rFonts w:eastAsia="Calibri"/>
          <w:rtl/>
        </w:rPr>
        <w:t xml:space="preserve"> </w:t>
      </w:r>
      <w:r w:rsidRPr="006114CB">
        <w:rPr>
          <w:rFonts w:eastAsia="Calibri" w:hint="eastAsia"/>
          <w:rtl/>
        </w:rPr>
        <w:t>התחרות</w:t>
      </w:r>
      <w:r w:rsidRPr="006114CB">
        <w:rPr>
          <w:rFonts w:eastAsia="Calibri" w:hint="cs"/>
          <w:rtl/>
        </w:rPr>
        <w:t xml:space="preserve"> כי היא</w:t>
      </w:r>
      <w:r w:rsidRPr="006114CB">
        <w:rPr>
          <w:rFonts w:eastAsia="Calibri"/>
          <w:rtl/>
        </w:rPr>
        <w:t xml:space="preserve"> </w:t>
      </w:r>
      <w:r w:rsidRPr="006114CB">
        <w:rPr>
          <w:rFonts w:eastAsia="Calibri" w:hint="cs"/>
          <w:rtl/>
        </w:rPr>
        <w:t>החלה</w:t>
      </w:r>
      <w:r w:rsidRPr="006114CB">
        <w:rPr>
          <w:rFonts w:eastAsia="Calibri"/>
          <w:rtl/>
        </w:rPr>
        <w:t xml:space="preserve"> </w:t>
      </w:r>
      <w:r w:rsidRPr="006114CB">
        <w:rPr>
          <w:rFonts w:eastAsia="Calibri" w:hint="cs"/>
          <w:rtl/>
        </w:rPr>
        <w:t>לבחון עם החשב הכללי במשרד האוצר (להלן - החשכ"ל) ועם גורמים ממשלתיים נוספים את סוגיית</w:t>
      </w:r>
      <w:r w:rsidRPr="006114CB">
        <w:rPr>
          <w:rFonts w:eastAsia="Calibri"/>
          <w:rtl/>
        </w:rPr>
        <w:t xml:space="preserve"> </w:t>
      </w:r>
      <w:r w:rsidRPr="006114CB">
        <w:rPr>
          <w:rFonts w:eastAsia="Calibri" w:hint="cs"/>
          <w:rtl/>
        </w:rPr>
        <w:t xml:space="preserve">הכפלתו האפשרית של היקף היבוא של </w:t>
      </w:r>
      <w:r w:rsidRPr="006114CB">
        <w:rPr>
          <w:rFonts w:eastAsia="Calibri" w:hint="eastAsia"/>
          <w:rtl/>
        </w:rPr>
        <w:t>הטריידר</w:t>
      </w:r>
      <w:r w:rsidRPr="006114CB">
        <w:rPr>
          <w:rFonts w:eastAsia="Calibri"/>
          <w:rtl/>
        </w:rPr>
        <w:t xml:space="preserve"> </w:t>
      </w:r>
      <w:r w:rsidRPr="006114CB">
        <w:rPr>
          <w:rFonts w:eastAsia="Calibri" w:hint="eastAsia"/>
          <w:rtl/>
        </w:rPr>
        <w:t>הנוכחי</w:t>
      </w:r>
      <w:r w:rsidRPr="006114CB">
        <w:rPr>
          <w:rFonts w:eastAsia="Calibri" w:hint="cs"/>
          <w:rtl/>
        </w:rPr>
        <w:t>,</w:t>
      </w:r>
      <w:r w:rsidRPr="006114CB">
        <w:rPr>
          <w:rFonts w:eastAsia="Calibri" w:hint="eastAsia"/>
          <w:rtl/>
        </w:rPr>
        <w:t xml:space="preserve"> </w:t>
      </w:r>
      <w:r w:rsidRPr="006114CB">
        <w:rPr>
          <w:rFonts w:eastAsia="Calibri" w:hint="cs"/>
          <w:rtl/>
        </w:rPr>
        <w:t>שגם היום נתח השוק שלו גדול. אם היקף הייבוא של הטריידר הנוכחי יוכפל, כך שהמשק יהיה מוטה יבוא</w:t>
      </w:r>
      <w:r w:rsidRPr="006114CB">
        <w:rPr>
          <w:rFonts w:eastAsia="Calibri"/>
          <w:rtl/>
        </w:rPr>
        <w:t xml:space="preserve">, </w:t>
      </w:r>
      <w:r w:rsidRPr="006114CB">
        <w:rPr>
          <w:rFonts w:eastAsia="Calibri" w:hint="cs"/>
          <w:rtl/>
        </w:rPr>
        <w:t>הטריידר</w:t>
      </w:r>
      <w:r w:rsidRPr="006114CB">
        <w:rPr>
          <w:rFonts w:eastAsia="Calibri"/>
          <w:rtl/>
        </w:rPr>
        <w:t xml:space="preserve"> </w:t>
      </w:r>
      <w:r w:rsidRPr="006114CB">
        <w:rPr>
          <w:rFonts w:eastAsia="Calibri" w:hint="cs"/>
          <w:rtl/>
        </w:rPr>
        <w:t>עלול ל</w:t>
      </w:r>
      <w:r w:rsidRPr="006114CB">
        <w:rPr>
          <w:rFonts w:eastAsia="Calibri" w:hint="eastAsia"/>
          <w:rtl/>
        </w:rPr>
        <w:t>הפוך</w:t>
      </w:r>
      <w:r w:rsidRPr="006114CB">
        <w:rPr>
          <w:rFonts w:eastAsia="Calibri"/>
          <w:rtl/>
        </w:rPr>
        <w:t xml:space="preserve"> </w:t>
      </w:r>
      <w:r w:rsidRPr="006114CB">
        <w:rPr>
          <w:rFonts w:eastAsia="Calibri" w:hint="eastAsia"/>
          <w:rtl/>
        </w:rPr>
        <w:t>למונופול</w:t>
      </w:r>
      <w:r w:rsidRPr="006114CB">
        <w:rPr>
          <w:rFonts w:eastAsia="Calibri"/>
          <w:rtl/>
        </w:rPr>
        <w:t xml:space="preserve"> </w:t>
      </w:r>
      <w:r w:rsidRPr="006114CB">
        <w:rPr>
          <w:rFonts w:eastAsia="Calibri" w:hint="eastAsia"/>
          <w:rtl/>
        </w:rPr>
        <w:t>במשק</w:t>
      </w:r>
      <w:r w:rsidRPr="006114CB">
        <w:rPr>
          <w:rFonts w:eastAsia="Calibri"/>
          <w:rtl/>
        </w:rPr>
        <w:t xml:space="preserve"> </w:t>
      </w:r>
      <w:r w:rsidRPr="006114CB">
        <w:rPr>
          <w:rFonts w:eastAsia="Calibri" w:hint="eastAsia"/>
          <w:rtl/>
        </w:rPr>
        <w:t>הגפ</w:t>
      </w:r>
      <w:r w:rsidRPr="006114CB">
        <w:rPr>
          <w:rFonts w:eastAsia="Calibri"/>
          <w:rtl/>
        </w:rPr>
        <w:t>"ם.</w:t>
      </w:r>
      <w:r w:rsidRPr="006114CB">
        <w:rPr>
          <w:rFonts w:eastAsia="Calibri" w:hint="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eastAsia"/>
          <w:rtl/>
        </w:rPr>
        <w:t>עוד</w:t>
      </w:r>
      <w:r w:rsidRPr="006114CB">
        <w:rPr>
          <w:rFonts w:ascii="David" w:eastAsia="Calibri" w:hAnsi="David" w:hint="cs"/>
          <w:rtl/>
        </w:rPr>
        <w:t xml:space="preserve"> מסרה רשות התחרות כי עמדתה היא כי מעמדו של הטריידר הנוכחי כטריידר יחיד אינו גזירת גורל, וכי יש לבחון את הדרכים לעודד טריידרים נוספים לפעול בארץ, בין היתר באמצעות מתן תמריצים כלכליים, פיסקאליים או אסדרתיים.</w:t>
      </w:r>
    </w:p>
    <w:p w:rsidR="006114CB" w:rsidRPr="006114CB" w:rsidP="002F4530">
      <w:pPr>
        <w:keepNext/>
        <w:keepLines/>
        <w:spacing w:line="269" w:lineRule="auto"/>
        <w:ind w:left="-567"/>
        <w:rPr>
          <w:rFonts w:eastAsia="Calibri"/>
          <w:szCs w:val="20"/>
          <w:rtl/>
        </w:rPr>
      </w:pPr>
    </w:p>
    <w:p w:rsidR="006114CB" w:rsidP="002F4530">
      <w:pPr>
        <w:spacing w:line="269" w:lineRule="auto"/>
        <w:rPr>
          <w:rFonts w:ascii="David" w:eastAsia="Calibri" w:hAnsi="David"/>
          <w:rtl/>
        </w:rPr>
      </w:pPr>
      <w:r w:rsidRPr="006114CB">
        <w:rPr>
          <w:rFonts w:ascii="David" w:eastAsia="Calibri" w:hAnsi="David" w:hint="cs"/>
          <w:rtl/>
        </w:rPr>
        <w:t>בתשובתו למשרד מבקר המדינה מסר משרד האנרגיה כי הוא פועל ללא לאות כדי להגביר את היצע ספקי הגז לטובת ייבוא גפ"ם. עוד ציין כי הוא עמל על הכנת תוכנית לייבוא כלל התזקיקים הנדרשים למשק כהכנה לסגירת בז"ן.</w:t>
      </w:r>
    </w:p>
    <w:p w:rsidR="00E660CE" w:rsidRPr="006114CB" w:rsidP="002F4530">
      <w:pPr>
        <w:spacing w:line="269" w:lineRule="auto"/>
        <w:rPr>
          <w:rFonts w:ascii="David" w:eastAsia="Calibri" w:hAnsi="David"/>
          <w:rtl/>
        </w:rPr>
      </w:pPr>
    </w:p>
    <w:p w:rsidR="006114CB" w:rsidRPr="006114CB" w:rsidP="002F4530">
      <w:pPr>
        <w:spacing w:line="269" w:lineRule="auto"/>
        <w:rPr>
          <w:rFonts w:eastAsia="Calibri"/>
          <w:b/>
          <w:bCs/>
          <w:rtl/>
        </w:rPr>
      </w:pPr>
      <w:r w:rsidRPr="006114CB">
        <w:rPr>
          <w:rFonts w:eastAsia="Calibri" w:hint="cs"/>
          <w:b/>
          <w:bCs/>
          <w:rtl/>
        </w:rPr>
        <w:t>על משרד האנרגיה, משרד האוצר ורשות התחרות להכין תוכנית ליבוא גפ"ם לאחר סגירת בז"ן, שתכלול, בין היתר, את כמויות הגפ"ם הדרושות למשק ואת אופן רכישת הגפ"ם מהטריידרים. עוד על המשרדים ועל רשות התחרות לבחון את סוגיית התחרות בייבוא גפ"ם, להמשיך לבחון איך להתמודד עם הפיכתו האפשרית של הטריידר הנוכחי למונופול, ואם יש לסייע לספקים בתהליך ההתקשרות ליבוא גפ"ם, ובאיזה אופן - כל זאת כדי להבטיח שמעבר למשק מוטה יבוא לא יוביל לפגיעה במשק או בצרכנים, ובכלל זאת לעלייה במחיר הגפ"ם לצרכן הסופי.</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eastAsia"/>
          <w:rtl/>
        </w:rPr>
        <w:t>בתשובתה</w:t>
      </w:r>
      <w:r w:rsidRPr="006114CB">
        <w:rPr>
          <w:rFonts w:eastAsia="Calibri" w:hint="cs"/>
          <w:rtl/>
        </w:rPr>
        <w:t xml:space="preserve"> למשרד מבקר המדינה מסרה המועצה הלאומית לכלכלה כי כשיהיו כמה אתרי יבוא של גופים מתחרים וכמות הגפ"ם המיובא תוכפל, יהיה פוטנציאל לגיוון מקורות היבוא.</w:t>
      </w:r>
    </w:p>
    <w:p w:rsidR="002667BB" w:rsidP="002F4530">
      <w:pPr>
        <w:bidi w:val="0"/>
        <w:spacing w:after="200" w:line="276" w:lineRule="auto"/>
        <w:rPr>
          <w:rFonts w:eastAsia="Times New Roman"/>
          <w:spacing w:val="40"/>
          <w:rtl/>
        </w:rPr>
      </w:pPr>
      <w:r>
        <w:rPr>
          <w:rFonts w:eastAsia="Times New Roman"/>
          <w:spacing w:val="40"/>
          <w:rtl/>
        </w:rPr>
        <w:br w:type="page"/>
      </w:r>
    </w:p>
    <w:p w:rsidR="006114CB" w:rsidRPr="006114CB" w:rsidP="002F4530">
      <w:pPr>
        <w:keepNext/>
        <w:keepLines/>
        <w:spacing w:line="269" w:lineRule="auto"/>
        <w:outlineLvl w:val="5"/>
        <w:rPr>
          <w:rFonts w:eastAsia="Times New Roman"/>
          <w:spacing w:val="40"/>
          <w:rtl/>
        </w:rPr>
      </w:pPr>
      <w:r w:rsidRPr="006114CB">
        <w:rPr>
          <w:rFonts w:eastAsia="Times New Roman" w:hint="cs"/>
          <w:spacing w:val="40"/>
          <w:rtl/>
        </w:rPr>
        <w:t>רכישת גפ"ם מיובא על ידי ספקים קטנים</w:t>
      </w:r>
    </w:p>
    <w:p w:rsidR="006114CB" w:rsidRPr="006114CB" w:rsidP="002F4530">
      <w:pPr>
        <w:rPr>
          <w:rFonts w:eastAsia="Calibri"/>
          <w:rtl/>
        </w:rPr>
      </w:pPr>
    </w:p>
    <w:p w:rsidR="006114CB" w:rsidRPr="006114CB" w:rsidP="002F4530">
      <w:pPr>
        <w:spacing w:line="269" w:lineRule="auto"/>
        <w:rPr>
          <w:rFonts w:eastAsia="Calibri"/>
          <w:rtl/>
        </w:rPr>
      </w:pPr>
      <w:r w:rsidRPr="006114CB">
        <w:rPr>
          <w:rFonts w:ascii="David" w:eastAsia="Calibri" w:hAnsi="David" w:hint="cs"/>
          <w:rtl/>
        </w:rPr>
        <w:t xml:space="preserve">כיום </w:t>
      </w:r>
      <w:r w:rsidRPr="006114CB">
        <w:rPr>
          <w:rFonts w:ascii="David" w:eastAsia="Calibri" w:hAnsi="David"/>
          <w:rtl/>
        </w:rPr>
        <w:t xml:space="preserve">כדי </w:t>
      </w:r>
      <w:r w:rsidRPr="006114CB">
        <w:rPr>
          <w:rFonts w:ascii="David" w:eastAsia="Calibri" w:hAnsi="David" w:hint="cs"/>
          <w:rtl/>
        </w:rPr>
        <w:t>לספק את</w:t>
      </w:r>
      <w:r w:rsidRPr="006114CB">
        <w:rPr>
          <w:rFonts w:ascii="David" w:eastAsia="Calibri" w:hAnsi="David"/>
          <w:rtl/>
        </w:rPr>
        <w:t xml:space="preserve"> </w:t>
      </w:r>
      <w:r w:rsidRPr="006114CB">
        <w:rPr>
          <w:rFonts w:ascii="David" w:eastAsia="Calibri" w:hAnsi="David" w:hint="cs"/>
          <w:rtl/>
        </w:rPr>
        <w:t>ה</w:t>
      </w:r>
      <w:r w:rsidRPr="006114CB">
        <w:rPr>
          <w:rFonts w:ascii="David" w:eastAsia="Calibri" w:hAnsi="David"/>
          <w:rtl/>
        </w:rPr>
        <w:t>ביקוש לגפ"ם הספקים הגדולים מייבאים גפ"ם.</w:t>
      </w:r>
      <w:r w:rsidRPr="006114CB">
        <w:rPr>
          <w:rFonts w:eastAsia="Calibri" w:hint="cs"/>
          <w:rtl/>
        </w:rPr>
        <w:t xml:space="preserve"> </w:t>
      </w:r>
      <w:r w:rsidRPr="006114CB">
        <w:rPr>
          <w:rFonts w:ascii="David" w:eastAsia="Calibri" w:hAnsi="David"/>
          <w:rtl/>
        </w:rPr>
        <w:t>ספק קטן אינו יכול לייבא גפ"ם לבדו</w:t>
      </w:r>
      <w:r w:rsidRPr="006114CB">
        <w:rPr>
          <w:rFonts w:ascii="David" w:eastAsia="Calibri" w:hAnsi="David" w:hint="cs"/>
          <w:rtl/>
        </w:rPr>
        <w:t>,</w:t>
      </w:r>
      <w:r w:rsidRPr="006114CB">
        <w:rPr>
          <w:rFonts w:ascii="David" w:eastAsia="Calibri" w:hAnsi="David"/>
          <w:rtl/>
        </w:rPr>
        <w:t xml:space="preserve"> </w:t>
      </w:r>
      <w:r w:rsidRPr="006114CB">
        <w:rPr>
          <w:rFonts w:ascii="David" w:eastAsia="Calibri" w:hAnsi="David" w:hint="cs"/>
          <w:rtl/>
        </w:rPr>
        <w:t>שכן</w:t>
      </w:r>
      <w:r w:rsidRPr="006114CB">
        <w:rPr>
          <w:rFonts w:ascii="David" w:eastAsia="Calibri" w:hAnsi="David"/>
          <w:rtl/>
        </w:rPr>
        <w:t xml:space="preserve"> הכמות המזערית ש</w:t>
      </w:r>
      <w:r w:rsidRPr="006114CB">
        <w:rPr>
          <w:rFonts w:ascii="David" w:eastAsia="Calibri" w:hAnsi="David" w:hint="cs"/>
          <w:rtl/>
        </w:rPr>
        <w:t>אפשר</w:t>
      </w:r>
      <w:r w:rsidRPr="006114CB">
        <w:rPr>
          <w:rFonts w:ascii="David" w:eastAsia="Calibri" w:hAnsi="David"/>
          <w:rtl/>
        </w:rPr>
        <w:t xml:space="preserve"> לייבא גדולה הרבה</w:t>
      </w:r>
      <w:r w:rsidRPr="006114CB">
        <w:rPr>
          <w:rFonts w:ascii="David" w:eastAsia="Calibri" w:hAnsi="David" w:hint="cs"/>
          <w:rtl/>
        </w:rPr>
        <w:t xml:space="preserve"> יותר</w:t>
      </w:r>
      <w:r w:rsidRPr="006114CB">
        <w:rPr>
          <w:rFonts w:ascii="David" w:eastAsia="Calibri" w:hAnsi="David"/>
          <w:rtl/>
        </w:rPr>
        <w:t xml:space="preserve"> מהצריכה השנתית של לקוחותיו </w:t>
      </w:r>
      <w:r w:rsidRPr="006114CB">
        <w:rPr>
          <w:rFonts w:ascii="David" w:eastAsia="Calibri" w:hAnsi="David" w:hint="cs"/>
          <w:rtl/>
        </w:rPr>
        <w:t>ו</w:t>
      </w:r>
      <w:r w:rsidRPr="006114CB">
        <w:rPr>
          <w:rFonts w:ascii="David" w:eastAsia="Calibri" w:hAnsi="David"/>
          <w:rtl/>
        </w:rPr>
        <w:t>יש לו קושי באיתור מקומות אחסון.</w:t>
      </w:r>
      <w:r w:rsidRPr="006114CB">
        <w:rPr>
          <w:rFonts w:eastAsia="Calibri" w:hint="cs"/>
          <w:rtl/>
        </w:rPr>
        <w:t xml:space="preserve"> </w:t>
      </w:r>
      <w:r w:rsidRPr="006114CB">
        <w:rPr>
          <w:rFonts w:ascii="David" w:eastAsia="Calibri" w:hAnsi="David"/>
          <w:rtl/>
        </w:rPr>
        <w:t>בעת הצורך רוכשים הספקים הקטנים גפ"ם מיובא</w:t>
      </w:r>
      <w:r w:rsidRPr="006114CB">
        <w:rPr>
          <w:rFonts w:ascii="David" w:eastAsia="Calibri" w:hAnsi="David" w:hint="cs"/>
          <w:rtl/>
        </w:rPr>
        <w:t xml:space="preserve"> </w:t>
      </w:r>
      <w:r w:rsidRPr="006114CB">
        <w:rPr>
          <w:rFonts w:ascii="David" w:eastAsia="Calibri" w:hAnsi="David"/>
          <w:rtl/>
        </w:rPr>
        <w:t>מהספקים הגדולים.</w:t>
      </w:r>
      <w:r w:rsidRPr="006114CB">
        <w:rPr>
          <w:rFonts w:eastAsia="Calibri" w:hint="cs"/>
          <w:rtl/>
        </w:rPr>
        <w:t xml:space="preserve"> </w:t>
      </w:r>
      <w:r w:rsidRPr="006114CB">
        <w:rPr>
          <w:rFonts w:ascii="David" w:eastAsia="Calibri" w:hAnsi="David" w:hint="cs"/>
          <w:rtl/>
        </w:rPr>
        <w:t>לאחר סגירת בז"ן ייאלצו הספקים הקטנים לרכוש בעיקר גפ"ם מיובא.</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ascii="David" w:eastAsia="Calibri" w:hAnsi="David" w:hint="eastAsia"/>
          <w:b/>
          <w:bCs/>
          <w:rtl/>
        </w:rPr>
        <w:t>מהעבודה</w:t>
      </w:r>
      <w:r w:rsidRPr="006114CB">
        <w:rPr>
          <w:rFonts w:ascii="David" w:eastAsia="Calibri" w:hAnsi="David"/>
          <w:b/>
          <w:bCs/>
          <w:rtl/>
        </w:rPr>
        <w:t xml:space="preserve"> </w:t>
      </w:r>
      <w:r w:rsidRPr="006114CB">
        <w:rPr>
          <w:rFonts w:ascii="David" w:eastAsia="Calibri" w:hAnsi="David" w:hint="eastAsia"/>
          <w:b/>
          <w:bCs/>
          <w:rtl/>
        </w:rPr>
        <w:t>האסטרטגית</w:t>
      </w:r>
      <w:r w:rsidRPr="006114CB">
        <w:rPr>
          <w:rFonts w:ascii="David" w:eastAsia="Calibri" w:hAnsi="David"/>
          <w:b/>
          <w:bCs/>
          <w:rtl/>
        </w:rPr>
        <w:t xml:space="preserve"> </w:t>
      </w:r>
      <w:r w:rsidRPr="006114CB">
        <w:rPr>
          <w:rFonts w:ascii="David" w:eastAsia="Calibri" w:hAnsi="David" w:hint="eastAsia"/>
          <w:b/>
          <w:bCs/>
          <w:rtl/>
        </w:rPr>
        <w:t>בנושא</w:t>
      </w:r>
      <w:r w:rsidRPr="006114CB">
        <w:rPr>
          <w:rFonts w:ascii="David" w:eastAsia="Calibri" w:hAnsi="David"/>
          <w:b/>
          <w:bCs/>
          <w:rtl/>
        </w:rPr>
        <w:t xml:space="preserve"> </w:t>
      </w:r>
      <w:r w:rsidRPr="006114CB">
        <w:rPr>
          <w:rFonts w:ascii="David" w:eastAsia="Calibri" w:hAnsi="David" w:hint="eastAsia"/>
          <w:b/>
          <w:bCs/>
          <w:rtl/>
        </w:rPr>
        <w:t>עתיד</w:t>
      </w:r>
      <w:r w:rsidRPr="006114CB">
        <w:rPr>
          <w:rFonts w:ascii="David" w:eastAsia="Calibri" w:hAnsi="David"/>
          <w:b/>
          <w:bCs/>
          <w:rtl/>
        </w:rPr>
        <w:t xml:space="preserve"> </w:t>
      </w:r>
      <w:r w:rsidRPr="006114CB">
        <w:rPr>
          <w:rFonts w:ascii="David" w:eastAsia="Calibri" w:hAnsi="David" w:hint="eastAsia"/>
          <w:b/>
          <w:bCs/>
          <w:rtl/>
        </w:rPr>
        <w:t>משק</w:t>
      </w:r>
      <w:r w:rsidRPr="006114CB">
        <w:rPr>
          <w:rFonts w:ascii="David" w:eastAsia="Calibri" w:hAnsi="David"/>
          <w:b/>
          <w:bCs/>
          <w:rtl/>
        </w:rPr>
        <w:t xml:space="preserve"> </w:t>
      </w:r>
      <w:r w:rsidRPr="006114CB">
        <w:rPr>
          <w:rFonts w:ascii="David" w:eastAsia="Calibri" w:hAnsi="David" w:hint="eastAsia"/>
          <w:b/>
          <w:bCs/>
          <w:rtl/>
        </w:rPr>
        <w:t>הדלק</w:t>
      </w:r>
      <w:r w:rsidRPr="006114CB">
        <w:rPr>
          <w:rFonts w:ascii="David" w:eastAsia="Calibri" w:hAnsi="David"/>
          <w:b/>
          <w:bCs/>
          <w:rtl/>
        </w:rPr>
        <w:t xml:space="preserve"> </w:t>
      </w:r>
      <w:r w:rsidRPr="006114CB">
        <w:rPr>
          <w:rFonts w:ascii="David" w:eastAsia="Calibri" w:hAnsi="David" w:hint="eastAsia"/>
          <w:b/>
          <w:bCs/>
          <w:rtl/>
        </w:rPr>
        <w:t>הישראלי</w:t>
      </w:r>
      <w:r>
        <w:rPr>
          <w:rFonts w:ascii="David" w:eastAsia="Calibri" w:hAnsi="David"/>
          <w:b/>
          <w:bCs/>
          <w:vertAlign w:val="superscript"/>
          <w:rtl/>
        </w:rPr>
        <w:footnoteReference w:id="77"/>
      </w:r>
      <w:r w:rsidRPr="006114CB">
        <w:rPr>
          <w:rFonts w:ascii="David" w:eastAsia="Calibri" w:hAnsi="David"/>
          <w:b/>
          <w:bCs/>
          <w:rtl/>
        </w:rPr>
        <w:t xml:space="preserve"> עולה שלאחר סגירתו של </w:t>
      </w:r>
      <w:r w:rsidRPr="006114CB">
        <w:rPr>
          <w:rFonts w:ascii="David" w:eastAsia="Calibri" w:hAnsi="David" w:hint="eastAsia"/>
          <w:b/>
          <w:bCs/>
          <w:rtl/>
        </w:rPr>
        <w:t>בז</w:t>
      </w:r>
      <w:r w:rsidRPr="006114CB">
        <w:rPr>
          <w:rFonts w:ascii="David" w:eastAsia="Calibri" w:hAnsi="David"/>
          <w:b/>
          <w:bCs/>
          <w:rtl/>
        </w:rPr>
        <w:t xml:space="preserve">"ן יש חשש </w:t>
      </w:r>
      <w:bookmarkStart w:id="25" w:name="_Hlk204678544"/>
      <w:r w:rsidRPr="006114CB">
        <w:rPr>
          <w:rFonts w:ascii="David" w:eastAsia="Calibri" w:hAnsi="David" w:hint="eastAsia"/>
          <w:b/>
          <w:bCs/>
          <w:rtl/>
        </w:rPr>
        <w:t>שלספקים</w:t>
      </w:r>
      <w:r w:rsidRPr="006114CB">
        <w:rPr>
          <w:rFonts w:ascii="David" w:eastAsia="Calibri" w:hAnsi="David"/>
          <w:b/>
          <w:bCs/>
          <w:rtl/>
        </w:rPr>
        <w:t xml:space="preserve"> הגדולים </w:t>
      </w:r>
      <w:r w:rsidRPr="006114CB">
        <w:rPr>
          <w:rFonts w:ascii="David" w:eastAsia="Calibri" w:hAnsi="David" w:hint="eastAsia"/>
          <w:b/>
          <w:bCs/>
          <w:rtl/>
        </w:rPr>
        <w:t>ייווצרו</w:t>
      </w:r>
      <w:r w:rsidRPr="006114CB">
        <w:rPr>
          <w:rFonts w:ascii="David" w:eastAsia="Calibri" w:hAnsi="David"/>
          <w:b/>
          <w:bCs/>
          <w:rtl/>
        </w:rPr>
        <w:t xml:space="preserve"> </w:t>
      </w:r>
      <w:r w:rsidRPr="006114CB">
        <w:rPr>
          <w:rFonts w:ascii="David" w:eastAsia="Calibri" w:hAnsi="David" w:hint="eastAsia"/>
          <w:b/>
          <w:bCs/>
          <w:rtl/>
        </w:rPr>
        <w:t>יתרונות</w:t>
      </w:r>
      <w:r w:rsidRPr="006114CB">
        <w:rPr>
          <w:rFonts w:ascii="David" w:eastAsia="Calibri" w:hAnsi="David"/>
          <w:b/>
          <w:bCs/>
          <w:rtl/>
        </w:rPr>
        <w:t xml:space="preserve"> תחרותיים </w:t>
      </w:r>
      <w:r w:rsidRPr="006114CB">
        <w:rPr>
          <w:rFonts w:ascii="David" w:eastAsia="Calibri" w:hAnsi="David" w:hint="eastAsia"/>
          <w:b/>
          <w:bCs/>
          <w:rtl/>
        </w:rPr>
        <w:t>נוספים</w:t>
      </w:r>
      <w:r w:rsidRPr="006114CB">
        <w:rPr>
          <w:rFonts w:ascii="David" w:eastAsia="Calibri" w:hAnsi="David"/>
          <w:b/>
          <w:bCs/>
          <w:rtl/>
        </w:rPr>
        <w:t xml:space="preserve"> ביחס לספקים הקטנים</w:t>
      </w:r>
      <w:bookmarkEnd w:id="25"/>
      <w:r w:rsidRPr="006114CB">
        <w:rPr>
          <w:rFonts w:ascii="David" w:eastAsia="Calibri" w:hAnsi="David"/>
          <w:b/>
          <w:bCs/>
          <w:rtl/>
        </w:rPr>
        <w:t xml:space="preserve">. עיקר הפער צפוי לבוא לידי ביטוי בנגישות של הספקים הגדולים </w:t>
      </w:r>
      <w:r w:rsidRPr="006114CB">
        <w:rPr>
          <w:rFonts w:ascii="David" w:eastAsia="Calibri" w:hAnsi="David" w:hint="eastAsia"/>
          <w:b/>
          <w:bCs/>
          <w:rtl/>
        </w:rPr>
        <w:t>לטריידרים</w:t>
      </w:r>
      <w:r w:rsidRPr="006114CB">
        <w:rPr>
          <w:rFonts w:ascii="David" w:eastAsia="Calibri" w:hAnsi="David"/>
          <w:b/>
          <w:bCs/>
          <w:rtl/>
        </w:rPr>
        <w:t xml:space="preserve"> גדולים ולמחירי יבוא ואחסון אטרקטיביים שלא יתאפשרו לספקים הקטנים עקב כוח השוק המוגבל שלהם. בנסיבות אלו </w:t>
      </w:r>
      <w:r w:rsidRPr="006114CB">
        <w:rPr>
          <w:rFonts w:eastAsia="Calibri" w:hint="eastAsia"/>
          <w:b/>
          <w:bCs/>
          <w:rtl/>
        </w:rPr>
        <w:t>הספקים</w:t>
      </w:r>
      <w:r w:rsidRPr="006114CB">
        <w:rPr>
          <w:rFonts w:eastAsia="Calibri"/>
          <w:b/>
          <w:bCs/>
          <w:rtl/>
        </w:rPr>
        <w:t xml:space="preserve"> הגדולים עלולים לנצל את כוחם לרעה ולמכור לספקים הקטנים גפ"ם מיובא במחירים גבוהים </w:t>
      </w:r>
      <w:r w:rsidRPr="006114CB">
        <w:rPr>
          <w:rFonts w:eastAsia="Calibri" w:hint="eastAsia"/>
          <w:b/>
          <w:bCs/>
          <w:rtl/>
        </w:rPr>
        <w:t>יותר</w:t>
      </w:r>
      <w:r w:rsidRPr="006114CB">
        <w:rPr>
          <w:rFonts w:eastAsia="Calibri"/>
          <w:b/>
          <w:bCs/>
          <w:rtl/>
        </w:rPr>
        <w:t>.</w:t>
      </w:r>
      <w:r w:rsidRPr="006114CB">
        <w:rPr>
          <w:rFonts w:eastAsia="Calibri" w:hint="cs"/>
          <w:b/>
          <w:bCs/>
          <w:rtl/>
        </w:rPr>
        <w:t xml:space="preserve"> נמצא כי הנושא טרם נבחן על ידי משרד האנרגיה, משרד האוצר או רשות התחרות.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מומלץ למשרד האנרגיה, משרד האוצר ורשות התחרות לבחון במשותף את סוגיית רכישת הגפ"ם המיובא על ידי ספקים קטנים לאחר סגירת בז"ן ולגבש לה פתרונות.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eastAsia"/>
          <w:rtl/>
        </w:rPr>
        <w:t>רשות</w:t>
      </w:r>
      <w:r w:rsidRPr="006114CB">
        <w:rPr>
          <w:rFonts w:eastAsia="Calibri"/>
          <w:rtl/>
        </w:rPr>
        <w:t xml:space="preserve"> </w:t>
      </w:r>
      <w:r w:rsidRPr="006114CB">
        <w:rPr>
          <w:rFonts w:eastAsia="Calibri" w:hint="eastAsia"/>
          <w:rtl/>
        </w:rPr>
        <w:t>התחרות</w:t>
      </w:r>
      <w:r w:rsidRPr="006114CB">
        <w:rPr>
          <w:rFonts w:eastAsia="Calibri"/>
          <w:rtl/>
        </w:rPr>
        <w:t xml:space="preserve"> מסרה בתשובתה מאפריל 2026 כי בשיחות מקדימות שקיימה עם החש</w:t>
      </w:r>
      <w:r w:rsidRPr="006114CB">
        <w:rPr>
          <w:rFonts w:eastAsia="Calibri" w:hint="cs"/>
          <w:rtl/>
        </w:rPr>
        <w:t xml:space="preserve">כ"ל </w:t>
      </w:r>
      <w:r w:rsidRPr="006114CB">
        <w:rPr>
          <w:rFonts w:eastAsia="Calibri"/>
          <w:rtl/>
        </w:rPr>
        <w:t xml:space="preserve">ושאר גורמי הממשלה העוסקים במכרז </w:t>
      </w:r>
      <w:r w:rsidRPr="006114CB">
        <w:rPr>
          <w:rFonts w:eastAsia="Calibri" w:hint="cs"/>
          <w:rtl/>
        </w:rPr>
        <w:t xml:space="preserve">להקמת מתקן </w:t>
      </w:r>
      <w:r w:rsidRPr="006114CB">
        <w:rPr>
          <w:rFonts w:eastAsia="Calibri"/>
          <w:rtl/>
        </w:rPr>
        <w:t>אחסון, העלתה הרשות את סוגיית הייבוא עבור ספקי גפ"ם קטנים כסוגיה מרכזית בתכנון המכרז, והיא צפויה לה</w:t>
      </w:r>
      <w:r w:rsidRPr="006114CB">
        <w:rPr>
          <w:rFonts w:eastAsia="Calibri" w:hint="cs"/>
          <w:rtl/>
        </w:rPr>
        <w:t>י</w:t>
      </w:r>
      <w:r w:rsidRPr="006114CB">
        <w:rPr>
          <w:rFonts w:eastAsia="Calibri"/>
          <w:rtl/>
        </w:rPr>
        <w:t>ות נדבך משמעותי בעמד</w:t>
      </w:r>
      <w:r w:rsidRPr="006114CB">
        <w:rPr>
          <w:rFonts w:eastAsia="Calibri" w:hint="cs"/>
          <w:rtl/>
        </w:rPr>
        <w:t>ה שתביע</w:t>
      </w:r>
      <w:r w:rsidRPr="006114CB">
        <w:rPr>
          <w:rFonts w:eastAsia="Calibri"/>
          <w:rtl/>
        </w:rPr>
        <w:t xml:space="preserve"> הרשות כאשר תבוצע ע</w:t>
      </w:r>
      <w:r w:rsidRPr="006114CB">
        <w:rPr>
          <w:rFonts w:eastAsia="Calibri" w:hint="cs"/>
          <w:rtl/>
        </w:rPr>
        <w:t>י</w:t>
      </w:r>
      <w:r w:rsidRPr="006114CB">
        <w:rPr>
          <w:rFonts w:eastAsia="Calibri"/>
          <w:rtl/>
        </w:rPr>
        <w:t>מ</w:t>
      </w:r>
      <w:r w:rsidRPr="006114CB">
        <w:rPr>
          <w:rFonts w:eastAsia="Calibri" w:hint="cs"/>
          <w:rtl/>
        </w:rPr>
        <w:t>ה</w:t>
      </w:r>
      <w:r w:rsidRPr="006114CB">
        <w:rPr>
          <w:rFonts w:eastAsia="Calibri"/>
          <w:rtl/>
        </w:rPr>
        <w:t xml:space="preserve"> היוועצות רשמית בנושא.</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6"/>
        <w:rPr>
          <w:rFonts w:eastAsia="Times New Roman"/>
          <w:bCs/>
          <w:spacing w:val="40"/>
          <w:rtl/>
        </w:rPr>
      </w:pPr>
      <w:r w:rsidRPr="006114CB">
        <w:rPr>
          <w:rFonts w:eastAsia="Times New Roman" w:hint="cs"/>
          <w:bCs/>
          <w:spacing w:val="40"/>
          <w:rtl/>
        </w:rPr>
        <w:t>הקצאת גפ"ם לספקים חדשים ולספקים קטנים</w:t>
      </w:r>
    </w:p>
    <w:p w:rsidR="006114CB" w:rsidRPr="006114CB" w:rsidP="002F4530">
      <w:pPr>
        <w:rPr>
          <w:rFonts w:eastAsia="Calibri"/>
          <w:rtl/>
        </w:rPr>
      </w:pPr>
    </w:p>
    <w:p w:rsidR="006114CB" w:rsidRPr="006114CB" w:rsidP="002F4530">
      <w:pPr>
        <w:spacing w:line="269" w:lineRule="auto"/>
        <w:rPr>
          <w:rFonts w:ascii="David" w:eastAsia="Calibri" w:hAnsi="David"/>
          <w:rtl/>
        </w:rPr>
      </w:pPr>
      <w:r w:rsidRPr="006114CB">
        <w:rPr>
          <w:rFonts w:ascii="David" w:eastAsia="Calibri" w:hAnsi="David" w:hint="cs"/>
          <w:rtl/>
        </w:rPr>
        <w:t xml:space="preserve">כאמור, </w:t>
      </w:r>
      <w:r w:rsidRPr="006114CB">
        <w:rPr>
          <w:rFonts w:ascii="David" w:eastAsia="Calibri" w:hAnsi="David"/>
          <w:rtl/>
        </w:rPr>
        <w:t>עקב מגבלת כושר הייצור של בתי הזיקוק נוצר מחסור בגפ"ם בתקופות מסוימות בשנה (בעיקר בחורף). כדי להתמודד עם המחסור הותקנו תקנות ההקצבות</w:t>
      </w:r>
      <w:r w:rsidRPr="006114CB">
        <w:rPr>
          <w:rFonts w:ascii="David" w:eastAsia="Calibri" w:hAnsi="David" w:hint="cs"/>
          <w:rtl/>
        </w:rPr>
        <w:t>. על פיהן,</w:t>
      </w:r>
      <w:r w:rsidRPr="006114CB">
        <w:rPr>
          <w:rFonts w:ascii="David" w:eastAsia="Calibri" w:hAnsi="David"/>
          <w:rtl/>
        </w:rPr>
        <w:t xml:space="preserve"> על בתי הזיקוק להודיע בכתב לכל ספקי הגז</w:t>
      </w:r>
      <w:r>
        <w:rPr>
          <w:rFonts w:ascii="David" w:eastAsia="Calibri" w:hAnsi="David"/>
          <w:vertAlign w:val="superscript"/>
          <w:rtl/>
        </w:rPr>
        <w:footnoteReference w:id="78"/>
      </w:r>
      <w:r w:rsidRPr="006114CB">
        <w:rPr>
          <w:rFonts w:ascii="David" w:eastAsia="Calibri" w:hAnsi="David"/>
          <w:rtl/>
        </w:rPr>
        <w:t xml:space="preserve"> ולמנהל מינהל הדלק (להלן גם - המנהל) ביום העסקים הראשון בכל חודש מהי תחזית כושר האספקה הצפויה להם לכל אחד משלושת החודשים הבאים. כל ספק גז רשאי להזמין גז משני בתי הזיקוק</w:t>
      </w:r>
      <w:r>
        <w:rPr>
          <w:rFonts w:ascii="David" w:eastAsia="Calibri" w:hAnsi="David"/>
          <w:vertAlign w:val="superscript"/>
          <w:rtl/>
        </w:rPr>
        <w:footnoteReference w:id="79"/>
      </w:r>
      <w:r w:rsidRPr="006114CB">
        <w:rPr>
          <w:rFonts w:ascii="David" w:eastAsia="Calibri" w:hAnsi="David"/>
          <w:rtl/>
        </w:rPr>
        <w:t xml:space="preserve"> בכל חודש, עד </w:t>
      </w:r>
      <w:r w:rsidRPr="006114CB">
        <w:rPr>
          <w:rFonts w:ascii="David" w:eastAsia="Calibri" w:hAnsi="David" w:hint="cs"/>
          <w:rtl/>
        </w:rPr>
        <w:t>10</w:t>
      </w:r>
      <w:r w:rsidRPr="006114CB">
        <w:rPr>
          <w:rFonts w:ascii="David" w:eastAsia="Calibri" w:hAnsi="David"/>
          <w:rtl/>
        </w:rPr>
        <w:t xml:space="preserve"> בחודש שקדם לו.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rtl/>
        </w:rPr>
        <w:t xml:space="preserve">אם </w:t>
      </w:r>
      <w:r w:rsidRPr="006114CB">
        <w:rPr>
          <w:rFonts w:ascii="David" w:eastAsia="Calibri" w:hAnsi="David" w:hint="cs"/>
          <w:rtl/>
        </w:rPr>
        <w:t>היקף</w:t>
      </w:r>
      <w:r w:rsidRPr="006114CB">
        <w:rPr>
          <w:rFonts w:ascii="David" w:eastAsia="Calibri" w:hAnsi="David"/>
          <w:rtl/>
        </w:rPr>
        <w:t xml:space="preserve"> ההזמנות גדול מכושר האספקה, מדובר בחודש מחסור</w:t>
      </w:r>
      <w:r>
        <w:rPr>
          <w:rFonts w:ascii="David" w:eastAsia="Calibri" w:hAnsi="David"/>
          <w:vertAlign w:val="superscript"/>
          <w:rtl/>
        </w:rPr>
        <w:footnoteReference w:id="80"/>
      </w:r>
      <w:r w:rsidRPr="006114CB">
        <w:rPr>
          <w:rFonts w:ascii="David" w:eastAsia="Calibri" w:hAnsi="David" w:hint="cs"/>
          <w:rtl/>
        </w:rPr>
        <w:t>,</w:t>
      </w:r>
      <w:r w:rsidRPr="006114CB">
        <w:rPr>
          <w:rFonts w:ascii="David" w:eastAsia="Calibri" w:hAnsi="David"/>
          <w:rtl/>
        </w:rPr>
        <w:t xml:space="preserve"> וחלוקת הגפ"ם תוסדר </w:t>
      </w:r>
      <w:r w:rsidRPr="006114CB">
        <w:rPr>
          <w:rFonts w:ascii="David" w:eastAsia="Calibri" w:hAnsi="David" w:hint="cs"/>
          <w:rtl/>
        </w:rPr>
        <w:t>בהתאם</w:t>
      </w:r>
      <w:r>
        <w:rPr>
          <w:rFonts w:ascii="David" w:eastAsia="Calibri" w:hAnsi="David" w:hint="cs"/>
          <w:rtl/>
        </w:rPr>
        <w:t xml:space="preserve"> </w:t>
      </w:r>
      <w:r w:rsidRPr="006114CB">
        <w:rPr>
          <w:rFonts w:ascii="David" w:eastAsia="Calibri" w:hAnsi="David" w:hint="cs"/>
          <w:rtl/>
        </w:rPr>
        <w:t>ל</w:t>
      </w:r>
      <w:r w:rsidRPr="006114CB">
        <w:rPr>
          <w:rFonts w:ascii="David" w:eastAsia="Calibri" w:hAnsi="David"/>
          <w:rtl/>
        </w:rPr>
        <w:t>תקנות</w:t>
      </w:r>
      <w:r w:rsidRPr="006114CB">
        <w:rPr>
          <w:rFonts w:ascii="David" w:eastAsia="Calibri" w:hAnsi="David" w:hint="cs"/>
          <w:rtl/>
        </w:rPr>
        <w:t>.</w:t>
      </w:r>
      <w:r w:rsidRPr="006114CB">
        <w:rPr>
          <w:rFonts w:ascii="David" w:eastAsia="Calibri" w:hAnsi="David"/>
          <w:rtl/>
        </w:rPr>
        <w:t xml:space="preserve"> ראשית, כל בית זיקוק יפריש 2% מכושר האספקה שלו לספקים חדשים</w:t>
      </w:r>
      <w:r>
        <w:rPr>
          <w:rFonts w:ascii="David" w:eastAsia="Calibri" w:hAnsi="David"/>
          <w:vertAlign w:val="superscript"/>
          <w:rtl/>
        </w:rPr>
        <w:footnoteReference w:id="81"/>
      </w:r>
      <w:r w:rsidRPr="006114CB">
        <w:rPr>
          <w:rFonts w:ascii="David" w:eastAsia="Calibri" w:hAnsi="David"/>
          <w:rtl/>
        </w:rPr>
        <w:t xml:space="preserve">. </w:t>
      </w:r>
      <w:r w:rsidRPr="006114CB">
        <w:rPr>
          <w:rFonts w:ascii="David" w:eastAsia="Calibri" w:hAnsi="David" w:hint="cs"/>
          <w:rtl/>
        </w:rPr>
        <w:t xml:space="preserve">ככלל, </w:t>
      </w:r>
      <w:r w:rsidRPr="006114CB">
        <w:rPr>
          <w:rFonts w:ascii="David" w:eastAsia="Calibri" w:hAnsi="David"/>
          <w:rtl/>
        </w:rPr>
        <w:t xml:space="preserve">במשך שלושת החודשים הראשונים לפעילותו יזכה כל ספק גז </w:t>
      </w:r>
      <w:r w:rsidRPr="006114CB">
        <w:rPr>
          <w:rFonts w:ascii="David" w:eastAsia="Calibri" w:hAnsi="David" w:hint="cs"/>
          <w:rtl/>
        </w:rPr>
        <w:t xml:space="preserve">חדש </w:t>
      </w:r>
      <w:r w:rsidRPr="006114CB">
        <w:rPr>
          <w:rFonts w:ascii="David" w:eastAsia="Calibri" w:hAnsi="David"/>
          <w:rtl/>
        </w:rPr>
        <w:t>המעוניין בכך לרכוש ג</w:t>
      </w:r>
      <w:r w:rsidRPr="006114CB">
        <w:rPr>
          <w:rFonts w:ascii="David" w:eastAsia="Calibri" w:hAnsi="David" w:hint="cs"/>
          <w:rtl/>
        </w:rPr>
        <w:t>פ"ם</w:t>
      </w:r>
      <w:r w:rsidRPr="006114CB">
        <w:rPr>
          <w:rFonts w:ascii="David" w:eastAsia="Calibri" w:hAnsi="David"/>
          <w:rtl/>
        </w:rPr>
        <w:t xml:space="preserve"> מתוך </w:t>
      </w:r>
      <w:r w:rsidRPr="006114CB">
        <w:rPr>
          <w:rFonts w:ascii="David" w:eastAsia="Calibri" w:hAnsi="David" w:hint="cs"/>
          <w:rtl/>
        </w:rPr>
        <w:t xml:space="preserve">שני האחוזים </w:t>
      </w:r>
      <w:r w:rsidRPr="006114CB">
        <w:rPr>
          <w:rFonts w:ascii="David" w:eastAsia="Calibri" w:hAnsi="David"/>
          <w:rtl/>
        </w:rPr>
        <w:t>הללו, בכמות שיבקש, שלא תעלה על 15 טונה</w:t>
      </w:r>
      <w:r w:rsidRPr="006114CB">
        <w:rPr>
          <w:rFonts w:ascii="David" w:eastAsia="Calibri" w:hAnsi="David" w:hint="cs"/>
          <w:rtl/>
        </w:rPr>
        <w:t xml:space="preserve"> </w:t>
      </w:r>
      <w:r w:rsidRPr="006114CB">
        <w:rPr>
          <w:rFonts w:ascii="David" w:eastAsia="Calibri" w:hAnsi="David"/>
          <w:rtl/>
        </w:rPr>
        <w:t>לחודש</w:t>
      </w:r>
      <w:r w:rsidRPr="006114CB">
        <w:rPr>
          <w:rFonts w:ascii="David" w:eastAsia="Calibri" w:hAnsi="David" w:hint="cs"/>
          <w:rtl/>
        </w:rPr>
        <w:t>.</w:t>
      </w:r>
      <w:r w:rsidRPr="006114CB">
        <w:rPr>
          <w:rFonts w:ascii="David" w:eastAsia="Calibri" w:hAnsi="David"/>
          <w:rtl/>
        </w:rPr>
        <w:t xml:space="preserve"> אם הכמות עלתה על 2% מכושר האספקה של בתי הזיקוק, יקבל כל אחד מספקי הגז החדשים את הכמות היחסית מתוך הכמות שהפריש בית הזיקוק לספקי הגז החדשים.</w:t>
      </w:r>
      <w:r w:rsidRPr="006114CB">
        <w:rPr>
          <w:rFonts w:ascii="David" w:eastAsia="Calibri" w:hAnsi="David" w:hint="cs"/>
          <w:rtl/>
        </w:rPr>
        <w:t xml:space="preserve"> מהחודש הרביעי יקבל כל ספק גז חדש גז בכמות לפי צריכת צרכני הגז שלו. אם הכמות עלתה על 2% מכושר האספקה של בתי הזיקוק, </w:t>
      </w:r>
      <w:r w:rsidRPr="006114CB">
        <w:rPr>
          <w:rFonts w:ascii="David" w:eastAsia="Calibri" w:hAnsi="David"/>
          <w:rtl/>
        </w:rPr>
        <w:t>יקבל כל אחד מספקי הגז החדשים את הכמות היחסית</w:t>
      </w:r>
      <w:r w:rsidRPr="006114CB">
        <w:rPr>
          <w:rFonts w:ascii="David" w:eastAsia="Calibri" w:hAnsi="David" w:hint="cs"/>
          <w:rtl/>
        </w:rPr>
        <w:t xml:space="preserve"> שקיבל לפי התקנות, מתוך הכמות </w:t>
      </w:r>
      <w:r w:rsidRPr="006114CB">
        <w:rPr>
          <w:rFonts w:ascii="David" w:eastAsia="Calibri" w:hAnsi="David"/>
          <w:rtl/>
        </w:rPr>
        <w:t>שהפריש בית הזיקוק לספקי הגז החדשים.</w:t>
      </w:r>
    </w:p>
    <w:p w:rsidR="002667BB" w:rsidP="002F4530">
      <w:pPr>
        <w:bidi w:val="0"/>
        <w:spacing w:after="200" w:line="276" w:lineRule="auto"/>
        <w:rPr>
          <w:rFonts w:ascii="David" w:eastAsia="Calibri" w:hAnsi="David"/>
          <w:rtl/>
        </w:rPr>
      </w:pPr>
      <w:r>
        <w:rPr>
          <w:rFonts w:ascii="David" w:eastAsia="Calibri" w:hAnsi="David"/>
          <w:rtl/>
        </w:rPr>
        <w:br w:type="page"/>
      </w:r>
    </w:p>
    <w:p w:rsidR="006114CB" w:rsidRPr="006114CB" w:rsidP="002F4530">
      <w:pPr>
        <w:spacing w:line="269" w:lineRule="auto"/>
        <w:rPr>
          <w:rFonts w:ascii="David" w:eastAsia="Calibri" w:hAnsi="David"/>
          <w:rtl/>
        </w:rPr>
      </w:pPr>
      <w:r w:rsidRPr="006114CB">
        <w:rPr>
          <w:rFonts w:ascii="David" w:eastAsia="Calibri" w:hAnsi="David"/>
          <w:rtl/>
        </w:rPr>
        <w:t>שנית, הבאים בתור, ספקי הגז הקטנים</w:t>
      </w:r>
      <w:r>
        <w:rPr>
          <w:rFonts w:ascii="David" w:eastAsia="Calibri" w:hAnsi="David"/>
          <w:vertAlign w:val="superscript"/>
          <w:rtl/>
        </w:rPr>
        <w:footnoteReference w:id="82"/>
      </w:r>
      <w:r w:rsidRPr="006114CB">
        <w:rPr>
          <w:rFonts w:ascii="David" w:eastAsia="Calibri" w:hAnsi="David" w:hint="cs"/>
          <w:rtl/>
        </w:rPr>
        <w:t>,</w:t>
      </w:r>
      <w:r w:rsidRPr="006114CB">
        <w:rPr>
          <w:rFonts w:ascii="David" w:eastAsia="Calibri" w:hAnsi="David"/>
          <w:rtl/>
        </w:rPr>
        <w:t xml:space="preserve"> יקבלו ג</w:t>
      </w:r>
      <w:r w:rsidRPr="006114CB">
        <w:rPr>
          <w:rFonts w:ascii="David" w:eastAsia="Calibri" w:hAnsi="David" w:hint="cs"/>
          <w:rtl/>
        </w:rPr>
        <w:t>פ"ם</w:t>
      </w:r>
      <w:r w:rsidRPr="006114CB">
        <w:rPr>
          <w:rFonts w:ascii="David" w:eastAsia="Calibri" w:hAnsi="David"/>
          <w:rtl/>
        </w:rPr>
        <w:t xml:space="preserve"> בשיעור השווה לחלק היחסי בג</w:t>
      </w:r>
      <w:r w:rsidRPr="006114CB">
        <w:rPr>
          <w:rFonts w:ascii="David" w:eastAsia="Calibri" w:hAnsi="David" w:hint="cs"/>
          <w:rtl/>
        </w:rPr>
        <w:t>פ"ם</w:t>
      </w:r>
      <w:r w:rsidRPr="006114CB">
        <w:rPr>
          <w:rFonts w:ascii="David" w:eastAsia="Calibri" w:hAnsi="David"/>
          <w:rtl/>
        </w:rPr>
        <w:t xml:space="preserve"> שקיבל הספק הקטן מבית הזיקוק ביחס לשאר ספקי הג</w:t>
      </w:r>
      <w:r w:rsidRPr="006114CB">
        <w:rPr>
          <w:rFonts w:ascii="David" w:eastAsia="Calibri" w:hAnsi="David" w:hint="cs"/>
          <w:rtl/>
        </w:rPr>
        <w:t>ז</w:t>
      </w:r>
      <w:r w:rsidRPr="006114CB">
        <w:rPr>
          <w:rFonts w:ascii="David" w:eastAsia="Calibri" w:hAnsi="David"/>
          <w:rtl/>
        </w:rPr>
        <w:t xml:space="preserve"> בשלושת החודשים המקבילים בשנה הקודמת בממוצע</w:t>
      </w:r>
      <w:r w:rsidRPr="006114CB">
        <w:rPr>
          <w:rFonts w:ascii="David" w:eastAsia="Calibri" w:hAnsi="David" w:hint="cs"/>
          <w:rtl/>
        </w:rPr>
        <w:t>,</w:t>
      </w:r>
      <w:r w:rsidRPr="006114CB">
        <w:rPr>
          <w:rFonts w:ascii="David" w:eastAsia="Calibri" w:hAnsi="David"/>
          <w:rtl/>
        </w:rPr>
        <w:t xml:space="preserve"> </w:t>
      </w:r>
      <w:r w:rsidRPr="006114CB">
        <w:rPr>
          <w:rFonts w:ascii="David" w:eastAsia="Calibri" w:hAnsi="David" w:hint="cs"/>
          <w:rtl/>
        </w:rPr>
        <w:t>ו</w:t>
      </w:r>
      <w:r w:rsidRPr="006114CB">
        <w:rPr>
          <w:rFonts w:ascii="David" w:eastAsia="Calibri" w:hAnsi="David"/>
          <w:rtl/>
        </w:rPr>
        <w:t>בשלושת החודשים שקדמו לחודש שלפני חודש המחסור בממוצע.</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rtl/>
        </w:rPr>
        <w:t>לבסוף</w:t>
      </w:r>
      <w:r w:rsidRPr="006114CB">
        <w:rPr>
          <w:rFonts w:ascii="David" w:eastAsia="Calibri" w:hAnsi="David" w:hint="cs"/>
          <w:rtl/>
        </w:rPr>
        <w:t>,</w:t>
      </w:r>
      <w:r w:rsidRPr="006114CB">
        <w:rPr>
          <w:rFonts w:ascii="David" w:eastAsia="Calibri" w:hAnsi="David"/>
          <w:rtl/>
        </w:rPr>
        <w:t xml:space="preserve"> את הגפ"ם שנותר יקבלו ספקי גז שאינם חדשים או קטנים באופן יחסי לשיעורים שקיבלו בעבר, לפי </w:t>
      </w:r>
      <w:r w:rsidRPr="006114CB">
        <w:rPr>
          <w:rFonts w:ascii="David" w:eastAsia="Calibri" w:hAnsi="David" w:hint="cs"/>
          <w:rtl/>
        </w:rPr>
        <w:t>ה</w:t>
      </w:r>
      <w:r w:rsidRPr="006114CB">
        <w:rPr>
          <w:rFonts w:ascii="David" w:eastAsia="Calibri" w:hAnsi="David"/>
          <w:rtl/>
        </w:rPr>
        <w:t>חישוב המפורט בתקנות.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rtl/>
        </w:rPr>
        <w:t>התקנות</w:t>
      </w:r>
      <w:r w:rsidRPr="006114CB">
        <w:rPr>
          <w:rFonts w:ascii="David" w:eastAsia="Calibri" w:hAnsi="David" w:hint="cs"/>
          <w:rtl/>
        </w:rPr>
        <w:t xml:space="preserve"> מסדירות גם את </w:t>
      </w:r>
      <w:r w:rsidRPr="006114CB">
        <w:rPr>
          <w:rFonts w:ascii="David" w:eastAsia="Calibri" w:hAnsi="David"/>
          <w:rtl/>
        </w:rPr>
        <w:t>שיעור הג</w:t>
      </w:r>
      <w:r w:rsidRPr="006114CB">
        <w:rPr>
          <w:rFonts w:ascii="David" w:eastAsia="Calibri" w:hAnsi="David" w:hint="cs"/>
          <w:rtl/>
        </w:rPr>
        <w:t>פ"ם</w:t>
      </w:r>
      <w:r w:rsidRPr="006114CB">
        <w:rPr>
          <w:rFonts w:ascii="David" w:eastAsia="Calibri" w:hAnsi="David"/>
          <w:rtl/>
        </w:rPr>
        <w:t xml:space="preserve"> שיקבל ספק קטן בחודש מחסור שבו שני בתי הזיקוק מספקים ג</w:t>
      </w:r>
      <w:r w:rsidRPr="006114CB">
        <w:rPr>
          <w:rFonts w:ascii="David" w:eastAsia="Calibri" w:hAnsi="David" w:hint="cs"/>
          <w:rtl/>
        </w:rPr>
        <w:t>פ"ם</w:t>
      </w:r>
      <w:r w:rsidRPr="006114CB">
        <w:rPr>
          <w:rFonts w:ascii="David" w:eastAsia="Calibri" w:hAnsi="David"/>
          <w:rtl/>
        </w:rPr>
        <w:t xml:space="preserve"> בכמות שאינה עולה על 70% מכושר הייצור שלהם או בחודש מחסור שבו בית זיקוק אחד מספק ג</w:t>
      </w:r>
      <w:r w:rsidRPr="006114CB">
        <w:rPr>
          <w:rFonts w:ascii="David" w:eastAsia="Calibri" w:hAnsi="David" w:hint="cs"/>
          <w:rtl/>
        </w:rPr>
        <w:t>פ"ם</w:t>
      </w:r>
      <w:r w:rsidRPr="006114CB">
        <w:rPr>
          <w:rFonts w:ascii="David" w:eastAsia="Calibri" w:hAnsi="David"/>
          <w:rtl/>
        </w:rPr>
        <w:t xml:space="preserve"> בכמות שאינה עולה על 40% מכושר הייצור שלו.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 xml:space="preserve">זאת ועוד, התקנות מאפשרות לספק קטן לקבל תוספת לכמות הגפ"ם המגיעה לו במקרים מסוימים.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b/>
          <w:bCs/>
          <w:rtl/>
        </w:rPr>
      </w:pPr>
      <w:r w:rsidRPr="006114CB">
        <w:rPr>
          <w:rFonts w:ascii="David" w:eastAsia="Calibri" w:hAnsi="David"/>
          <w:b/>
          <w:bCs/>
          <w:rtl/>
        </w:rPr>
        <w:t>תקנות</w:t>
      </w:r>
      <w:r w:rsidRPr="006114CB">
        <w:rPr>
          <w:rFonts w:ascii="David" w:eastAsia="Calibri" w:hAnsi="David" w:hint="cs"/>
          <w:b/>
          <w:bCs/>
          <w:rtl/>
        </w:rPr>
        <w:t xml:space="preserve"> ההקצבות</w:t>
      </w:r>
      <w:r w:rsidRPr="006114CB">
        <w:rPr>
          <w:rFonts w:ascii="David" w:eastAsia="Calibri" w:hAnsi="David"/>
          <w:b/>
          <w:bCs/>
          <w:rtl/>
        </w:rPr>
        <w:t xml:space="preserve"> </w:t>
      </w:r>
      <w:r w:rsidRPr="006114CB">
        <w:rPr>
          <w:rFonts w:ascii="David" w:eastAsia="Calibri" w:hAnsi="David" w:hint="cs"/>
          <w:b/>
          <w:bCs/>
          <w:rtl/>
        </w:rPr>
        <w:t>נותנ</w:t>
      </w:r>
      <w:r w:rsidRPr="006114CB">
        <w:rPr>
          <w:rFonts w:ascii="David" w:eastAsia="Calibri" w:hAnsi="David"/>
          <w:b/>
          <w:bCs/>
          <w:rtl/>
        </w:rPr>
        <w:t xml:space="preserve">ות </w:t>
      </w:r>
      <w:r w:rsidRPr="006114CB">
        <w:rPr>
          <w:rFonts w:ascii="David" w:eastAsia="Calibri" w:hAnsi="David" w:hint="cs"/>
          <w:b/>
          <w:bCs/>
          <w:rtl/>
        </w:rPr>
        <w:t>בחודשי מחסור</w:t>
      </w:r>
      <w:r w:rsidRPr="006114CB">
        <w:rPr>
          <w:rFonts w:ascii="David" w:eastAsia="Calibri" w:hAnsi="David"/>
          <w:b/>
          <w:bCs/>
          <w:rtl/>
        </w:rPr>
        <w:t xml:space="preserve"> עדיפות</w:t>
      </w:r>
      <w:r w:rsidRPr="006114CB">
        <w:rPr>
          <w:rFonts w:ascii="David" w:eastAsia="Calibri" w:hAnsi="David" w:hint="cs"/>
          <w:b/>
          <w:bCs/>
          <w:rtl/>
        </w:rPr>
        <w:t xml:space="preserve"> בהקצאת גפ"ם מבתי הזיקוק </w:t>
      </w:r>
      <w:r w:rsidRPr="006114CB">
        <w:rPr>
          <w:rFonts w:ascii="David" w:eastAsia="Calibri" w:hAnsi="David"/>
          <w:b/>
          <w:bCs/>
          <w:rtl/>
        </w:rPr>
        <w:t>לספקים חדשים ולספקים קטנים</w:t>
      </w:r>
      <w:r w:rsidRPr="006114CB">
        <w:rPr>
          <w:rFonts w:ascii="David" w:eastAsia="Calibri" w:hAnsi="David" w:hint="cs"/>
          <w:b/>
          <w:bCs/>
          <w:rtl/>
        </w:rPr>
        <w:t xml:space="preserve"> ומאפשרות להם לקבל תוספת גפ"ם במקרים מסוימים</w:t>
      </w:r>
      <w:r w:rsidRPr="006114CB">
        <w:rPr>
          <w:rFonts w:ascii="David" w:eastAsia="Calibri" w:hAnsi="David"/>
          <w:b/>
          <w:bCs/>
          <w:rtl/>
        </w:rPr>
        <w:t xml:space="preserve">. </w:t>
      </w:r>
      <w:r w:rsidRPr="006114CB">
        <w:rPr>
          <w:rFonts w:ascii="David" w:eastAsia="Calibri" w:hAnsi="David" w:hint="cs"/>
          <w:b/>
          <w:bCs/>
          <w:rtl/>
        </w:rPr>
        <w:t>סגירת בז"ן תפחית במידה ניכרת את הייצור המקומי ותייתר את תקנות ההקצבות. משרד האנרגיה ורשות התחרות טרם דנו בהתאמת התקנות, כך שייתנו מענה ראוי לספקים אלה גם לאחר סגירת בז"ן.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בתשובתו למשרד מבקר המדינה מסר משרד האנרגיה כי הוא פועל כל העת להגביר את התחרותיות בענף, ובכלל זה את כניסתן של חברות קטנות חדשות, וכך גם את הבטחת פעילותן של חברות קטנות שכבר פועלות בענף. עוד מסר המשרד כי הוא בוחן מפעם לפעם ומעדכן את מנגנון חלוקת הגפ"ם בהתאם למכלול השיקולים הנדרשים, לרבות לעניין תחרות.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b/>
          <w:bCs/>
          <w:rtl/>
        </w:rPr>
      </w:pPr>
      <w:r w:rsidRPr="006114CB">
        <w:rPr>
          <w:rFonts w:ascii="David" w:eastAsia="Calibri" w:hAnsi="David" w:hint="cs"/>
          <w:b/>
          <w:bCs/>
          <w:rtl/>
        </w:rPr>
        <w:t>הסיוע לספקים קטנים ולספקים חדשים אמור לקדם את התחרותיות בענף, ולפיכך מומלץ למשרד האנרגיה ולרשות התחרות לשקול להתאים את התקנות, כך שייתנו מענה ראוי לספקים אלה גם לאחר סגירת בז"ן.</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5"/>
        <w:rPr>
          <w:rFonts w:eastAsia="Times New Roman"/>
          <w:spacing w:val="40"/>
          <w:rtl/>
        </w:rPr>
      </w:pPr>
      <w:r w:rsidRPr="006114CB">
        <w:rPr>
          <w:rFonts w:eastAsia="Times New Roman" w:hint="cs"/>
          <w:spacing w:val="40"/>
          <w:rtl/>
        </w:rPr>
        <w:t>מחיר הגפ"ם המיובא</w:t>
      </w:r>
    </w:p>
    <w:p w:rsidR="006114CB" w:rsidRPr="006114CB" w:rsidP="002F4530">
      <w:pPr>
        <w:rPr>
          <w:rFonts w:eastAsia="Calibri"/>
          <w:rtl/>
        </w:rPr>
      </w:pPr>
    </w:p>
    <w:p w:rsidR="006114CB" w:rsidRPr="006114CB" w:rsidP="002F4530">
      <w:pPr>
        <w:spacing w:line="269" w:lineRule="auto"/>
        <w:rPr>
          <w:rFonts w:ascii="David" w:eastAsia="Calibri" w:hAnsi="David"/>
          <w:rtl/>
        </w:rPr>
      </w:pPr>
      <w:r w:rsidRPr="006114CB">
        <w:rPr>
          <w:rFonts w:ascii="David" w:eastAsia="Calibri" w:hAnsi="David" w:hint="cs"/>
          <w:rtl/>
        </w:rPr>
        <w:t>ה</w:t>
      </w:r>
      <w:r w:rsidRPr="006114CB">
        <w:rPr>
          <w:rFonts w:ascii="David" w:eastAsia="Calibri" w:hAnsi="David"/>
          <w:rtl/>
        </w:rPr>
        <w:t xml:space="preserve">מחיר </w:t>
      </w:r>
      <w:r w:rsidRPr="006114CB">
        <w:rPr>
          <w:rFonts w:ascii="David" w:eastAsia="Calibri" w:hAnsi="David" w:hint="cs"/>
          <w:rtl/>
        </w:rPr>
        <w:t>המרבי ל</w:t>
      </w:r>
      <w:r w:rsidRPr="006114CB">
        <w:rPr>
          <w:rFonts w:ascii="David" w:eastAsia="Calibri" w:hAnsi="David"/>
          <w:rtl/>
        </w:rPr>
        <w:t>גפ"ם בשער בית הזיקוק</w:t>
      </w:r>
      <w:r w:rsidRPr="006114CB">
        <w:rPr>
          <w:rFonts w:ascii="David" w:eastAsia="Calibri" w:hAnsi="David" w:hint="cs"/>
          <w:rtl/>
        </w:rPr>
        <w:t xml:space="preserve"> הוא מחיר מפוקח. </w:t>
      </w:r>
      <w:r w:rsidRPr="006114CB">
        <w:rPr>
          <w:rFonts w:ascii="David" w:eastAsia="Calibri" w:hAnsi="David"/>
          <w:rtl/>
        </w:rPr>
        <w:t>לפי צו הפיקוח על מצרכים ושירותים (מחיר מרבי לגפ"ם בשער בית הזיקוק), התש"ס-2000</w:t>
      </w:r>
      <w:r w:rsidRPr="006114CB">
        <w:rPr>
          <w:rFonts w:ascii="David" w:eastAsia="Calibri" w:hAnsi="David" w:hint="cs"/>
          <w:rtl/>
        </w:rPr>
        <w:t xml:space="preserve"> (להלן - צו הפיקוח)</w:t>
      </w:r>
      <w:r w:rsidRPr="006114CB">
        <w:rPr>
          <w:rFonts w:ascii="David" w:eastAsia="Calibri" w:hAnsi="David"/>
          <w:rtl/>
        </w:rPr>
        <w:t xml:space="preserve">, </w:t>
      </w:r>
      <w:r w:rsidRPr="006114CB">
        <w:rPr>
          <w:rFonts w:ascii="David" w:eastAsia="Calibri" w:hAnsi="David" w:hint="cs"/>
          <w:rtl/>
        </w:rPr>
        <w:t>ה</w:t>
      </w:r>
      <w:r w:rsidRPr="006114CB">
        <w:rPr>
          <w:rFonts w:ascii="David" w:eastAsia="Calibri" w:hAnsi="David"/>
          <w:rtl/>
        </w:rPr>
        <w:t xml:space="preserve">מחיר </w:t>
      </w:r>
      <w:r w:rsidRPr="006114CB">
        <w:rPr>
          <w:rFonts w:ascii="David" w:eastAsia="Calibri" w:hAnsi="David" w:hint="cs"/>
          <w:rtl/>
        </w:rPr>
        <w:t>המרבי ל</w:t>
      </w:r>
      <w:r w:rsidRPr="006114CB">
        <w:rPr>
          <w:rFonts w:ascii="David" w:eastAsia="Calibri" w:hAnsi="David"/>
          <w:rtl/>
        </w:rPr>
        <w:t>גפ"ם בשער בית הזיקוק</w:t>
      </w:r>
      <w:r w:rsidRPr="006114CB">
        <w:rPr>
          <w:rFonts w:ascii="David" w:eastAsia="Calibri" w:hAnsi="David" w:hint="cs"/>
          <w:rtl/>
        </w:rPr>
        <w:t xml:space="preserve"> בתקופת הקיץ הוא הסכום המתקבל מחיבור 70% ממחיר בוטאן ו-30% ממחיר פרופאן (להלן - המחיר הקובע)</w:t>
      </w:r>
      <w:r>
        <w:rPr>
          <w:rFonts w:ascii="David" w:eastAsia="Calibri" w:hAnsi="David"/>
          <w:vertAlign w:val="superscript"/>
          <w:rtl/>
        </w:rPr>
        <w:footnoteReference w:id="83"/>
      </w:r>
      <w:r w:rsidRPr="006114CB">
        <w:rPr>
          <w:rFonts w:ascii="David" w:eastAsia="Calibri" w:hAnsi="David" w:hint="cs"/>
          <w:rtl/>
        </w:rPr>
        <w:t>. המחיר הקובע יתעדכן בכל יום עדכון</w:t>
      </w:r>
      <w:r>
        <w:rPr>
          <w:rFonts w:ascii="David" w:eastAsia="Calibri" w:hAnsi="David"/>
          <w:vertAlign w:val="superscript"/>
          <w:rtl/>
        </w:rPr>
        <w:footnoteReference w:id="84"/>
      </w:r>
      <w:r w:rsidRPr="006114CB">
        <w:rPr>
          <w:rFonts w:ascii="David" w:eastAsia="Calibri" w:hAnsi="David" w:hint="cs"/>
          <w:rtl/>
        </w:rPr>
        <w:t xml:space="preserve"> על פי מחירי בוטאן</w:t>
      </w:r>
      <w:r>
        <w:rPr>
          <w:rFonts w:ascii="David" w:eastAsia="Calibri" w:hAnsi="David" w:hint="cs"/>
          <w:rtl/>
        </w:rPr>
        <w:t xml:space="preserve"> </w:t>
      </w:r>
      <w:r w:rsidRPr="006114CB">
        <w:rPr>
          <w:rFonts w:ascii="David" w:eastAsia="Calibri" w:hAnsi="David" w:hint="cs"/>
          <w:rtl/>
        </w:rPr>
        <w:t>ופרופאן בשיעורים ולפי תקופות כדלקמן: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jc w:val="center"/>
        <w:rPr>
          <w:rFonts w:ascii="David" w:eastAsia="Calibri" w:hAnsi="David"/>
          <w:b/>
          <w:bCs/>
          <w:rtl/>
        </w:rPr>
      </w:pPr>
      <w:r w:rsidRPr="006114CB">
        <w:rPr>
          <w:rFonts w:ascii="David" w:eastAsia="Calibri" w:hAnsi="David" w:hint="eastAsia"/>
          <w:rtl/>
        </w:rPr>
        <w:t>לוח</w:t>
      </w:r>
      <w:r w:rsidRPr="006114CB">
        <w:rPr>
          <w:rFonts w:ascii="David" w:eastAsia="Calibri" w:hAnsi="David"/>
          <w:rtl/>
        </w:rPr>
        <w:t xml:space="preserve"> 1:</w:t>
      </w:r>
      <w:r w:rsidRPr="006114CB">
        <w:rPr>
          <w:rFonts w:ascii="David" w:eastAsia="Calibri" w:hAnsi="David" w:hint="cs"/>
          <w:b/>
          <w:bCs/>
          <w:rtl/>
        </w:rPr>
        <w:t xml:space="preserve"> המחיר הקובע של גפ"ם לפי שיעורי בוטאן ופרופאן</w:t>
      </w:r>
    </w:p>
    <w:tbl>
      <w:tblPr>
        <w:tblStyle w:val="TableGrid"/>
        <w:bidiVisual/>
        <w:tblW w:w="0" w:type="auto"/>
        <w:tblLook w:val="04A0"/>
      </w:tblPr>
      <w:tblGrid>
        <w:gridCol w:w="2736"/>
        <w:gridCol w:w="2737"/>
        <w:gridCol w:w="2737"/>
      </w:tblGrid>
      <w:tr w:rsidTr="006114CB">
        <w:tblPrEx>
          <w:tblW w:w="0" w:type="auto"/>
          <w:tblLook w:val="04A0"/>
        </w:tblPrEx>
        <w:tc>
          <w:tcPr>
            <w:tcW w:w="2737" w:type="dxa"/>
          </w:tcPr>
          <w:p w:rsidR="006114CB" w:rsidRPr="006114CB" w:rsidP="002F4530">
            <w:pPr>
              <w:spacing w:line="269" w:lineRule="auto"/>
              <w:rPr>
                <w:rFonts w:eastAsia="Calibri"/>
                <w:sz w:val="22"/>
                <w:szCs w:val="22"/>
                <w:rtl/>
              </w:rPr>
            </w:pPr>
          </w:p>
        </w:tc>
        <w:tc>
          <w:tcPr>
            <w:tcW w:w="2737" w:type="dxa"/>
          </w:tcPr>
          <w:p w:rsidR="006114CB" w:rsidRPr="006114CB" w:rsidP="002F4530">
            <w:pPr>
              <w:spacing w:line="269" w:lineRule="auto"/>
              <w:jc w:val="center"/>
              <w:rPr>
                <w:rFonts w:eastAsia="Calibri"/>
                <w:bCs/>
                <w:sz w:val="22"/>
                <w:szCs w:val="22"/>
                <w:rtl/>
              </w:rPr>
            </w:pPr>
            <w:r w:rsidRPr="006114CB">
              <w:rPr>
                <w:rFonts w:eastAsia="Calibri" w:hint="cs"/>
                <w:bCs/>
                <w:sz w:val="22"/>
                <w:szCs w:val="22"/>
                <w:rtl/>
              </w:rPr>
              <w:t>אחוז הבוטאן במחיר הקובע</w:t>
            </w:r>
          </w:p>
        </w:tc>
        <w:tc>
          <w:tcPr>
            <w:tcW w:w="2737" w:type="dxa"/>
          </w:tcPr>
          <w:p w:rsidR="006114CB" w:rsidRPr="006114CB" w:rsidP="002F4530">
            <w:pPr>
              <w:spacing w:line="269" w:lineRule="auto"/>
              <w:jc w:val="center"/>
              <w:rPr>
                <w:rFonts w:eastAsia="Calibri"/>
                <w:bCs/>
                <w:sz w:val="22"/>
                <w:szCs w:val="22"/>
                <w:rtl/>
              </w:rPr>
            </w:pPr>
            <w:r w:rsidRPr="006114CB">
              <w:rPr>
                <w:rFonts w:eastAsia="Calibri" w:hint="cs"/>
                <w:bCs/>
                <w:sz w:val="22"/>
                <w:szCs w:val="22"/>
                <w:rtl/>
              </w:rPr>
              <w:t>אחוז הפרופאן במחיר הקובע</w:t>
            </w:r>
          </w:p>
        </w:tc>
      </w:tr>
      <w:tr w:rsidTr="006114CB">
        <w:tblPrEx>
          <w:tblW w:w="0" w:type="auto"/>
          <w:tblLook w:val="04A0"/>
        </w:tblPrEx>
        <w:tc>
          <w:tcPr>
            <w:tcW w:w="2737" w:type="dxa"/>
          </w:tcPr>
          <w:p w:rsidR="006114CB" w:rsidRPr="006114CB" w:rsidP="002F4530">
            <w:pPr>
              <w:spacing w:line="269" w:lineRule="auto"/>
              <w:jc w:val="center"/>
              <w:rPr>
                <w:rFonts w:eastAsia="Calibri"/>
                <w:bCs/>
                <w:sz w:val="22"/>
                <w:szCs w:val="22"/>
                <w:rtl/>
              </w:rPr>
            </w:pPr>
            <w:r w:rsidRPr="006114CB">
              <w:rPr>
                <w:rFonts w:eastAsia="Calibri" w:hint="cs"/>
                <w:bCs/>
                <w:sz w:val="22"/>
                <w:szCs w:val="22"/>
                <w:rtl/>
              </w:rPr>
              <w:t>בתקופת הקיץ*</w:t>
            </w:r>
          </w:p>
        </w:tc>
        <w:tc>
          <w:tcPr>
            <w:tcW w:w="2737" w:type="dxa"/>
          </w:tcPr>
          <w:p w:rsidR="006114CB" w:rsidRPr="006114CB" w:rsidP="002F4530">
            <w:pPr>
              <w:spacing w:line="269" w:lineRule="auto"/>
              <w:rPr>
                <w:rFonts w:eastAsia="Calibri"/>
                <w:sz w:val="22"/>
                <w:szCs w:val="22"/>
                <w:rtl/>
              </w:rPr>
            </w:pPr>
            <w:r w:rsidRPr="006114CB">
              <w:rPr>
                <w:rFonts w:eastAsia="Calibri" w:hint="cs"/>
                <w:sz w:val="22"/>
                <w:szCs w:val="22"/>
                <w:rtl/>
              </w:rPr>
              <w:t>70</w:t>
            </w:r>
          </w:p>
        </w:tc>
        <w:tc>
          <w:tcPr>
            <w:tcW w:w="2737" w:type="dxa"/>
          </w:tcPr>
          <w:p w:rsidR="006114CB" w:rsidRPr="006114CB" w:rsidP="002F4530">
            <w:pPr>
              <w:spacing w:line="269" w:lineRule="auto"/>
              <w:rPr>
                <w:rFonts w:eastAsia="Calibri"/>
                <w:sz w:val="22"/>
                <w:szCs w:val="22"/>
                <w:rtl/>
              </w:rPr>
            </w:pPr>
            <w:r w:rsidRPr="006114CB">
              <w:rPr>
                <w:rFonts w:eastAsia="Calibri" w:hint="cs"/>
                <w:sz w:val="22"/>
                <w:szCs w:val="22"/>
                <w:rtl/>
              </w:rPr>
              <w:t>30</w:t>
            </w:r>
          </w:p>
        </w:tc>
      </w:tr>
      <w:tr w:rsidTr="006114CB">
        <w:tblPrEx>
          <w:tblW w:w="0" w:type="auto"/>
          <w:tblLook w:val="04A0"/>
        </w:tblPrEx>
        <w:tc>
          <w:tcPr>
            <w:tcW w:w="2737" w:type="dxa"/>
          </w:tcPr>
          <w:p w:rsidR="006114CB" w:rsidRPr="006114CB" w:rsidP="002F4530">
            <w:pPr>
              <w:spacing w:line="269" w:lineRule="auto"/>
              <w:jc w:val="center"/>
              <w:rPr>
                <w:rFonts w:eastAsia="Calibri"/>
                <w:bCs/>
                <w:sz w:val="22"/>
                <w:szCs w:val="22"/>
                <w:rtl/>
              </w:rPr>
            </w:pPr>
            <w:r w:rsidRPr="006114CB">
              <w:rPr>
                <w:rFonts w:eastAsia="Calibri" w:hint="cs"/>
                <w:bCs/>
                <w:sz w:val="22"/>
                <w:szCs w:val="22"/>
                <w:rtl/>
              </w:rPr>
              <w:t>בתקופת החורף**</w:t>
            </w:r>
          </w:p>
        </w:tc>
        <w:tc>
          <w:tcPr>
            <w:tcW w:w="2737" w:type="dxa"/>
          </w:tcPr>
          <w:p w:rsidR="006114CB" w:rsidRPr="006114CB" w:rsidP="002F4530">
            <w:pPr>
              <w:spacing w:line="269" w:lineRule="auto"/>
              <w:rPr>
                <w:rFonts w:eastAsia="Calibri"/>
                <w:sz w:val="22"/>
                <w:szCs w:val="22"/>
                <w:rtl/>
              </w:rPr>
            </w:pPr>
            <w:r w:rsidRPr="006114CB">
              <w:rPr>
                <w:rFonts w:eastAsia="Calibri" w:hint="cs"/>
                <w:sz w:val="22"/>
                <w:szCs w:val="22"/>
                <w:rtl/>
              </w:rPr>
              <w:t>60</w:t>
            </w:r>
          </w:p>
        </w:tc>
        <w:tc>
          <w:tcPr>
            <w:tcW w:w="2737" w:type="dxa"/>
          </w:tcPr>
          <w:p w:rsidR="006114CB" w:rsidRPr="006114CB" w:rsidP="002F4530">
            <w:pPr>
              <w:spacing w:line="269" w:lineRule="auto"/>
              <w:rPr>
                <w:rFonts w:eastAsia="Calibri"/>
                <w:sz w:val="22"/>
                <w:szCs w:val="22"/>
                <w:rtl/>
              </w:rPr>
            </w:pPr>
            <w:r w:rsidRPr="006114CB">
              <w:rPr>
                <w:rFonts w:eastAsia="Calibri" w:hint="cs"/>
                <w:sz w:val="22"/>
                <w:szCs w:val="22"/>
                <w:rtl/>
              </w:rPr>
              <w:t>40</w:t>
            </w:r>
          </w:p>
        </w:tc>
      </w:tr>
    </w:tbl>
    <w:p w:rsidR="006114CB" w:rsidRPr="006114CB" w:rsidP="002F4530">
      <w:pPr>
        <w:spacing w:line="269" w:lineRule="auto"/>
        <w:rPr>
          <w:rFonts w:ascii="David" w:eastAsia="Calibri" w:hAnsi="David"/>
          <w:szCs w:val="20"/>
          <w:rtl/>
        </w:rPr>
      </w:pPr>
      <w:r w:rsidRPr="006114CB">
        <w:rPr>
          <w:rFonts w:ascii="David" w:eastAsia="Calibri" w:hAnsi="David" w:hint="eastAsia"/>
          <w:szCs w:val="20"/>
          <w:rtl/>
        </w:rPr>
        <w:t>המקור</w:t>
      </w:r>
      <w:r w:rsidRPr="006114CB">
        <w:rPr>
          <w:rFonts w:ascii="David" w:eastAsia="Calibri" w:hAnsi="David"/>
          <w:szCs w:val="20"/>
          <w:rtl/>
        </w:rPr>
        <w:t>: צו הפיקוח.</w:t>
      </w:r>
    </w:p>
    <w:p w:rsidR="006114CB" w:rsidRPr="006114CB" w:rsidP="002F4530">
      <w:pPr>
        <w:spacing w:line="269" w:lineRule="auto"/>
        <w:rPr>
          <w:rFonts w:ascii="David" w:eastAsia="Calibri" w:hAnsi="David"/>
          <w:szCs w:val="20"/>
          <w:rtl/>
        </w:rPr>
      </w:pPr>
      <w:r w:rsidRPr="006114CB">
        <w:rPr>
          <w:rFonts w:ascii="David" w:eastAsia="Calibri" w:hAnsi="David"/>
          <w:szCs w:val="20"/>
          <w:rtl/>
        </w:rPr>
        <w:t xml:space="preserve">* </w:t>
      </w:r>
      <w:r w:rsidRPr="006114CB">
        <w:rPr>
          <w:rFonts w:eastAsia="Calibri" w:hint="eastAsia"/>
          <w:szCs w:val="20"/>
          <w:rtl/>
        </w:rPr>
        <w:t>מ</w:t>
      </w:r>
      <w:r w:rsidRPr="006114CB">
        <w:rPr>
          <w:rFonts w:eastAsia="Calibri"/>
          <w:szCs w:val="20"/>
          <w:rtl/>
        </w:rPr>
        <w:t>-1.4 עד 31.10 כל שנה.</w:t>
      </w:r>
    </w:p>
    <w:p w:rsidR="006114CB" w:rsidRPr="006114CB" w:rsidP="002F4530">
      <w:pPr>
        <w:spacing w:line="269" w:lineRule="auto"/>
        <w:rPr>
          <w:rFonts w:ascii="David" w:eastAsia="Calibri" w:hAnsi="David"/>
          <w:szCs w:val="20"/>
          <w:rtl/>
        </w:rPr>
      </w:pPr>
      <w:r w:rsidRPr="006114CB">
        <w:rPr>
          <w:rFonts w:ascii="David" w:eastAsia="Calibri" w:hAnsi="David"/>
          <w:szCs w:val="20"/>
          <w:rtl/>
        </w:rPr>
        <w:t xml:space="preserve">** </w:t>
      </w:r>
      <w:r w:rsidRPr="006114CB">
        <w:rPr>
          <w:rFonts w:ascii="David" w:eastAsia="Calibri" w:hAnsi="David" w:hint="cs"/>
          <w:szCs w:val="20"/>
          <w:rtl/>
        </w:rPr>
        <w:t>מ-1.11 עד 31.3 כל שנה.</w:t>
      </w:r>
    </w:p>
    <w:p w:rsidR="002667BB" w:rsidP="002F4530">
      <w:pPr>
        <w:spacing w:line="269" w:lineRule="auto"/>
        <w:rPr>
          <w:rFonts w:ascii="David" w:eastAsia="Calibri" w:hAnsi="David"/>
          <w:rtl/>
        </w:rPr>
      </w:pPr>
    </w:p>
    <w:p w:rsidR="006114CB" w:rsidRPr="006114CB" w:rsidP="002F4530">
      <w:pPr>
        <w:spacing w:line="269" w:lineRule="auto"/>
        <w:rPr>
          <w:rFonts w:ascii="David" w:eastAsia="Calibri" w:hAnsi="David"/>
          <w:rtl/>
        </w:rPr>
      </w:pPr>
      <w:r w:rsidRPr="006114CB">
        <w:rPr>
          <w:rFonts w:ascii="David" w:eastAsia="Calibri" w:hAnsi="David"/>
          <w:rtl/>
        </w:rPr>
        <w:t>לגפ"ם מיובא מתווספות עלויות הובלה</w:t>
      </w:r>
      <w:r w:rsidRPr="006114CB">
        <w:rPr>
          <w:rFonts w:ascii="David" w:eastAsia="Calibri" w:hAnsi="David" w:hint="cs"/>
          <w:rtl/>
        </w:rPr>
        <w:t>,</w:t>
      </w:r>
      <w:r w:rsidRPr="006114CB">
        <w:rPr>
          <w:rFonts w:ascii="David" w:eastAsia="Calibri" w:hAnsi="David"/>
          <w:rtl/>
        </w:rPr>
        <w:t xml:space="preserve"> דמי ניטול</w:t>
      </w:r>
      <w:r>
        <w:rPr>
          <w:rFonts w:ascii="David" w:eastAsia="Calibri" w:hAnsi="David"/>
          <w:vertAlign w:val="superscript"/>
          <w:rtl/>
        </w:rPr>
        <w:footnoteReference w:id="85"/>
      </w:r>
      <w:r w:rsidRPr="006114CB">
        <w:rPr>
          <w:rFonts w:ascii="David" w:eastAsia="Calibri" w:hAnsi="David"/>
          <w:rtl/>
        </w:rPr>
        <w:t>, עמיל מכס, עלות בודק כמויות באוני</w:t>
      </w:r>
      <w:r w:rsidRPr="006114CB">
        <w:rPr>
          <w:rFonts w:ascii="David" w:eastAsia="Calibri" w:hAnsi="David" w:hint="cs"/>
          <w:rtl/>
        </w:rPr>
        <w:t>י</w:t>
      </w:r>
      <w:r w:rsidRPr="006114CB">
        <w:rPr>
          <w:rFonts w:ascii="David" w:eastAsia="Calibri" w:hAnsi="David"/>
          <w:rtl/>
        </w:rPr>
        <w:t>ה, דמי שהייה</w:t>
      </w:r>
      <w:r>
        <w:rPr>
          <w:rFonts w:ascii="David" w:eastAsia="Calibri" w:hAnsi="David"/>
          <w:vertAlign w:val="superscript"/>
          <w:rtl/>
        </w:rPr>
        <w:footnoteReference w:id="86"/>
      </w:r>
      <w:r w:rsidRPr="006114CB">
        <w:rPr>
          <w:rFonts w:ascii="David" w:eastAsia="Calibri" w:hAnsi="David"/>
          <w:rtl/>
        </w:rPr>
        <w:t xml:space="preserve">, ביטוח סיכוני מלחמה </w:t>
      </w:r>
      <w:r w:rsidRPr="006114CB">
        <w:rPr>
          <w:rFonts w:ascii="David" w:eastAsia="Calibri" w:hAnsi="David" w:hint="cs"/>
          <w:rtl/>
        </w:rPr>
        <w:t>ו</w:t>
      </w:r>
      <w:r w:rsidRPr="006114CB">
        <w:rPr>
          <w:rFonts w:ascii="David" w:eastAsia="Calibri" w:hAnsi="David"/>
          <w:rtl/>
        </w:rPr>
        <w:t xml:space="preserve">עלויות אחסון. </w:t>
      </w:r>
      <w:r w:rsidRPr="006114CB">
        <w:rPr>
          <w:rFonts w:ascii="David" w:eastAsia="Calibri" w:hAnsi="David" w:hint="cs"/>
          <w:rtl/>
        </w:rPr>
        <w:t>לפי צו הפיקוח,</w:t>
      </w:r>
      <w:r w:rsidRPr="006114CB">
        <w:rPr>
          <w:rFonts w:ascii="David" w:eastAsia="Calibri" w:hAnsi="David"/>
          <w:rtl/>
        </w:rPr>
        <w:t xml:space="preserve"> מחיר היבוא </w:t>
      </w:r>
      <w:r w:rsidRPr="006114CB">
        <w:rPr>
          <w:rFonts w:ascii="David" w:eastAsia="Calibri" w:hAnsi="David" w:hint="cs"/>
          <w:rtl/>
        </w:rPr>
        <w:t>הוא המחיר הקובע בתוספת 60 דולר לטונה, מחושב בש"ח</w:t>
      </w:r>
      <w:r w:rsidRPr="006114CB">
        <w:rPr>
          <w:rFonts w:ascii="David" w:eastAsia="Calibri" w:hAnsi="David"/>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bookmarkStart w:id="26" w:name="_Hlk212458270"/>
      <w:r w:rsidRPr="006114CB">
        <w:rPr>
          <w:rFonts w:ascii="David" w:eastAsia="Calibri" w:hAnsi="David" w:hint="cs"/>
          <w:rtl/>
        </w:rPr>
        <w:t>לפי דוח מקינזי מ-2018</w:t>
      </w:r>
      <w:r>
        <w:rPr>
          <w:rFonts w:ascii="David" w:eastAsia="Calibri" w:hAnsi="David"/>
          <w:vertAlign w:val="superscript"/>
          <w:rtl/>
        </w:rPr>
        <w:footnoteReference w:id="87"/>
      </w:r>
      <w:r w:rsidRPr="006114CB">
        <w:rPr>
          <w:rFonts w:ascii="David" w:eastAsia="Calibri" w:hAnsi="David" w:hint="cs"/>
          <w:rtl/>
        </w:rPr>
        <w:t>, לאחר סגירתו של בז"ן, כאשר מרבית הצריכה תגיע מיבוא, תהיה תוספת של כ-210 ש"ח לעלות של טונה גפ"ם (בעיקר בגין עלויות פריקה ואחסון), דהיינו תוספת של כ-30 ש"ח למשק בית לשנה - עלייה של כ-5% במחיר הגפ"ם לצרכן.</w:t>
      </w:r>
      <w:bookmarkEnd w:id="26"/>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לפי העבודה האסטרטגית בנושא עתיד משק הדלק הישראלי מ-2024</w:t>
      </w:r>
      <w:r>
        <w:rPr>
          <w:rFonts w:ascii="David" w:eastAsia="Calibri" w:hAnsi="David"/>
          <w:vertAlign w:val="superscript"/>
          <w:rtl/>
        </w:rPr>
        <w:footnoteReference w:id="88"/>
      </w:r>
      <w:r w:rsidRPr="006114CB">
        <w:rPr>
          <w:rFonts w:ascii="David" w:eastAsia="Calibri" w:hAnsi="David" w:hint="cs"/>
          <w:rtl/>
        </w:rPr>
        <w:t>, העלויות הנוספות הכרוכות בגפ"ם מיובא עשויות להסתכם בכ-200 - 300 ש"ח לטונה</w:t>
      </w:r>
      <w:r>
        <w:rPr>
          <w:rFonts w:ascii="David" w:eastAsia="Calibri" w:hAnsi="David"/>
          <w:vertAlign w:val="superscript"/>
          <w:rtl/>
        </w:rPr>
        <w:footnoteReference w:id="89"/>
      </w:r>
      <w:r w:rsidRPr="006114CB">
        <w:rPr>
          <w:rFonts w:ascii="David" w:eastAsia="Calibri" w:hAnsi="David" w:hint="cs"/>
          <w:rtl/>
        </w:rPr>
        <w:t>. מעבר ליבוא יצריך היערכות (נגישות לאחסון, למשל) והוצאות נוספות מספקי הגז. עם זאת, צוין בעבודה כי ייתכן שחלק מהעלות תקוזז עם התגברות התחרות בענף וירידת מרווח השיווק</w:t>
      </w:r>
      <w:bookmarkStart w:id="27" w:name="_Hlk212471007"/>
      <w:r w:rsidRPr="006114CB">
        <w:rPr>
          <w:rFonts w:ascii="David" w:eastAsia="Calibri" w:hAnsi="David" w:hint="cs"/>
          <w:rtl/>
        </w:rPr>
        <w:t>. הגידול ביבוא הגפ"ם לאחר סגירתו של בז"ן אינו צפוי להוביל לעליית מחיר מהותית, אלא לכל היותר להקטנת שיעור הרווח של ספקי הגז</w:t>
      </w:r>
      <w:bookmarkEnd w:id="27"/>
      <w:r w:rsidRPr="006114CB">
        <w:rPr>
          <w:rFonts w:ascii="David" w:eastAsia="Calibri" w:hAnsi="David" w:hint="cs"/>
          <w:rtl/>
        </w:rPr>
        <w:t>, בעיקר בשל הרגישות הנמוכה של המחיר הקמעונאי למחירי היבוא.</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אג״ת מסר לצוות הביקורת ביולי 2025 כי לאחר סגירתו של בז"ן צפוי מחירו של הגפ"ם המיובא לעלות. אג"ת מסר כי במצב כזה יהיה נכון, לדעתו, לרכז את רכישת הגפ"ם באמצעות גוף אחד, שתהיה לו יכולת לשאת ולתת מול הטריידר ולהשיג מחירים אטרקטיביים, והוא אף יוכל לעניין ספקים פוטנציאליים נוספים ביבוא גפ"ם לישראל. במועד סיום הביקורת ציין אג״ת כי הנושא טרם נבחן.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 xml:space="preserve">לאחר סגירתו של בז"ן, </w:t>
      </w:r>
      <w:r w:rsidRPr="006114CB">
        <w:rPr>
          <w:rFonts w:ascii="David" w:eastAsia="Calibri" w:hAnsi="David" w:hint="cs"/>
          <w:b/>
          <w:bCs/>
          <w:rtl/>
        </w:rPr>
        <w:t>כאשר מרבית הצריכה (למעלה מ-80%) תגיע מיבוא,</w:t>
      </w:r>
      <w:r w:rsidRPr="006114CB">
        <w:rPr>
          <w:rFonts w:eastAsia="Calibri" w:hint="cs"/>
          <w:b/>
          <w:bCs/>
          <w:rtl/>
        </w:rPr>
        <w:t xml:space="preserve"> צפוי מחיר הגפ"ם לעלות בכ-60 דולר לטונה. נמצא כי במועד סיום הביקורת טרם נדרשו אג"ת, משרד האנרגיה ורשות התחרות לסוגיית מחיר הגפ"ם המיובא ולהשלכותיו על המשק</w:t>
      </w:r>
      <w:r>
        <w:rPr>
          <w:rFonts w:eastAsia="Calibri"/>
          <w:b/>
          <w:bCs/>
          <w:vertAlign w:val="superscript"/>
          <w:rtl/>
        </w:rPr>
        <w:footnoteReference w:id="90"/>
      </w:r>
      <w:r w:rsidRPr="006114CB">
        <w:rPr>
          <w:rFonts w:eastAsia="Calibri" w:hint="cs"/>
          <w:b/>
          <w:b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rtl/>
        </w:rPr>
        <w:t>בתשובתו למשרד מבקר המדינה ממאי 2026 מסר בז"ן כי מחיר גפ"ם מייצור מקומי נמוך משמעותית ממחיר גפ"ם מיובא. הפסקת ייצור גפ"ם בבז"ן צפויה להביא למזעור עד העלמה של התחרות לגפ"ם מיובא, ובכך לגרום לעליית מחירים ולתוספת עלות גבוהה הרבה יותר.</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מומלץ לאג"ת במשרד האוצר, משרד האנרגיה ורשות התחרות לבחון את סוגיית מחיר הגפ"ם שייובא לאחר סגירת בז"ן והשלכותיו על המשק, ולגבש פתרונות לסוגיה.</w:t>
      </w:r>
    </w:p>
    <w:p w:rsidR="006114CB" w:rsidRPr="006114CB" w:rsidP="002F4530">
      <w:pPr>
        <w:keepNext/>
        <w:keepLines/>
        <w:spacing w:line="269" w:lineRule="auto"/>
        <w:ind w:left="-567"/>
        <w:rPr>
          <w:rFonts w:eastAsia="Calibri"/>
          <w:szCs w:val="20"/>
          <w:rtl/>
        </w:rPr>
      </w:pPr>
    </w:p>
    <w:p w:rsidR="006114CB" w:rsidP="002F4530">
      <w:pPr>
        <w:keepNext/>
        <w:keepLines/>
        <w:spacing w:line="269" w:lineRule="auto"/>
        <w:outlineLvl w:val="5"/>
        <w:rPr>
          <w:rFonts w:eastAsia="Times New Roman"/>
          <w:spacing w:val="40"/>
          <w:rtl/>
        </w:rPr>
      </w:pPr>
      <w:r w:rsidRPr="006114CB">
        <w:rPr>
          <w:rFonts w:eastAsia="Times New Roman" w:hint="cs"/>
          <w:spacing w:val="40"/>
          <w:rtl/>
        </w:rPr>
        <w:t>תשתיות ליבוא</w:t>
      </w:r>
    </w:p>
    <w:p w:rsidR="006114CB" w:rsidRPr="006114CB" w:rsidP="002F4530">
      <w:pPr>
        <w:keepNext/>
        <w:keepLines/>
        <w:spacing w:line="269" w:lineRule="auto"/>
        <w:outlineLvl w:val="5"/>
        <w:rPr>
          <w:rFonts w:eastAsia="Times New Roman"/>
          <w:spacing w:val="40"/>
          <w:rtl/>
        </w:rPr>
      </w:pPr>
    </w:p>
    <w:p w:rsidR="006114CB" w:rsidRPr="006114CB" w:rsidP="002F4530">
      <w:pPr>
        <w:spacing w:line="269" w:lineRule="auto"/>
        <w:rPr>
          <w:rFonts w:eastAsia="Calibri"/>
          <w:rtl/>
        </w:rPr>
      </w:pPr>
      <w:r w:rsidRPr="006114CB">
        <w:rPr>
          <w:rFonts w:eastAsia="Calibri" w:hint="cs"/>
          <w:rtl/>
        </w:rPr>
        <w:t>יבוא הגפ"ם כיום נעשה באמצעות מקשר ימי יחיד ונמל יבוא יחיד הנתון למגבלות. לאחר סגירתו של בז"ן והכפלת כמות הגפ"ם המיובא יגבר ביתר שאת הצורך בתשתית מתאימה ליבוא.</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תשתיות יבוא הן מקשר ימי או נמל, צנרת הולכה ואתרי אחסון לגפ"ם. תשתיות אלו צריכות להיות מוכנות עד לסגירתו של בז"ן, כדי להבטיח את רציפות אספקת הגפ"ם</w:t>
      </w:r>
      <w:r>
        <w:rPr>
          <w:rFonts w:ascii="David" w:eastAsia="Calibri" w:hAnsi="David"/>
          <w:vertAlign w:val="superscript"/>
          <w:rtl/>
        </w:rPr>
        <w:footnoteReference w:id="91"/>
      </w:r>
      <w:r w:rsidRPr="006114CB">
        <w:rPr>
          <w:rFonts w:ascii="David" w:eastAsia="Calibri" w:hAnsi="David" w:hint="cs"/>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אחת ההשלכות של החלטת הממשלה 1231 מ-2022 היא הכפלת כמות הגפ"ם המיובא, דבר שיגביר ביתר שאת את הצורך בתשתית מתאימה ליבוא. כפי שיפורט בהמשך</w:t>
      </w:r>
      <w:r>
        <w:rPr>
          <w:rFonts w:eastAsia="Calibri"/>
          <w:b/>
          <w:bCs/>
          <w:vertAlign w:val="superscript"/>
          <w:rtl/>
        </w:rPr>
        <w:footnoteReference w:id="92"/>
      </w:r>
      <w:r w:rsidRPr="006114CB">
        <w:rPr>
          <w:rFonts w:eastAsia="Calibri" w:hint="cs"/>
          <w:b/>
          <w:bCs/>
          <w:rtl/>
        </w:rPr>
        <w:t xml:space="preserve">, עד מועד סיום הביקורת המועצה הלאומית לכלכלה, משרד האוצר, משרד האנרגיה ומשרד התחבורה </w:t>
      </w:r>
      <w:r w:rsidRPr="006114CB">
        <w:rPr>
          <w:rFonts w:eastAsia="Calibri" w:hint="eastAsia"/>
          <w:b/>
          <w:bCs/>
          <w:rtl/>
        </w:rPr>
        <w:t>לא</w:t>
      </w:r>
      <w:r w:rsidRPr="006114CB">
        <w:rPr>
          <w:rFonts w:eastAsia="Calibri"/>
          <w:b/>
          <w:bCs/>
          <w:rtl/>
        </w:rPr>
        <w:t xml:space="preserve"> </w:t>
      </w:r>
      <w:r w:rsidRPr="006114CB">
        <w:rPr>
          <w:rFonts w:eastAsia="Calibri" w:hint="cs"/>
          <w:b/>
          <w:bCs/>
          <w:rtl/>
        </w:rPr>
        <w:t xml:space="preserve">השלימו </w:t>
      </w:r>
      <w:r w:rsidRPr="006114CB">
        <w:rPr>
          <w:rFonts w:eastAsia="Calibri" w:hint="eastAsia"/>
          <w:b/>
          <w:bCs/>
          <w:rtl/>
        </w:rPr>
        <w:t>באופן</w:t>
      </w:r>
      <w:r w:rsidRPr="006114CB">
        <w:rPr>
          <w:rFonts w:eastAsia="Calibri"/>
          <w:b/>
          <w:bCs/>
          <w:rtl/>
        </w:rPr>
        <w:t xml:space="preserve"> </w:t>
      </w:r>
      <w:r w:rsidRPr="006114CB">
        <w:rPr>
          <w:rFonts w:eastAsia="Calibri" w:hint="eastAsia"/>
          <w:b/>
          <w:bCs/>
          <w:rtl/>
        </w:rPr>
        <w:t>מספק</w:t>
      </w:r>
      <w:r w:rsidRPr="006114CB">
        <w:rPr>
          <w:rFonts w:eastAsia="Calibri"/>
          <w:b/>
          <w:bCs/>
          <w:rtl/>
        </w:rPr>
        <w:t xml:space="preserve"> את</w:t>
      </w:r>
      <w:r w:rsidRPr="006114CB">
        <w:rPr>
          <w:rFonts w:eastAsia="Calibri" w:hint="cs"/>
          <w:b/>
          <w:bCs/>
          <w:rtl/>
        </w:rPr>
        <w:t xml:space="preserve"> </w:t>
      </w:r>
      <w:r w:rsidRPr="006114CB">
        <w:rPr>
          <w:rFonts w:eastAsia="Calibri"/>
          <w:b/>
          <w:bCs/>
          <w:rtl/>
        </w:rPr>
        <w:t>קיד</w:t>
      </w:r>
      <w:r w:rsidRPr="006114CB">
        <w:rPr>
          <w:rFonts w:eastAsia="Calibri" w:hint="cs"/>
          <w:b/>
          <w:bCs/>
          <w:rtl/>
        </w:rPr>
        <w:t>ום</w:t>
      </w:r>
      <w:r w:rsidRPr="006114CB">
        <w:rPr>
          <w:rFonts w:eastAsia="Calibri" w:hint="cs"/>
          <w:b/>
          <w:bCs/>
          <w:rtl/>
        </w:rPr>
        <w:t xml:space="preserve"> </w:t>
      </w:r>
      <w:r w:rsidRPr="006114CB">
        <w:rPr>
          <w:rFonts w:eastAsia="Calibri" w:hint="cs"/>
          <w:b/>
          <w:bCs/>
          <w:rtl/>
        </w:rPr>
        <w:t>הקמת התשתיות הנדרשות למעבר של משק הגפ"ם למשק מוטה יבוא.</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eastAsia="Calibri" w:hint="cs"/>
          <w:b/>
          <w:bCs/>
          <w:rtl/>
        </w:rPr>
        <w:t>על המועצה הלאומית לכלכלה, האמונה על יישום ההחלטה, משרד האוצר, משרד האנרגיה ומשרד התחבורה לקדם את הקמת התשתיות הנדרשות למעבר של משק הגפ"ם למשק מוטה יבוא.</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בתשובתה למשרד מבקר המדינה מאפריל 2026 מסרה רשות התחרות כי היא פועלת בתיאום עם כמה גורמים ממשלתיים כדי לקדם הקמת תשתיות ייבוא לקראת סגירת בז"ן והפיכת משק האנרגיה בכלל, ומשק הגפ"ם בפרט, למוטי ייבוא.</w:t>
      </w:r>
    </w:p>
    <w:p w:rsidR="006114CB" w:rsidRPr="006114CB" w:rsidP="002F4530">
      <w:pPr>
        <w:keepNext/>
        <w:keepLines/>
        <w:spacing w:line="269" w:lineRule="auto"/>
        <w:ind w:left="-567"/>
        <w:rPr>
          <w:rFonts w:eastAsia="Calibri"/>
          <w:szCs w:val="20"/>
          <w:rtl/>
        </w:rPr>
      </w:pPr>
    </w:p>
    <w:p w:rsidR="006114CB" w:rsidP="002F4530">
      <w:pPr>
        <w:spacing w:line="269" w:lineRule="auto"/>
        <w:rPr>
          <w:rFonts w:eastAsia="Calibri"/>
          <w:b/>
          <w:bCs/>
          <w:rtl/>
        </w:rPr>
      </w:pPr>
      <w:r w:rsidRPr="006114CB">
        <w:rPr>
          <w:rFonts w:eastAsia="Calibri" w:hint="cs"/>
          <w:b/>
          <w:bCs/>
          <w:rtl/>
        </w:rPr>
        <w:t>על גופים אלה לשלב ידיים ולהיערך לסגירתו של בז"ן, ובכלל זה להכין תוכנית ליבוא גפ"ם בכמות כפולה מזו המיובאת כיום, לבחון את סוגיית הסיוע ביבוא לספקי הגפ"ם, בעיקר לקטנים שבהם, ולסוגיית מחיר הגפ"ם המיובא והשלכותיו על המשק, ולקדם את הקמת תשתיות היבוא הנדרשות בהתאם להחלטת הממשלה 1231.</w:t>
      </w:r>
    </w:p>
    <w:p w:rsidR="00897977" w:rsidRPr="006114CB" w:rsidP="002F4530">
      <w:pPr>
        <w:spacing w:line="269" w:lineRule="auto"/>
        <w:rPr>
          <w:rFonts w:eastAsia="Calibri"/>
          <w:b/>
          <w:bCs/>
          <w:rtl/>
        </w:rPr>
      </w:pPr>
    </w:p>
    <w:p w:rsidR="006114CB" w:rsidRPr="006114CB" w:rsidP="002F4530">
      <w:pPr>
        <w:spacing w:line="269" w:lineRule="auto"/>
        <w:jc w:val="center"/>
        <w:rPr>
          <w:rFonts w:ascii="Arial" w:eastAsia="Calibri" w:hAnsi="Arial" w:cs="Arial"/>
          <w:b/>
          <w:bCs/>
          <w:sz w:val="36"/>
          <w:rtl/>
        </w:rPr>
      </w:pPr>
      <w:r w:rsidRPr="006114CB">
        <w:rPr>
          <w:rFonts w:ascii="Segoe UI Symbol" w:eastAsia="Calibri" w:hAnsi="Segoe UI Symbol" w:cs="Segoe UI Symbol" w:hint="cs"/>
          <w:b/>
          <w:bCs/>
          <w:sz w:val="36"/>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sz w:val="24"/>
        </w:rPr>
      </w:pPr>
      <w:r w:rsidRPr="006114CB">
        <w:rPr>
          <w:rFonts w:eastAsia="Calibri" w:hint="cs"/>
          <w:b/>
          <w:bCs/>
          <w:sz w:val="24"/>
          <w:rtl/>
        </w:rPr>
        <w:t xml:space="preserve">צמצום הייצור המקומי עלול לפגוע ביתירות, במחירים ובתחרות במשק הגפ״ם. החלטת הממשלה </w:t>
      </w:r>
      <w:r w:rsidRPr="006114CB">
        <w:rPr>
          <w:rFonts w:eastAsia="Calibri" w:hint="cs"/>
          <w:b/>
          <w:bCs/>
          <w:rtl/>
        </w:rPr>
        <w:t>1231</w:t>
      </w:r>
      <w:r w:rsidRPr="006114CB">
        <w:rPr>
          <w:rFonts w:eastAsia="Calibri" w:hint="cs"/>
          <w:b/>
          <w:bCs/>
          <w:sz w:val="24"/>
          <w:rtl/>
        </w:rPr>
        <w:t xml:space="preserve"> התנתה את הפסקת פעילות התעשייה הפטרוכימית במפרץ חיפה בין היתר בהבטחת הרציפות התפקודית של משק הגפ"ם, וקבעה שורת תנאים שצריכים להתקיים בעניין זה. בכלל זה, ששרת האנרגיה תבחן כי מתקיים התנאי של רציפות תפקוד משק האנרגיה והיתכנות הפסקת הפעילות הפטרוכימית במועד שייקבע במסגרת המו"מ להפסקת הפעילות. מהאמור בפרק זה עולה כי במועד סיום הביקורת המועצה הלאומית לכלכלה, משרד האנרגיה, משרד האוצר, משרד התחבורה ורשות התחרות לא השלימו </w:t>
      </w:r>
      <w:r w:rsidRPr="006114CB">
        <w:rPr>
          <w:rFonts w:eastAsia="Calibri"/>
          <w:b/>
          <w:bCs/>
          <w:sz w:val="24"/>
          <w:rtl/>
        </w:rPr>
        <w:t>באופן מספק</w:t>
      </w:r>
      <w:r w:rsidRPr="006114CB">
        <w:rPr>
          <w:rFonts w:eastAsia="Calibri" w:hint="cs"/>
          <w:b/>
          <w:bCs/>
          <w:sz w:val="24"/>
          <w:rtl/>
        </w:rPr>
        <w:t xml:space="preserve"> את קידום הקמת תשתיות ליבוא גפ"ם, מציאת פתרונות לגפ"ם האולפיני שמיוצר בבז"א ונמכר כיום לבז"ן ו</w:t>
      </w:r>
      <w:r w:rsidRPr="006114CB">
        <w:rPr>
          <w:rFonts w:eastAsia="Calibri" w:hint="eastAsia"/>
          <w:b/>
          <w:bCs/>
          <w:sz w:val="24"/>
          <w:rtl/>
        </w:rPr>
        <w:t>התמודד</w:t>
      </w:r>
      <w:r w:rsidRPr="006114CB">
        <w:rPr>
          <w:rFonts w:eastAsia="Calibri" w:hint="cs"/>
          <w:b/>
          <w:bCs/>
          <w:sz w:val="24"/>
          <w:rtl/>
        </w:rPr>
        <w:t>ות</w:t>
      </w:r>
      <w:r w:rsidRPr="006114CB">
        <w:rPr>
          <w:rFonts w:eastAsia="Calibri"/>
          <w:b/>
          <w:bCs/>
          <w:sz w:val="24"/>
          <w:rtl/>
        </w:rPr>
        <w:t xml:space="preserve"> </w:t>
      </w:r>
      <w:r w:rsidRPr="006114CB">
        <w:rPr>
          <w:rFonts w:eastAsia="Calibri" w:hint="eastAsia"/>
          <w:b/>
          <w:bCs/>
          <w:sz w:val="24"/>
          <w:rtl/>
        </w:rPr>
        <w:t>עם</w:t>
      </w:r>
      <w:r w:rsidRPr="006114CB">
        <w:rPr>
          <w:rFonts w:eastAsia="Calibri" w:hint="cs"/>
          <w:b/>
          <w:bCs/>
          <w:sz w:val="24"/>
          <w:rtl/>
        </w:rPr>
        <w:t xml:space="preserve"> הפיכתו האפשרית של </w:t>
      </w:r>
      <w:r w:rsidRPr="006114CB">
        <w:rPr>
          <w:rFonts w:eastAsia="Calibri" w:hint="eastAsia"/>
          <w:b/>
          <w:bCs/>
          <w:sz w:val="24"/>
          <w:rtl/>
        </w:rPr>
        <w:t>הטריידר</w:t>
      </w:r>
      <w:r w:rsidRPr="006114CB">
        <w:rPr>
          <w:rFonts w:eastAsia="Calibri" w:hint="cs"/>
          <w:b/>
          <w:bCs/>
          <w:sz w:val="24"/>
          <w:rtl/>
        </w:rPr>
        <w:t xml:space="preserve"> </w:t>
      </w:r>
      <w:r w:rsidRPr="006114CB">
        <w:rPr>
          <w:rFonts w:eastAsia="Calibri" w:hint="eastAsia"/>
          <w:b/>
          <w:bCs/>
          <w:sz w:val="24"/>
          <w:rtl/>
        </w:rPr>
        <w:t>הנוכחי</w:t>
      </w:r>
      <w:r w:rsidRPr="006114CB">
        <w:rPr>
          <w:rFonts w:eastAsia="Calibri" w:hint="cs"/>
          <w:b/>
          <w:bCs/>
          <w:sz w:val="24"/>
          <w:rtl/>
        </w:rPr>
        <w:t xml:space="preserve"> </w:t>
      </w:r>
      <w:r w:rsidRPr="006114CB">
        <w:rPr>
          <w:rFonts w:eastAsia="Calibri" w:hint="eastAsia"/>
          <w:b/>
          <w:bCs/>
          <w:sz w:val="24"/>
          <w:rtl/>
        </w:rPr>
        <w:t>למונופול</w:t>
      </w:r>
      <w:r w:rsidRPr="006114CB">
        <w:rPr>
          <w:rFonts w:eastAsia="Calibri"/>
          <w:b/>
          <w:bCs/>
          <w:sz w:val="24"/>
          <w:rtl/>
        </w:rPr>
        <w:t xml:space="preserve"> </w:t>
      </w:r>
      <w:r w:rsidRPr="006114CB">
        <w:rPr>
          <w:rFonts w:eastAsia="Calibri" w:hint="eastAsia"/>
          <w:b/>
          <w:bCs/>
          <w:sz w:val="24"/>
          <w:rtl/>
        </w:rPr>
        <w:t>במשק</w:t>
      </w:r>
      <w:r w:rsidRPr="006114CB">
        <w:rPr>
          <w:rFonts w:eastAsia="Calibri"/>
          <w:b/>
          <w:bCs/>
          <w:sz w:val="24"/>
          <w:rtl/>
        </w:rPr>
        <w:t xml:space="preserve"> </w:t>
      </w:r>
      <w:r w:rsidRPr="006114CB">
        <w:rPr>
          <w:rFonts w:eastAsia="Calibri" w:hint="eastAsia"/>
          <w:b/>
          <w:bCs/>
          <w:sz w:val="24"/>
          <w:rtl/>
        </w:rPr>
        <w:t>הגפ</w:t>
      </w:r>
      <w:r w:rsidRPr="006114CB">
        <w:rPr>
          <w:rFonts w:eastAsia="Calibri"/>
          <w:b/>
          <w:bCs/>
          <w:sz w:val="24"/>
          <w:rtl/>
        </w:rPr>
        <w:t>"ם</w:t>
      </w:r>
      <w:r w:rsidRPr="006114CB">
        <w:rPr>
          <w:rFonts w:eastAsia="Calibri" w:hint="eastAsia"/>
          <w:b/>
          <w:bCs/>
          <w:sz w:val="24"/>
          <w:rtl/>
        </w:rPr>
        <w:t xml:space="preserve"> </w:t>
      </w:r>
      <w:r w:rsidRPr="006114CB">
        <w:rPr>
          <w:rFonts w:eastAsia="Calibri" w:hint="cs"/>
          <w:b/>
          <w:bCs/>
          <w:sz w:val="24"/>
          <w:rtl/>
        </w:rPr>
        <w:t xml:space="preserve">עם הכפלת הגפ״ם </w:t>
      </w:r>
      <w:r w:rsidRPr="006114CB">
        <w:rPr>
          <w:rFonts w:eastAsia="Calibri" w:hint="eastAsia"/>
          <w:b/>
          <w:bCs/>
          <w:sz w:val="24"/>
          <w:rtl/>
        </w:rPr>
        <w:t>שהוא</w:t>
      </w:r>
      <w:r w:rsidRPr="006114CB">
        <w:rPr>
          <w:rFonts w:eastAsia="Calibri"/>
          <w:b/>
          <w:bCs/>
          <w:sz w:val="24"/>
          <w:rtl/>
        </w:rPr>
        <w:t xml:space="preserve"> </w:t>
      </w:r>
      <w:r w:rsidRPr="006114CB">
        <w:rPr>
          <w:rFonts w:eastAsia="Calibri" w:hint="eastAsia"/>
          <w:b/>
          <w:bCs/>
          <w:sz w:val="24"/>
          <w:rtl/>
        </w:rPr>
        <w:t>י</w:t>
      </w:r>
      <w:r w:rsidRPr="006114CB">
        <w:rPr>
          <w:rFonts w:eastAsia="Calibri" w:hint="cs"/>
          <w:b/>
          <w:bCs/>
          <w:sz w:val="24"/>
          <w:rtl/>
        </w:rPr>
        <w:t>ְ</w:t>
      </w:r>
      <w:r w:rsidRPr="006114CB">
        <w:rPr>
          <w:rFonts w:eastAsia="Calibri" w:hint="eastAsia"/>
          <w:b/>
          <w:bCs/>
          <w:sz w:val="24"/>
          <w:rtl/>
        </w:rPr>
        <w:t>יבא</w:t>
      </w:r>
      <w:r w:rsidRPr="006114CB">
        <w:rPr>
          <w:rFonts w:eastAsia="Calibri"/>
          <w:b/>
          <w:bCs/>
          <w:sz w:val="24"/>
          <w:rtl/>
        </w:rPr>
        <w:t>.</w:t>
      </w:r>
      <w:r w:rsidRPr="006114CB">
        <w:rPr>
          <w:rFonts w:eastAsia="Calibri" w:hint="cs"/>
          <w:b/>
          <w:bCs/>
          <w:sz w:val="24"/>
          <w:rtl/>
        </w:rPr>
        <w:t xml:space="preserve"> במצב דברים זה עולה ספק אם ניתן יהיה להפסיק את פעילות בז"ן עד המחצית הראשונה של 2030 בהתאם ליעד המעודכן שנקבע בתוכנית העבודה של ועדת ההיגוי לסיכום שנת 2024 ליישום החלטת הממשלה 1231.</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sz w:val="24"/>
          <w:rtl/>
        </w:rPr>
      </w:pPr>
      <w:r w:rsidRPr="006114CB">
        <w:rPr>
          <w:rFonts w:eastAsia="Calibri" w:hint="eastAsia"/>
          <w:b/>
          <w:bCs/>
          <w:sz w:val="24"/>
          <w:rtl/>
        </w:rPr>
        <w:t>על</w:t>
      </w:r>
      <w:r w:rsidRPr="006114CB">
        <w:rPr>
          <w:rFonts w:eastAsia="Calibri" w:hint="cs"/>
          <w:b/>
          <w:bCs/>
          <w:sz w:val="24"/>
          <w:rtl/>
        </w:rPr>
        <w:t xml:space="preserve"> המועצה הלאומית לכלכלה, </w:t>
      </w:r>
      <w:r w:rsidRPr="006114CB">
        <w:rPr>
          <w:rFonts w:eastAsia="Calibri" w:hint="cs"/>
          <w:b/>
          <w:bCs/>
          <w:rtl/>
        </w:rPr>
        <w:t>האמונה על יישום החלטת הממשלה 1231,</w:t>
      </w:r>
      <w:r w:rsidRPr="006114CB">
        <w:rPr>
          <w:rFonts w:eastAsia="Calibri" w:hint="cs"/>
          <w:b/>
          <w:bCs/>
          <w:sz w:val="24"/>
          <w:rtl/>
        </w:rPr>
        <w:t xml:space="preserve"> לתכלל את ההיערכות הממשלתית לסגירת בז"ן ולוודא כי הגופים הרלוונטיים - משרד האנרגיה, משרד האוצר, משרד התחבורה ורשות התחרות - מקדמים את הנושאים הנוגעים למשק הגפ"ם שבאחריותם, </w:t>
      </w:r>
      <w:r w:rsidRPr="006114CB">
        <w:rPr>
          <w:rFonts w:eastAsia="Calibri" w:hint="eastAsia"/>
          <w:b/>
          <w:bCs/>
          <w:sz w:val="24"/>
          <w:rtl/>
        </w:rPr>
        <w:t>תוך</w:t>
      </w:r>
      <w:r w:rsidRPr="006114CB">
        <w:rPr>
          <w:rFonts w:eastAsia="Calibri"/>
          <w:b/>
          <w:bCs/>
          <w:sz w:val="24"/>
          <w:rtl/>
        </w:rPr>
        <w:t xml:space="preserve"> </w:t>
      </w:r>
      <w:r w:rsidRPr="006114CB">
        <w:rPr>
          <w:rFonts w:eastAsia="Calibri" w:hint="eastAsia"/>
          <w:b/>
          <w:bCs/>
          <w:sz w:val="24"/>
          <w:rtl/>
        </w:rPr>
        <w:t>עמידה</w:t>
      </w:r>
      <w:r w:rsidRPr="006114CB">
        <w:rPr>
          <w:rFonts w:eastAsia="Calibri"/>
          <w:b/>
          <w:bCs/>
          <w:sz w:val="24"/>
          <w:rtl/>
        </w:rPr>
        <w:t xml:space="preserve"> </w:t>
      </w:r>
      <w:r w:rsidRPr="006114CB">
        <w:rPr>
          <w:rFonts w:eastAsia="Calibri" w:hint="eastAsia"/>
          <w:b/>
          <w:bCs/>
          <w:sz w:val="24"/>
          <w:rtl/>
        </w:rPr>
        <w:t>באיזון</w:t>
      </w:r>
      <w:r w:rsidRPr="006114CB">
        <w:rPr>
          <w:rFonts w:eastAsia="Calibri"/>
          <w:b/>
          <w:bCs/>
          <w:sz w:val="24"/>
          <w:rtl/>
        </w:rPr>
        <w:t xml:space="preserve"> </w:t>
      </w:r>
      <w:r w:rsidRPr="006114CB">
        <w:rPr>
          <w:rFonts w:eastAsia="Calibri" w:hint="eastAsia"/>
          <w:b/>
          <w:bCs/>
          <w:sz w:val="24"/>
          <w:rtl/>
        </w:rPr>
        <w:t>הנדרש</w:t>
      </w:r>
      <w:r w:rsidRPr="006114CB">
        <w:rPr>
          <w:rFonts w:eastAsia="Calibri"/>
          <w:b/>
          <w:bCs/>
          <w:sz w:val="24"/>
          <w:rtl/>
        </w:rPr>
        <w:t xml:space="preserve"> </w:t>
      </w:r>
      <w:r w:rsidRPr="006114CB">
        <w:rPr>
          <w:rFonts w:eastAsia="Calibri" w:hint="eastAsia"/>
          <w:b/>
          <w:bCs/>
          <w:sz w:val="24"/>
          <w:rtl/>
        </w:rPr>
        <w:t>בין</w:t>
      </w:r>
      <w:r w:rsidRPr="006114CB">
        <w:rPr>
          <w:rFonts w:eastAsia="Calibri"/>
          <w:b/>
          <w:bCs/>
          <w:sz w:val="24"/>
          <w:rtl/>
        </w:rPr>
        <w:t xml:space="preserve"> </w:t>
      </w:r>
      <w:r w:rsidRPr="006114CB">
        <w:rPr>
          <w:rFonts w:eastAsia="Calibri" w:hint="eastAsia"/>
          <w:b/>
          <w:bCs/>
          <w:sz w:val="24"/>
          <w:rtl/>
        </w:rPr>
        <w:t>הסיכונים</w:t>
      </w:r>
      <w:r w:rsidRPr="006114CB">
        <w:rPr>
          <w:rFonts w:eastAsia="Calibri"/>
          <w:b/>
          <w:bCs/>
          <w:sz w:val="24"/>
          <w:rtl/>
        </w:rPr>
        <w:t xml:space="preserve"> הסביבתיים </w:t>
      </w:r>
      <w:r w:rsidRPr="006114CB">
        <w:rPr>
          <w:rFonts w:eastAsia="Calibri" w:hint="eastAsia"/>
          <w:b/>
          <w:bCs/>
          <w:sz w:val="24"/>
          <w:rtl/>
        </w:rPr>
        <w:t>והצרכים</w:t>
      </w:r>
      <w:r w:rsidRPr="006114CB">
        <w:rPr>
          <w:rFonts w:eastAsia="Calibri"/>
          <w:b/>
          <w:bCs/>
          <w:sz w:val="24"/>
          <w:rtl/>
        </w:rPr>
        <w:t xml:space="preserve"> </w:t>
      </w:r>
      <w:r w:rsidRPr="006114CB">
        <w:rPr>
          <w:rFonts w:eastAsia="Calibri" w:hint="eastAsia"/>
          <w:b/>
          <w:bCs/>
          <w:sz w:val="24"/>
          <w:rtl/>
        </w:rPr>
        <w:t>האנרגטיים</w:t>
      </w:r>
      <w:r w:rsidRPr="006114CB">
        <w:rPr>
          <w:rFonts w:eastAsia="Calibri"/>
          <w:b/>
          <w:bCs/>
          <w:sz w:val="24"/>
          <w:rtl/>
        </w:rPr>
        <w:t xml:space="preserve">. </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2"/>
        <w:rPr>
          <w:rFonts w:eastAsia="Times New Roman"/>
          <w:bCs/>
          <w:szCs w:val="28"/>
          <w:u w:val="single"/>
          <w:rtl/>
        </w:rPr>
      </w:pPr>
      <w:r w:rsidRPr="006114CB">
        <w:rPr>
          <w:rFonts w:eastAsia="Times New Roman" w:hint="cs"/>
          <w:bCs/>
          <w:szCs w:val="28"/>
          <w:u w:val="single"/>
          <w:rtl/>
        </w:rPr>
        <w:t>תשתיות ליבוא ולאחסון של גפ"ם</w:t>
      </w:r>
    </w:p>
    <w:p w:rsidR="006114CB" w:rsidRPr="006114CB" w:rsidP="002F4530">
      <w:pPr>
        <w:spacing w:line="269" w:lineRule="auto"/>
        <w:rPr>
          <w:rFonts w:eastAsia="Calibri"/>
          <w:rtl/>
        </w:rPr>
      </w:pPr>
    </w:p>
    <w:p w:rsidR="006114CB" w:rsidRPr="006114CB" w:rsidP="002F4530">
      <w:pPr>
        <w:keepNext/>
        <w:keepLines/>
        <w:spacing w:line="269" w:lineRule="auto"/>
        <w:outlineLvl w:val="3"/>
        <w:rPr>
          <w:rFonts w:eastAsia="Times New Roman"/>
          <w:bCs/>
          <w:szCs w:val="26"/>
          <w:rtl/>
        </w:rPr>
      </w:pPr>
      <w:r w:rsidRPr="006114CB">
        <w:rPr>
          <w:rFonts w:eastAsia="Times New Roman" w:hint="cs"/>
          <w:bCs/>
          <w:szCs w:val="26"/>
          <w:rtl/>
        </w:rPr>
        <w:t xml:space="preserve">החלטת הממשלה 1231 </w:t>
      </w:r>
    </w:p>
    <w:p w:rsidR="006114CB" w:rsidRPr="006114CB" w:rsidP="002F4530">
      <w:pPr>
        <w:rPr>
          <w:rFonts w:eastAsia="Calibri"/>
          <w:rtl/>
        </w:rPr>
      </w:pPr>
    </w:p>
    <w:p w:rsidR="006114CB" w:rsidRPr="006114CB" w:rsidP="002F4530">
      <w:pPr>
        <w:spacing w:line="269" w:lineRule="auto"/>
        <w:rPr>
          <w:rFonts w:ascii="David" w:eastAsia="Calibri" w:hAnsi="David"/>
          <w:sz w:val="24"/>
          <w:rtl/>
        </w:rPr>
      </w:pPr>
      <w:r w:rsidRPr="006114CB">
        <w:rPr>
          <w:rFonts w:ascii="David" w:eastAsia="Calibri" w:hAnsi="David" w:hint="eastAsia"/>
          <w:sz w:val="24"/>
          <w:rtl/>
        </w:rPr>
        <w:t>החלטת</w:t>
      </w:r>
      <w:r w:rsidRPr="006114CB">
        <w:rPr>
          <w:rFonts w:ascii="David" w:eastAsia="Calibri" w:hAnsi="David"/>
          <w:sz w:val="24"/>
          <w:rtl/>
        </w:rPr>
        <w:t xml:space="preserve"> הממשלה 1231</w:t>
      </w:r>
      <w:r w:rsidRPr="006114CB">
        <w:rPr>
          <w:rFonts w:ascii="David" w:eastAsia="Calibri" w:hAnsi="David" w:hint="cs"/>
          <w:sz w:val="24"/>
          <w:rtl/>
        </w:rPr>
        <w:t xml:space="preserve"> ממרץ 2022</w:t>
      </w:r>
      <w:r w:rsidRPr="006114CB">
        <w:rPr>
          <w:rFonts w:ascii="David" w:eastAsia="Calibri" w:hAnsi="David"/>
          <w:sz w:val="24"/>
          <w:rtl/>
        </w:rPr>
        <w:t xml:space="preserve"> </w:t>
      </w:r>
      <w:r w:rsidRPr="006114CB">
        <w:rPr>
          <w:rFonts w:ascii="David" w:eastAsia="Calibri" w:hAnsi="David" w:hint="cs"/>
          <w:sz w:val="24"/>
          <w:rtl/>
        </w:rPr>
        <w:t xml:space="preserve">שבה הוחלט על </w:t>
      </w:r>
      <w:r w:rsidRPr="006114CB">
        <w:rPr>
          <w:rFonts w:ascii="David" w:eastAsia="Calibri" w:hAnsi="David"/>
          <w:sz w:val="24"/>
          <w:rtl/>
        </w:rPr>
        <w:t>סגירת המפעלים הפטרוכימיים בחיפה</w:t>
      </w:r>
      <w:r w:rsidRPr="006114CB">
        <w:rPr>
          <w:rFonts w:ascii="David" w:eastAsia="Calibri" w:hAnsi="David" w:hint="cs"/>
          <w:sz w:val="24"/>
          <w:rtl/>
        </w:rPr>
        <w:t>,</w:t>
      </w:r>
      <w:r w:rsidRPr="006114CB">
        <w:rPr>
          <w:rFonts w:ascii="David" w:eastAsia="Calibri" w:hAnsi="David"/>
          <w:sz w:val="24"/>
          <w:rtl/>
        </w:rPr>
        <w:t xml:space="preserve"> קבעה את מתקני התשתית הנחוצים </w:t>
      </w:r>
      <w:r w:rsidRPr="006114CB">
        <w:rPr>
          <w:rFonts w:ascii="David" w:eastAsia="Calibri" w:hAnsi="David" w:hint="cs"/>
          <w:sz w:val="24"/>
          <w:rtl/>
        </w:rPr>
        <w:t>כדי לספק</w:t>
      </w:r>
      <w:r w:rsidRPr="006114CB">
        <w:rPr>
          <w:rFonts w:ascii="David" w:eastAsia="Calibri" w:hAnsi="David"/>
          <w:sz w:val="24"/>
          <w:rtl/>
        </w:rPr>
        <w:t xml:space="preserve"> </w:t>
      </w:r>
      <w:r w:rsidRPr="006114CB">
        <w:rPr>
          <w:rFonts w:ascii="David" w:eastAsia="Calibri" w:hAnsi="David" w:hint="cs"/>
          <w:sz w:val="24"/>
          <w:rtl/>
        </w:rPr>
        <w:t>את ה</w:t>
      </w:r>
      <w:r w:rsidRPr="006114CB">
        <w:rPr>
          <w:rFonts w:ascii="David" w:eastAsia="Calibri" w:hAnsi="David"/>
          <w:sz w:val="24"/>
          <w:rtl/>
        </w:rPr>
        <w:t xml:space="preserve">צורך בתזקיקים באמצעות יבוא חלף הייצור המקומי של </w:t>
      </w:r>
      <w:r w:rsidRPr="006114CB">
        <w:rPr>
          <w:rFonts w:ascii="David" w:eastAsia="Calibri" w:hAnsi="David" w:hint="eastAsia"/>
          <w:sz w:val="24"/>
          <w:rtl/>
        </w:rPr>
        <w:t>בז</w:t>
      </w:r>
      <w:r w:rsidRPr="006114CB">
        <w:rPr>
          <w:rFonts w:ascii="David" w:eastAsia="Calibri" w:hAnsi="David"/>
          <w:sz w:val="24"/>
          <w:rtl/>
        </w:rPr>
        <w:t>"ן שייפסק.</w:t>
      </w:r>
      <w:r w:rsidRPr="006114CB">
        <w:rPr>
          <w:rFonts w:ascii="David" w:eastAsia="Calibri" w:hAnsi="David" w:hint="cs"/>
          <w:sz w:val="24"/>
          <w:rtl/>
        </w:rPr>
        <w:t xml:space="preserve"> </w:t>
      </w:r>
    </w:p>
    <w:p w:rsidR="006114CB" w:rsidRPr="006114CB" w:rsidP="002F4530">
      <w:pPr>
        <w:keepNext/>
        <w:keepLines/>
        <w:spacing w:line="269" w:lineRule="auto"/>
        <w:ind w:left="-567"/>
        <w:rPr>
          <w:rFonts w:eastAsia="Calibri"/>
          <w:szCs w:val="20"/>
          <w:rtl/>
        </w:rPr>
      </w:pPr>
    </w:p>
    <w:p w:rsidR="006114CB" w:rsidP="002F4530">
      <w:pPr>
        <w:spacing w:line="269" w:lineRule="auto"/>
        <w:rPr>
          <w:rFonts w:ascii="David" w:eastAsia="Calibri" w:hAnsi="David"/>
          <w:sz w:val="24"/>
          <w:rtl/>
        </w:rPr>
      </w:pPr>
      <w:r w:rsidRPr="006114CB">
        <w:rPr>
          <w:rFonts w:ascii="David" w:eastAsia="Calibri" w:hAnsi="David" w:hint="cs"/>
          <w:sz w:val="24"/>
          <w:rtl/>
        </w:rPr>
        <w:t xml:space="preserve">בהחלטת הממשלה לא נקבעו לוחות זמנים להקמת התשתיות הנדרשות להבטחת הרציפות התפקודית של משק האנרגיה, שהיא תנאי לסגירת המפעלים </w:t>
      </w:r>
      <w:r w:rsidRPr="006114CB">
        <w:rPr>
          <w:rFonts w:ascii="David" w:eastAsia="Calibri" w:hAnsi="David"/>
          <w:sz w:val="24"/>
          <w:rtl/>
        </w:rPr>
        <w:t>הפטרוכימיים</w:t>
      </w:r>
      <w:r w:rsidRPr="006114CB">
        <w:rPr>
          <w:rFonts w:ascii="David" w:eastAsia="Calibri" w:hAnsi="David" w:hint="cs"/>
          <w:sz w:val="24"/>
          <w:rtl/>
        </w:rPr>
        <w:t>. עם זאת, ועדת ההיגוי של התוכנית האסטרטגית לפיתוח מפרץ חיפה, שבראשה עומד ראש המועצה הלאומית לכלכלה, והמינהלת לפיתוח מפרץ חיפה הפועלת מכוחה</w:t>
      </w:r>
      <w:r>
        <w:rPr>
          <w:rFonts w:ascii="David" w:eastAsia="Calibri" w:hAnsi="David"/>
          <w:sz w:val="24"/>
          <w:vertAlign w:val="superscript"/>
          <w:rtl/>
        </w:rPr>
        <w:footnoteReference w:id="93"/>
      </w:r>
      <w:r w:rsidRPr="006114CB">
        <w:rPr>
          <w:rFonts w:ascii="David" w:eastAsia="Calibri" w:hAnsi="David" w:hint="cs"/>
          <w:sz w:val="24"/>
          <w:rtl/>
        </w:rPr>
        <w:t xml:space="preserve">, פרסמו בדוח סיכום פעילות לשנת 2024 את אבני </w:t>
      </w:r>
      <w:r w:rsidRPr="006114CB">
        <w:rPr>
          <w:rFonts w:ascii="David" w:eastAsia="Calibri" w:hAnsi="David" w:hint="cs"/>
          <w:sz w:val="24"/>
          <w:rtl/>
        </w:rPr>
        <w:t>הדרך העיקריות על פני ציר זמן, כבסיס לתוכנית עבודה להקמת התשתיות הנדרשות בענף הגפ"ם, לפי החלטת הממשלה, כמפורט בתרשים להלן:</w:t>
      </w:r>
    </w:p>
    <w:p w:rsidR="001E604F" w:rsidRPr="006114CB" w:rsidP="002F4530">
      <w:pPr>
        <w:spacing w:line="269" w:lineRule="auto"/>
        <w:rPr>
          <w:rFonts w:ascii="David" w:eastAsia="Calibri" w:hAnsi="David"/>
          <w:sz w:val="24"/>
          <w:rtl/>
        </w:rPr>
      </w:pPr>
    </w:p>
    <w:p w:rsidR="006114CB" w:rsidRPr="006114CB" w:rsidP="002F4530">
      <w:pPr>
        <w:spacing w:line="269" w:lineRule="auto"/>
        <w:jc w:val="center"/>
        <w:rPr>
          <w:rFonts w:ascii="David" w:eastAsia="Calibri" w:hAnsi="David"/>
          <w:b/>
          <w:bCs/>
          <w:sz w:val="24"/>
          <w:rtl/>
        </w:rPr>
      </w:pPr>
      <w:r w:rsidRPr="006114CB">
        <w:rPr>
          <w:rFonts w:ascii="David" w:eastAsia="Calibri" w:hAnsi="David" w:hint="eastAsia"/>
          <w:sz w:val="24"/>
          <w:rtl/>
        </w:rPr>
        <w:t>תרשים</w:t>
      </w:r>
      <w:r w:rsidRPr="006114CB">
        <w:rPr>
          <w:rFonts w:ascii="David" w:eastAsia="Calibri" w:hAnsi="David"/>
          <w:sz w:val="24"/>
          <w:rtl/>
        </w:rPr>
        <w:t xml:space="preserve"> 9:</w:t>
      </w:r>
      <w:r w:rsidRPr="006114CB">
        <w:rPr>
          <w:rFonts w:ascii="David" w:eastAsia="Calibri" w:hAnsi="David"/>
          <w:b/>
          <w:bCs/>
          <w:sz w:val="24"/>
          <w:rtl/>
        </w:rPr>
        <w:t xml:space="preserve"> </w:t>
      </w:r>
      <w:r w:rsidRPr="006114CB">
        <w:rPr>
          <w:rFonts w:ascii="David" w:eastAsia="Calibri" w:hAnsi="David" w:hint="eastAsia"/>
          <w:b/>
          <w:bCs/>
          <w:sz w:val="24"/>
          <w:rtl/>
        </w:rPr>
        <w:t>אבני</w:t>
      </w:r>
      <w:r w:rsidRPr="006114CB">
        <w:rPr>
          <w:rFonts w:ascii="David" w:eastAsia="Calibri" w:hAnsi="David"/>
          <w:b/>
          <w:bCs/>
          <w:sz w:val="24"/>
          <w:rtl/>
        </w:rPr>
        <w:t xml:space="preserve"> </w:t>
      </w:r>
      <w:r w:rsidRPr="006114CB">
        <w:rPr>
          <w:rFonts w:ascii="David" w:eastAsia="Calibri" w:hAnsi="David" w:hint="eastAsia"/>
          <w:b/>
          <w:bCs/>
          <w:sz w:val="24"/>
          <w:rtl/>
        </w:rPr>
        <w:t>דרך</w:t>
      </w:r>
      <w:r w:rsidRPr="006114CB">
        <w:rPr>
          <w:rFonts w:ascii="David" w:eastAsia="Calibri" w:hAnsi="David"/>
          <w:b/>
          <w:bCs/>
          <w:sz w:val="24"/>
          <w:rtl/>
        </w:rPr>
        <w:t xml:space="preserve"> </w:t>
      </w:r>
      <w:r w:rsidRPr="006114CB">
        <w:rPr>
          <w:rFonts w:ascii="David" w:eastAsia="Calibri" w:hAnsi="David" w:hint="eastAsia"/>
          <w:b/>
          <w:bCs/>
          <w:sz w:val="24"/>
          <w:rtl/>
        </w:rPr>
        <w:t>להקמת</w:t>
      </w:r>
      <w:r w:rsidRPr="006114CB">
        <w:rPr>
          <w:rFonts w:ascii="David" w:eastAsia="Calibri" w:hAnsi="David"/>
          <w:b/>
          <w:bCs/>
          <w:sz w:val="24"/>
          <w:rtl/>
        </w:rPr>
        <w:t xml:space="preserve"> </w:t>
      </w:r>
      <w:r w:rsidRPr="006114CB">
        <w:rPr>
          <w:rFonts w:ascii="David" w:eastAsia="Calibri" w:hAnsi="David" w:hint="eastAsia"/>
          <w:b/>
          <w:bCs/>
          <w:sz w:val="24"/>
          <w:rtl/>
        </w:rPr>
        <w:t>תשתיות</w:t>
      </w:r>
      <w:r w:rsidRPr="006114CB">
        <w:rPr>
          <w:rFonts w:ascii="David" w:eastAsia="Calibri" w:hAnsi="David"/>
          <w:b/>
          <w:bCs/>
          <w:sz w:val="24"/>
          <w:rtl/>
        </w:rPr>
        <w:t xml:space="preserve"> </w:t>
      </w:r>
      <w:r w:rsidRPr="006114CB">
        <w:rPr>
          <w:rFonts w:ascii="David" w:eastAsia="Calibri" w:hAnsi="David" w:hint="cs"/>
          <w:b/>
          <w:bCs/>
          <w:sz w:val="24"/>
          <w:rtl/>
        </w:rPr>
        <w:t>במשק</w:t>
      </w:r>
      <w:r w:rsidRPr="006114CB">
        <w:rPr>
          <w:rFonts w:ascii="David" w:eastAsia="Calibri" w:hAnsi="David"/>
          <w:b/>
          <w:bCs/>
          <w:sz w:val="24"/>
          <w:rtl/>
        </w:rPr>
        <w:t xml:space="preserve"> </w:t>
      </w:r>
      <w:r w:rsidRPr="006114CB">
        <w:rPr>
          <w:rFonts w:ascii="David" w:eastAsia="Calibri" w:hAnsi="David" w:hint="eastAsia"/>
          <w:b/>
          <w:bCs/>
          <w:sz w:val="24"/>
          <w:rtl/>
        </w:rPr>
        <w:t>הגפ</w:t>
      </w:r>
      <w:r w:rsidRPr="006114CB">
        <w:rPr>
          <w:rFonts w:ascii="David" w:eastAsia="Calibri" w:hAnsi="David"/>
          <w:b/>
          <w:bCs/>
          <w:sz w:val="24"/>
          <w:rtl/>
        </w:rPr>
        <w:t>"ם</w:t>
      </w:r>
    </w:p>
    <w:p w:rsidR="006114CB" w:rsidRPr="006114CB" w:rsidP="002F4530">
      <w:pPr>
        <w:spacing w:line="269" w:lineRule="auto"/>
        <w:jc w:val="center"/>
        <w:rPr>
          <w:rFonts w:ascii="David" w:eastAsia="Calibri" w:hAnsi="David"/>
          <w:b/>
          <w:bCs/>
          <w:sz w:val="24"/>
          <w:rtl/>
        </w:rPr>
      </w:pPr>
    </w:p>
    <w:p w:rsidR="006114CB" w:rsidRPr="006114CB" w:rsidP="002F4530">
      <w:pPr>
        <w:spacing w:line="269" w:lineRule="auto"/>
        <w:rPr>
          <w:rFonts w:ascii="David" w:eastAsia="Calibri" w:hAnsi="David"/>
          <w:sz w:val="24"/>
          <w:rtl/>
        </w:rPr>
      </w:pPr>
      <w:r w:rsidRPr="006114CB">
        <w:rPr>
          <w:rFonts w:eastAsia="Calibri"/>
          <w:noProof/>
        </w:rPr>
        <w:drawing>
          <wp:inline distT="0" distB="0" distL="0" distR="0">
            <wp:extent cx="5301518" cy="3581400"/>
            <wp:effectExtent l="0" t="0" r="0" b="0"/>
            <wp:docPr id="9" name="תמונה 9" descr="אבני הדרך להקמת תשתיות הגפ&quot;ם לפי המינהלת לפיתוח מפרץ ח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8"/>
                    <a:stretch>
                      <a:fillRect/>
                    </a:stretch>
                  </pic:blipFill>
                  <pic:spPr>
                    <a:xfrm>
                      <a:off x="0" y="0"/>
                      <a:ext cx="5307045" cy="3585133"/>
                    </a:xfrm>
                    <a:prstGeom prst="rect">
                      <a:avLst/>
                    </a:prstGeom>
                  </pic:spPr>
                </pic:pic>
              </a:graphicData>
            </a:graphic>
          </wp:inline>
        </w:drawing>
      </w:r>
    </w:p>
    <w:p w:rsidR="006114CB" w:rsidRPr="006114CB" w:rsidP="002F4530">
      <w:pPr>
        <w:spacing w:line="269" w:lineRule="auto"/>
        <w:rPr>
          <w:rFonts w:ascii="David" w:eastAsia="Times New Roman" w:hAnsi="David"/>
          <w:szCs w:val="20"/>
          <w:rtl/>
        </w:rPr>
      </w:pPr>
      <w:r w:rsidRPr="006114CB">
        <w:rPr>
          <w:rFonts w:ascii="David" w:eastAsia="Calibri" w:hAnsi="David" w:hint="eastAsia"/>
          <w:szCs w:val="20"/>
          <w:rtl/>
        </w:rPr>
        <w:t>המקור</w:t>
      </w:r>
      <w:r w:rsidRPr="006114CB">
        <w:rPr>
          <w:rFonts w:ascii="David" w:eastAsia="Calibri" w:hAnsi="David"/>
          <w:szCs w:val="20"/>
          <w:rtl/>
        </w:rPr>
        <w:t xml:space="preserve">: </w:t>
      </w:r>
      <w:r w:rsidRPr="006114CB">
        <w:rPr>
          <w:rFonts w:ascii="David" w:eastAsia="Times New Roman" w:hAnsi="David" w:hint="eastAsia"/>
          <w:szCs w:val="20"/>
          <w:rtl/>
        </w:rPr>
        <w:t>המ</w:t>
      </w:r>
      <w:r w:rsidRPr="006114CB">
        <w:rPr>
          <w:rFonts w:ascii="David" w:eastAsia="Times New Roman" w:hAnsi="David" w:hint="cs"/>
          <w:szCs w:val="20"/>
          <w:rtl/>
        </w:rPr>
        <w:t>י</w:t>
      </w:r>
      <w:r w:rsidRPr="006114CB">
        <w:rPr>
          <w:rFonts w:ascii="David" w:eastAsia="Times New Roman" w:hAnsi="David" w:hint="eastAsia"/>
          <w:szCs w:val="20"/>
          <w:rtl/>
        </w:rPr>
        <w:t>נהלת</w:t>
      </w:r>
      <w:r w:rsidRPr="006114CB">
        <w:rPr>
          <w:rFonts w:ascii="David" w:eastAsia="Times New Roman" w:hAnsi="David"/>
          <w:szCs w:val="20"/>
          <w:rtl/>
        </w:rPr>
        <w:t xml:space="preserve"> לפיתוח מפרץ חיפה, דוח סיכום 2024</w:t>
      </w:r>
      <w:r w:rsidRPr="006114CB">
        <w:rPr>
          <w:rFonts w:ascii="David" w:eastAsia="Times New Roman" w:hAnsi="David" w:hint="cs"/>
          <w:szCs w:val="20"/>
          <w:rtl/>
        </w:rPr>
        <w:t>.</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b/>
          <w:bCs/>
          <w:rtl/>
        </w:rPr>
      </w:pPr>
      <w:r w:rsidRPr="006114CB">
        <w:rPr>
          <w:rFonts w:eastAsia="Calibri" w:hint="cs"/>
          <w:b/>
          <w:bCs/>
          <w:rtl/>
        </w:rPr>
        <w:t xml:space="preserve">מהתרשים עולה כי אבני הדרך העיקריות שהציבה </w:t>
      </w:r>
      <w:r w:rsidRPr="006114CB">
        <w:rPr>
          <w:rFonts w:eastAsia="Calibri"/>
          <w:b/>
          <w:bCs/>
          <w:rtl/>
        </w:rPr>
        <w:t>ועדת ההיגוי של התוכנית האסטרטגית לפיתוח מפרץ חיפה</w:t>
      </w:r>
      <w:r w:rsidRPr="006114CB">
        <w:rPr>
          <w:rFonts w:eastAsia="Calibri" w:hint="cs"/>
          <w:b/>
          <w:bCs/>
          <w:rtl/>
        </w:rPr>
        <w:t xml:space="preserve"> קובעות יעד להשלמת הקמתן של תשתיות גפ"ם חדשות עד שנת 2030, הן באשדוד הן בצפון הארץ, ולהקמת אתר אחסון גפ"ם ביבור שיקבל את הגפ"ם באמצעות מקשר ימי חדש שיוקם בים מערבית לאתר האחסון.</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3"/>
        <w:rPr>
          <w:rFonts w:eastAsia="Times New Roman"/>
          <w:bCs/>
          <w:szCs w:val="26"/>
          <w:rtl/>
        </w:rPr>
      </w:pPr>
      <w:r w:rsidRPr="006114CB">
        <w:rPr>
          <w:rFonts w:eastAsia="Times New Roman" w:hint="cs"/>
          <w:bCs/>
          <w:szCs w:val="26"/>
          <w:rtl/>
        </w:rPr>
        <w:t>תוכניות מתאר למשק ה</w:t>
      </w:r>
      <w:r w:rsidRPr="006114CB">
        <w:rPr>
          <w:rFonts w:eastAsia="Times New Roman" w:hint="eastAsia"/>
          <w:bCs/>
          <w:szCs w:val="26"/>
          <w:rtl/>
        </w:rPr>
        <w:t>גפ</w:t>
      </w:r>
      <w:r w:rsidRPr="006114CB">
        <w:rPr>
          <w:rFonts w:eastAsia="Times New Roman"/>
          <w:bCs/>
          <w:szCs w:val="26"/>
          <w:rtl/>
        </w:rPr>
        <w:t>"</w:t>
      </w:r>
      <w:r w:rsidRPr="006114CB">
        <w:rPr>
          <w:rFonts w:eastAsia="Times New Roman" w:hint="eastAsia"/>
          <w:bCs/>
          <w:szCs w:val="26"/>
          <w:rtl/>
        </w:rPr>
        <w:t>ם</w:t>
      </w:r>
    </w:p>
    <w:p w:rsidR="006114CB" w:rsidRPr="006114CB" w:rsidP="002F4530">
      <w:pPr>
        <w:rPr>
          <w:rFonts w:eastAsia="Calibri"/>
          <w:rtl/>
        </w:rPr>
      </w:pPr>
    </w:p>
    <w:p w:rsidR="006114CB" w:rsidRPr="006114CB" w:rsidP="002F4530">
      <w:pPr>
        <w:spacing w:line="269" w:lineRule="auto"/>
        <w:rPr>
          <w:rFonts w:eastAsia="Calibri"/>
          <w:rtl/>
        </w:rPr>
      </w:pPr>
      <w:r w:rsidRPr="006114CB">
        <w:rPr>
          <w:rFonts w:eastAsia="Calibri" w:hint="cs"/>
          <w:rtl/>
        </w:rPr>
        <w:t>כדי</w:t>
      </w:r>
      <w:r w:rsidRPr="006114CB">
        <w:rPr>
          <w:rFonts w:eastAsia="Calibri"/>
          <w:rtl/>
        </w:rPr>
        <w:t xml:space="preserve"> </w:t>
      </w:r>
      <w:r w:rsidRPr="006114CB">
        <w:rPr>
          <w:rFonts w:eastAsia="Calibri" w:hint="eastAsia"/>
          <w:rtl/>
        </w:rPr>
        <w:t>ליצור</w:t>
      </w:r>
      <w:r w:rsidRPr="006114CB">
        <w:rPr>
          <w:rFonts w:eastAsia="Calibri"/>
          <w:rtl/>
        </w:rPr>
        <w:t xml:space="preserve"> </w:t>
      </w:r>
      <w:r w:rsidRPr="006114CB">
        <w:rPr>
          <w:rFonts w:eastAsia="Calibri" w:hint="eastAsia"/>
          <w:rtl/>
        </w:rPr>
        <w:t>אפשרויות</w:t>
      </w:r>
      <w:r w:rsidRPr="006114CB">
        <w:rPr>
          <w:rFonts w:eastAsia="Calibri"/>
          <w:rtl/>
        </w:rPr>
        <w:t xml:space="preserve"> ליבוא </w:t>
      </w:r>
      <w:r w:rsidRPr="006114CB">
        <w:rPr>
          <w:rFonts w:eastAsia="Calibri" w:hint="eastAsia"/>
          <w:rtl/>
        </w:rPr>
        <w:t>רציף</w:t>
      </w:r>
      <w:r w:rsidRPr="006114CB">
        <w:rPr>
          <w:rFonts w:eastAsia="Calibri"/>
          <w:rtl/>
        </w:rPr>
        <w:t xml:space="preserve"> של גפ"ם </w:t>
      </w:r>
      <w:r w:rsidRPr="006114CB">
        <w:rPr>
          <w:rFonts w:eastAsia="Calibri" w:hint="eastAsia"/>
          <w:rtl/>
        </w:rPr>
        <w:t>אשר</w:t>
      </w:r>
      <w:r w:rsidRPr="006114CB">
        <w:rPr>
          <w:rFonts w:eastAsia="Calibri"/>
          <w:rtl/>
        </w:rPr>
        <w:t xml:space="preserve"> יאוחסן במתקני אחסון יש </w:t>
      </w:r>
      <w:r w:rsidRPr="006114CB">
        <w:rPr>
          <w:rFonts w:eastAsia="Calibri" w:hint="cs"/>
          <w:rtl/>
        </w:rPr>
        <w:t>לתכנן</w:t>
      </w:r>
      <w:r w:rsidRPr="006114CB">
        <w:rPr>
          <w:rFonts w:eastAsia="Calibri"/>
          <w:rtl/>
        </w:rPr>
        <w:t xml:space="preserve"> "שרשרת אספקה" שלמה: מתקן ימי (מ</w:t>
      </w:r>
      <w:r w:rsidRPr="006114CB">
        <w:rPr>
          <w:rFonts w:eastAsia="Calibri" w:hint="cs"/>
          <w:rtl/>
        </w:rPr>
        <w:t>ִ</w:t>
      </w:r>
      <w:r w:rsidRPr="006114CB">
        <w:rPr>
          <w:rFonts w:eastAsia="Calibri"/>
          <w:rtl/>
        </w:rPr>
        <w:t xml:space="preserve">קשר) או יבשתי (מזח) </w:t>
      </w:r>
      <w:r w:rsidRPr="006114CB">
        <w:rPr>
          <w:rFonts w:eastAsia="Calibri" w:hint="eastAsia"/>
          <w:rtl/>
        </w:rPr>
        <w:t>לשם</w:t>
      </w:r>
      <w:r w:rsidRPr="006114CB">
        <w:rPr>
          <w:rFonts w:eastAsia="Calibri"/>
          <w:rtl/>
        </w:rPr>
        <w:t xml:space="preserve"> קליטת </w:t>
      </w:r>
      <w:r w:rsidRPr="006114CB">
        <w:rPr>
          <w:rFonts w:eastAsia="Calibri" w:hint="eastAsia"/>
          <w:rtl/>
        </w:rPr>
        <w:t>הגפ</w:t>
      </w:r>
      <w:r w:rsidRPr="006114CB">
        <w:rPr>
          <w:rFonts w:eastAsia="Calibri"/>
          <w:rtl/>
        </w:rPr>
        <w:t>"</w:t>
      </w:r>
      <w:r w:rsidRPr="006114CB">
        <w:rPr>
          <w:rFonts w:eastAsia="Calibri" w:hint="eastAsia"/>
          <w:rtl/>
        </w:rPr>
        <w:t>ם</w:t>
      </w:r>
      <w:r w:rsidRPr="006114CB">
        <w:rPr>
          <w:rFonts w:eastAsia="Calibri"/>
          <w:rtl/>
        </w:rPr>
        <w:t xml:space="preserve"> מא</w:t>
      </w:r>
      <w:r w:rsidRPr="006114CB">
        <w:rPr>
          <w:rFonts w:eastAsia="Calibri" w:hint="cs"/>
          <w:rtl/>
        </w:rPr>
        <w:t>ו</w:t>
      </w:r>
      <w:r w:rsidRPr="006114CB">
        <w:rPr>
          <w:rFonts w:eastAsia="Calibri"/>
          <w:rtl/>
        </w:rPr>
        <w:t xml:space="preserve">ניות; צנרת ימית ויבשתית אשר </w:t>
      </w:r>
      <w:r w:rsidRPr="006114CB">
        <w:rPr>
          <w:rFonts w:eastAsia="Calibri" w:hint="eastAsia"/>
          <w:rtl/>
        </w:rPr>
        <w:t>תוביל</w:t>
      </w:r>
      <w:r w:rsidRPr="006114CB">
        <w:rPr>
          <w:rFonts w:eastAsia="Calibri"/>
          <w:rtl/>
        </w:rPr>
        <w:t xml:space="preserve"> את </w:t>
      </w:r>
      <w:r w:rsidRPr="006114CB">
        <w:rPr>
          <w:rFonts w:eastAsia="Calibri" w:hint="eastAsia"/>
          <w:rtl/>
        </w:rPr>
        <w:t>הגפ</w:t>
      </w:r>
      <w:r w:rsidRPr="006114CB">
        <w:rPr>
          <w:rFonts w:eastAsia="Calibri"/>
          <w:rtl/>
        </w:rPr>
        <w:t>"</w:t>
      </w:r>
      <w:r w:rsidRPr="006114CB">
        <w:rPr>
          <w:rFonts w:eastAsia="Calibri" w:hint="eastAsia"/>
          <w:rtl/>
        </w:rPr>
        <w:t>ם</w:t>
      </w:r>
      <w:r w:rsidRPr="006114CB">
        <w:rPr>
          <w:rFonts w:eastAsia="Calibri"/>
          <w:rtl/>
        </w:rPr>
        <w:t xml:space="preserve"> מהמקשר או מהמזח למתקן האחסון; </w:t>
      </w:r>
      <w:r w:rsidRPr="006114CB">
        <w:rPr>
          <w:rFonts w:eastAsia="Calibri" w:hint="eastAsia"/>
          <w:rtl/>
        </w:rPr>
        <w:t>ו</w:t>
      </w:r>
      <w:r w:rsidRPr="006114CB">
        <w:rPr>
          <w:rFonts w:eastAsia="Calibri"/>
          <w:rtl/>
        </w:rPr>
        <w:t>מתקן אחסון פעיל</w:t>
      </w:r>
      <w:r w:rsidRPr="006114CB">
        <w:rPr>
          <w:rFonts w:eastAsia="Calibri"/>
        </w:rPr>
        <w:t xml:space="preserve"> </w:t>
      </w:r>
      <w:r w:rsidRPr="006114CB">
        <w:rPr>
          <w:rFonts w:eastAsia="Calibri" w:hint="eastAsia"/>
          <w:rtl/>
        </w:rPr>
        <w:t>שממנו</w:t>
      </w:r>
      <w:r w:rsidRPr="006114CB">
        <w:rPr>
          <w:rFonts w:eastAsia="Calibri"/>
          <w:rtl/>
        </w:rPr>
        <w:t xml:space="preserve"> </w:t>
      </w:r>
      <w:r w:rsidRPr="006114CB">
        <w:rPr>
          <w:rFonts w:eastAsia="Calibri" w:hint="cs"/>
          <w:rtl/>
        </w:rPr>
        <w:t>אפשר</w:t>
      </w:r>
      <w:r w:rsidRPr="006114CB">
        <w:rPr>
          <w:rFonts w:eastAsia="Calibri"/>
          <w:rtl/>
        </w:rPr>
        <w:t xml:space="preserve"> יהיה לנפק את </w:t>
      </w:r>
      <w:r w:rsidRPr="006114CB">
        <w:rPr>
          <w:rFonts w:eastAsia="Calibri" w:hint="eastAsia"/>
          <w:rtl/>
        </w:rPr>
        <w:t>הגפ</w:t>
      </w:r>
      <w:r w:rsidRPr="006114CB">
        <w:rPr>
          <w:rFonts w:eastAsia="Calibri"/>
          <w:rtl/>
        </w:rPr>
        <w:t>"</w:t>
      </w:r>
      <w:r w:rsidRPr="006114CB">
        <w:rPr>
          <w:rFonts w:eastAsia="Calibri" w:hint="eastAsia"/>
          <w:rtl/>
        </w:rPr>
        <w:t>ם</w:t>
      </w:r>
      <w:r w:rsidRPr="006114CB">
        <w:rPr>
          <w:rFonts w:eastAsia="Calibri"/>
          <w:rtl/>
        </w:rPr>
        <w:t xml:space="preserve"> </w:t>
      </w:r>
      <w:r w:rsidRPr="006114CB">
        <w:rPr>
          <w:rFonts w:eastAsia="Calibri" w:hint="eastAsia"/>
          <w:rtl/>
        </w:rPr>
        <w:t>למכליות</w:t>
      </w:r>
      <w:r w:rsidRPr="006114CB">
        <w:rPr>
          <w:rFonts w:eastAsia="Calibri"/>
          <w:rtl/>
        </w:rPr>
        <w:t xml:space="preserve"> כביש. לכל אחד ממקטעים </w:t>
      </w:r>
      <w:r w:rsidRPr="006114CB">
        <w:rPr>
          <w:rFonts w:eastAsia="Calibri" w:hint="cs"/>
          <w:rtl/>
        </w:rPr>
        <w:t>ה</w:t>
      </w:r>
      <w:r w:rsidRPr="006114CB">
        <w:rPr>
          <w:rFonts w:eastAsia="Calibri"/>
          <w:rtl/>
        </w:rPr>
        <w:t xml:space="preserve">אלה דרוש גורם מפעיל והסדרה כלכלית של מבנה תעריפים אשר יאפשר את כדאיות המיזם ובכך להביא </w:t>
      </w:r>
      <w:r w:rsidRPr="006114CB">
        <w:rPr>
          <w:rFonts w:eastAsia="Calibri" w:hint="eastAsia"/>
          <w:rtl/>
        </w:rPr>
        <w:t>להקמתה</w:t>
      </w:r>
      <w:r w:rsidRPr="006114CB">
        <w:rPr>
          <w:rFonts w:eastAsia="Calibri"/>
          <w:rtl/>
        </w:rPr>
        <w:t xml:space="preserve"> והפעלתה של שרשרת האספקה שתיצור את היתירות באספקת </w:t>
      </w:r>
      <w:r w:rsidRPr="006114CB">
        <w:rPr>
          <w:rFonts w:eastAsia="Calibri" w:hint="cs"/>
          <w:rtl/>
        </w:rPr>
        <w:t>ה</w:t>
      </w:r>
      <w:r w:rsidRPr="006114CB">
        <w:rPr>
          <w:rFonts w:eastAsia="Calibri"/>
          <w:rtl/>
        </w:rPr>
        <w:t>גפ"ם החסר במשק</w:t>
      </w:r>
      <w:r w:rsidRPr="006114CB">
        <w:rPr>
          <w:rFonts w:eastAsia="Calibri" w:hint="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 xml:space="preserve">תמ"א 32/1 משנת 2017 </w:t>
      </w:r>
      <w:r w:rsidRPr="006114CB">
        <w:rPr>
          <w:rFonts w:ascii="David" w:eastAsia="Calibri" w:hAnsi="David"/>
          <w:rtl/>
        </w:rPr>
        <w:t>קובעת שטחים לתכנון אתרי גפ"ם חדשים ולהרחבת אתרי גפ"ם קיימים</w:t>
      </w:r>
      <w:r w:rsidRPr="006114CB">
        <w:rPr>
          <w:rFonts w:ascii="David" w:eastAsia="Calibri" w:hAnsi="David" w:hint="cs"/>
          <w:rtl/>
        </w:rPr>
        <w:t>,</w:t>
      </w:r>
      <w:r w:rsidRPr="006114CB">
        <w:rPr>
          <w:rFonts w:ascii="David" w:eastAsia="Calibri" w:hAnsi="David"/>
          <w:rtl/>
        </w:rPr>
        <w:t xml:space="preserve"> וכן קובעת הוראות לתכנון מפורט של האתרים וצנרת הגפ"ם.</w:t>
      </w:r>
      <w:r w:rsidRPr="006114CB">
        <w:rPr>
          <w:rFonts w:ascii="David" w:eastAsia="Calibri" w:hAnsi="David" w:hint="cs"/>
          <w:rtl/>
        </w:rPr>
        <w:t xml:space="preserve"> בתיאור התמ"א נאמר כי "</w:t>
      </w:r>
      <w:r w:rsidRPr="006114CB">
        <w:rPr>
          <w:rFonts w:ascii="David" w:eastAsia="Calibri" w:hAnsi="David"/>
          <w:rtl/>
        </w:rPr>
        <w:t>אתרי האחסון יאפשרו לגשר על פערים עונתיים של צריכת גפ"ם בעונות השנה השונות וכן לאפשר מלאי אחסון תפעולי למשק האנרגיה, לרבות לשעות חירום</w:t>
      </w:r>
      <w:r w:rsidRPr="006114CB">
        <w:rPr>
          <w:rFonts w:ascii="David" w:eastAsia="Calibri" w:hAnsi="David" w:hint="cs"/>
          <w:rtl/>
        </w:rPr>
        <w:t xml:space="preserve">". עוד צוין בתוכנית כי </w:t>
      </w:r>
      <w:r w:rsidRPr="006114CB">
        <w:rPr>
          <w:rFonts w:ascii="David" w:eastAsia="Calibri" w:hAnsi="David"/>
          <w:rtl/>
        </w:rPr>
        <w:t xml:space="preserve">באתרי האחסון של הגפ"ם </w:t>
      </w:r>
      <w:r w:rsidRPr="006114CB">
        <w:rPr>
          <w:rFonts w:ascii="David" w:eastAsia="Calibri" w:hAnsi="David" w:hint="cs"/>
          <w:rtl/>
        </w:rPr>
        <w:t xml:space="preserve">יתאפשרו </w:t>
      </w:r>
      <w:r w:rsidRPr="006114CB">
        <w:rPr>
          <w:rFonts w:ascii="David" w:eastAsia="Calibri" w:hAnsi="David"/>
          <w:rtl/>
        </w:rPr>
        <w:t xml:space="preserve">פעולות של מילוי בלונים ומילוי מכליות כביש. </w:t>
      </w:r>
    </w:p>
    <w:p w:rsidR="00E660CE" w:rsidP="002F4530">
      <w:pPr>
        <w:bidi w:val="0"/>
        <w:spacing w:after="200" w:line="276" w:lineRule="auto"/>
        <w:rPr>
          <w:rFonts w:ascii="David" w:eastAsia="Calibri" w:hAnsi="David"/>
          <w:rtl/>
        </w:rPr>
      </w:pPr>
      <w:r>
        <w:rPr>
          <w:rFonts w:ascii="David" w:eastAsia="Calibri" w:hAnsi="David"/>
          <w:rtl/>
        </w:rPr>
        <w:br w:type="page"/>
      </w:r>
    </w:p>
    <w:p w:rsidR="006114CB" w:rsidRPr="006114CB" w:rsidP="002F4530">
      <w:pPr>
        <w:spacing w:line="269" w:lineRule="auto"/>
        <w:rPr>
          <w:rFonts w:ascii="David" w:eastAsia="Calibri" w:hAnsi="David"/>
          <w:rtl/>
        </w:rPr>
      </w:pPr>
      <w:r w:rsidRPr="006114CB">
        <w:rPr>
          <w:rFonts w:ascii="David" w:eastAsia="Calibri" w:hAnsi="David" w:hint="cs"/>
          <w:rtl/>
        </w:rPr>
        <w:t xml:space="preserve">יודגש כי </w:t>
      </w:r>
      <w:r w:rsidRPr="006114CB">
        <w:rPr>
          <w:rFonts w:ascii="David" w:eastAsia="Calibri" w:hAnsi="David"/>
          <w:rtl/>
        </w:rPr>
        <w:t xml:space="preserve">במהלך הכנת </w:t>
      </w:r>
      <w:r w:rsidRPr="006114CB">
        <w:rPr>
          <w:rFonts w:ascii="David" w:eastAsia="Calibri" w:hAnsi="David" w:hint="cs"/>
          <w:rtl/>
        </w:rPr>
        <w:t xml:space="preserve">תמ"א 32 </w:t>
      </w:r>
      <w:r w:rsidRPr="006114CB">
        <w:rPr>
          <w:rFonts w:ascii="David" w:eastAsia="Calibri" w:hAnsi="David"/>
          <w:rtl/>
        </w:rPr>
        <w:t>(</w:t>
      </w:r>
      <w:r w:rsidRPr="006114CB">
        <w:rPr>
          <w:rFonts w:ascii="David" w:eastAsia="Calibri" w:hAnsi="David" w:hint="cs"/>
          <w:rtl/>
        </w:rPr>
        <w:t>ב</w:t>
      </w:r>
      <w:r w:rsidRPr="006114CB">
        <w:rPr>
          <w:rFonts w:ascii="David" w:eastAsia="Calibri" w:hAnsi="David"/>
          <w:rtl/>
        </w:rPr>
        <w:t>שנים 2012</w:t>
      </w:r>
      <w:r w:rsidRPr="006114CB">
        <w:rPr>
          <w:rFonts w:ascii="David" w:eastAsia="Calibri" w:hAnsi="David" w:hint="cs"/>
          <w:rtl/>
        </w:rPr>
        <w:t xml:space="preserve"> - </w:t>
      </w:r>
      <w:r w:rsidRPr="006114CB">
        <w:rPr>
          <w:rFonts w:ascii="David" w:eastAsia="Calibri" w:hAnsi="David"/>
          <w:rtl/>
        </w:rPr>
        <w:t>2016)</w:t>
      </w:r>
      <w:r w:rsidRPr="006114CB">
        <w:rPr>
          <w:rFonts w:ascii="David" w:eastAsia="Calibri" w:hAnsi="David" w:hint="cs"/>
          <w:rtl/>
        </w:rPr>
        <w:t>,</w:t>
      </w:r>
      <w:r w:rsidRPr="006114CB">
        <w:rPr>
          <w:rFonts w:ascii="David" w:eastAsia="Calibri" w:hAnsi="David"/>
          <w:rtl/>
        </w:rPr>
        <w:t xml:space="preserve"> נתקלו כל ההצעות לאתרים בהתנגדויות עזות </w:t>
      </w:r>
      <w:r w:rsidRPr="006114CB">
        <w:rPr>
          <w:rFonts w:ascii="David" w:eastAsia="Calibri" w:hAnsi="David" w:hint="cs"/>
          <w:rtl/>
        </w:rPr>
        <w:t>של</w:t>
      </w:r>
      <w:r w:rsidRPr="006114CB">
        <w:rPr>
          <w:rFonts w:ascii="David" w:eastAsia="Calibri" w:hAnsi="David"/>
          <w:rtl/>
        </w:rPr>
        <w:t xml:space="preserve"> תושבים וראשי רשויות מקומיות. לגבי כל האתרים המוצעים נטען שמיקומם מסכן את חיי התושבים</w:t>
      </w:r>
      <w:r w:rsidRPr="006114CB">
        <w:rPr>
          <w:rFonts w:ascii="David" w:eastAsia="Calibri" w:hAnsi="David" w:hint="cs"/>
          <w:rtl/>
        </w:rPr>
        <w:t>,</w:t>
      </w:r>
      <w:r w:rsidRPr="006114CB">
        <w:rPr>
          <w:rFonts w:ascii="David" w:eastAsia="Calibri" w:hAnsi="David"/>
          <w:rtl/>
        </w:rPr>
        <w:t xml:space="preserve"> ולכן צריך למקם אותם "רחוק יותר". אף על פי שצוות התכנון של תוכנית המתאר קיים פגישות עם תושבים וערך דיונים עם ראשי הרשויות המקומיות, שבמהלכ</w:t>
      </w:r>
      <w:r w:rsidRPr="006114CB">
        <w:rPr>
          <w:rFonts w:ascii="David" w:eastAsia="Calibri" w:hAnsi="David" w:hint="cs"/>
          <w:rtl/>
        </w:rPr>
        <w:t>ם</w:t>
      </w:r>
      <w:r w:rsidRPr="006114CB">
        <w:rPr>
          <w:rFonts w:ascii="David" w:eastAsia="Calibri" w:hAnsi="David"/>
          <w:rtl/>
        </w:rPr>
        <w:t xml:space="preserve"> הוצגו מרחקי הפרדה ואמצעי בטיחות קפדניים, </w:t>
      </w:r>
      <w:r w:rsidRPr="006114CB">
        <w:rPr>
          <w:rFonts w:ascii="David" w:eastAsia="Calibri" w:hAnsi="David" w:hint="cs"/>
          <w:rtl/>
        </w:rPr>
        <w:t xml:space="preserve">הוסיף </w:t>
      </w:r>
      <w:r w:rsidRPr="006114CB">
        <w:rPr>
          <w:rFonts w:ascii="David" w:eastAsia="Calibri" w:hAnsi="David"/>
          <w:rtl/>
        </w:rPr>
        <w:t>הציבור להתנגד להקמת אתרי הגפ"ם בקרבתו.</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eastAsia="Calibri"/>
          <w:rtl/>
        </w:rPr>
        <w:t>הצורך באחסון נוסף של גפ"ם גבר בשנים האחרונות בעקבות החלט</w:t>
      </w:r>
      <w:r w:rsidRPr="006114CB">
        <w:rPr>
          <w:rFonts w:eastAsia="Calibri" w:hint="cs"/>
          <w:rtl/>
        </w:rPr>
        <w:t>ת הממשלה 1231</w:t>
      </w:r>
      <w:r w:rsidRPr="006114CB">
        <w:rPr>
          <w:rFonts w:ascii="David" w:eastAsia="Calibri" w:hAnsi="David" w:hint="cs"/>
          <w:rtl/>
        </w:rPr>
        <w:t>,</w:t>
      </w:r>
      <w:r w:rsidRPr="006114CB">
        <w:rPr>
          <w:rFonts w:ascii="David" w:eastAsia="Calibri" w:hAnsi="David"/>
          <w:rtl/>
        </w:rPr>
        <w:t xml:space="preserve"> </w:t>
      </w:r>
      <w:r w:rsidRPr="006114CB">
        <w:rPr>
          <w:rFonts w:ascii="David" w:eastAsia="Calibri" w:hAnsi="David" w:hint="cs"/>
          <w:rtl/>
        </w:rPr>
        <w:t>ש</w:t>
      </w:r>
      <w:r w:rsidRPr="006114CB">
        <w:rPr>
          <w:rFonts w:eastAsia="Calibri" w:hint="cs"/>
          <w:rtl/>
        </w:rPr>
        <w:t xml:space="preserve">במסגרתה הוחלט </w:t>
      </w:r>
      <w:r w:rsidRPr="006114CB">
        <w:rPr>
          <w:rFonts w:eastAsia="Calibri"/>
          <w:rtl/>
        </w:rPr>
        <w:t>על סגירת בז</w:t>
      </w:r>
      <w:r w:rsidRPr="006114CB">
        <w:rPr>
          <w:rFonts w:eastAsia="Calibri" w:hint="cs"/>
          <w:rtl/>
        </w:rPr>
        <w:t>"</w:t>
      </w:r>
      <w:r w:rsidRPr="006114CB">
        <w:rPr>
          <w:rFonts w:eastAsia="Calibri"/>
          <w:rtl/>
        </w:rPr>
        <w:t xml:space="preserve">ן, </w:t>
      </w:r>
      <w:r w:rsidRPr="006114CB">
        <w:rPr>
          <w:rFonts w:eastAsia="Calibri" w:hint="cs"/>
          <w:rtl/>
        </w:rPr>
        <w:t xml:space="preserve">ולכן </w:t>
      </w:r>
      <w:r w:rsidRPr="006114CB">
        <w:rPr>
          <w:rFonts w:eastAsia="Calibri"/>
          <w:rtl/>
        </w:rPr>
        <w:t>יש צורך ב</w:t>
      </w:r>
      <w:r w:rsidRPr="006114CB">
        <w:rPr>
          <w:rFonts w:eastAsia="Calibri" w:hint="cs"/>
          <w:rtl/>
        </w:rPr>
        <w:t xml:space="preserve">תכנון </w:t>
      </w:r>
      <w:r w:rsidRPr="006114CB">
        <w:rPr>
          <w:rFonts w:eastAsia="Calibri"/>
          <w:rtl/>
        </w:rPr>
        <w:t>כניסות נוספות של יבוא גפ"ם ואחסונו</w:t>
      </w:r>
      <w:r w:rsidRPr="006114CB">
        <w:rPr>
          <w:rFonts w:eastAsia="Calibri" w:hint="cs"/>
          <w:rtl/>
        </w:rPr>
        <w:t>.</w:t>
      </w:r>
      <w:r w:rsidRPr="006114CB">
        <w:rPr>
          <w:rFonts w:eastAsia="Calibri"/>
          <w:rtl/>
        </w:rPr>
        <w:t xml:space="preserve"> </w:t>
      </w:r>
      <w:r w:rsidRPr="006114CB">
        <w:rPr>
          <w:rFonts w:eastAsia="Calibri" w:hint="cs"/>
          <w:rtl/>
        </w:rPr>
        <w:t>בהתאם לכך, גובשו תוכניות מתאר שונות כגון תמ"א 75 ובנותיה,</w:t>
      </w:r>
      <w:r w:rsidRPr="006114CB">
        <w:rPr>
          <w:rFonts w:ascii="David" w:eastAsia="Calibri" w:hAnsi="David" w:hint="cs"/>
          <w:rtl/>
        </w:rPr>
        <w:t xml:space="preserve"> תת"ל 81א ועוד, אשר </w:t>
      </w:r>
      <w:r w:rsidRPr="006114CB">
        <w:rPr>
          <w:rFonts w:ascii="David" w:eastAsia="Calibri" w:hAnsi="David"/>
          <w:rtl/>
        </w:rPr>
        <w:t>נועד</w:t>
      </w:r>
      <w:r w:rsidRPr="006114CB">
        <w:rPr>
          <w:rFonts w:ascii="David" w:eastAsia="Calibri" w:hAnsi="David" w:hint="cs"/>
          <w:rtl/>
        </w:rPr>
        <w:t>ו</w:t>
      </w:r>
      <w:r w:rsidRPr="006114CB">
        <w:rPr>
          <w:rFonts w:ascii="David" w:eastAsia="Calibri" w:hAnsi="David"/>
          <w:rtl/>
        </w:rPr>
        <w:t xml:space="preserve"> </w:t>
      </w:r>
      <w:r w:rsidRPr="006114CB">
        <w:rPr>
          <w:rFonts w:ascii="David" w:eastAsia="Calibri" w:hAnsi="David" w:hint="cs"/>
          <w:rtl/>
        </w:rPr>
        <w:t>לתת מענה</w:t>
      </w:r>
      <w:r w:rsidRPr="006114CB">
        <w:rPr>
          <w:rFonts w:ascii="David" w:eastAsia="Calibri" w:hAnsi="David"/>
          <w:rtl/>
        </w:rPr>
        <w:t xml:space="preserve"> </w:t>
      </w:r>
      <w:r w:rsidRPr="006114CB">
        <w:rPr>
          <w:rFonts w:ascii="David" w:eastAsia="Calibri" w:hAnsi="David" w:hint="cs"/>
          <w:rtl/>
        </w:rPr>
        <w:t>ל</w:t>
      </w:r>
      <w:r w:rsidRPr="006114CB">
        <w:rPr>
          <w:rFonts w:ascii="David" w:eastAsia="Calibri" w:hAnsi="David"/>
          <w:rtl/>
        </w:rPr>
        <w:t>סוגיות התכנוניות הכלולות בהחלטת הממשלה 1231</w:t>
      </w:r>
      <w:r w:rsidRPr="006114CB">
        <w:rPr>
          <w:rFonts w:ascii="David" w:eastAsia="Calibri" w:hAnsi="David" w:hint="cs"/>
          <w:rtl/>
        </w:rPr>
        <w:t>,</w:t>
      </w:r>
      <w:r w:rsidRPr="006114CB">
        <w:rPr>
          <w:rFonts w:ascii="David" w:eastAsia="Calibri" w:hAnsi="David"/>
          <w:rtl/>
        </w:rPr>
        <w:t xml:space="preserve"> </w:t>
      </w:r>
      <w:r w:rsidRPr="006114CB">
        <w:rPr>
          <w:rFonts w:ascii="David" w:eastAsia="Calibri" w:hAnsi="David" w:hint="cs"/>
          <w:rtl/>
        </w:rPr>
        <w:t>ובין היתר למצוא פתרונות ליבוא ולאחסון של גפ</w:t>
      </w:r>
      <w:r w:rsidRPr="006114CB">
        <w:rPr>
          <w:rFonts w:ascii="David" w:eastAsia="Calibri" w:hAnsi="David"/>
          <w:rtl/>
        </w:rPr>
        <w:t>"</w:t>
      </w:r>
      <w:r w:rsidRPr="006114CB">
        <w:rPr>
          <w:rFonts w:ascii="David" w:eastAsia="Calibri" w:hAnsi="David" w:hint="cs"/>
          <w:rtl/>
        </w:rPr>
        <w:t>ם בשגרה ובחירום חלף ייצורו על ידי בז"ן.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eastAsia="Calibri"/>
          <w:rtl/>
        </w:rPr>
      </w:pPr>
      <w:r w:rsidRPr="006114CB">
        <w:rPr>
          <w:rFonts w:eastAsia="Calibri" w:hint="cs"/>
          <w:rtl/>
        </w:rPr>
        <w:t xml:space="preserve">לצד תכנונו של מתקן אחסון לגפ"ם, נדרש לקדם </w:t>
      </w:r>
      <w:r w:rsidRPr="006114CB">
        <w:rPr>
          <w:rFonts w:eastAsia="Calibri" w:hint="eastAsia"/>
          <w:rtl/>
        </w:rPr>
        <w:t>מקשר</w:t>
      </w:r>
      <w:r w:rsidRPr="006114CB">
        <w:rPr>
          <w:rFonts w:eastAsia="Calibri"/>
          <w:rtl/>
        </w:rPr>
        <w:t xml:space="preserve"> </w:t>
      </w:r>
      <w:r w:rsidRPr="006114CB">
        <w:rPr>
          <w:rFonts w:eastAsia="Calibri" w:hint="eastAsia"/>
          <w:rtl/>
        </w:rPr>
        <w:t>ימי</w:t>
      </w:r>
      <w:r w:rsidRPr="006114CB">
        <w:rPr>
          <w:rFonts w:eastAsia="Calibri" w:hint="cs"/>
          <w:rtl/>
        </w:rPr>
        <w:t xml:space="preserve"> או מזח מתאים ליבוא גפ</w:t>
      </w:r>
      <w:r w:rsidRPr="006114CB">
        <w:rPr>
          <w:rFonts w:eastAsia="Calibri"/>
          <w:rtl/>
        </w:rPr>
        <w:t>"</w:t>
      </w:r>
      <w:r w:rsidRPr="006114CB">
        <w:rPr>
          <w:rFonts w:eastAsia="Calibri" w:hint="cs"/>
          <w:rtl/>
        </w:rPr>
        <w:t xml:space="preserve">ם. </w:t>
      </w:r>
      <w:r w:rsidRPr="006114CB">
        <w:rPr>
          <w:rFonts w:eastAsia="Calibri"/>
          <w:rtl/>
        </w:rPr>
        <w:t xml:space="preserve">יש להביא בחשבון את המרחק שבין שטח האחסון המאושר בהיבט הסטטוטורי </w:t>
      </w:r>
      <w:r w:rsidRPr="006114CB">
        <w:rPr>
          <w:rFonts w:eastAsia="Calibri" w:hint="eastAsia"/>
          <w:rtl/>
        </w:rPr>
        <w:t>ואת</w:t>
      </w:r>
      <w:r w:rsidRPr="006114CB">
        <w:rPr>
          <w:rFonts w:eastAsia="Calibri"/>
          <w:rtl/>
        </w:rPr>
        <w:t xml:space="preserve"> </w:t>
      </w:r>
      <w:r w:rsidRPr="006114CB">
        <w:rPr>
          <w:rFonts w:eastAsia="Calibri" w:hint="cs"/>
          <w:rtl/>
        </w:rPr>
        <w:t>ה</w:t>
      </w:r>
      <w:r w:rsidRPr="006114CB">
        <w:rPr>
          <w:rFonts w:eastAsia="Calibri" w:hint="eastAsia"/>
          <w:rtl/>
        </w:rPr>
        <w:t>אורך</w:t>
      </w:r>
      <w:r w:rsidRPr="006114CB">
        <w:rPr>
          <w:rFonts w:eastAsia="Calibri"/>
          <w:rtl/>
        </w:rPr>
        <w:t xml:space="preserve"> ו</w:t>
      </w:r>
      <w:r w:rsidRPr="006114CB">
        <w:rPr>
          <w:rFonts w:eastAsia="Calibri" w:hint="cs"/>
          <w:rtl/>
        </w:rPr>
        <w:t>ה</w:t>
      </w:r>
      <w:r w:rsidRPr="006114CB">
        <w:rPr>
          <w:rFonts w:eastAsia="Calibri"/>
          <w:rtl/>
        </w:rPr>
        <w:t xml:space="preserve">תוואי </w:t>
      </w:r>
      <w:r w:rsidRPr="006114CB">
        <w:rPr>
          <w:rFonts w:eastAsia="Calibri" w:hint="cs"/>
          <w:rtl/>
        </w:rPr>
        <w:t xml:space="preserve">של </w:t>
      </w:r>
      <w:r w:rsidRPr="006114CB">
        <w:rPr>
          <w:rFonts w:eastAsia="Calibri"/>
          <w:rtl/>
        </w:rPr>
        <w:t xml:space="preserve">צנרת </w:t>
      </w:r>
      <w:r w:rsidRPr="006114CB">
        <w:rPr>
          <w:rFonts w:eastAsia="Calibri" w:hint="eastAsia"/>
          <w:rtl/>
        </w:rPr>
        <w:t>הגפ</w:t>
      </w:r>
      <w:r w:rsidRPr="006114CB">
        <w:rPr>
          <w:rFonts w:eastAsia="Calibri"/>
          <w:rtl/>
        </w:rPr>
        <w:t>"</w:t>
      </w:r>
      <w:r w:rsidRPr="006114CB">
        <w:rPr>
          <w:rFonts w:eastAsia="Calibri" w:hint="eastAsia"/>
          <w:rtl/>
        </w:rPr>
        <w:t>ם</w:t>
      </w:r>
      <w:r w:rsidRPr="006114CB">
        <w:rPr>
          <w:rFonts w:eastAsia="Calibri"/>
          <w:rtl/>
        </w:rPr>
        <w:t xml:space="preserve"> המתוכננת עד </w:t>
      </w:r>
      <w:r w:rsidRPr="006114CB">
        <w:rPr>
          <w:rFonts w:eastAsia="Calibri" w:hint="cs"/>
          <w:rtl/>
        </w:rPr>
        <w:t>ה</w:t>
      </w:r>
      <w:r w:rsidRPr="006114CB">
        <w:rPr>
          <w:rFonts w:eastAsia="Calibri"/>
          <w:rtl/>
        </w:rPr>
        <w:t>מקשר הימי</w:t>
      </w:r>
      <w:r w:rsidRPr="006114CB">
        <w:rPr>
          <w:rFonts w:eastAsia="Calibri" w:hint="cs"/>
          <w:rtl/>
        </w:rPr>
        <w:t xml:space="preserve"> או המזח</w:t>
      </w:r>
      <w:r w:rsidRPr="006114CB">
        <w:rPr>
          <w:rFonts w:eastAsia="Calibri"/>
          <w:rtl/>
        </w:rPr>
        <w:t xml:space="preserve"> המתוכנ</w:t>
      </w:r>
      <w:r w:rsidRPr="006114CB">
        <w:rPr>
          <w:rFonts w:eastAsia="Calibri" w:hint="cs"/>
          <w:rtl/>
        </w:rPr>
        <w:t>ן</w:t>
      </w:r>
      <w:r w:rsidRPr="006114CB">
        <w:rPr>
          <w:rFonts w:eastAsia="Calibri"/>
          <w:rtl/>
        </w:rPr>
        <w:t xml:space="preserve">. לאלה תהיה חשיבות </w:t>
      </w:r>
      <w:r w:rsidRPr="006114CB">
        <w:rPr>
          <w:rFonts w:eastAsia="Calibri" w:hint="eastAsia"/>
          <w:rtl/>
        </w:rPr>
        <w:t>בקביעת</w:t>
      </w:r>
      <w:r w:rsidRPr="006114CB">
        <w:rPr>
          <w:rFonts w:eastAsia="Calibri"/>
          <w:rtl/>
        </w:rPr>
        <w:t xml:space="preserve"> </w:t>
      </w:r>
      <w:r w:rsidRPr="006114CB">
        <w:rPr>
          <w:rFonts w:eastAsia="Calibri" w:hint="eastAsia"/>
          <w:rtl/>
        </w:rPr>
        <w:t>מקומו</w:t>
      </w:r>
      <w:r w:rsidRPr="006114CB">
        <w:rPr>
          <w:rFonts w:eastAsia="Calibri"/>
          <w:rtl/>
        </w:rPr>
        <w:t xml:space="preserve"> </w:t>
      </w:r>
      <w:r w:rsidRPr="006114CB">
        <w:rPr>
          <w:rFonts w:eastAsia="Calibri" w:hint="eastAsia"/>
          <w:rtl/>
        </w:rPr>
        <w:t>הרצוי</w:t>
      </w:r>
      <w:r w:rsidRPr="006114CB">
        <w:rPr>
          <w:rFonts w:eastAsia="Calibri"/>
          <w:rtl/>
        </w:rPr>
        <w:t xml:space="preserve"> </w:t>
      </w:r>
      <w:r w:rsidRPr="006114CB">
        <w:rPr>
          <w:rFonts w:eastAsia="Calibri" w:hint="eastAsia"/>
          <w:rtl/>
        </w:rPr>
        <w:t>של</w:t>
      </w:r>
      <w:r w:rsidRPr="006114CB">
        <w:rPr>
          <w:rFonts w:eastAsia="Calibri"/>
          <w:rtl/>
        </w:rPr>
        <w:t xml:space="preserve"> </w:t>
      </w:r>
      <w:r w:rsidRPr="006114CB">
        <w:rPr>
          <w:rFonts w:eastAsia="Calibri" w:hint="eastAsia"/>
          <w:rtl/>
        </w:rPr>
        <w:t>המקשר</w:t>
      </w:r>
      <w:r w:rsidRPr="006114CB">
        <w:rPr>
          <w:rFonts w:eastAsia="Calibri"/>
          <w:rtl/>
        </w:rPr>
        <w:t xml:space="preserve"> </w:t>
      </w:r>
      <w:r w:rsidRPr="006114CB">
        <w:rPr>
          <w:rFonts w:eastAsia="Calibri" w:hint="eastAsia"/>
          <w:rtl/>
        </w:rPr>
        <w:t>הימי</w:t>
      </w:r>
      <w:r w:rsidRPr="006114CB">
        <w:rPr>
          <w:rFonts w:eastAsia="Calibri"/>
          <w:rtl/>
        </w:rPr>
        <w:t xml:space="preserve">, </w:t>
      </w:r>
      <w:r w:rsidRPr="006114CB">
        <w:rPr>
          <w:rFonts w:eastAsia="Calibri" w:hint="cs"/>
          <w:rtl/>
        </w:rPr>
        <w:t>ב</w:t>
      </w:r>
      <w:r w:rsidRPr="006114CB">
        <w:rPr>
          <w:rFonts w:eastAsia="Calibri" w:hint="eastAsia"/>
          <w:rtl/>
        </w:rPr>
        <w:t>משך</w:t>
      </w:r>
      <w:r w:rsidRPr="006114CB">
        <w:rPr>
          <w:rFonts w:eastAsia="Calibri"/>
          <w:rtl/>
        </w:rPr>
        <w:t xml:space="preserve"> </w:t>
      </w:r>
      <w:r w:rsidRPr="006114CB">
        <w:rPr>
          <w:rFonts w:eastAsia="Calibri" w:hint="cs"/>
          <w:rtl/>
        </w:rPr>
        <w:t>ה</w:t>
      </w:r>
      <w:r w:rsidRPr="006114CB">
        <w:rPr>
          <w:rFonts w:eastAsia="Calibri"/>
          <w:rtl/>
        </w:rPr>
        <w:t xml:space="preserve">זמן </w:t>
      </w:r>
      <w:r w:rsidRPr="006114CB">
        <w:rPr>
          <w:rFonts w:eastAsia="Calibri" w:hint="cs"/>
          <w:rtl/>
        </w:rPr>
        <w:t>ל</w:t>
      </w:r>
      <w:r w:rsidRPr="006114CB">
        <w:rPr>
          <w:rFonts w:eastAsia="Calibri"/>
          <w:rtl/>
        </w:rPr>
        <w:t xml:space="preserve">הקמת שרשרת האספקה ולעלותה, </w:t>
      </w:r>
      <w:r w:rsidRPr="006114CB">
        <w:rPr>
          <w:rFonts w:eastAsia="Calibri" w:hint="cs"/>
          <w:rtl/>
        </w:rPr>
        <w:t>ואלו</w:t>
      </w:r>
      <w:r w:rsidRPr="006114CB">
        <w:rPr>
          <w:rFonts w:eastAsia="Calibri"/>
          <w:rtl/>
        </w:rPr>
        <w:t xml:space="preserve"> </w:t>
      </w:r>
      <w:r w:rsidRPr="006114CB">
        <w:rPr>
          <w:rFonts w:eastAsia="Calibri" w:hint="eastAsia"/>
          <w:rtl/>
        </w:rPr>
        <w:t>ישפיעו</w:t>
      </w:r>
      <w:r w:rsidRPr="006114CB">
        <w:rPr>
          <w:rFonts w:eastAsia="Calibri"/>
          <w:rtl/>
        </w:rPr>
        <w:t xml:space="preserve"> </w:t>
      </w:r>
      <w:r w:rsidRPr="006114CB">
        <w:rPr>
          <w:rFonts w:eastAsia="Calibri" w:hint="eastAsia"/>
          <w:rtl/>
        </w:rPr>
        <w:t>לבסוף</w:t>
      </w:r>
      <w:r w:rsidRPr="006114CB">
        <w:rPr>
          <w:rFonts w:eastAsia="Calibri"/>
          <w:rtl/>
        </w:rPr>
        <w:t xml:space="preserve"> על מחירי </w:t>
      </w:r>
      <w:r w:rsidRPr="006114CB">
        <w:rPr>
          <w:rFonts w:eastAsia="Calibri" w:hint="eastAsia"/>
          <w:rtl/>
        </w:rPr>
        <w:t>הגפ</w:t>
      </w:r>
      <w:r w:rsidRPr="006114CB">
        <w:rPr>
          <w:rFonts w:eastAsia="Calibri"/>
          <w:rtl/>
        </w:rPr>
        <w:t>"</w:t>
      </w:r>
      <w:r w:rsidRPr="006114CB">
        <w:rPr>
          <w:rFonts w:eastAsia="Calibri" w:hint="eastAsia"/>
          <w:rtl/>
        </w:rPr>
        <w:t>ם</w:t>
      </w:r>
      <w:r w:rsidRPr="006114CB">
        <w:rPr>
          <w:rFonts w:eastAsia="Calibri"/>
          <w:rtl/>
        </w:rPr>
        <w:t xml:space="preserve"> לצרכנים.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rtl/>
        </w:rPr>
      </w:pPr>
      <w:r w:rsidRPr="006114CB">
        <w:rPr>
          <w:rFonts w:ascii="David" w:eastAsia="Calibri" w:hAnsi="David" w:hint="cs"/>
          <w:rtl/>
        </w:rPr>
        <w:t>בלוח להלן מפורטות תוכניות המתאר הקיימות במינהל התכנון לאחסון גפ</w:t>
      </w:r>
      <w:r w:rsidRPr="006114CB">
        <w:rPr>
          <w:rFonts w:ascii="David" w:eastAsia="Calibri" w:hAnsi="David"/>
          <w:rtl/>
        </w:rPr>
        <w:t>"</w:t>
      </w:r>
      <w:r w:rsidRPr="006114CB">
        <w:rPr>
          <w:rFonts w:ascii="David" w:eastAsia="Calibri" w:hAnsi="David" w:hint="cs"/>
          <w:rtl/>
        </w:rPr>
        <w:t>ם ותוכניות תשתיות לאומיות (תת"ל) רלוונטיות: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jc w:val="center"/>
        <w:rPr>
          <w:rFonts w:ascii="David" w:eastAsia="Calibri" w:hAnsi="David"/>
          <w:b/>
          <w:bCs/>
          <w:rtl/>
        </w:rPr>
      </w:pPr>
      <w:r w:rsidRPr="006114CB">
        <w:rPr>
          <w:rFonts w:ascii="David" w:eastAsia="Calibri" w:hAnsi="David" w:hint="eastAsia"/>
          <w:rtl/>
        </w:rPr>
        <w:t>לוח</w:t>
      </w:r>
      <w:r w:rsidRPr="006114CB">
        <w:rPr>
          <w:rFonts w:ascii="David" w:eastAsia="Calibri" w:hAnsi="David"/>
          <w:rtl/>
        </w:rPr>
        <w:t xml:space="preserve"> 2:</w:t>
      </w:r>
      <w:r w:rsidRPr="006114CB">
        <w:rPr>
          <w:rFonts w:ascii="David" w:eastAsia="Calibri" w:hAnsi="David" w:hint="cs"/>
          <w:b/>
          <w:bCs/>
          <w:rtl/>
        </w:rPr>
        <w:t xml:space="preserve"> תוכניות מתאר ארציות לאחסון גפ"ם, יולי 2025</w:t>
      </w:r>
    </w:p>
    <w:tbl>
      <w:tblPr>
        <w:tblStyle w:val="TableGrid"/>
        <w:bidiVisual/>
        <w:tblW w:w="8211" w:type="dxa"/>
        <w:tblLook w:val="04A0"/>
      </w:tblPr>
      <w:tblGrid>
        <w:gridCol w:w="2103"/>
        <w:gridCol w:w="2134"/>
        <w:gridCol w:w="1881"/>
        <w:gridCol w:w="2093"/>
      </w:tblGrid>
      <w:tr w:rsidTr="006114CB">
        <w:tblPrEx>
          <w:tblW w:w="8211" w:type="dxa"/>
          <w:tblLook w:val="04A0"/>
        </w:tblPrEx>
        <w:tc>
          <w:tcPr>
            <w:tcW w:w="2102" w:type="dxa"/>
          </w:tcPr>
          <w:p w:rsidR="006114CB" w:rsidRPr="006114CB" w:rsidP="002F4530">
            <w:pPr>
              <w:spacing w:line="269" w:lineRule="auto"/>
              <w:jc w:val="center"/>
              <w:rPr>
                <w:bCs/>
                <w:sz w:val="22"/>
                <w:szCs w:val="22"/>
                <w:rtl/>
              </w:rPr>
            </w:pPr>
            <w:r w:rsidRPr="006114CB">
              <w:rPr>
                <w:bCs/>
                <w:sz w:val="22"/>
                <w:szCs w:val="22"/>
                <w:rtl/>
              </w:rPr>
              <w:t>התמ"א</w:t>
            </w:r>
          </w:p>
        </w:tc>
        <w:tc>
          <w:tcPr>
            <w:tcW w:w="2134" w:type="dxa"/>
          </w:tcPr>
          <w:p w:rsidR="006114CB" w:rsidRPr="006114CB" w:rsidP="002F4530">
            <w:pPr>
              <w:spacing w:line="269" w:lineRule="auto"/>
              <w:jc w:val="center"/>
              <w:rPr>
                <w:bCs/>
                <w:sz w:val="22"/>
                <w:szCs w:val="22"/>
                <w:rtl/>
              </w:rPr>
            </w:pPr>
            <w:r w:rsidRPr="006114CB">
              <w:rPr>
                <w:rFonts w:hint="eastAsia"/>
                <w:bCs/>
                <w:sz w:val="22"/>
                <w:szCs w:val="22"/>
                <w:rtl/>
              </w:rPr>
              <w:t>כמות</w:t>
            </w:r>
            <w:r w:rsidRPr="006114CB">
              <w:rPr>
                <w:bCs/>
                <w:sz w:val="22"/>
                <w:szCs w:val="22"/>
                <w:rtl/>
              </w:rPr>
              <w:t xml:space="preserve"> גפ"</w:t>
            </w:r>
            <w:r w:rsidRPr="006114CB">
              <w:rPr>
                <w:rFonts w:hint="eastAsia"/>
                <w:bCs/>
                <w:sz w:val="22"/>
                <w:szCs w:val="22"/>
                <w:rtl/>
              </w:rPr>
              <w:t>ם</w:t>
            </w:r>
            <w:r w:rsidRPr="006114CB">
              <w:rPr>
                <w:bCs/>
                <w:sz w:val="22"/>
                <w:szCs w:val="22"/>
                <w:rtl/>
              </w:rPr>
              <w:t xml:space="preserve"> מתוכננת</w:t>
            </w:r>
          </w:p>
        </w:tc>
        <w:tc>
          <w:tcPr>
            <w:tcW w:w="1881" w:type="dxa"/>
          </w:tcPr>
          <w:p w:rsidR="006114CB" w:rsidRPr="006114CB" w:rsidP="002F4530">
            <w:pPr>
              <w:spacing w:line="269" w:lineRule="auto"/>
              <w:jc w:val="center"/>
              <w:rPr>
                <w:bCs/>
                <w:sz w:val="22"/>
                <w:szCs w:val="22"/>
                <w:rtl/>
              </w:rPr>
            </w:pPr>
            <w:r w:rsidRPr="006114CB">
              <w:rPr>
                <w:rFonts w:hint="eastAsia"/>
                <w:bCs/>
                <w:sz w:val="22"/>
                <w:szCs w:val="22"/>
                <w:rtl/>
              </w:rPr>
              <w:t>מיקום</w:t>
            </w:r>
          </w:p>
        </w:tc>
        <w:tc>
          <w:tcPr>
            <w:tcW w:w="2093" w:type="dxa"/>
          </w:tcPr>
          <w:p w:rsidR="006114CB" w:rsidRPr="006114CB" w:rsidP="002F4530">
            <w:pPr>
              <w:spacing w:line="269" w:lineRule="auto"/>
              <w:jc w:val="center"/>
              <w:rPr>
                <w:bCs/>
                <w:sz w:val="22"/>
                <w:szCs w:val="22"/>
                <w:rtl/>
              </w:rPr>
            </w:pPr>
            <w:r w:rsidRPr="006114CB">
              <w:rPr>
                <w:rFonts w:hint="eastAsia"/>
                <w:bCs/>
                <w:sz w:val="22"/>
                <w:szCs w:val="22"/>
                <w:rtl/>
              </w:rPr>
              <w:t>סטטוס</w:t>
            </w:r>
          </w:p>
        </w:tc>
      </w:tr>
      <w:tr w:rsidTr="006114CB">
        <w:tblPrEx>
          <w:tblW w:w="8211" w:type="dxa"/>
          <w:tblLook w:val="04A0"/>
        </w:tblPrEx>
        <w:tc>
          <w:tcPr>
            <w:tcW w:w="2102" w:type="dxa"/>
          </w:tcPr>
          <w:p w:rsidR="006114CB" w:rsidRPr="006114CB" w:rsidP="002F4530">
            <w:pPr>
              <w:spacing w:line="269" w:lineRule="auto"/>
              <w:jc w:val="left"/>
              <w:rPr>
                <w:sz w:val="22"/>
                <w:szCs w:val="22"/>
              </w:rPr>
            </w:pPr>
            <w:r w:rsidRPr="006114CB">
              <w:rPr>
                <w:sz w:val="22"/>
                <w:szCs w:val="22"/>
                <w:rtl/>
              </w:rPr>
              <w:t>32/ 1/ א</w:t>
            </w:r>
          </w:p>
        </w:tc>
        <w:tc>
          <w:tcPr>
            <w:tcW w:w="2134" w:type="dxa"/>
          </w:tcPr>
          <w:p w:rsidR="006114CB" w:rsidRPr="006114CB" w:rsidP="002F4530">
            <w:pPr>
              <w:spacing w:line="269" w:lineRule="auto"/>
              <w:jc w:val="left"/>
              <w:rPr>
                <w:sz w:val="22"/>
                <w:szCs w:val="22"/>
                <w:rtl/>
              </w:rPr>
            </w:pPr>
            <w:r w:rsidRPr="006114CB">
              <w:rPr>
                <w:sz w:val="22"/>
                <w:szCs w:val="22"/>
                <w:rtl/>
              </w:rPr>
              <w:t>10,000</w:t>
            </w:r>
          </w:p>
        </w:tc>
        <w:tc>
          <w:tcPr>
            <w:tcW w:w="1881" w:type="dxa"/>
          </w:tcPr>
          <w:p w:rsidR="006114CB" w:rsidRPr="006114CB" w:rsidP="002F4530">
            <w:pPr>
              <w:spacing w:line="269" w:lineRule="auto"/>
              <w:jc w:val="left"/>
              <w:rPr>
                <w:sz w:val="22"/>
                <w:szCs w:val="22"/>
                <w:rtl/>
              </w:rPr>
            </w:pPr>
            <w:r w:rsidRPr="006114CB">
              <w:rPr>
                <w:rFonts w:hint="eastAsia"/>
                <w:sz w:val="22"/>
                <w:szCs w:val="22"/>
                <w:rtl/>
              </w:rPr>
              <w:t>יבור</w:t>
            </w:r>
          </w:p>
        </w:tc>
        <w:tc>
          <w:tcPr>
            <w:tcW w:w="2093" w:type="dxa"/>
          </w:tcPr>
          <w:p w:rsidR="006114CB" w:rsidRPr="006114CB" w:rsidP="002F4530">
            <w:pPr>
              <w:spacing w:line="269" w:lineRule="auto"/>
              <w:jc w:val="left"/>
              <w:rPr>
                <w:sz w:val="22"/>
                <w:szCs w:val="22"/>
                <w:rtl/>
              </w:rPr>
            </w:pPr>
            <w:r w:rsidRPr="006114CB">
              <w:rPr>
                <w:rFonts w:hint="eastAsia"/>
                <w:sz w:val="22"/>
                <w:szCs w:val="22"/>
                <w:rtl/>
              </w:rPr>
              <w:t>מאושרת</w:t>
            </w:r>
          </w:p>
        </w:tc>
      </w:tr>
      <w:tr w:rsidTr="006114CB">
        <w:tblPrEx>
          <w:tblW w:w="8211" w:type="dxa"/>
          <w:tblLook w:val="04A0"/>
        </w:tblPrEx>
        <w:tc>
          <w:tcPr>
            <w:tcW w:w="2102" w:type="dxa"/>
          </w:tcPr>
          <w:p w:rsidR="006114CB" w:rsidRPr="006114CB" w:rsidP="002F4530">
            <w:pPr>
              <w:spacing w:line="269" w:lineRule="auto"/>
              <w:jc w:val="left"/>
              <w:rPr>
                <w:sz w:val="22"/>
                <w:szCs w:val="22"/>
                <w:rtl/>
              </w:rPr>
            </w:pPr>
            <w:r w:rsidRPr="006114CB">
              <w:rPr>
                <w:sz w:val="22"/>
                <w:szCs w:val="22"/>
                <w:rtl/>
              </w:rPr>
              <w:t>32/ 1/ ד</w:t>
            </w:r>
          </w:p>
        </w:tc>
        <w:tc>
          <w:tcPr>
            <w:tcW w:w="2134" w:type="dxa"/>
          </w:tcPr>
          <w:p w:rsidR="006114CB" w:rsidRPr="006114CB" w:rsidP="002F4530">
            <w:pPr>
              <w:spacing w:line="269" w:lineRule="auto"/>
              <w:jc w:val="left"/>
              <w:rPr>
                <w:sz w:val="22"/>
                <w:szCs w:val="22"/>
                <w:rtl/>
              </w:rPr>
            </w:pPr>
            <w:r w:rsidRPr="006114CB">
              <w:rPr>
                <w:rFonts w:hint="cs"/>
                <w:sz w:val="22"/>
                <w:szCs w:val="22"/>
                <w:rtl/>
              </w:rPr>
              <w:t>20,000*</w:t>
            </w:r>
          </w:p>
        </w:tc>
        <w:tc>
          <w:tcPr>
            <w:tcW w:w="1881" w:type="dxa"/>
          </w:tcPr>
          <w:p w:rsidR="006114CB" w:rsidRPr="006114CB" w:rsidP="002F4530">
            <w:pPr>
              <w:spacing w:line="269" w:lineRule="auto"/>
              <w:jc w:val="left"/>
              <w:rPr>
                <w:sz w:val="22"/>
                <w:szCs w:val="22"/>
                <w:rtl/>
              </w:rPr>
            </w:pPr>
            <w:r w:rsidRPr="006114CB">
              <w:rPr>
                <w:rFonts w:hint="eastAsia"/>
                <w:sz w:val="22"/>
                <w:szCs w:val="22"/>
                <w:rtl/>
              </w:rPr>
              <w:t>בית</w:t>
            </w:r>
            <w:r w:rsidRPr="006114CB">
              <w:rPr>
                <w:sz w:val="22"/>
                <w:szCs w:val="22"/>
                <w:rtl/>
              </w:rPr>
              <w:t xml:space="preserve"> זיקוק אשדוד</w:t>
            </w:r>
            <w:r w:rsidRPr="006114CB">
              <w:rPr>
                <w:rFonts w:hint="cs"/>
                <w:sz w:val="22"/>
                <w:szCs w:val="22"/>
                <w:rtl/>
              </w:rPr>
              <w:t xml:space="preserve"> ומרכז הדלק באשדוד</w:t>
            </w:r>
          </w:p>
        </w:tc>
        <w:tc>
          <w:tcPr>
            <w:tcW w:w="2093" w:type="dxa"/>
          </w:tcPr>
          <w:p w:rsidR="006114CB" w:rsidRPr="006114CB" w:rsidP="002F4530">
            <w:pPr>
              <w:spacing w:line="269" w:lineRule="auto"/>
              <w:jc w:val="left"/>
              <w:rPr>
                <w:sz w:val="22"/>
                <w:szCs w:val="22"/>
                <w:rtl/>
              </w:rPr>
            </w:pPr>
            <w:r w:rsidRPr="006114CB">
              <w:rPr>
                <w:rFonts w:hint="cs"/>
                <w:sz w:val="22"/>
                <w:szCs w:val="22"/>
                <w:rtl/>
              </w:rPr>
              <w:t>בתהליכי אישור</w:t>
            </w:r>
          </w:p>
        </w:tc>
      </w:tr>
      <w:tr w:rsidTr="006114CB">
        <w:tblPrEx>
          <w:tblW w:w="8211" w:type="dxa"/>
          <w:tblLook w:val="04A0"/>
        </w:tblPrEx>
        <w:tc>
          <w:tcPr>
            <w:tcW w:w="2102" w:type="dxa"/>
          </w:tcPr>
          <w:p w:rsidR="006114CB" w:rsidRPr="006114CB" w:rsidP="002F4530">
            <w:pPr>
              <w:spacing w:line="269" w:lineRule="auto"/>
              <w:jc w:val="left"/>
              <w:rPr>
                <w:sz w:val="22"/>
                <w:szCs w:val="22"/>
                <w:rtl/>
              </w:rPr>
            </w:pPr>
            <w:r w:rsidRPr="006114CB">
              <w:rPr>
                <w:sz w:val="22"/>
                <w:szCs w:val="22"/>
                <w:rtl/>
              </w:rPr>
              <w:t>32 /1/ ה</w:t>
            </w:r>
          </w:p>
        </w:tc>
        <w:tc>
          <w:tcPr>
            <w:tcW w:w="2134" w:type="dxa"/>
          </w:tcPr>
          <w:p w:rsidR="006114CB" w:rsidRPr="006114CB" w:rsidP="002F4530">
            <w:pPr>
              <w:spacing w:line="269" w:lineRule="auto"/>
              <w:jc w:val="left"/>
              <w:rPr>
                <w:sz w:val="22"/>
                <w:szCs w:val="22"/>
                <w:rtl/>
              </w:rPr>
            </w:pPr>
            <w:r w:rsidRPr="006114CB">
              <w:rPr>
                <w:sz w:val="22"/>
                <w:szCs w:val="22"/>
                <w:rtl/>
              </w:rPr>
              <w:t xml:space="preserve">10,000 </w:t>
            </w:r>
          </w:p>
        </w:tc>
        <w:tc>
          <w:tcPr>
            <w:tcW w:w="1881" w:type="dxa"/>
          </w:tcPr>
          <w:p w:rsidR="006114CB" w:rsidRPr="006114CB" w:rsidP="002F4530">
            <w:pPr>
              <w:spacing w:line="269" w:lineRule="auto"/>
              <w:jc w:val="left"/>
              <w:rPr>
                <w:sz w:val="22"/>
                <w:szCs w:val="22"/>
                <w:rtl/>
              </w:rPr>
            </w:pPr>
            <w:r w:rsidRPr="006114CB">
              <w:rPr>
                <w:rFonts w:hint="eastAsia"/>
                <w:sz w:val="22"/>
                <w:szCs w:val="22"/>
                <w:rtl/>
              </w:rPr>
              <w:t>קצא</w:t>
            </w:r>
            <w:r w:rsidRPr="006114CB">
              <w:rPr>
                <w:sz w:val="22"/>
                <w:szCs w:val="22"/>
                <w:rtl/>
              </w:rPr>
              <w:t>"א</w:t>
            </w:r>
          </w:p>
        </w:tc>
        <w:tc>
          <w:tcPr>
            <w:tcW w:w="2093" w:type="dxa"/>
          </w:tcPr>
          <w:p w:rsidR="006114CB" w:rsidRPr="006114CB" w:rsidP="002F4530">
            <w:pPr>
              <w:spacing w:line="269" w:lineRule="auto"/>
              <w:jc w:val="left"/>
              <w:rPr>
                <w:sz w:val="22"/>
                <w:szCs w:val="22"/>
                <w:rtl/>
              </w:rPr>
            </w:pPr>
            <w:r w:rsidRPr="006114CB">
              <w:rPr>
                <w:rFonts w:hint="eastAsia"/>
                <w:sz w:val="22"/>
                <w:szCs w:val="22"/>
                <w:rtl/>
              </w:rPr>
              <w:t>מאושרת</w:t>
            </w:r>
          </w:p>
        </w:tc>
      </w:tr>
      <w:tr w:rsidTr="006114CB">
        <w:tblPrEx>
          <w:tblW w:w="8211" w:type="dxa"/>
          <w:tblLook w:val="04A0"/>
        </w:tblPrEx>
        <w:tc>
          <w:tcPr>
            <w:tcW w:w="2102" w:type="dxa"/>
          </w:tcPr>
          <w:p w:rsidR="006114CB" w:rsidRPr="006114CB" w:rsidP="002F4530">
            <w:pPr>
              <w:spacing w:line="269" w:lineRule="auto"/>
              <w:jc w:val="left"/>
              <w:rPr>
                <w:sz w:val="22"/>
                <w:szCs w:val="22"/>
                <w:rtl/>
              </w:rPr>
            </w:pPr>
            <w:r w:rsidRPr="006114CB">
              <w:rPr>
                <w:sz w:val="22"/>
                <w:szCs w:val="22"/>
                <w:rtl/>
              </w:rPr>
              <w:t>75 / ב/ 1</w:t>
            </w:r>
          </w:p>
        </w:tc>
        <w:tc>
          <w:tcPr>
            <w:tcW w:w="2134" w:type="dxa"/>
          </w:tcPr>
          <w:p w:rsidR="006114CB" w:rsidRPr="006114CB" w:rsidP="002F4530">
            <w:pPr>
              <w:spacing w:line="269" w:lineRule="auto"/>
              <w:jc w:val="left"/>
              <w:rPr>
                <w:sz w:val="22"/>
                <w:szCs w:val="22"/>
                <w:rtl/>
              </w:rPr>
            </w:pPr>
            <w:r w:rsidRPr="006114CB">
              <w:rPr>
                <w:sz w:val="22"/>
                <w:szCs w:val="22"/>
                <w:rtl/>
              </w:rPr>
              <w:t>10,000</w:t>
            </w:r>
            <w:r w:rsidRPr="006114CB">
              <w:rPr>
                <w:rFonts w:hint="cs"/>
                <w:sz w:val="22"/>
                <w:szCs w:val="22"/>
                <w:rtl/>
              </w:rPr>
              <w:t xml:space="preserve"> נוספים</w:t>
            </w:r>
          </w:p>
        </w:tc>
        <w:tc>
          <w:tcPr>
            <w:tcW w:w="1881" w:type="dxa"/>
          </w:tcPr>
          <w:p w:rsidR="006114CB" w:rsidRPr="006114CB" w:rsidP="002F4530">
            <w:pPr>
              <w:spacing w:line="269" w:lineRule="auto"/>
              <w:jc w:val="left"/>
              <w:rPr>
                <w:sz w:val="22"/>
                <w:szCs w:val="22"/>
                <w:rtl/>
              </w:rPr>
            </w:pPr>
            <w:r w:rsidRPr="006114CB">
              <w:rPr>
                <w:rFonts w:hint="eastAsia"/>
                <w:sz w:val="22"/>
                <w:szCs w:val="22"/>
                <w:rtl/>
              </w:rPr>
              <w:t>יבור</w:t>
            </w:r>
          </w:p>
        </w:tc>
        <w:tc>
          <w:tcPr>
            <w:tcW w:w="2093" w:type="dxa"/>
          </w:tcPr>
          <w:p w:rsidR="006114CB" w:rsidRPr="006114CB" w:rsidP="002F4530">
            <w:pPr>
              <w:spacing w:line="269" w:lineRule="auto"/>
              <w:jc w:val="left"/>
              <w:rPr>
                <w:sz w:val="22"/>
                <w:szCs w:val="22"/>
                <w:rtl/>
              </w:rPr>
            </w:pPr>
            <w:r w:rsidRPr="006114CB">
              <w:rPr>
                <w:rFonts w:hint="cs"/>
                <w:sz w:val="22"/>
                <w:szCs w:val="22"/>
                <w:rtl/>
              </w:rPr>
              <w:t>אושרה בידי</w:t>
            </w:r>
            <w:r w:rsidRPr="006114CB">
              <w:rPr>
                <w:sz w:val="22"/>
                <w:szCs w:val="22"/>
                <w:rtl/>
              </w:rPr>
              <w:t xml:space="preserve"> הממשלה</w:t>
            </w:r>
            <w:r w:rsidRPr="006114CB">
              <w:rPr>
                <w:rFonts w:hint="cs"/>
                <w:sz w:val="22"/>
                <w:szCs w:val="22"/>
                <w:rtl/>
              </w:rPr>
              <w:t xml:space="preserve"> </w:t>
            </w:r>
          </w:p>
        </w:tc>
      </w:tr>
      <w:tr w:rsidTr="006114CB">
        <w:tblPrEx>
          <w:tblW w:w="8211" w:type="dxa"/>
          <w:tblLook w:val="04A0"/>
        </w:tblPrEx>
        <w:tc>
          <w:tcPr>
            <w:tcW w:w="2102" w:type="dxa"/>
          </w:tcPr>
          <w:p w:rsidR="006114CB" w:rsidRPr="006114CB" w:rsidP="002F4530">
            <w:pPr>
              <w:spacing w:line="269" w:lineRule="auto"/>
              <w:jc w:val="left"/>
              <w:rPr>
                <w:sz w:val="22"/>
                <w:szCs w:val="22"/>
                <w:rtl/>
              </w:rPr>
            </w:pPr>
            <w:r w:rsidRPr="006114CB">
              <w:rPr>
                <w:sz w:val="22"/>
                <w:szCs w:val="22"/>
                <w:rtl/>
              </w:rPr>
              <w:t>75/ב /5</w:t>
            </w:r>
          </w:p>
        </w:tc>
        <w:tc>
          <w:tcPr>
            <w:tcW w:w="2134" w:type="dxa"/>
          </w:tcPr>
          <w:p w:rsidR="006114CB" w:rsidRPr="006114CB" w:rsidP="002F4530">
            <w:pPr>
              <w:spacing w:line="269" w:lineRule="auto"/>
              <w:jc w:val="left"/>
              <w:rPr>
                <w:sz w:val="22"/>
                <w:szCs w:val="22"/>
                <w:rtl/>
              </w:rPr>
            </w:pPr>
            <w:r w:rsidRPr="006114CB">
              <w:rPr>
                <w:sz w:val="22"/>
                <w:szCs w:val="22"/>
                <w:rtl/>
              </w:rPr>
              <w:t>20,000</w:t>
            </w:r>
          </w:p>
        </w:tc>
        <w:tc>
          <w:tcPr>
            <w:tcW w:w="1881" w:type="dxa"/>
          </w:tcPr>
          <w:p w:rsidR="006114CB" w:rsidRPr="006114CB" w:rsidP="002F4530">
            <w:pPr>
              <w:spacing w:line="269" w:lineRule="auto"/>
              <w:jc w:val="left"/>
              <w:rPr>
                <w:sz w:val="22"/>
                <w:szCs w:val="22"/>
                <w:rtl/>
              </w:rPr>
            </w:pPr>
            <w:r w:rsidRPr="006114CB">
              <w:rPr>
                <w:rFonts w:hint="eastAsia"/>
                <w:sz w:val="22"/>
                <w:szCs w:val="22"/>
                <w:rtl/>
              </w:rPr>
              <w:t>נאות</w:t>
            </w:r>
            <w:r w:rsidRPr="006114CB">
              <w:rPr>
                <w:sz w:val="22"/>
                <w:szCs w:val="22"/>
                <w:rtl/>
              </w:rPr>
              <w:t xml:space="preserve"> חובב</w:t>
            </w:r>
          </w:p>
        </w:tc>
        <w:tc>
          <w:tcPr>
            <w:tcW w:w="2093" w:type="dxa"/>
          </w:tcPr>
          <w:p w:rsidR="006114CB" w:rsidRPr="006114CB" w:rsidP="002F4530">
            <w:pPr>
              <w:spacing w:line="269" w:lineRule="auto"/>
              <w:jc w:val="left"/>
              <w:rPr>
                <w:sz w:val="22"/>
                <w:szCs w:val="22"/>
                <w:rtl/>
              </w:rPr>
            </w:pPr>
            <w:r w:rsidRPr="006114CB">
              <w:rPr>
                <w:rFonts w:hint="eastAsia"/>
                <w:sz w:val="22"/>
                <w:szCs w:val="22"/>
                <w:rtl/>
              </w:rPr>
              <w:t>בשלב</w:t>
            </w:r>
            <w:r w:rsidRPr="006114CB">
              <w:rPr>
                <w:sz w:val="22"/>
                <w:szCs w:val="22"/>
                <w:rtl/>
              </w:rPr>
              <w:t xml:space="preserve"> עריכת השלמות לתסקיר השפעה על הסביבה</w:t>
            </w:r>
          </w:p>
        </w:tc>
      </w:tr>
      <w:tr w:rsidTr="006114CB">
        <w:tblPrEx>
          <w:tblW w:w="8211" w:type="dxa"/>
          <w:tblLook w:val="04A0"/>
        </w:tblPrEx>
        <w:tc>
          <w:tcPr>
            <w:tcW w:w="2102" w:type="dxa"/>
          </w:tcPr>
          <w:p w:rsidR="006114CB" w:rsidRPr="006114CB" w:rsidP="002F4530">
            <w:pPr>
              <w:spacing w:line="269" w:lineRule="auto"/>
              <w:jc w:val="left"/>
              <w:rPr>
                <w:sz w:val="22"/>
                <w:szCs w:val="22"/>
                <w:rtl/>
              </w:rPr>
            </w:pPr>
            <w:r w:rsidRPr="006114CB">
              <w:rPr>
                <w:sz w:val="22"/>
                <w:szCs w:val="22"/>
                <w:rtl/>
              </w:rPr>
              <w:t>75/ ב (אתרים נוספים בדרום ובמרכז)</w:t>
            </w:r>
          </w:p>
        </w:tc>
        <w:tc>
          <w:tcPr>
            <w:tcW w:w="2134" w:type="dxa"/>
          </w:tcPr>
          <w:p w:rsidR="006114CB" w:rsidRPr="006114CB" w:rsidP="002F4530">
            <w:pPr>
              <w:spacing w:line="269" w:lineRule="auto"/>
              <w:jc w:val="left"/>
              <w:rPr>
                <w:sz w:val="22"/>
                <w:szCs w:val="22"/>
                <w:rtl/>
              </w:rPr>
            </w:pPr>
          </w:p>
        </w:tc>
        <w:tc>
          <w:tcPr>
            <w:tcW w:w="1881" w:type="dxa"/>
          </w:tcPr>
          <w:p w:rsidR="006114CB" w:rsidRPr="006114CB" w:rsidP="002F4530">
            <w:pPr>
              <w:spacing w:line="269" w:lineRule="auto"/>
              <w:jc w:val="left"/>
              <w:rPr>
                <w:sz w:val="22"/>
                <w:szCs w:val="22"/>
                <w:rtl/>
              </w:rPr>
            </w:pPr>
          </w:p>
        </w:tc>
        <w:tc>
          <w:tcPr>
            <w:tcW w:w="2093" w:type="dxa"/>
          </w:tcPr>
          <w:p w:rsidR="006114CB" w:rsidRPr="006114CB" w:rsidP="002F4530">
            <w:pPr>
              <w:spacing w:line="269" w:lineRule="auto"/>
              <w:jc w:val="left"/>
              <w:rPr>
                <w:sz w:val="22"/>
                <w:szCs w:val="22"/>
                <w:rtl/>
              </w:rPr>
            </w:pPr>
            <w:r w:rsidRPr="006114CB">
              <w:rPr>
                <w:rFonts w:hint="eastAsia"/>
                <w:sz w:val="22"/>
                <w:szCs w:val="22"/>
                <w:rtl/>
              </w:rPr>
              <w:t>בשלב</w:t>
            </w:r>
            <w:r w:rsidRPr="006114CB">
              <w:rPr>
                <w:sz w:val="22"/>
                <w:szCs w:val="22"/>
                <w:rtl/>
              </w:rPr>
              <w:t xml:space="preserve"> עריכת תסקיר השפעה על הסביבה</w:t>
            </w:r>
          </w:p>
        </w:tc>
      </w:tr>
      <w:tr w:rsidTr="006114CB">
        <w:tblPrEx>
          <w:tblW w:w="8211" w:type="dxa"/>
          <w:tblLook w:val="04A0"/>
        </w:tblPrEx>
        <w:tc>
          <w:tcPr>
            <w:tcW w:w="2102" w:type="dxa"/>
          </w:tcPr>
          <w:p w:rsidR="006114CB" w:rsidRPr="006114CB" w:rsidP="002F4530">
            <w:pPr>
              <w:spacing w:line="269" w:lineRule="auto"/>
              <w:jc w:val="left"/>
              <w:rPr>
                <w:sz w:val="22"/>
                <w:szCs w:val="22"/>
                <w:rtl/>
              </w:rPr>
            </w:pPr>
            <w:r w:rsidRPr="006114CB">
              <w:rPr>
                <w:rFonts w:hint="eastAsia"/>
                <w:sz w:val="22"/>
                <w:szCs w:val="22"/>
                <w:rtl/>
              </w:rPr>
              <w:t>תת</w:t>
            </w:r>
            <w:r w:rsidRPr="006114CB">
              <w:rPr>
                <w:sz w:val="22"/>
                <w:szCs w:val="22"/>
                <w:rtl/>
              </w:rPr>
              <w:t>"ל 81</w:t>
            </w:r>
            <w:r w:rsidRPr="006114CB">
              <w:rPr>
                <w:rFonts w:hint="cs"/>
                <w:sz w:val="22"/>
                <w:szCs w:val="22"/>
                <w:rtl/>
              </w:rPr>
              <w:t>א</w:t>
            </w:r>
          </w:p>
        </w:tc>
        <w:tc>
          <w:tcPr>
            <w:tcW w:w="2134" w:type="dxa"/>
          </w:tcPr>
          <w:p w:rsidR="006114CB" w:rsidRPr="006114CB" w:rsidP="002F4530">
            <w:pPr>
              <w:spacing w:line="269" w:lineRule="auto"/>
              <w:jc w:val="left"/>
              <w:rPr>
                <w:sz w:val="22"/>
                <w:szCs w:val="22"/>
                <w:rtl/>
              </w:rPr>
            </w:pPr>
          </w:p>
        </w:tc>
        <w:tc>
          <w:tcPr>
            <w:tcW w:w="1881" w:type="dxa"/>
          </w:tcPr>
          <w:p w:rsidR="006114CB" w:rsidRPr="006114CB" w:rsidP="002F4530">
            <w:pPr>
              <w:spacing w:line="269" w:lineRule="auto"/>
              <w:jc w:val="left"/>
              <w:rPr>
                <w:sz w:val="22"/>
                <w:szCs w:val="22"/>
                <w:rtl/>
              </w:rPr>
            </w:pPr>
            <w:r w:rsidRPr="006114CB">
              <w:rPr>
                <w:rFonts w:hint="eastAsia"/>
                <w:sz w:val="22"/>
                <w:szCs w:val="22"/>
                <w:rtl/>
              </w:rPr>
              <w:t>מקשרים</w:t>
            </w:r>
            <w:r w:rsidRPr="006114CB">
              <w:rPr>
                <w:sz w:val="22"/>
                <w:szCs w:val="22"/>
                <w:rtl/>
              </w:rPr>
              <w:t xml:space="preserve"> ימיים באשדוד</w:t>
            </w:r>
          </w:p>
        </w:tc>
        <w:tc>
          <w:tcPr>
            <w:tcW w:w="2093" w:type="dxa"/>
          </w:tcPr>
          <w:p w:rsidR="006114CB" w:rsidRPr="006114CB" w:rsidP="002F4530">
            <w:pPr>
              <w:spacing w:line="269" w:lineRule="auto"/>
              <w:jc w:val="left"/>
              <w:rPr>
                <w:sz w:val="22"/>
                <w:szCs w:val="22"/>
                <w:rtl/>
              </w:rPr>
            </w:pPr>
            <w:r w:rsidRPr="006114CB">
              <w:rPr>
                <w:rFonts w:hint="cs"/>
                <w:sz w:val="22"/>
                <w:szCs w:val="22"/>
                <w:rtl/>
              </w:rPr>
              <w:t>אושרה בידי הממשלה</w:t>
            </w:r>
            <w:r w:rsidRPr="006114CB">
              <w:rPr>
                <w:sz w:val="22"/>
                <w:szCs w:val="22"/>
                <w:rtl/>
              </w:rPr>
              <w:t xml:space="preserve"> </w:t>
            </w:r>
            <w:r w:rsidRPr="006114CB">
              <w:rPr>
                <w:rFonts w:hint="cs"/>
                <w:sz w:val="22"/>
                <w:szCs w:val="22"/>
                <w:rtl/>
              </w:rPr>
              <w:t>במרץ 2026, לאחר מועד סיום הביקורת,</w:t>
            </w:r>
            <w:r w:rsidRPr="006114CB">
              <w:rPr>
                <w:sz w:val="22"/>
                <w:szCs w:val="22"/>
                <w:rtl/>
              </w:rPr>
              <w:t xml:space="preserve"> </w:t>
            </w:r>
            <w:r w:rsidRPr="006114CB">
              <w:rPr>
                <w:rFonts w:hint="cs"/>
                <w:sz w:val="22"/>
                <w:szCs w:val="22"/>
                <w:rtl/>
              </w:rPr>
              <w:t>ומקודמת</w:t>
            </w:r>
            <w:r w:rsidRPr="006114CB">
              <w:rPr>
                <w:sz w:val="22"/>
                <w:szCs w:val="22"/>
                <w:rtl/>
              </w:rPr>
              <w:t xml:space="preserve"> ע</w:t>
            </w:r>
            <w:r w:rsidRPr="006114CB">
              <w:rPr>
                <w:rFonts w:hint="cs"/>
                <w:sz w:val="22"/>
                <w:szCs w:val="22"/>
                <w:rtl/>
              </w:rPr>
              <w:t>ל ידי</w:t>
            </w:r>
            <w:r w:rsidRPr="006114CB">
              <w:rPr>
                <w:sz w:val="22"/>
                <w:szCs w:val="22"/>
                <w:rtl/>
              </w:rPr>
              <w:t xml:space="preserve"> חנ"י</w:t>
            </w:r>
            <w:r w:rsidRPr="006114CB">
              <w:rPr>
                <w:rFonts w:hint="cs"/>
                <w:sz w:val="22"/>
                <w:szCs w:val="22"/>
                <w:rtl/>
              </w:rPr>
              <w:t xml:space="preserve"> </w:t>
            </w:r>
          </w:p>
        </w:tc>
      </w:tr>
      <w:tr w:rsidTr="006114CB">
        <w:tblPrEx>
          <w:tblW w:w="8211" w:type="dxa"/>
          <w:tblLook w:val="04A0"/>
        </w:tblPrEx>
        <w:tc>
          <w:tcPr>
            <w:tcW w:w="2103" w:type="dxa"/>
          </w:tcPr>
          <w:p w:rsidR="006114CB" w:rsidRPr="006114CB" w:rsidP="002F4530">
            <w:pPr>
              <w:spacing w:line="269" w:lineRule="auto"/>
              <w:jc w:val="left"/>
              <w:rPr>
                <w:sz w:val="22"/>
                <w:szCs w:val="22"/>
                <w:rtl/>
              </w:rPr>
            </w:pPr>
            <w:r w:rsidRPr="006114CB">
              <w:rPr>
                <w:rFonts w:hint="eastAsia"/>
                <w:sz w:val="22"/>
                <w:szCs w:val="22"/>
                <w:rtl/>
              </w:rPr>
              <w:t>תת</w:t>
            </w:r>
            <w:r w:rsidRPr="006114CB">
              <w:rPr>
                <w:sz w:val="22"/>
                <w:szCs w:val="22"/>
                <w:rtl/>
              </w:rPr>
              <w:t>"ל 118</w:t>
            </w:r>
          </w:p>
        </w:tc>
        <w:tc>
          <w:tcPr>
            <w:tcW w:w="2134" w:type="dxa"/>
          </w:tcPr>
          <w:p w:rsidR="006114CB" w:rsidRPr="006114CB" w:rsidP="002F4530">
            <w:pPr>
              <w:spacing w:line="269" w:lineRule="auto"/>
              <w:jc w:val="left"/>
              <w:rPr>
                <w:sz w:val="22"/>
                <w:szCs w:val="22"/>
                <w:rtl/>
              </w:rPr>
            </w:pPr>
          </w:p>
        </w:tc>
        <w:tc>
          <w:tcPr>
            <w:tcW w:w="1881" w:type="dxa"/>
          </w:tcPr>
          <w:p w:rsidR="006114CB" w:rsidRPr="006114CB" w:rsidP="002F4530">
            <w:pPr>
              <w:spacing w:line="269" w:lineRule="auto"/>
              <w:jc w:val="left"/>
              <w:rPr>
                <w:sz w:val="22"/>
                <w:szCs w:val="22"/>
                <w:rtl/>
              </w:rPr>
            </w:pPr>
            <w:r w:rsidRPr="006114CB">
              <w:rPr>
                <w:rFonts w:hint="cs"/>
                <w:sz w:val="22"/>
                <w:szCs w:val="22"/>
                <w:rtl/>
              </w:rPr>
              <w:t>המרחב המזרחי של נמלי חיפה (כולל מסוף</w:t>
            </w:r>
            <w:r w:rsidRPr="006114CB">
              <w:rPr>
                <w:sz w:val="22"/>
                <w:szCs w:val="22"/>
                <w:rtl/>
              </w:rPr>
              <w:t xml:space="preserve"> התזקיקים בחיפה</w:t>
            </w:r>
            <w:r w:rsidRPr="006114CB">
              <w:rPr>
                <w:rFonts w:hint="cs"/>
                <w:sz w:val="22"/>
                <w:szCs w:val="22"/>
                <w:rtl/>
              </w:rPr>
              <w:t>)</w:t>
            </w:r>
          </w:p>
        </w:tc>
        <w:tc>
          <w:tcPr>
            <w:tcW w:w="2093" w:type="dxa"/>
          </w:tcPr>
          <w:p w:rsidR="006114CB" w:rsidRPr="006114CB" w:rsidP="002F4530">
            <w:pPr>
              <w:spacing w:line="269" w:lineRule="auto"/>
              <w:jc w:val="left"/>
              <w:rPr>
                <w:sz w:val="22"/>
                <w:szCs w:val="22"/>
              </w:rPr>
            </w:pPr>
            <w:r w:rsidRPr="006114CB">
              <w:rPr>
                <w:rFonts w:hint="cs"/>
                <w:sz w:val="22"/>
                <w:szCs w:val="22"/>
                <w:rtl/>
              </w:rPr>
              <w:t>אינה</w:t>
            </w:r>
            <w:r w:rsidRPr="006114CB">
              <w:rPr>
                <w:sz w:val="22"/>
                <w:szCs w:val="22"/>
                <w:rtl/>
              </w:rPr>
              <w:t xml:space="preserve"> </w:t>
            </w:r>
            <w:r w:rsidRPr="006114CB">
              <w:rPr>
                <w:rFonts w:hint="cs"/>
                <w:sz w:val="22"/>
                <w:szCs w:val="22"/>
                <w:rtl/>
              </w:rPr>
              <w:t>מאפשרת שטחי אחסון</w:t>
            </w:r>
            <w:r w:rsidRPr="006114CB">
              <w:rPr>
                <w:sz w:val="22"/>
                <w:szCs w:val="22"/>
                <w:rtl/>
              </w:rPr>
              <w:t xml:space="preserve"> </w:t>
            </w:r>
            <w:r w:rsidRPr="006114CB">
              <w:rPr>
                <w:rFonts w:hint="cs"/>
                <w:sz w:val="22"/>
                <w:szCs w:val="22"/>
                <w:rtl/>
              </w:rPr>
              <w:t xml:space="preserve">לפריקת </w:t>
            </w:r>
            <w:r w:rsidRPr="006114CB">
              <w:rPr>
                <w:sz w:val="22"/>
                <w:szCs w:val="22"/>
                <w:rtl/>
              </w:rPr>
              <w:t>גפ"</w:t>
            </w:r>
            <w:r w:rsidRPr="006114CB">
              <w:rPr>
                <w:rFonts w:hint="eastAsia"/>
                <w:sz w:val="22"/>
                <w:szCs w:val="22"/>
                <w:rtl/>
              </w:rPr>
              <w:t>ם</w:t>
            </w:r>
            <w:r w:rsidRPr="006114CB">
              <w:rPr>
                <w:rFonts w:hint="cs"/>
                <w:sz w:val="22"/>
                <w:szCs w:val="22"/>
                <w:rtl/>
              </w:rPr>
              <w:t xml:space="preserve"> במסוף התזקיקים </w:t>
            </w:r>
            <w:r w:rsidRPr="006114CB">
              <w:rPr>
                <w:sz w:val="22"/>
                <w:szCs w:val="22"/>
                <w:rtl/>
              </w:rPr>
              <w:t>*</w:t>
            </w:r>
            <w:r w:rsidRPr="006114CB">
              <w:rPr>
                <w:sz w:val="22"/>
                <w:szCs w:val="22"/>
              </w:rPr>
              <w:t>*</w:t>
            </w:r>
          </w:p>
        </w:tc>
      </w:tr>
    </w:tbl>
    <w:p w:rsidR="006114CB" w:rsidRPr="006114CB" w:rsidP="002F4530">
      <w:pPr>
        <w:spacing w:line="269" w:lineRule="auto"/>
        <w:rPr>
          <w:rFonts w:ascii="David" w:eastAsia="Calibri" w:hAnsi="David"/>
          <w:szCs w:val="20"/>
          <w:rtl/>
        </w:rPr>
      </w:pPr>
      <w:r w:rsidRPr="006114CB">
        <w:rPr>
          <w:rFonts w:ascii="David" w:eastAsia="Calibri" w:hAnsi="David" w:hint="eastAsia"/>
          <w:szCs w:val="20"/>
          <w:rtl/>
        </w:rPr>
        <w:t>המקור</w:t>
      </w:r>
      <w:r w:rsidRPr="006114CB">
        <w:rPr>
          <w:rFonts w:ascii="David" w:eastAsia="Calibri" w:hAnsi="David"/>
          <w:szCs w:val="20"/>
          <w:rtl/>
        </w:rPr>
        <w:t>: מינהל התכנון וחנ"י, 2025</w:t>
      </w:r>
      <w:r w:rsidRPr="006114CB">
        <w:rPr>
          <w:rFonts w:ascii="David" w:eastAsia="Calibri" w:hAnsi="David" w:hint="cs"/>
          <w:szCs w:val="20"/>
          <w:rtl/>
        </w:rPr>
        <w:t>.</w:t>
      </w:r>
    </w:p>
    <w:p w:rsidR="006114CB" w:rsidRPr="006114CB" w:rsidP="002F4530">
      <w:pPr>
        <w:spacing w:line="269" w:lineRule="auto"/>
        <w:rPr>
          <w:rFonts w:ascii="David" w:eastAsia="Calibri" w:hAnsi="David"/>
          <w:szCs w:val="20"/>
          <w:rtl/>
        </w:rPr>
      </w:pPr>
      <w:r w:rsidRPr="006114CB">
        <w:rPr>
          <w:rFonts w:ascii="David" w:eastAsia="Calibri" w:hAnsi="David" w:hint="cs"/>
          <w:szCs w:val="20"/>
          <w:rtl/>
        </w:rPr>
        <w:t>* כולל גפ"ם אולפיני.</w:t>
      </w:r>
    </w:p>
    <w:p w:rsidR="006114CB" w:rsidRPr="006114CB" w:rsidP="002F4530">
      <w:pPr>
        <w:spacing w:line="269" w:lineRule="auto"/>
        <w:rPr>
          <w:rFonts w:ascii="David" w:eastAsia="Calibri" w:hAnsi="David"/>
          <w:szCs w:val="20"/>
          <w:rtl/>
        </w:rPr>
      </w:pPr>
      <w:r w:rsidRPr="006114CB">
        <w:rPr>
          <w:rFonts w:ascii="David" w:eastAsia="Calibri" w:hAnsi="David" w:hint="cs"/>
          <w:szCs w:val="20"/>
          <w:rtl/>
        </w:rPr>
        <w:t>*</w:t>
      </w:r>
      <w:r w:rsidRPr="006114CB">
        <w:rPr>
          <w:rFonts w:ascii="David" w:eastAsia="Calibri" w:hAnsi="David"/>
          <w:szCs w:val="20"/>
          <w:rtl/>
        </w:rPr>
        <w:t xml:space="preserve">* ראו להלן בפרק </w:t>
      </w:r>
      <w:r w:rsidRPr="006114CB">
        <w:rPr>
          <w:rFonts w:ascii="David" w:eastAsia="Calibri" w:hAnsi="David" w:hint="cs"/>
          <w:szCs w:val="20"/>
          <w:rtl/>
        </w:rPr>
        <w:t>״</w:t>
      </w:r>
      <w:r w:rsidRPr="006114CB">
        <w:rPr>
          <w:rFonts w:ascii="David" w:eastAsia="Calibri" w:hAnsi="David"/>
          <w:szCs w:val="20"/>
          <w:rtl/>
        </w:rPr>
        <w:t xml:space="preserve">חלופת יבוא גפ"ם באמצעות </w:t>
      </w:r>
      <w:r w:rsidRPr="006114CB">
        <w:rPr>
          <w:rFonts w:ascii="David" w:eastAsia="Calibri" w:hAnsi="David" w:hint="cs"/>
          <w:szCs w:val="20"/>
          <w:rtl/>
        </w:rPr>
        <w:t>מסוף</w:t>
      </w:r>
      <w:r w:rsidRPr="006114CB">
        <w:rPr>
          <w:rFonts w:ascii="David" w:eastAsia="Calibri" w:hAnsi="David"/>
          <w:szCs w:val="20"/>
          <w:rtl/>
        </w:rPr>
        <w:t xml:space="preserve"> התזקיקים החדש בנמל המפרץ בחיפה</w:t>
      </w:r>
      <w:r w:rsidRPr="006114CB">
        <w:rPr>
          <w:rFonts w:ascii="David" w:eastAsia="Calibri" w:hAnsi="David" w:hint="cs"/>
          <w:szCs w:val="20"/>
          <w:rtl/>
        </w:rPr>
        <w:t>״.</w:t>
      </w:r>
    </w:p>
    <w:p w:rsidR="006114CB" w:rsidRPr="00E660CE" w:rsidP="002F4530">
      <w:pPr>
        <w:keepNext/>
        <w:keepLines/>
        <w:spacing w:line="269" w:lineRule="auto"/>
        <w:ind w:left="-567"/>
        <w:rPr>
          <w:rFonts w:eastAsia="Calibri"/>
          <w:sz w:val="18"/>
          <w:szCs w:val="18"/>
          <w:rtl/>
        </w:rPr>
      </w:pPr>
    </w:p>
    <w:p w:rsidR="006114CB" w:rsidRPr="006114CB" w:rsidP="002F4530">
      <w:pPr>
        <w:spacing w:line="269" w:lineRule="auto"/>
        <w:rPr>
          <w:rFonts w:eastAsia="Calibri"/>
          <w:b/>
          <w:bCs/>
          <w:rtl/>
        </w:rPr>
      </w:pPr>
      <w:r w:rsidRPr="006114CB">
        <w:rPr>
          <w:rFonts w:eastAsia="Calibri" w:hint="cs"/>
          <w:b/>
          <w:bCs/>
          <w:rtl/>
        </w:rPr>
        <w:t xml:space="preserve">מהלוח עולה כי יש תוכניות מאושרות לאחסון נוסף של גפ"ם בהיקף 30,000 טון, ותכנון לאחסון כמות נוספת של 40,000 טונה עדיין בתהליכי אישור וטרם הוחל בצעדים ממשייים להקמתם על אף החשיבות בהגדלת מאגרי אחסון הגפ"ם לשם יצירת מלאי לעתות שגרה וחירום. עוד </w:t>
      </w:r>
      <w:bookmarkStart w:id="28" w:name="_Hlk222302867"/>
      <w:r w:rsidRPr="006114CB">
        <w:rPr>
          <w:rFonts w:eastAsia="Calibri" w:hint="cs"/>
          <w:b/>
          <w:bCs/>
          <w:rtl/>
        </w:rPr>
        <w:t>עולה מן הלוח כי לאזור אשדוד קיימת תוכנית מאושרת לפריקת גפ"ם מהים באמצעות תת"ל 81א, אבל לאזור הצפון עדיין לא מקודמת תוכנית סטטוטורית לפריקת גפ"ם מהים על ידי חנ"י, המועצה הלאומית לכלכלה ומשרד האנרגיה</w:t>
      </w:r>
      <w:bookmarkEnd w:id="28"/>
      <w:r w:rsidRPr="006114CB">
        <w:rPr>
          <w:rFonts w:eastAsia="Calibri" w:hint="cs"/>
          <w:b/>
          <w:bCs/>
          <w:rtl/>
        </w:rPr>
        <w:t>. הגדלת מאגרי האחסון תבטיח אספקה רציפה של הגפ</w:t>
      </w:r>
      <w:r w:rsidRPr="006114CB">
        <w:rPr>
          <w:rFonts w:eastAsia="Calibri"/>
          <w:b/>
          <w:bCs/>
          <w:rtl/>
        </w:rPr>
        <w:t>"</w:t>
      </w:r>
      <w:r w:rsidRPr="006114CB">
        <w:rPr>
          <w:rFonts w:eastAsia="Calibri" w:hint="cs"/>
          <w:b/>
          <w:bCs/>
          <w:rtl/>
        </w:rPr>
        <w:t>ם לאורך השנה כולה, ללא תלות בקשיי יבוא הנוצרים בתקופת החורף בשגרה או בזמני רגישות ביטחונית.</w:t>
      </w:r>
    </w:p>
    <w:p w:rsidR="006114CB" w:rsidRPr="006114CB" w:rsidP="002F4530">
      <w:pPr>
        <w:spacing w:line="269" w:lineRule="auto"/>
        <w:rPr>
          <w:rFonts w:eastAsia="Calibri"/>
          <w:b/>
          <w:bCs/>
          <w:rtl/>
        </w:rPr>
      </w:pPr>
      <w:r w:rsidRPr="006114CB">
        <w:rPr>
          <w:rFonts w:eastAsia="Calibri" w:hint="cs"/>
          <w:b/>
          <w:bCs/>
          <w:rtl/>
        </w:rPr>
        <w:t xml:space="preserve">מומלץ כי גורמי המדינה הרלוונטיים, ובהם חנ"י והמועצה הלאומית לכלכלה, בשיתוף משרד האנרגיה, יחישו את קידום אישורן הסטטוטורי של תוכניות המתאר הנדרשות לצורכי משק הגפ"ם. </w:t>
      </w:r>
    </w:p>
    <w:p w:rsidR="006114CB" w:rsidRPr="00E660CE" w:rsidP="002F4530">
      <w:pPr>
        <w:spacing w:line="269" w:lineRule="auto"/>
        <w:rPr>
          <w:rFonts w:eastAsia="Calibri"/>
          <w:b/>
          <w:bCs/>
          <w:sz w:val="16"/>
          <w:szCs w:val="20"/>
          <w:rtl/>
        </w:rPr>
      </w:pPr>
    </w:p>
    <w:p w:rsidR="006114CB" w:rsidRPr="006114CB" w:rsidP="002F4530">
      <w:pPr>
        <w:keepNext/>
        <w:keepLines/>
        <w:spacing w:line="269" w:lineRule="auto"/>
        <w:outlineLvl w:val="3"/>
        <w:rPr>
          <w:rFonts w:eastAsia="Times New Roman"/>
          <w:bCs/>
          <w:szCs w:val="26"/>
          <w:rtl/>
        </w:rPr>
      </w:pPr>
      <w:r w:rsidRPr="006114CB">
        <w:rPr>
          <w:rFonts w:eastAsia="Times New Roman" w:hint="cs"/>
          <w:bCs/>
          <w:szCs w:val="26"/>
          <w:rtl/>
        </w:rPr>
        <w:t>תשתיות גפ</w:t>
      </w:r>
      <w:r w:rsidRPr="006114CB">
        <w:rPr>
          <w:rFonts w:eastAsia="Times New Roman"/>
          <w:bCs/>
          <w:szCs w:val="26"/>
          <w:rtl/>
        </w:rPr>
        <w:t>"</w:t>
      </w:r>
      <w:r w:rsidRPr="006114CB">
        <w:rPr>
          <w:rFonts w:eastAsia="Times New Roman" w:hint="cs"/>
          <w:bCs/>
          <w:szCs w:val="26"/>
          <w:rtl/>
        </w:rPr>
        <w:t>ם בצפון הארץ</w:t>
      </w:r>
    </w:p>
    <w:p w:rsidR="006114CB" w:rsidRPr="00E660CE" w:rsidP="002F4530">
      <w:pPr>
        <w:rPr>
          <w:rFonts w:eastAsia="Calibri"/>
          <w:sz w:val="16"/>
          <w:szCs w:val="20"/>
          <w:rtl/>
        </w:rPr>
      </w:pPr>
    </w:p>
    <w:p w:rsidR="006114CB" w:rsidRPr="006114CB" w:rsidP="002F4530">
      <w:pPr>
        <w:spacing w:line="269" w:lineRule="auto"/>
        <w:rPr>
          <w:rFonts w:ascii="David" w:eastAsia="Calibri" w:hAnsi="David"/>
          <w:sz w:val="24"/>
          <w:rtl/>
        </w:rPr>
      </w:pPr>
      <w:r w:rsidRPr="006114CB">
        <w:rPr>
          <w:rFonts w:ascii="David" w:eastAsia="Calibri" w:hAnsi="David" w:hint="cs"/>
          <w:sz w:val="24"/>
          <w:rtl/>
        </w:rPr>
        <w:t xml:space="preserve">בהסבר להחלטה </w:t>
      </w:r>
      <w:r w:rsidRPr="006114CB">
        <w:rPr>
          <w:rFonts w:ascii="David" w:eastAsia="Calibri" w:hAnsi="David"/>
          <w:sz w:val="24"/>
          <w:rtl/>
        </w:rPr>
        <w:t>1231</w:t>
      </w:r>
      <w:r>
        <w:rPr>
          <w:rFonts w:ascii="David" w:eastAsia="Calibri" w:hAnsi="David"/>
          <w:sz w:val="24"/>
          <w:vertAlign w:val="superscript"/>
          <w:rtl/>
        </w:rPr>
        <w:footnoteReference w:id="94"/>
      </w:r>
      <w:r w:rsidRPr="006114CB">
        <w:rPr>
          <w:rFonts w:ascii="David" w:eastAsia="Calibri" w:hAnsi="David" w:hint="cs"/>
          <w:sz w:val="24"/>
          <w:rtl/>
        </w:rPr>
        <w:t xml:space="preserve"> מצוין כי </w:t>
      </w:r>
      <w:r w:rsidRPr="006114CB">
        <w:rPr>
          <w:rFonts w:ascii="David" w:eastAsia="Calibri" w:hAnsi="David"/>
          <w:sz w:val="24"/>
          <w:rtl/>
        </w:rPr>
        <w:t xml:space="preserve">מסוף </w:t>
      </w:r>
      <w:r w:rsidRPr="006114CB">
        <w:rPr>
          <w:rFonts w:ascii="David" w:eastAsia="Calibri" w:hAnsi="David" w:hint="cs"/>
          <w:sz w:val="24"/>
          <w:rtl/>
        </w:rPr>
        <w:t>התזקיקים הישן בחיפה</w:t>
      </w:r>
      <w:r w:rsidRPr="006114CB">
        <w:rPr>
          <w:rFonts w:ascii="David" w:eastAsia="Calibri" w:hAnsi="David"/>
          <w:sz w:val="24"/>
          <w:rtl/>
        </w:rPr>
        <w:t xml:space="preserve"> וחוות המכלים התפעולית הצמודה אליו ("20 אייקרס") </w:t>
      </w:r>
      <w:r w:rsidRPr="006114CB">
        <w:rPr>
          <w:rFonts w:ascii="David" w:eastAsia="Calibri" w:hAnsi="David" w:hint="cs"/>
          <w:sz w:val="24"/>
          <w:rtl/>
        </w:rPr>
        <w:t>הם</w:t>
      </w:r>
      <w:r w:rsidRPr="006114CB">
        <w:rPr>
          <w:rFonts w:ascii="David" w:eastAsia="Calibri" w:hAnsi="David"/>
          <w:sz w:val="24"/>
          <w:rtl/>
        </w:rPr>
        <w:t xml:space="preserve"> מפגע וסכנה בטיחותית, וכן אינם מתאימים לסטנדרטים המודרניים הנדרשים לטובת הפעלת מסוף דלקים איכותי. כמו כן, </w:t>
      </w:r>
      <w:r w:rsidRPr="006114CB">
        <w:rPr>
          <w:rFonts w:ascii="David" w:eastAsia="Calibri" w:hAnsi="David" w:hint="cs"/>
          <w:sz w:val="24"/>
          <w:rtl/>
        </w:rPr>
        <w:t>עם</w:t>
      </w:r>
      <w:r w:rsidRPr="006114CB">
        <w:rPr>
          <w:rFonts w:ascii="David" w:eastAsia="Calibri" w:hAnsi="David"/>
          <w:sz w:val="24"/>
          <w:rtl/>
        </w:rPr>
        <w:t xml:space="preserve"> הפסקת הפעילות של התעשייה הפטרוכימית במפרץ חיפה יהיה צורך להגדיל את היקף יבוא התזקיקים לחיפה, במקום להסתמך על יבוא מסיבי ממסוף קצא"א אשקלון והולכת הנפט בצינור של קצא"א לחיפה.</w:t>
      </w:r>
      <w:r w:rsidRPr="006114CB">
        <w:rPr>
          <w:rFonts w:ascii="David" w:eastAsia="Calibri" w:hAnsi="David" w:hint="cs"/>
          <w:sz w:val="24"/>
          <w:rtl/>
        </w:rPr>
        <w:t xml:space="preserve"> לשם כך נקבע בהחלטה כי על שרת התחבורה לקדם באמצעות חנ"י תוכנית להקמה של מסוף תזקיקים חדש בתחום נמל המפרץ בחיפה, וכי במסגרת התוכנית ייבחן גם יבוא של גפ"ם.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rPr>
          <w:rFonts w:ascii="David" w:eastAsia="Calibri" w:hAnsi="David"/>
          <w:sz w:val="24"/>
          <w:rtl/>
        </w:rPr>
      </w:pPr>
      <w:r w:rsidRPr="006114CB">
        <w:rPr>
          <w:rFonts w:ascii="David" w:eastAsia="Calibri" w:hAnsi="David" w:hint="cs"/>
          <w:sz w:val="24"/>
          <w:rtl/>
        </w:rPr>
        <w:t>עוד</w:t>
      </w:r>
      <w:r w:rsidRPr="006114CB">
        <w:rPr>
          <w:rFonts w:ascii="David" w:eastAsia="Calibri" w:hAnsi="David"/>
          <w:sz w:val="24"/>
          <w:rtl/>
        </w:rPr>
        <w:t xml:space="preserve"> </w:t>
      </w:r>
      <w:r w:rsidRPr="006114CB">
        <w:rPr>
          <w:rFonts w:ascii="David" w:eastAsia="Calibri" w:hAnsi="David" w:hint="cs"/>
          <w:sz w:val="24"/>
          <w:rtl/>
        </w:rPr>
        <w:t xml:space="preserve">צוין בהסבר כי </w:t>
      </w:r>
      <w:r w:rsidRPr="006114CB">
        <w:rPr>
          <w:rFonts w:ascii="David" w:eastAsia="Calibri" w:hAnsi="David"/>
          <w:sz w:val="24"/>
          <w:rtl/>
        </w:rPr>
        <w:t xml:space="preserve">כיום נקודת היבוא היחידה של גפ"ם למדינת ישראל היא המקשר הימי של קצא"א באשקלון, הנמצא בים הפתוח </w:t>
      </w:r>
      <w:r w:rsidRPr="006114CB">
        <w:rPr>
          <w:rFonts w:ascii="David" w:eastAsia="Calibri" w:hAnsi="David" w:hint="cs"/>
          <w:sz w:val="24"/>
          <w:rtl/>
        </w:rPr>
        <w:t>ואינו</w:t>
      </w:r>
      <w:r w:rsidRPr="006114CB">
        <w:rPr>
          <w:rFonts w:ascii="David" w:eastAsia="Calibri" w:hAnsi="David"/>
          <w:sz w:val="24"/>
          <w:rtl/>
        </w:rPr>
        <w:t xml:space="preserve"> מאפשר תפקוד בתנאי מזג אוויר קשים או </w:t>
      </w:r>
      <w:r w:rsidRPr="006114CB">
        <w:rPr>
          <w:rFonts w:ascii="David" w:eastAsia="Calibri" w:hAnsi="David" w:hint="cs"/>
          <w:sz w:val="24"/>
          <w:rtl/>
        </w:rPr>
        <w:t xml:space="preserve">בזמן </w:t>
      </w:r>
      <w:r w:rsidRPr="006114CB">
        <w:rPr>
          <w:rFonts w:ascii="David" w:eastAsia="Calibri" w:hAnsi="David"/>
          <w:sz w:val="24"/>
          <w:rtl/>
        </w:rPr>
        <w:t>התלקחות ביטחונית ברצועת עזה.</w:t>
      </w:r>
      <w:r w:rsidRPr="006114CB">
        <w:rPr>
          <w:rFonts w:ascii="David" w:eastAsia="Calibri" w:hAnsi="David" w:hint="cs"/>
          <w:sz w:val="24"/>
          <w:rtl/>
        </w:rPr>
        <w:t xml:space="preserve"> </w:t>
      </w:r>
      <w:bookmarkStart w:id="29" w:name="_Hlk230104052"/>
      <w:r w:rsidRPr="006114CB">
        <w:rPr>
          <w:rFonts w:ascii="David" w:eastAsia="Calibri" w:hAnsi="David" w:hint="cs"/>
          <w:sz w:val="24"/>
          <w:rtl/>
        </w:rPr>
        <w:t>נוסף על כך, באתר המינהלת לפיתוח מפרץ חיפה צוין כי</w:t>
      </w:r>
      <w:r w:rsidRPr="006114CB">
        <w:rPr>
          <w:rFonts w:ascii="David" w:eastAsia="Calibri" w:hAnsi="David"/>
          <w:sz w:val="24"/>
          <w:rtl/>
        </w:rPr>
        <w:t xml:space="preserve"> תשתית זו גם תקטין את מספר המשאיות שייסעו בכבישי הארץ </w:t>
      </w:r>
      <w:r w:rsidRPr="006114CB">
        <w:rPr>
          <w:rFonts w:ascii="David" w:eastAsia="Calibri" w:hAnsi="David" w:hint="cs"/>
          <w:sz w:val="24"/>
          <w:rtl/>
        </w:rPr>
        <w:t xml:space="preserve">כדי </w:t>
      </w:r>
      <w:r w:rsidRPr="006114CB">
        <w:rPr>
          <w:rFonts w:ascii="David" w:eastAsia="Calibri" w:hAnsi="David"/>
          <w:sz w:val="24"/>
          <w:rtl/>
        </w:rPr>
        <w:t>לספק לצפון המדינה תזקיקים וגפ"</w:t>
      </w:r>
      <w:r w:rsidRPr="006114CB">
        <w:rPr>
          <w:rFonts w:ascii="David" w:eastAsia="Calibri" w:hAnsi="David" w:hint="cs"/>
          <w:sz w:val="24"/>
          <w:rtl/>
        </w:rPr>
        <w:t>ם</w:t>
      </w:r>
      <w:r w:rsidRPr="006114CB">
        <w:rPr>
          <w:rFonts w:ascii="David" w:eastAsia="Calibri" w:hAnsi="David"/>
          <w:sz w:val="24"/>
          <w:rtl/>
        </w:rPr>
        <w:t xml:space="preserve"> שמיובאים ממרכז הארץ ומדרומה</w:t>
      </w:r>
      <w:r w:rsidRPr="006114CB">
        <w:rPr>
          <w:rFonts w:ascii="David" w:eastAsia="Calibri" w:hAnsi="David" w:hint="cs"/>
          <w:sz w:val="24"/>
          <w:rtl/>
        </w:rPr>
        <w:t>.</w:t>
      </w:r>
      <w:r w:rsidRPr="006114CB">
        <w:rPr>
          <w:rFonts w:ascii="David" w:eastAsia="Calibri" w:hAnsi="David"/>
          <w:sz w:val="24"/>
          <w:rtl/>
        </w:rPr>
        <w:t xml:space="preserve"> </w:t>
      </w:r>
      <w:bookmarkEnd w:id="29"/>
      <w:r w:rsidRPr="006114CB">
        <w:rPr>
          <w:rFonts w:ascii="David" w:eastAsia="Calibri" w:hAnsi="David"/>
          <w:sz w:val="24"/>
          <w:rtl/>
        </w:rPr>
        <w:t xml:space="preserve">על כן, במסגרת תת"ל 118 </w:t>
      </w:r>
      <w:r w:rsidRPr="006114CB">
        <w:rPr>
          <w:rFonts w:ascii="David" w:eastAsia="Calibri" w:hAnsi="David" w:hint="cs"/>
          <w:sz w:val="24"/>
          <w:rtl/>
        </w:rPr>
        <w:t>קודמה ביו היתר</w:t>
      </w:r>
      <w:r w:rsidRPr="006114CB">
        <w:rPr>
          <w:rFonts w:ascii="David" w:eastAsia="Calibri" w:hAnsi="David"/>
          <w:sz w:val="24"/>
          <w:rtl/>
        </w:rPr>
        <w:t xml:space="preserve"> הקמה של</w:t>
      </w:r>
      <w:r w:rsidRPr="006114CB">
        <w:rPr>
          <w:rFonts w:ascii="David" w:eastAsia="Calibri" w:hAnsi="David" w:hint="cs"/>
          <w:sz w:val="24"/>
          <w:rtl/>
        </w:rPr>
        <w:t xml:space="preserve"> מתקני</w:t>
      </w:r>
      <w:r w:rsidRPr="006114CB">
        <w:rPr>
          <w:rFonts w:ascii="David" w:eastAsia="Calibri" w:hAnsi="David"/>
          <w:sz w:val="24"/>
          <w:rtl/>
        </w:rPr>
        <w:t xml:space="preserve"> מסוף </w:t>
      </w:r>
      <w:r w:rsidRPr="006114CB">
        <w:rPr>
          <w:rFonts w:ascii="David" w:eastAsia="Calibri" w:hAnsi="David" w:hint="cs"/>
          <w:sz w:val="24"/>
          <w:rtl/>
        </w:rPr>
        <w:t>תזקיקים</w:t>
      </w:r>
      <w:r w:rsidRPr="006114CB">
        <w:rPr>
          <w:rFonts w:ascii="David" w:eastAsia="Calibri" w:hAnsi="David"/>
          <w:sz w:val="24"/>
          <w:rtl/>
        </w:rPr>
        <w:t xml:space="preserve"> מודרני בסמוך לנמל המפרץ</w:t>
      </w:r>
      <w:r w:rsidRPr="006114CB">
        <w:rPr>
          <w:rFonts w:ascii="David" w:eastAsia="Calibri" w:hAnsi="David" w:hint="cs"/>
          <w:sz w:val="24"/>
          <w:rtl/>
        </w:rPr>
        <w:t xml:space="preserve"> בחיפה</w:t>
      </w:r>
      <w:r w:rsidRPr="006114CB">
        <w:rPr>
          <w:rFonts w:ascii="David" w:eastAsia="Calibri" w:hAnsi="David"/>
          <w:sz w:val="24"/>
          <w:rtl/>
        </w:rPr>
        <w:t>, כולל תשתיות ליבוא של גפ"ם שייצרו יתירות קריטית ליבוא גם במסוף אשקלון, כולל בימי מזג אוויר קשים.</w:t>
      </w:r>
      <w:r w:rsidRPr="006114CB">
        <w:rPr>
          <w:rFonts w:ascii="David" w:eastAsia="Calibri" w:hAnsi="David" w:hint="cs"/>
          <w:sz w:val="24"/>
          <w:rtl/>
        </w:rPr>
        <w:t xml:space="preserve"> </w:t>
      </w:r>
    </w:p>
    <w:p w:rsidR="006114CB" w:rsidRPr="006114CB" w:rsidP="002F4530">
      <w:pPr>
        <w:keepNext/>
        <w:keepLines/>
        <w:spacing w:line="269" w:lineRule="auto"/>
        <w:ind w:left="-567"/>
        <w:rPr>
          <w:rFonts w:eastAsia="Calibri"/>
          <w:szCs w:val="20"/>
          <w:rtl/>
        </w:rPr>
      </w:pPr>
    </w:p>
    <w:p w:rsidR="006114CB" w:rsidRPr="006114CB" w:rsidP="002F4530">
      <w:pPr>
        <w:keepNext/>
        <w:keepLines/>
        <w:spacing w:line="269" w:lineRule="auto"/>
        <w:outlineLvl w:val="4"/>
        <w:rPr>
          <w:rFonts w:eastAsia="Times New Roman"/>
          <w:bCs/>
          <w:spacing w:val="40"/>
          <w:rtl/>
        </w:rPr>
      </w:pPr>
      <w:r w:rsidRPr="006114CB">
        <w:rPr>
          <w:rFonts w:eastAsia="Times New Roman" w:hint="cs"/>
          <w:bCs/>
          <w:spacing w:val="40"/>
          <w:rtl/>
        </w:rPr>
        <w:t>החלופות ליבוא גפ"ם בצפון הארץ</w:t>
      </w:r>
    </w:p>
    <w:p w:rsidR="006114CB" w:rsidRPr="006114CB" w:rsidP="002F4530">
      <w:pPr>
        <w:spacing w:line="269" w:lineRule="auto"/>
        <w:rPr>
          <w:rFonts w:eastAsia="Calibri"/>
          <w:rtl/>
        </w:rPr>
      </w:pPr>
    </w:p>
    <w:p w:rsidR="006114CB" w:rsidRPr="006114CB" w:rsidP="002F4530">
      <w:pPr>
        <w:keepNext/>
        <w:keepLines/>
        <w:numPr>
          <w:ilvl w:val="0"/>
          <w:numId w:val="13"/>
        </w:numPr>
        <w:spacing w:line="269" w:lineRule="auto"/>
        <w:ind w:left="312"/>
        <w:outlineLvl w:val="5"/>
        <w:rPr>
          <w:rFonts w:eastAsia="Times New Roman"/>
          <w:spacing w:val="40"/>
          <w:rtl/>
        </w:rPr>
      </w:pPr>
      <w:r w:rsidRPr="006114CB">
        <w:rPr>
          <w:rFonts w:eastAsia="Times New Roman" w:hint="cs"/>
          <w:spacing w:val="40"/>
          <w:rtl/>
        </w:rPr>
        <w:t>חלופת יבוא גפ</w:t>
      </w:r>
      <w:r w:rsidRPr="006114CB">
        <w:rPr>
          <w:rFonts w:eastAsia="Times New Roman"/>
          <w:spacing w:val="40"/>
          <w:rtl/>
        </w:rPr>
        <w:t>"</w:t>
      </w:r>
      <w:r w:rsidRPr="006114CB">
        <w:rPr>
          <w:rFonts w:eastAsia="Times New Roman" w:hint="cs"/>
          <w:spacing w:val="40"/>
          <w:rtl/>
        </w:rPr>
        <w:t>ם באמצעות מסוף התזקיקים החדש בנמל המפרץ בחיפה</w:t>
      </w:r>
    </w:p>
    <w:p w:rsidR="006114CB" w:rsidRPr="00E660CE" w:rsidP="002F4530">
      <w:pPr>
        <w:rPr>
          <w:rFonts w:eastAsia="Calibri"/>
          <w:sz w:val="16"/>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בתמ"א 32, שפורסמה בשנת 2017, נקבע כי יוקצו שטחים להקמת מתקני אחסון לגפ</w:t>
      </w:r>
      <w:r w:rsidRPr="006114CB">
        <w:rPr>
          <w:rFonts w:ascii="David" w:eastAsia="Calibri" w:hAnsi="David"/>
          <w:sz w:val="24"/>
          <w:rtl/>
        </w:rPr>
        <w:t>"</w:t>
      </w:r>
      <w:r w:rsidRPr="006114CB">
        <w:rPr>
          <w:rFonts w:ascii="David" w:eastAsia="Calibri" w:hAnsi="David" w:hint="cs"/>
          <w:sz w:val="24"/>
          <w:rtl/>
        </w:rPr>
        <w:t>ם, בין היתר באזור הצפון במתחם יבור</w:t>
      </w:r>
      <w:r>
        <w:rPr>
          <w:rFonts w:ascii="David" w:eastAsia="Calibri" w:hAnsi="David"/>
          <w:sz w:val="24"/>
          <w:vertAlign w:val="superscript"/>
          <w:rtl/>
        </w:rPr>
        <w:footnoteReference w:id="95"/>
      </w:r>
      <w:r w:rsidRPr="006114CB">
        <w:rPr>
          <w:rFonts w:ascii="David" w:eastAsia="Calibri" w:hAnsi="David" w:hint="cs"/>
          <w:sz w:val="24"/>
          <w:rtl/>
        </w:rPr>
        <w:t>. בהתאם לכך, נקבע תוואי באורך של כ-25 קילומטר להזרמת הגפ</w:t>
      </w:r>
      <w:r w:rsidRPr="006114CB">
        <w:rPr>
          <w:rFonts w:ascii="David" w:eastAsia="Calibri" w:hAnsi="David"/>
          <w:sz w:val="24"/>
          <w:rtl/>
        </w:rPr>
        <w:t>"</w:t>
      </w:r>
      <w:r w:rsidRPr="006114CB">
        <w:rPr>
          <w:rFonts w:ascii="David" w:eastAsia="Calibri" w:hAnsi="David" w:hint="cs"/>
          <w:sz w:val="24"/>
          <w:rtl/>
        </w:rPr>
        <w:t>ם המיוצר בבתי הזיקוק בחיפה למתחם יבור, אשר הוסדר מבחינה סטטוטורית</w:t>
      </w:r>
      <w:r>
        <w:rPr>
          <w:rFonts w:ascii="David" w:eastAsia="Calibri" w:hAnsi="David" w:hint="cs"/>
          <w:rtl/>
        </w:rPr>
        <w:t xml:space="preserve"> </w:t>
      </w:r>
      <w:r w:rsidRPr="006114CB">
        <w:rPr>
          <w:rFonts w:ascii="David" w:eastAsia="Calibri" w:hAnsi="David" w:hint="cs"/>
          <w:sz w:val="24"/>
          <w:rtl/>
        </w:rPr>
        <w:t>בתמ"א 32.</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eastAsia"/>
          <w:sz w:val="24"/>
          <w:rtl/>
        </w:rPr>
        <w:t>להלן</w:t>
      </w:r>
      <w:r w:rsidRPr="006114CB">
        <w:rPr>
          <w:rFonts w:ascii="David" w:eastAsia="Calibri" w:hAnsi="David"/>
          <w:sz w:val="24"/>
          <w:rtl/>
        </w:rPr>
        <w:t xml:space="preserve"> </w:t>
      </w:r>
      <w:r w:rsidRPr="006114CB">
        <w:rPr>
          <w:rFonts w:ascii="David" w:eastAsia="Calibri" w:hAnsi="David" w:hint="eastAsia"/>
          <w:sz w:val="24"/>
          <w:rtl/>
        </w:rPr>
        <w:t>תמונה</w:t>
      </w:r>
      <w:r w:rsidRPr="006114CB">
        <w:rPr>
          <w:rFonts w:ascii="David" w:eastAsia="Calibri" w:hAnsi="David"/>
          <w:sz w:val="24"/>
          <w:rtl/>
        </w:rPr>
        <w:t xml:space="preserve"> </w:t>
      </w:r>
      <w:r w:rsidRPr="006114CB">
        <w:rPr>
          <w:rFonts w:ascii="David" w:eastAsia="Calibri" w:hAnsi="David" w:hint="eastAsia"/>
          <w:sz w:val="24"/>
          <w:rtl/>
        </w:rPr>
        <w:t>של</w:t>
      </w:r>
      <w:r w:rsidRPr="006114CB">
        <w:rPr>
          <w:rFonts w:ascii="David" w:eastAsia="Calibri" w:hAnsi="David"/>
          <w:sz w:val="24"/>
          <w:rtl/>
        </w:rPr>
        <w:t xml:space="preserve"> </w:t>
      </w:r>
      <w:r w:rsidRPr="006114CB">
        <w:rPr>
          <w:rFonts w:ascii="David" w:eastAsia="Calibri" w:hAnsi="David" w:hint="eastAsia"/>
          <w:sz w:val="24"/>
          <w:rtl/>
        </w:rPr>
        <w:t>מסוף</w:t>
      </w:r>
      <w:r w:rsidRPr="006114CB">
        <w:rPr>
          <w:rFonts w:ascii="David" w:eastAsia="Calibri" w:hAnsi="David"/>
          <w:sz w:val="24"/>
          <w:rtl/>
        </w:rPr>
        <w:t xml:space="preserve"> </w:t>
      </w:r>
      <w:r w:rsidRPr="006114CB">
        <w:rPr>
          <w:rFonts w:ascii="David" w:eastAsia="Calibri" w:hAnsi="David" w:hint="eastAsia"/>
          <w:sz w:val="24"/>
          <w:rtl/>
        </w:rPr>
        <w:t>התזקיקים</w:t>
      </w:r>
      <w:r w:rsidRPr="006114CB">
        <w:rPr>
          <w:rFonts w:ascii="David" w:eastAsia="Calibri" w:hAnsi="David"/>
          <w:sz w:val="24"/>
          <w:rtl/>
        </w:rPr>
        <w:t xml:space="preserve"> </w:t>
      </w:r>
      <w:r w:rsidRPr="006114CB">
        <w:rPr>
          <w:rFonts w:ascii="David" w:eastAsia="Calibri" w:hAnsi="David" w:hint="eastAsia"/>
          <w:sz w:val="24"/>
          <w:rtl/>
        </w:rPr>
        <w:t>החדש</w:t>
      </w:r>
      <w:r w:rsidRPr="006114CB">
        <w:rPr>
          <w:rFonts w:ascii="David" w:eastAsia="Calibri" w:hAnsi="David"/>
          <w:sz w:val="24"/>
          <w:rtl/>
        </w:rPr>
        <w:t xml:space="preserve"> </w:t>
      </w:r>
      <w:r w:rsidRPr="006114CB">
        <w:rPr>
          <w:rFonts w:ascii="David" w:eastAsia="Calibri" w:hAnsi="David" w:hint="eastAsia"/>
          <w:sz w:val="24"/>
          <w:rtl/>
        </w:rPr>
        <w:t>בחיפה הנמצא</w:t>
      </w:r>
      <w:r w:rsidRPr="006114CB">
        <w:rPr>
          <w:rFonts w:ascii="David" w:eastAsia="Calibri" w:hAnsi="David"/>
          <w:sz w:val="24"/>
          <w:rtl/>
        </w:rPr>
        <w:t xml:space="preserve"> </w:t>
      </w:r>
      <w:r w:rsidRPr="006114CB">
        <w:rPr>
          <w:rFonts w:ascii="David" w:eastAsia="Calibri" w:hAnsi="David" w:hint="eastAsia"/>
          <w:sz w:val="24"/>
          <w:rtl/>
        </w:rPr>
        <w:t>בשלבי</w:t>
      </w:r>
      <w:r w:rsidRPr="006114CB">
        <w:rPr>
          <w:rFonts w:ascii="David" w:eastAsia="Calibri" w:hAnsi="David"/>
          <w:sz w:val="24"/>
          <w:rtl/>
        </w:rPr>
        <w:t xml:space="preserve"> </w:t>
      </w:r>
      <w:r w:rsidRPr="006114CB">
        <w:rPr>
          <w:rFonts w:ascii="David" w:eastAsia="Calibri" w:hAnsi="David" w:hint="eastAsia"/>
          <w:sz w:val="24"/>
          <w:rtl/>
        </w:rPr>
        <w:t>הקמה</w:t>
      </w:r>
      <w:r>
        <w:rPr>
          <w:rFonts w:ascii="David" w:eastAsia="Calibri" w:hAnsi="David"/>
          <w:sz w:val="24"/>
          <w:vertAlign w:val="superscript"/>
          <w:rtl/>
        </w:rPr>
        <w:footnoteReference w:id="96"/>
      </w:r>
      <w:r w:rsidRPr="006114CB">
        <w:rPr>
          <w:rFonts w:ascii="David" w:eastAsia="Calibri" w:hAnsi="David"/>
          <w:sz w:val="24"/>
          <w:rtl/>
        </w:rPr>
        <w:t xml:space="preserve"> </w:t>
      </w:r>
      <w:r w:rsidRPr="006114CB">
        <w:rPr>
          <w:rFonts w:ascii="David" w:eastAsia="Calibri" w:hAnsi="David" w:hint="eastAsia"/>
          <w:sz w:val="24"/>
          <w:rtl/>
        </w:rPr>
        <w:t>אשר</w:t>
      </w:r>
      <w:r w:rsidRPr="006114CB">
        <w:rPr>
          <w:rFonts w:ascii="David" w:eastAsia="Calibri" w:hAnsi="David"/>
          <w:sz w:val="24"/>
          <w:rtl/>
        </w:rPr>
        <w:t xml:space="preserve"> החלטת הממשלה 1231 </w:t>
      </w:r>
      <w:r w:rsidRPr="006114CB">
        <w:rPr>
          <w:rFonts w:ascii="David" w:eastAsia="Calibri" w:hAnsi="David" w:hint="eastAsia"/>
          <w:sz w:val="24"/>
          <w:rtl/>
        </w:rPr>
        <w:t>קבעה</w:t>
      </w:r>
      <w:r w:rsidRPr="006114CB">
        <w:rPr>
          <w:rFonts w:ascii="David" w:eastAsia="Calibri" w:hAnsi="David"/>
          <w:sz w:val="24"/>
          <w:rtl/>
        </w:rPr>
        <w:t xml:space="preserve"> כי במסגרת תוכנית הקמתו יש לבחון אפשרות ליבוא </w:t>
      </w:r>
      <w:r w:rsidRPr="006114CB">
        <w:rPr>
          <w:rFonts w:ascii="David" w:eastAsia="Calibri" w:hAnsi="David" w:hint="eastAsia"/>
          <w:sz w:val="24"/>
          <w:rtl/>
        </w:rPr>
        <w:t>גפ</w:t>
      </w:r>
      <w:r w:rsidRPr="006114CB">
        <w:rPr>
          <w:rFonts w:ascii="David" w:eastAsia="Calibri" w:hAnsi="David"/>
          <w:sz w:val="24"/>
          <w:rtl/>
        </w:rPr>
        <w:t>"ם</w:t>
      </w:r>
      <w:r w:rsidRPr="006114CB">
        <w:rPr>
          <w:rFonts w:ascii="David" w:eastAsia="Calibri" w:hAnsi="David" w:hint="cs"/>
          <w:sz w:val="24"/>
          <w:rtl/>
        </w:rPr>
        <w:t xml:space="preserve"> באמצעותו :</w:t>
      </w:r>
    </w:p>
    <w:p w:rsidR="006114CB" w:rsidRPr="00E660CE" w:rsidP="002F4530">
      <w:pPr>
        <w:keepNext/>
        <w:keepLines/>
        <w:spacing w:line="269" w:lineRule="auto"/>
        <w:ind w:left="-567"/>
        <w:rPr>
          <w:rFonts w:eastAsia="Calibri"/>
          <w:sz w:val="18"/>
          <w:szCs w:val="18"/>
          <w:rtl/>
        </w:rPr>
      </w:pPr>
    </w:p>
    <w:p w:rsidR="006114CB" w:rsidRPr="006114CB" w:rsidP="002F4530">
      <w:pPr>
        <w:spacing w:line="269" w:lineRule="auto"/>
        <w:jc w:val="center"/>
        <w:rPr>
          <w:rFonts w:ascii="David" w:eastAsia="Calibri" w:hAnsi="David"/>
          <w:b/>
          <w:bCs/>
          <w:sz w:val="24"/>
          <w:rtl/>
        </w:rPr>
      </w:pPr>
      <w:r w:rsidRPr="006114CB">
        <w:rPr>
          <w:rFonts w:ascii="David" w:eastAsia="Calibri" w:hAnsi="David" w:hint="eastAsia"/>
          <w:sz w:val="24"/>
          <w:rtl/>
        </w:rPr>
        <w:t>תמונה</w:t>
      </w:r>
      <w:r w:rsidRPr="006114CB">
        <w:rPr>
          <w:rFonts w:ascii="David" w:eastAsia="Calibri" w:hAnsi="David"/>
          <w:sz w:val="24"/>
          <w:rtl/>
        </w:rPr>
        <w:t xml:space="preserve"> 2:</w:t>
      </w:r>
      <w:r w:rsidRPr="006114CB">
        <w:rPr>
          <w:rFonts w:ascii="David" w:eastAsia="Calibri" w:hAnsi="David"/>
          <w:sz w:val="24"/>
        </w:rPr>
        <w:t xml:space="preserve"> </w:t>
      </w:r>
      <w:r w:rsidRPr="006114CB">
        <w:rPr>
          <w:rFonts w:ascii="David" w:eastAsia="Calibri" w:hAnsi="David" w:hint="cs"/>
          <w:b/>
          <w:bCs/>
          <w:sz w:val="24"/>
          <w:rtl/>
        </w:rPr>
        <w:t>מסוף התזקיקים החדש, נמל המפרץ, חיפה, דצמבר 2025</w:t>
      </w:r>
    </w:p>
    <w:p w:rsidR="006114CB" w:rsidRPr="006114CB" w:rsidP="002F4530">
      <w:pPr>
        <w:spacing w:line="269" w:lineRule="auto"/>
        <w:jc w:val="center"/>
        <w:rPr>
          <w:rFonts w:ascii="David" w:eastAsia="Calibri" w:hAnsi="David"/>
          <w:sz w:val="24"/>
          <w:rtl/>
        </w:rPr>
      </w:pPr>
      <w:r w:rsidRPr="006114CB">
        <w:rPr>
          <w:rFonts w:eastAsia="Calibri"/>
          <w:noProof/>
        </w:rPr>
        <mc:AlternateContent>
          <mc:Choice Requires="wps">
            <w:drawing>
              <wp:anchor distT="0" distB="0" distL="114300" distR="114300" simplePos="0" relativeHeight="251664384" behindDoc="0" locked="0" layoutInCell="1" allowOverlap="1">
                <wp:simplePos x="0" y="0"/>
                <wp:positionH relativeFrom="column">
                  <wp:posOffset>2533015</wp:posOffset>
                </wp:positionH>
                <wp:positionV relativeFrom="paragraph">
                  <wp:posOffset>758825</wp:posOffset>
                </wp:positionV>
                <wp:extent cx="276225" cy="247650"/>
                <wp:effectExtent l="57150" t="38100" r="66675" b="95250"/>
                <wp:wrapNone/>
                <wp:docPr id="47" name="מחבר ישר 4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276225" cy="247650"/>
                        </a:xfrm>
                        <a:prstGeom prst="line">
                          <a:avLst/>
                        </a:prstGeom>
                        <a:noFill/>
                        <a:ln w="25400">
                          <a:solidFill>
                            <a:srgbClr val="C0504D"/>
                          </a:solidFill>
                          <a:prstDash val="solid"/>
                        </a:ln>
                        <a:effectLst>
                          <a:outerShdw blurRad="40000" dist="20000" dir="5400000" sx="100000" sy="100000" kx="0" ky="0" algn="b" rotWithShape="0">
                            <a:srgbClr val="000000">
                              <a:alpha val="38000"/>
                            </a:srgbClr>
                          </a:outerShdw>
                        </a:effectLst>
                      </wps:spPr>
                      <wps:bodyPr/>
                    </wps:wsp>
                  </a:graphicData>
                </a:graphic>
              </wp:anchor>
            </w:drawing>
          </mc:Choice>
          <mc:Fallback>
            <w:pict>
              <v:line id="מחבר ישר 47" o:spid="_x0000_s1025" style="flip:x y;mso-wrap-distance-bottom:0;mso-wrap-distance-left:9pt;mso-wrap-distance-right:9pt;mso-wrap-distance-top:0;mso-wrap-style:square;position:absolute;visibility:visible;z-index:251665408" from="199.45pt,59.75pt" to="221.2pt,79.25pt" strokecolor="#c0504d" strokeweight="2pt">
                <v:shadow on="t" color="black" opacity="24903f" origin=",0.5" offset="0,1.57pt"/>
              </v:line>
            </w:pict>
          </mc:Fallback>
        </mc:AlternateContent>
      </w:r>
      <w:r w:rsidRPr="006114CB">
        <w:rPr>
          <w:rFonts w:eastAsia="Calibri"/>
          <w:noProof/>
        </w:rPr>
        <mc:AlternateContent>
          <mc:Choice Requires="wps">
            <w:drawing>
              <wp:anchor distT="0" distB="0" distL="114300" distR="114300" simplePos="0" relativeHeight="251662336" behindDoc="0" locked="0" layoutInCell="1" allowOverlap="1">
                <wp:simplePos x="0" y="0"/>
                <wp:positionH relativeFrom="column">
                  <wp:posOffset>2533015</wp:posOffset>
                </wp:positionH>
                <wp:positionV relativeFrom="paragraph">
                  <wp:posOffset>635000</wp:posOffset>
                </wp:positionV>
                <wp:extent cx="457200" cy="123825"/>
                <wp:effectExtent l="57150" t="38100" r="57150" b="85725"/>
                <wp:wrapNone/>
                <wp:docPr id="37" name="מחבר ישר 37"/>
                <wp:cNvGraphicFramePr/>
                <a:graphic xmlns:a="http://schemas.openxmlformats.org/drawingml/2006/main">
                  <a:graphicData uri="http://schemas.microsoft.com/office/word/2010/wordprocessingShape">
                    <wps:wsp xmlns:wps="http://schemas.microsoft.com/office/word/2010/wordprocessingShape">
                      <wps:cNvCnPr/>
                      <wps:spPr>
                        <a:xfrm flipH="1">
                          <a:off x="0" y="0"/>
                          <a:ext cx="457200" cy="123825"/>
                        </a:xfrm>
                        <a:prstGeom prst="line">
                          <a:avLst/>
                        </a:prstGeom>
                        <a:noFill/>
                        <a:ln w="25400">
                          <a:solidFill>
                            <a:srgbClr val="C0504D"/>
                          </a:solidFill>
                          <a:prstDash val="solid"/>
                        </a:ln>
                        <a:effectLst>
                          <a:outerShdw blurRad="40000" dist="20000" dir="5400000" sx="100000" sy="100000" kx="0" ky="0" algn="b" rotWithShape="0">
                            <a:srgbClr val="000000">
                              <a:alpha val="38000"/>
                            </a:srgbClr>
                          </a:outerShdw>
                        </a:effectLst>
                      </wps:spPr>
                      <wps:bodyPr/>
                    </wps:wsp>
                  </a:graphicData>
                </a:graphic>
              </wp:anchor>
            </w:drawing>
          </mc:Choice>
          <mc:Fallback>
            <w:pict>
              <v:line id="מחבר ישר 37" o:spid="_x0000_s1026" style="flip:x;mso-wrap-distance-bottom:0;mso-wrap-distance-left:9pt;mso-wrap-distance-right:9pt;mso-wrap-distance-top:0;mso-wrap-style:square;position:absolute;visibility:visible;z-index:251663360" from="199.45pt,50pt" to="235.45pt,59.75pt" strokecolor="#c0504d" strokeweight="2pt">
                <v:shadow on="t" color="black" opacity="24903f" origin=",0.5" offset="0,1.57pt"/>
              </v:line>
            </w:pict>
          </mc:Fallback>
        </mc:AlternateContent>
      </w:r>
      <w:r w:rsidRPr="006114CB">
        <w:rPr>
          <w:rFonts w:eastAsia="Calibri"/>
          <w:noProof/>
        </w:rPr>
        <mc:AlternateContent>
          <mc:Choice Requires="wps">
            <w:drawing>
              <wp:anchor distT="0" distB="0" distL="114300" distR="114300" simplePos="0" relativeHeight="251660288" behindDoc="0" locked="0" layoutInCell="1" allowOverlap="1">
                <wp:simplePos x="0" y="0"/>
                <wp:positionH relativeFrom="column">
                  <wp:posOffset>2799715</wp:posOffset>
                </wp:positionH>
                <wp:positionV relativeFrom="paragraph">
                  <wp:posOffset>882650</wp:posOffset>
                </wp:positionV>
                <wp:extent cx="504825" cy="123825"/>
                <wp:effectExtent l="57150" t="38100" r="66675" b="85725"/>
                <wp:wrapNone/>
                <wp:docPr id="35" name="מחבר ישר 35"/>
                <wp:cNvGraphicFramePr/>
                <a:graphic xmlns:a="http://schemas.openxmlformats.org/drawingml/2006/main">
                  <a:graphicData uri="http://schemas.microsoft.com/office/word/2010/wordprocessingShape">
                    <wps:wsp xmlns:wps="http://schemas.microsoft.com/office/word/2010/wordprocessingShape">
                      <wps:cNvCnPr/>
                      <wps:spPr>
                        <a:xfrm flipH="1">
                          <a:off x="0" y="0"/>
                          <a:ext cx="504825" cy="123825"/>
                        </a:xfrm>
                        <a:prstGeom prst="line">
                          <a:avLst/>
                        </a:prstGeom>
                        <a:noFill/>
                        <a:ln w="25400">
                          <a:solidFill>
                            <a:srgbClr val="C0504D"/>
                          </a:solidFill>
                          <a:prstDash val="solid"/>
                        </a:ln>
                        <a:effectLst>
                          <a:outerShdw blurRad="40000" dist="20000" dir="5400000" sx="100000" sy="100000" kx="0" ky="0" algn="b" rotWithShape="0">
                            <a:srgbClr val="000000">
                              <a:alpha val="38000"/>
                            </a:srgbClr>
                          </a:outerShdw>
                        </a:effectLst>
                      </wps:spPr>
                      <wps:bodyPr/>
                    </wps:wsp>
                  </a:graphicData>
                </a:graphic>
              </wp:anchor>
            </w:drawing>
          </mc:Choice>
          <mc:Fallback>
            <w:pict>
              <v:line id="מחבר ישר 35" o:spid="_x0000_s1027" style="flip:x;mso-wrap-distance-bottom:0;mso-wrap-distance-left:9pt;mso-wrap-distance-right:9pt;mso-wrap-distance-top:0;mso-wrap-style:square;position:absolute;visibility:visible;z-index:251661312" from="220.45pt,69.5pt" to="260.2pt,79.25pt" strokecolor="#c0504d" strokeweight="2pt">
                <v:shadow on="t" color="black" opacity="24903f" origin=",0.5" offset="0,1.57pt"/>
              </v:line>
            </w:pict>
          </mc:Fallback>
        </mc:AlternateContent>
      </w:r>
      <w:r w:rsidRPr="006114CB">
        <w:rPr>
          <w:rFonts w:eastAsia="Calibri"/>
          <w:noProof/>
        </w:rPr>
        <mc:AlternateContent>
          <mc:Choice Requires="wps">
            <w:drawing>
              <wp:anchor distT="0" distB="0" distL="114300" distR="114300" simplePos="0" relativeHeight="251658240" behindDoc="0" locked="0" layoutInCell="1" allowOverlap="1">
                <wp:simplePos x="0" y="0"/>
                <wp:positionH relativeFrom="column">
                  <wp:posOffset>2980690</wp:posOffset>
                </wp:positionH>
                <wp:positionV relativeFrom="paragraph">
                  <wp:posOffset>644525</wp:posOffset>
                </wp:positionV>
                <wp:extent cx="323850" cy="228600"/>
                <wp:effectExtent l="38100" t="19050" r="76200" b="95250"/>
                <wp:wrapNone/>
                <wp:docPr id="33" name="מחבר ישר 33"/>
                <wp:cNvGraphicFramePr/>
                <a:graphic xmlns:a="http://schemas.openxmlformats.org/drawingml/2006/main">
                  <a:graphicData uri="http://schemas.microsoft.com/office/word/2010/wordprocessingShape">
                    <wps:wsp xmlns:wps="http://schemas.microsoft.com/office/word/2010/wordprocessingShape">
                      <wps:cNvCnPr/>
                      <wps:spPr>
                        <a:xfrm>
                          <a:off x="0" y="0"/>
                          <a:ext cx="323850" cy="228600"/>
                        </a:xfrm>
                        <a:prstGeom prst="line">
                          <a:avLst/>
                        </a:prstGeom>
                        <a:noFill/>
                        <a:ln w="25400">
                          <a:solidFill>
                            <a:srgbClr val="C0504D"/>
                          </a:solidFill>
                          <a:prstDash val="solid"/>
                        </a:ln>
                        <a:effectLst>
                          <a:outerShdw blurRad="40000" dist="20000" dir="5400000" sx="100000" sy="100000" kx="0" ky="0" algn="b" rotWithShape="0">
                            <a:srgbClr val="000000">
                              <a:alpha val="38000"/>
                            </a:srgbClr>
                          </a:outerShdw>
                        </a:effectLst>
                      </wps:spPr>
                      <wps:bodyPr/>
                    </wps:wsp>
                  </a:graphicData>
                </a:graphic>
              </wp:anchor>
            </w:drawing>
          </mc:Choice>
          <mc:Fallback>
            <w:pict>
              <v:line id="מחבר ישר 33" o:spid="_x0000_s1028" style="mso-wrap-distance-bottom:0;mso-wrap-distance-left:9pt;mso-wrap-distance-right:9pt;mso-wrap-distance-top:0;mso-wrap-style:square;position:absolute;visibility:visible;z-index:251659264" from="234.7pt,50.75pt" to="260.2pt,68.75pt" strokecolor="#c0504d" strokeweight="2pt">
                <v:shadow on="t" color="black" opacity="24903f" origin=",0.5" offset="0,1.57pt"/>
              </v:line>
            </w:pict>
          </mc:Fallback>
        </mc:AlternateContent>
      </w:r>
      <w:r w:rsidRPr="006114CB">
        <w:rPr>
          <w:rFonts w:eastAsia="Calibri"/>
          <w:noProof/>
        </w:rPr>
        <w:drawing>
          <wp:inline distT="0" distB="0" distL="0" distR="0">
            <wp:extent cx="3124097" cy="1633301"/>
            <wp:effectExtent l="0" t="0" r="635" b="5080"/>
            <wp:docPr id="1" name="תמונה 1" descr="תצלום אויר של מסוף התזקיקים החדש במפרץ ח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19"/>
                    <a:stretch>
                      <a:fillRect/>
                    </a:stretch>
                  </pic:blipFill>
                  <pic:spPr>
                    <a:xfrm>
                      <a:off x="0" y="0"/>
                      <a:ext cx="3155516" cy="1649727"/>
                    </a:xfrm>
                    <a:prstGeom prst="rect">
                      <a:avLst/>
                    </a:prstGeom>
                  </pic:spPr>
                </pic:pic>
              </a:graphicData>
            </a:graphic>
          </wp:inline>
        </w:drawing>
      </w:r>
    </w:p>
    <w:p w:rsidR="006114CB" w:rsidRPr="006114CB" w:rsidP="002F4530">
      <w:pPr>
        <w:spacing w:line="269" w:lineRule="auto"/>
        <w:ind w:firstLine="312"/>
        <w:rPr>
          <w:rFonts w:ascii="David" w:eastAsia="Calibri" w:hAnsi="David"/>
          <w:szCs w:val="20"/>
          <w:rtl/>
        </w:rPr>
      </w:pPr>
      <w:r w:rsidRPr="006114CB">
        <w:rPr>
          <w:rFonts w:ascii="David" w:eastAsia="Calibri" w:hAnsi="David" w:hint="eastAsia"/>
          <w:szCs w:val="20"/>
          <w:rtl/>
        </w:rPr>
        <w:t>המקור</w:t>
      </w:r>
      <w:r w:rsidRPr="006114CB">
        <w:rPr>
          <w:rFonts w:ascii="David" w:eastAsia="Calibri" w:hAnsi="David"/>
          <w:szCs w:val="20"/>
          <w:rtl/>
        </w:rPr>
        <w:t>: חנ"י</w:t>
      </w:r>
      <w:r w:rsidRPr="006114CB">
        <w:rPr>
          <w:rFonts w:ascii="David" w:eastAsia="Calibri" w:hAnsi="David" w:hint="cs"/>
          <w:szCs w:val="20"/>
          <w:rtl/>
        </w:rPr>
        <w:t>.</w:t>
      </w: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כפועל יוצא מהחלטה 1231, נדרש כי תוואי צנרת הגפ</w:t>
      </w:r>
      <w:r w:rsidRPr="006114CB">
        <w:rPr>
          <w:rFonts w:ascii="David" w:eastAsia="Calibri" w:hAnsi="David"/>
          <w:sz w:val="24"/>
          <w:rtl/>
        </w:rPr>
        <w:t>"</w:t>
      </w:r>
      <w:r w:rsidRPr="006114CB">
        <w:rPr>
          <w:rFonts w:ascii="David" w:eastAsia="Calibri" w:hAnsi="David" w:hint="cs"/>
          <w:sz w:val="24"/>
          <w:rtl/>
        </w:rPr>
        <w:t>ם למתחם האחסון ביבור, אשר אושר בתמ"א 32, יוארך מחצרות בז"ן עד מסוף התזקיקים החדש הנבנה בחיפה, שממנו יגיע הגפ</w:t>
      </w:r>
      <w:r w:rsidRPr="006114CB">
        <w:rPr>
          <w:rFonts w:ascii="David" w:eastAsia="Calibri" w:hAnsi="David"/>
          <w:sz w:val="24"/>
          <w:rtl/>
        </w:rPr>
        <w:t>"</w:t>
      </w:r>
      <w:r w:rsidRPr="006114CB">
        <w:rPr>
          <w:rFonts w:ascii="David" w:eastAsia="Calibri" w:hAnsi="David" w:hint="cs"/>
          <w:sz w:val="24"/>
          <w:rtl/>
        </w:rPr>
        <w:t>ם מהים חלף ייצורו על ידי בז"ן כאמור.</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 xml:space="preserve">בפגישה שקיים צוות הביקורת עם חנ"י באוקטובר 2025 ציינה חנ"י כי מסוף התזקיקים החדש אינו מותאם לפריקת גפ"ם, בין היתר משום שאין בו די מקום לאחסון ראשוני של הגפ"ם, וכי ישנו קושי סטטוטורי, תפעולי וכלכלי בהארכת תוואי צנרת הגפ"ם באורך 32 ק"מ ממסוף התזקיקים לאתר האחסון ביבור.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בשיחת צוות הביקורת עם תש"א</w:t>
      </w:r>
      <w:r>
        <w:rPr>
          <w:rFonts w:ascii="David" w:eastAsia="Calibri" w:hAnsi="David"/>
          <w:sz w:val="24"/>
          <w:vertAlign w:val="superscript"/>
          <w:rtl/>
        </w:rPr>
        <w:footnoteReference w:id="97"/>
      </w:r>
      <w:r w:rsidRPr="006114CB">
        <w:rPr>
          <w:rFonts w:ascii="David" w:eastAsia="Calibri" w:hAnsi="David" w:hint="cs"/>
          <w:sz w:val="24"/>
          <w:rtl/>
        </w:rPr>
        <w:t xml:space="preserve"> בנובמבר 2025 מסרה תש"א כי בשנת 2023 צמצמה חנ"י את השטח במסוף התזקיקים האמור שיועד לספק צורכי נמל אחרים, וכך נשללה האפשרות לייבא גפ</w:t>
      </w:r>
      <w:r w:rsidRPr="006114CB">
        <w:rPr>
          <w:rFonts w:ascii="David" w:eastAsia="Calibri" w:hAnsi="David"/>
          <w:sz w:val="24"/>
          <w:rtl/>
        </w:rPr>
        <w:t>"</w:t>
      </w:r>
      <w:r w:rsidRPr="006114CB">
        <w:rPr>
          <w:rFonts w:ascii="David" w:eastAsia="Calibri" w:hAnsi="David" w:hint="cs"/>
          <w:sz w:val="24"/>
          <w:rtl/>
        </w:rPr>
        <w:t xml:space="preserve">ם דרך מסוף התזקיקים.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270"/>
        <w:rPr>
          <w:rFonts w:eastAsia="Calibri"/>
          <w:rtl/>
        </w:rPr>
      </w:pPr>
      <w:r w:rsidRPr="006114CB">
        <w:rPr>
          <w:rFonts w:eastAsia="Calibri" w:hint="cs"/>
          <w:rtl/>
        </w:rPr>
        <w:t>חנ"י מסרה בתגובתה כי צמצום השטח של מסוף התזקיקים לא פגע ביכולת לפרוק או לאחסן גפ"ם במסוף, וכי מסיבות בטיחותיות עדיף ש</w:t>
      </w:r>
      <w:r w:rsidRPr="006114CB">
        <w:rPr>
          <w:rFonts w:eastAsia="Calibri"/>
          <w:rtl/>
        </w:rPr>
        <w:t xml:space="preserve">פריקת </w:t>
      </w:r>
      <w:r w:rsidRPr="006114CB">
        <w:rPr>
          <w:rFonts w:eastAsia="Calibri" w:hint="cs"/>
          <w:rtl/>
        </w:rPr>
        <w:t>ה</w:t>
      </w:r>
      <w:r w:rsidRPr="006114CB">
        <w:rPr>
          <w:rFonts w:eastAsia="Calibri"/>
          <w:rtl/>
        </w:rPr>
        <w:t>גפ"</w:t>
      </w:r>
      <w:r w:rsidRPr="006114CB">
        <w:rPr>
          <w:rFonts w:eastAsia="Calibri" w:hint="cs"/>
          <w:rtl/>
        </w:rPr>
        <w:t>ם</w:t>
      </w:r>
      <w:r w:rsidRPr="006114CB">
        <w:rPr>
          <w:rFonts w:eastAsia="Calibri"/>
          <w:rtl/>
        </w:rPr>
        <w:t xml:space="preserve"> </w:t>
      </w:r>
      <w:r w:rsidRPr="006114CB">
        <w:rPr>
          <w:rFonts w:eastAsia="Calibri" w:hint="cs"/>
          <w:rtl/>
        </w:rPr>
        <w:t xml:space="preserve">תיעשה </w:t>
      </w:r>
      <w:r w:rsidRPr="006114CB">
        <w:rPr>
          <w:rFonts w:eastAsia="Calibri"/>
          <w:rtl/>
        </w:rPr>
        <w:t>באמצעות מקשרים ימיים מרוחקים</w:t>
      </w:r>
      <w:r w:rsidRPr="006114CB">
        <w:rPr>
          <w:rFonts w:eastAsia="Calibri" w:hint="cs"/>
          <w:rtl/>
        </w:rPr>
        <w:t>,</w:t>
      </w:r>
      <w:r w:rsidRPr="006114CB">
        <w:rPr>
          <w:rFonts w:eastAsia="Calibri"/>
          <w:rtl/>
        </w:rPr>
        <w:t xml:space="preserve"> ולמרות עמדתה </w:t>
      </w:r>
      <w:r w:rsidRPr="006114CB">
        <w:rPr>
          <w:rFonts w:eastAsia="Calibri" w:hint="cs"/>
          <w:rtl/>
        </w:rPr>
        <w:t xml:space="preserve">זו </w:t>
      </w:r>
      <w:r w:rsidRPr="006114CB">
        <w:rPr>
          <w:rFonts w:eastAsia="Calibri"/>
          <w:rtl/>
        </w:rPr>
        <w:t>של חנ"י היא הכשירה סטטוטורית וגם תפעולית את ייבוא הגפ"</w:t>
      </w:r>
      <w:r w:rsidRPr="006114CB">
        <w:rPr>
          <w:rFonts w:eastAsia="Calibri" w:hint="cs"/>
          <w:rtl/>
        </w:rPr>
        <w:t>ם</w:t>
      </w:r>
      <w:r w:rsidRPr="006114CB">
        <w:rPr>
          <w:rFonts w:eastAsia="Calibri"/>
          <w:rtl/>
        </w:rPr>
        <w:t xml:space="preserve"> במסוף התזקיקים</w:t>
      </w:r>
      <w:r w:rsidRPr="006114CB">
        <w:rPr>
          <w:rFonts w:eastAsia="Calibri" w:hint="cs"/>
          <w:rtl/>
        </w:rPr>
        <w:t>, באופן המאפשר פריקה ואחסון של גפ"ם.</w:t>
      </w:r>
      <w:r w:rsidRPr="006114CB">
        <w:rPr>
          <w:rFonts w:eastAsia="Calibri"/>
          <w:rtl/>
        </w:rPr>
        <w:t xml:space="preserve"> </w:t>
      </w:r>
      <w:r w:rsidRPr="006114CB">
        <w:rPr>
          <w:rFonts w:eastAsia="Calibri" w:hint="cs"/>
          <w:rtl/>
        </w:rPr>
        <w:t xml:space="preserve">היא הוסיפה כי </w:t>
      </w:r>
      <w:r w:rsidRPr="006114CB">
        <w:rPr>
          <w:rFonts w:eastAsia="Calibri"/>
          <w:rtl/>
        </w:rPr>
        <w:t xml:space="preserve">ההחלטה נמצאת על שולחן תש"א </w:t>
      </w:r>
      <w:r w:rsidRPr="006114CB">
        <w:rPr>
          <w:rFonts w:eastAsia="Calibri" w:hint="cs"/>
          <w:rtl/>
        </w:rPr>
        <w:t>ו</w:t>
      </w:r>
      <w:r w:rsidRPr="006114CB">
        <w:rPr>
          <w:rFonts w:eastAsia="Calibri"/>
          <w:rtl/>
        </w:rPr>
        <w:t>משרד האנרגיה.</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270"/>
        <w:rPr>
          <w:rFonts w:eastAsia="Calibri"/>
          <w:rtl/>
        </w:rPr>
      </w:pPr>
      <w:r w:rsidRPr="006114CB">
        <w:rPr>
          <w:rFonts w:eastAsia="Calibri" w:hint="cs"/>
          <w:rtl/>
        </w:rPr>
        <w:t>בתשובת משרד הביטחון ממאי 2026 צוין כי מערכת הביטחון</w:t>
      </w:r>
      <w:r w:rsidRPr="006114CB">
        <w:rPr>
          <w:rFonts w:eastAsia="Calibri"/>
          <w:rtl/>
        </w:rPr>
        <w:t xml:space="preserve"> מתנגדת לפריקת גפ"</w:t>
      </w:r>
      <w:r w:rsidRPr="006114CB">
        <w:rPr>
          <w:rFonts w:eastAsia="Calibri" w:hint="cs"/>
          <w:rtl/>
        </w:rPr>
        <w:t>ם</w:t>
      </w:r>
      <w:r w:rsidRPr="006114CB">
        <w:rPr>
          <w:rFonts w:eastAsia="Calibri"/>
          <w:rtl/>
        </w:rPr>
        <w:t xml:space="preserve"> בחירום בבריכת הנמל</w:t>
      </w:r>
      <w:r w:rsidRPr="006114CB">
        <w:rPr>
          <w:rFonts w:eastAsia="Calibri" w:hint="cs"/>
          <w:rtl/>
        </w:rPr>
        <w:t xml:space="preserve">, זאת לאור עמדת פיקוד העורף בדבר הסכנות הכרוכות בכך. עוד ציין המשרד כי </w:t>
      </w:r>
      <w:r w:rsidRPr="006114CB">
        <w:rPr>
          <w:rFonts w:eastAsia="Calibri"/>
          <w:rtl/>
        </w:rPr>
        <w:t>תת"ל 118 שאושרה לאח</w:t>
      </w:r>
      <w:r w:rsidRPr="006114CB">
        <w:rPr>
          <w:rFonts w:eastAsia="Calibri" w:hint="cs"/>
          <w:rtl/>
        </w:rPr>
        <w:t>רו</w:t>
      </w:r>
      <w:r w:rsidRPr="006114CB">
        <w:rPr>
          <w:rFonts w:eastAsia="Calibri"/>
          <w:rtl/>
        </w:rPr>
        <w:t>נה בו</w:t>
      </w:r>
      <w:r w:rsidR="00A23EA9">
        <w:rPr>
          <w:rFonts w:eastAsia="Calibri" w:hint="cs"/>
          <w:rtl/>
        </w:rPr>
        <w:t>ו</w:t>
      </w:r>
      <w:r w:rsidRPr="006114CB">
        <w:rPr>
          <w:rFonts w:eastAsia="Calibri"/>
          <w:rtl/>
        </w:rPr>
        <w:t>ת"ל, מאפשרת יבוא גפ"</w:t>
      </w:r>
      <w:r w:rsidRPr="006114CB">
        <w:rPr>
          <w:rFonts w:eastAsia="Calibri" w:hint="cs"/>
          <w:rtl/>
        </w:rPr>
        <w:t>ם</w:t>
      </w:r>
      <w:r w:rsidRPr="006114CB">
        <w:rPr>
          <w:rFonts w:eastAsia="Calibri"/>
          <w:rtl/>
        </w:rPr>
        <w:t xml:space="preserve"> בשגרה, בכפוף לעמידה בהנחיות </w:t>
      </w:r>
      <w:r w:rsidRPr="006114CB">
        <w:rPr>
          <w:rFonts w:eastAsia="Calibri" w:hint="cs"/>
          <w:rtl/>
        </w:rPr>
        <w:t>פיקוד העורף.</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b/>
          <w:bCs/>
          <w:sz w:val="24"/>
          <w:rtl/>
        </w:rPr>
      </w:pPr>
      <w:r w:rsidRPr="006114CB">
        <w:rPr>
          <w:rFonts w:ascii="David" w:eastAsia="Calibri" w:hAnsi="David" w:hint="eastAsia"/>
          <w:b/>
          <w:bCs/>
          <w:sz w:val="24"/>
          <w:rtl/>
        </w:rPr>
        <w:t>בביקורת</w:t>
      </w:r>
      <w:r w:rsidRPr="006114CB">
        <w:rPr>
          <w:rFonts w:ascii="David" w:eastAsia="Calibri" w:hAnsi="David"/>
          <w:b/>
          <w:bCs/>
          <w:sz w:val="24"/>
          <w:rtl/>
        </w:rPr>
        <w:t xml:space="preserve"> עלה כי חלופת המקשר הימי מול </w:t>
      </w:r>
      <w:r w:rsidRPr="006114CB">
        <w:rPr>
          <w:rFonts w:ascii="David" w:eastAsia="Calibri" w:hAnsi="David" w:hint="eastAsia"/>
          <w:b/>
          <w:bCs/>
          <w:sz w:val="24"/>
          <w:rtl/>
        </w:rPr>
        <w:t>יבור</w:t>
      </w:r>
      <w:r w:rsidRPr="006114CB">
        <w:rPr>
          <w:rFonts w:ascii="David" w:eastAsia="Calibri" w:hAnsi="David"/>
          <w:b/>
          <w:bCs/>
          <w:sz w:val="24"/>
          <w:rtl/>
        </w:rPr>
        <w:t xml:space="preserve"> </w:t>
      </w:r>
      <w:r w:rsidRPr="006114CB">
        <w:rPr>
          <w:rFonts w:ascii="David" w:eastAsia="Calibri" w:hAnsi="David" w:hint="cs"/>
          <w:b/>
          <w:bCs/>
          <w:sz w:val="24"/>
          <w:rtl/>
        </w:rPr>
        <w:t xml:space="preserve">עלתה </w:t>
      </w:r>
      <w:r w:rsidRPr="006114CB">
        <w:rPr>
          <w:rFonts w:ascii="David" w:eastAsia="Calibri" w:hAnsi="David"/>
          <w:b/>
          <w:bCs/>
          <w:sz w:val="24"/>
          <w:rtl/>
        </w:rPr>
        <w:t xml:space="preserve">כמענה חלופי </w:t>
      </w:r>
      <w:r w:rsidRPr="006114CB">
        <w:rPr>
          <w:rFonts w:ascii="David" w:eastAsia="Calibri" w:hAnsi="David" w:hint="cs"/>
          <w:b/>
          <w:bCs/>
          <w:sz w:val="24"/>
          <w:rtl/>
        </w:rPr>
        <w:t>למסוף</w:t>
      </w:r>
      <w:r w:rsidRPr="006114CB">
        <w:rPr>
          <w:rFonts w:ascii="David" w:eastAsia="Calibri" w:hAnsi="David"/>
          <w:b/>
          <w:bCs/>
          <w:sz w:val="24"/>
          <w:rtl/>
        </w:rPr>
        <w:t xml:space="preserve"> התזקיקים</w:t>
      </w:r>
      <w:r w:rsidRPr="006114CB">
        <w:rPr>
          <w:rFonts w:ascii="David" w:eastAsia="Calibri" w:hAnsi="David" w:hint="cs"/>
          <w:b/>
          <w:bCs/>
          <w:sz w:val="24"/>
          <w:rtl/>
        </w:rPr>
        <w:t xml:space="preserve">, אשר לגישת חנ"י הינה חלופה שאינה מיטבית. </w:t>
      </w:r>
      <w:r w:rsidRPr="006114CB">
        <w:rPr>
          <w:rFonts w:ascii="David" w:eastAsia="Calibri" w:hAnsi="David"/>
          <w:b/>
          <w:bCs/>
          <w:sz w:val="24"/>
          <w:rtl/>
        </w:rPr>
        <w:t>נוסף על כך, לאחר פרוץ המלחמה בשנת 2023 העבירו פיקוד העורף ומשרד הביטחון למל״ל (המטה לביטחון לאומי) את עמדתם הקובעת כי ישנה עדיפות ביטחונית ובטיחותית מובהקת לקידום מקשר ימי להבאת גפ"ם בשעת</w:t>
      </w:r>
      <w:r>
        <w:rPr>
          <w:rFonts w:ascii="David" w:eastAsia="Calibri" w:hAnsi="David" w:hint="cs"/>
          <w:rtl/>
        </w:rPr>
        <w:t xml:space="preserve"> </w:t>
      </w:r>
      <w:r w:rsidRPr="006114CB">
        <w:rPr>
          <w:rFonts w:ascii="David" w:eastAsia="Calibri" w:hAnsi="David"/>
          <w:b/>
          <w:bCs/>
          <w:sz w:val="24"/>
          <w:rtl/>
        </w:rPr>
        <w:t xml:space="preserve">חירום, וכי מבחינה ביטחונית הם מתנגדים לקידום חלופות של הבאת גפ"ם באמצעות עגינה של ספינות גפ"ם </w:t>
      </w:r>
      <w:r w:rsidRPr="006114CB">
        <w:rPr>
          <w:rFonts w:ascii="David" w:eastAsia="Calibri" w:hAnsi="David" w:hint="cs"/>
          <w:b/>
          <w:bCs/>
          <w:sz w:val="24"/>
          <w:rtl/>
        </w:rPr>
        <w:t>במתחם</w:t>
      </w:r>
      <w:r w:rsidRPr="006114CB">
        <w:rPr>
          <w:rFonts w:ascii="David" w:eastAsia="Calibri" w:hAnsi="David"/>
          <w:b/>
          <w:bCs/>
          <w:sz w:val="24"/>
          <w:rtl/>
        </w:rPr>
        <w:t xml:space="preserve"> </w:t>
      </w:r>
      <w:r w:rsidRPr="006114CB">
        <w:rPr>
          <w:rFonts w:ascii="David" w:eastAsia="Calibri" w:hAnsi="David" w:hint="cs"/>
          <w:b/>
          <w:bCs/>
          <w:sz w:val="24"/>
          <w:rtl/>
        </w:rPr>
        <w:t>ה</w:t>
      </w:r>
      <w:r w:rsidRPr="006114CB">
        <w:rPr>
          <w:rFonts w:ascii="David" w:eastAsia="Calibri" w:hAnsi="David"/>
          <w:b/>
          <w:bCs/>
          <w:sz w:val="24"/>
          <w:rtl/>
        </w:rPr>
        <w:t>נמל.</w:t>
      </w:r>
    </w:p>
    <w:p w:rsidR="006114CB" w:rsidRPr="006114CB" w:rsidP="002F4530">
      <w:pPr>
        <w:keepNext/>
        <w:keepLines/>
        <w:spacing w:line="269" w:lineRule="auto"/>
        <w:ind w:left="-567"/>
        <w:rPr>
          <w:rFonts w:eastAsia="Calibri"/>
          <w:szCs w:val="20"/>
          <w:rtl/>
        </w:rPr>
      </w:pPr>
    </w:p>
    <w:p w:rsidR="006114CB" w:rsidRPr="006114CB" w:rsidP="002F4530">
      <w:pPr>
        <w:keepNext/>
        <w:keepLines/>
        <w:numPr>
          <w:ilvl w:val="0"/>
          <w:numId w:val="13"/>
        </w:numPr>
        <w:spacing w:line="269" w:lineRule="auto"/>
        <w:ind w:left="312"/>
        <w:outlineLvl w:val="5"/>
        <w:rPr>
          <w:rFonts w:eastAsia="Times New Roman"/>
          <w:spacing w:val="40"/>
          <w:rtl/>
        </w:rPr>
      </w:pPr>
      <w:r w:rsidRPr="006114CB">
        <w:rPr>
          <w:rFonts w:eastAsia="Times New Roman" w:hint="cs"/>
          <w:spacing w:val="40"/>
          <w:rtl/>
        </w:rPr>
        <w:t>חלופת יבוא גפ</w:t>
      </w:r>
      <w:r w:rsidRPr="006114CB">
        <w:rPr>
          <w:rFonts w:eastAsia="Times New Roman"/>
          <w:spacing w:val="40"/>
          <w:rtl/>
        </w:rPr>
        <w:t>"</w:t>
      </w:r>
      <w:r w:rsidRPr="006114CB">
        <w:rPr>
          <w:rFonts w:eastAsia="Times New Roman" w:hint="cs"/>
          <w:spacing w:val="40"/>
          <w:rtl/>
        </w:rPr>
        <w:t>ם באמצעות הקמת מקשר מול יבור</w:t>
      </w:r>
    </w:p>
    <w:p w:rsidR="006114CB" w:rsidRPr="006114CB" w:rsidP="002F4530">
      <w:pPr>
        <w:rPr>
          <w:rFonts w:eastAsia="Calibri"/>
          <w:rtl/>
        </w:rPr>
      </w:pPr>
    </w:p>
    <w:p w:rsidR="006114CB" w:rsidRPr="006114CB" w:rsidP="002F4530">
      <w:pPr>
        <w:spacing w:line="269" w:lineRule="auto"/>
        <w:ind w:left="312"/>
        <w:rPr>
          <w:rFonts w:eastAsia="Calibri"/>
          <w:rtl/>
        </w:rPr>
      </w:pPr>
      <w:r w:rsidRPr="006114CB">
        <w:rPr>
          <w:rFonts w:ascii="David" w:eastAsia="Calibri" w:hAnsi="David" w:hint="cs"/>
          <w:sz w:val="24"/>
          <w:rtl/>
        </w:rPr>
        <w:t>לנוכח עמדתה של חנ״י לפריקת באשר לפריקת גפ"ם במסוף התזקיקים החדש, היא הציעה כי פריקת הגפ"ם בצפון הארץ תיעשה באמצעות מקשר ימי חדש, שיוקם באזור הימי מערבית ליבור. הצעתה של חנ"י מחייבת, נוסף על הקמת המקשר הימי החדש, שינוי של תוואי הצנרת להזרמת הגפ</w:t>
      </w:r>
      <w:r w:rsidRPr="006114CB">
        <w:rPr>
          <w:rFonts w:ascii="David" w:eastAsia="Calibri" w:hAnsi="David"/>
          <w:sz w:val="24"/>
          <w:rtl/>
        </w:rPr>
        <w:t>"</w:t>
      </w:r>
      <w:r w:rsidRPr="006114CB">
        <w:rPr>
          <w:rFonts w:ascii="David" w:eastAsia="Calibri" w:hAnsi="David" w:hint="cs"/>
          <w:sz w:val="24"/>
          <w:rtl/>
        </w:rPr>
        <w:t>ם מהמקשר הימי החדש למתקן האחסון ביבור. משמעות הצעתה של חנ"י היא כי תוואי הצנרת להזרמת הגפ"ם יונח בקו ישיר מהמקשר למתקן האחסון, במרחק של כשישה-שבעה קילומטר בלבד. תוואי זה קצר הרבה יותר מהתוואי המקורי (מחצרות בז"ן למתחם יבור) - כ-32 קילומטר צנרת גפ</w:t>
      </w:r>
      <w:r w:rsidRPr="006114CB">
        <w:rPr>
          <w:rFonts w:ascii="David" w:eastAsia="Calibri" w:hAnsi="David"/>
          <w:sz w:val="24"/>
          <w:rtl/>
        </w:rPr>
        <w:t>"</w:t>
      </w:r>
      <w:r w:rsidRPr="006114CB">
        <w:rPr>
          <w:rFonts w:ascii="David" w:eastAsia="Calibri" w:hAnsi="David" w:hint="cs"/>
          <w:sz w:val="24"/>
          <w:rtl/>
        </w:rPr>
        <w:t>ם. יודגש כי תוואי זה, בשונה מהתוואי המקורי, מחייב הסדרה סטטוטורית כדי לבצע את העבודות הנדרשות להנחת צנרת הזרמת הגפ</w:t>
      </w:r>
      <w:r w:rsidRPr="006114CB">
        <w:rPr>
          <w:rFonts w:ascii="David" w:eastAsia="Calibri" w:hAnsi="David"/>
          <w:sz w:val="24"/>
          <w:rtl/>
        </w:rPr>
        <w:t>"</w:t>
      </w:r>
      <w:r w:rsidRPr="006114CB">
        <w:rPr>
          <w:rFonts w:ascii="David" w:eastAsia="Calibri" w:hAnsi="David" w:hint="cs"/>
          <w:sz w:val="24"/>
          <w:rtl/>
        </w:rPr>
        <w:t>ם ומחייב שינוי תמ"א ואישור הרשויות המקומיות שהתוואי עובר בשטחן.</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eastAsia="Calibri" w:hint="cs"/>
          <w:rtl/>
        </w:rPr>
        <w:t xml:space="preserve">בתוכנית עבודה רב-שנתית ליישום החלטת הממשלה 1231 של ועדת ההיגוי לפיתוח מפרץ חיפה מיוני </w:t>
      </w:r>
      <w:r w:rsidRPr="006114CB">
        <w:rPr>
          <w:rFonts w:eastAsia="Calibri"/>
          <w:rtl/>
        </w:rPr>
        <w:t>20</w:t>
      </w:r>
      <w:r w:rsidRPr="006114CB">
        <w:rPr>
          <w:rFonts w:eastAsia="Calibri" w:hint="cs"/>
          <w:rtl/>
        </w:rPr>
        <w:t>2</w:t>
      </w:r>
      <w:r w:rsidRPr="006114CB">
        <w:rPr>
          <w:rFonts w:eastAsia="Calibri"/>
          <w:rtl/>
        </w:rPr>
        <w:t>3</w:t>
      </w:r>
      <w:r w:rsidRPr="006114CB">
        <w:rPr>
          <w:rFonts w:eastAsia="Calibri" w:hint="cs"/>
          <w:rtl/>
        </w:rPr>
        <w:t xml:space="preserve"> צוין כי נוסף על קידום אישור מסוף התזקיקים, תקדם חנ"י תכנון הנדסי מפורט למקשר ימי ליבוא גפ"ם לאתר האחסון ביבור. אם תכנון זה יעלה יפה, נקבע כי יתחיל תהליך לקבלת אישורים סטטוטוריים למקשר הימי. כעולה מדוח סיכום שנת 2024 של הוועדה</w:t>
      </w:r>
      <w:r>
        <w:rPr>
          <w:rFonts w:eastAsia="Calibri"/>
          <w:vertAlign w:val="superscript"/>
          <w:rtl/>
        </w:rPr>
        <w:footnoteReference w:id="98"/>
      </w:r>
      <w:r w:rsidRPr="006114CB">
        <w:rPr>
          <w:rFonts w:eastAsia="Calibri" w:hint="cs"/>
          <w:rtl/>
        </w:rPr>
        <w:t xml:space="preserve">, חנ״י </w:t>
      </w:r>
      <w:r w:rsidRPr="006114CB">
        <w:rPr>
          <w:rFonts w:ascii="David" w:eastAsia="Calibri" w:hAnsi="David" w:hint="cs"/>
          <w:rtl/>
        </w:rPr>
        <w:t xml:space="preserve">הייתה אמורה להתחיל את </w:t>
      </w:r>
      <w:r w:rsidRPr="006114CB">
        <w:rPr>
          <w:rFonts w:eastAsia="Calibri" w:hint="cs"/>
          <w:rtl/>
        </w:rPr>
        <w:t xml:space="preserve">עבודות </w:t>
      </w:r>
      <w:r w:rsidRPr="006114CB">
        <w:rPr>
          <w:rFonts w:ascii="David" w:eastAsia="Calibri" w:hAnsi="David" w:hint="cs"/>
          <w:rtl/>
        </w:rPr>
        <w:t xml:space="preserve">התכנון ההנדסי של המקשר הימי מול יבור במרץ 2022 ולסיימן במאי 2025. עם זאת, מועד ההתחלה המעודכן לביצוע עבודות התכנון נדחה לנובמבר 2024 ומועד הסיום המעודכן נדחה לספטמבר 2025. יצוין כי בפגישה שקיים צוות הביקורת עם חנ"י באוקטובר 2025 ציינו נציגי חנ"י כי טרם החלו העבודות על התוכניות הסטטוטוריות של המקשר הימי, או של המקשר היבשתי. כן ציינו כי </w:t>
      </w:r>
      <w:r w:rsidRPr="006114CB">
        <w:rPr>
          <w:rFonts w:ascii="David" w:eastAsia="Calibri" w:hAnsi="David" w:hint="cs"/>
          <w:sz w:val="24"/>
          <w:rtl/>
        </w:rPr>
        <w:t xml:space="preserve">ההליך הסטטוטורי, הכולל תסקיר השפעה על הסביבה, יארך כשלוש שנים, ובד בבד ייערך תכנון הנדסי מפורט. להערכת חנ"י, הקמת המקשר תארך כחמש שנים בסך הכול, ללא חסמים. חנ"י הכינה אומדן כספי לחלק הימי של המקשר, ולחלק היבשתי יש לה הערכה כללית מאוד, שכן </w:t>
      </w:r>
      <w:r w:rsidRPr="006114CB">
        <w:rPr>
          <w:rFonts w:ascii="David" w:eastAsia="Calibri" w:hAnsi="David" w:hint="eastAsia"/>
          <w:sz w:val="24"/>
          <w:rtl/>
        </w:rPr>
        <w:t>מודל</w:t>
      </w:r>
      <w:r w:rsidRPr="006114CB">
        <w:rPr>
          <w:rFonts w:ascii="David" w:eastAsia="Calibri" w:hAnsi="David"/>
          <w:sz w:val="24"/>
          <w:rtl/>
        </w:rPr>
        <w:t xml:space="preserve"> המימון הכולל אשר יאפשר את הקמת המקשר בים </w:t>
      </w:r>
      <w:r w:rsidRPr="006114CB">
        <w:rPr>
          <w:rFonts w:ascii="David" w:eastAsia="Calibri" w:hAnsi="David" w:hint="cs"/>
          <w:sz w:val="24"/>
          <w:rtl/>
        </w:rPr>
        <w:t>ואת תוואי הצנרת ביבשה ומתקן האחסון, טרם גובש על ידי החשכ"ל.</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eastAsia="Calibri"/>
          <w:rtl/>
        </w:rPr>
      </w:pPr>
      <w:r w:rsidRPr="006114CB">
        <w:rPr>
          <w:rFonts w:ascii="David" w:eastAsia="Calibri" w:hAnsi="David" w:hint="cs"/>
          <w:sz w:val="24"/>
          <w:rtl/>
        </w:rPr>
        <w:t xml:space="preserve">חנ"י מסרה בתשובתה ממאי 2026 כי החלטת הממשלה </w:t>
      </w:r>
      <w:r w:rsidRPr="006114CB">
        <w:rPr>
          <w:rFonts w:ascii="David" w:eastAsia="Calibri" w:hAnsi="David"/>
          <w:sz w:val="24"/>
          <w:rtl/>
        </w:rPr>
        <w:t>בנושא קידום ת</w:t>
      </w:r>
      <w:r w:rsidRPr="006114CB">
        <w:rPr>
          <w:rFonts w:ascii="David" w:eastAsia="Calibri" w:hAnsi="David" w:hint="cs"/>
          <w:sz w:val="24"/>
          <w:rtl/>
        </w:rPr>
        <w:t>ו</w:t>
      </w:r>
      <w:r w:rsidRPr="006114CB">
        <w:rPr>
          <w:rFonts w:ascii="David" w:eastAsia="Calibri" w:hAnsi="David"/>
          <w:sz w:val="24"/>
          <w:rtl/>
        </w:rPr>
        <w:t>כנית סטטוטורית למקשר יבור</w:t>
      </w:r>
      <w:r>
        <w:rPr>
          <w:rFonts w:ascii="David" w:eastAsia="Calibri" w:hAnsi="David"/>
          <w:sz w:val="24"/>
          <w:vertAlign w:val="superscript"/>
          <w:rtl/>
        </w:rPr>
        <w:footnoteReference w:id="99"/>
      </w:r>
      <w:r w:rsidRPr="006114CB">
        <w:rPr>
          <w:rFonts w:ascii="David" w:eastAsia="Calibri" w:hAnsi="David"/>
          <w:sz w:val="24"/>
          <w:rtl/>
        </w:rPr>
        <w:t xml:space="preserve"> התקבלה רק </w:t>
      </w:r>
      <w:r w:rsidRPr="006114CB">
        <w:rPr>
          <w:rFonts w:ascii="David" w:eastAsia="Calibri" w:hAnsi="David" w:hint="cs"/>
          <w:sz w:val="24"/>
          <w:rtl/>
        </w:rPr>
        <w:t>בא</w:t>
      </w:r>
      <w:r w:rsidRPr="006114CB">
        <w:rPr>
          <w:rFonts w:ascii="David" w:eastAsia="Calibri" w:hAnsi="David"/>
          <w:sz w:val="24"/>
          <w:rtl/>
        </w:rPr>
        <w:t>פריל 2026</w:t>
      </w:r>
      <w:r w:rsidRPr="006114CB">
        <w:rPr>
          <w:rFonts w:ascii="David" w:eastAsia="Calibri" w:hAnsi="David" w:hint="cs"/>
          <w:sz w:val="24"/>
          <w:rtl/>
        </w:rPr>
        <w:t xml:space="preserve">, וכי </w:t>
      </w:r>
      <w:r w:rsidRPr="006114CB">
        <w:rPr>
          <w:rFonts w:ascii="David" w:eastAsia="Calibri" w:hAnsi="David"/>
          <w:sz w:val="24"/>
          <w:rtl/>
        </w:rPr>
        <w:t xml:space="preserve">עד אז לא הוטלה על חנ"י אחריות רגולטורית רשמית בנושא, </w:t>
      </w:r>
      <w:r w:rsidRPr="006114CB">
        <w:rPr>
          <w:rFonts w:ascii="David" w:eastAsia="Calibri" w:hAnsi="David" w:hint="cs"/>
          <w:sz w:val="24"/>
          <w:rtl/>
        </w:rPr>
        <w:t>ולכן</w:t>
      </w:r>
      <w:r w:rsidRPr="006114CB">
        <w:rPr>
          <w:rFonts w:ascii="David" w:eastAsia="Calibri" w:hAnsi="David"/>
          <w:sz w:val="24"/>
          <w:rtl/>
        </w:rPr>
        <w:t xml:space="preserve"> פעולותיה היו מוגבלות ווולונטריות</w:t>
      </w:r>
      <w:r w:rsidRPr="006114CB">
        <w:rPr>
          <w:rFonts w:ascii="David" w:eastAsia="Calibri" w:hAnsi="David" w:hint="cs"/>
          <w:sz w:val="24"/>
          <w:rtl/>
        </w:rPr>
        <w:t>. עוד מסרה חנ"י כי עם קבלת האחריות מתוקף החלטת הממשלה האמורה היא מקדמת את הנושא ביתר שאת.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b/>
          <w:bCs/>
          <w:rtl/>
        </w:rPr>
      </w:pPr>
      <w:bookmarkStart w:id="30" w:name="_Hlk222302933"/>
      <w:r w:rsidRPr="006114CB">
        <w:rPr>
          <w:rFonts w:ascii="David" w:eastAsia="Calibri" w:hAnsi="David" w:hint="eastAsia"/>
          <w:b/>
          <w:bCs/>
          <w:rtl/>
        </w:rPr>
        <w:t>עולה</w:t>
      </w:r>
      <w:r w:rsidRPr="006114CB">
        <w:rPr>
          <w:rFonts w:ascii="David" w:eastAsia="Calibri" w:hAnsi="David"/>
          <w:b/>
          <w:bCs/>
          <w:rtl/>
        </w:rPr>
        <w:t xml:space="preserve"> כי על אף לוחות הזמנים </w:t>
      </w:r>
      <w:r w:rsidRPr="006114CB">
        <w:rPr>
          <w:rFonts w:ascii="David" w:eastAsia="Calibri" w:hAnsi="David" w:hint="cs"/>
          <w:b/>
          <w:bCs/>
          <w:rtl/>
        </w:rPr>
        <w:t xml:space="preserve">שקבעה המועצה הלאומית לכלכלה </w:t>
      </w:r>
      <w:r w:rsidRPr="006114CB">
        <w:rPr>
          <w:rFonts w:ascii="David" w:eastAsia="Calibri" w:hAnsi="David"/>
          <w:b/>
          <w:bCs/>
          <w:rtl/>
        </w:rPr>
        <w:t>ל</w:t>
      </w:r>
      <w:r w:rsidRPr="006114CB">
        <w:rPr>
          <w:rFonts w:ascii="David" w:eastAsia="Calibri" w:hAnsi="David" w:hint="cs"/>
          <w:b/>
          <w:bCs/>
          <w:rtl/>
        </w:rPr>
        <w:t xml:space="preserve">סיום </w:t>
      </w:r>
      <w:r w:rsidRPr="006114CB">
        <w:rPr>
          <w:rFonts w:ascii="David" w:eastAsia="Calibri" w:hAnsi="David"/>
          <w:b/>
          <w:bCs/>
          <w:rtl/>
        </w:rPr>
        <w:t xml:space="preserve">ביצוע תכנון הנדסי של המקשר הימי מול </w:t>
      </w:r>
      <w:r w:rsidRPr="006114CB">
        <w:rPr>
          <w:rFonts w:ascii="David" w:eastAsia="Calibri" w:hAnsi="David" w:hint="cs"/>
          <w:b/>
          <w:bCs/>
          <w:rtl/>
        </w:rPr>
        <w:t>מתקן האחסון המתוכנן ב</w:t>
      </w:r>
      <w:r w:rsidRPr="006114CB">
        <w:rPr>
          <w:rFonts w:ascii="David" w:eastAsia="Calibri" w:hAnsi="David" w:hint="eastAsia"/>
          <w:b/>
          <w:bCs/>
          <w:rtl/>
        </w:rPr>
        <w:t>יבור</w:t>
      </w:r>
      <w:r w:rsidRPr="006114CB">
        <w:rPr>
          <w:rFonts w:ascii="David" w:eastAsia="Calibri" w:hAnsi="David" w:hint="cs"/>
          <w:b/>
          <w:bCs/>
          <w:rtl/>
        </w:rPr>
        <w:t xml:space="preserve"> עד מאי 2025</w:t>
      </w:r>
      <w:r w:rsidRPr="006114CB">
        <w:rPr>
          <w:rFonts w:ascii="David" w:eastAsia="Calibri" w:hAnsi="David"/>
          <w:b/>
          <w:bCs/>
          <w:rtl/>
        </w:rPr>
        <w:t xml:space="preserve">, </w:t>
      </w:r>
      <w:r w:rsidRPr="006114CB">
        <w:rPr>
          <w:rFonts w:ascii="David" w:eastAsia="Calibri" w:hAnsi="David" w:hint="cs"/>
          <w:b/>
          <w:bCs/>
          <w:rtl/>
        </w:rPr>
        <w:t xml:space="preserve">רק לאחר מועד סיום הביקורת באפריל 2026 התקבלה החלטת ממשלה לעניין קידום תוכניות סטטוטורית למקשר יבור, ועל כן </w:t>
      </w:r>
      <w:r w:rsidRPr="006114CB">
        <w:rPr>
          <w:rFonts w:ascii="David" w:eastAsia="Calibri" w:hAnsi="David"/>
          <w:b/>
          <w:bCs/>
          <w:rtl/>
        </w:rPr>
        <w:t xml:space="preserve">השלמת הליכי התכנון </w:t>
      </w:r>
      <w:r w:rsidRPr="006114CB">
        <w:rPr>
          <w:rFonts w:ascii="David" w:eastAsia="Calibri" w:hAnsi="David" w:hint="cs"/>
          <w:b/>
          <w:bCs/>
          <w:rtl/>
        </w:rPr>
        <w:t>על ידי חנ"י לא קודמו בקצב התואם את לוחות הזמנים שקבעה המועצה הלאומית לכלכלה</w:t>
      </w:r>
      <w:r w:rsidRPr="006114CB">
        <w:rPr>
          <w:rFonts w:ascii="David" w:eastAsia="Calibri" w:hAnsi="David"/>
          <w:b/>
          <w:bCs/>
          <w:rtl/>
        </w:rPr>
        <w:t>, והסדרת התוואי היבשתי טרם החלה. נוסף</w:t>
      </w:r>
      <w:r w:rsidRPr="006114CB">
        <w:rPr>
          <w:rFonts w:ascii="David" w:eastAsia="Calibri" w:hAnsi="David" w:hint="cs"/>
          <w:b/>
          <w:bCs/>
          <w:rtl/>
        </w:rPr>
        <w:t xml:space="preserve"> על כך,</w:t>
      </w:r>
      <w:r w:rsidRPr="006114CB">
        <w:rPr>
          <w:rFonts w:ascii="David" w:eastAsia="Calibri" w:hAnsi="David"/>
          <w:b/>
          <w:bCs/>
          <w:rtl/>
        </w:rPr>
        <w:t xml:space="preserve"> החש</w:t>
      </w:r>
      <w:r w:rsidRPr="006114CB">
        <w:rPr>
          <w:rFonts w:ascii="David" w:eastAsia="Calibri" w:hAnsi="David" w:hint="cs"/>
          <w:b/>
          <w:bCs/>
          <w:rtl/>
        </w:rPr>
        <w:t>כ"ל</w:t>
      </w:r>
      <w:r w:rsidRPr="006114CB">
        <w:rPr>
          <w:rFonts w:ascii="David" w:eastAsia="Calibri" w:hAnsi="David"/>
          <w:b/>
          <w:bCs/>
          <w:rtl/>
        </w:rPr>
        <w:t xml:space="preserve"> טרם </w:t>
      </w:r>
      <w:r w:rsidRPr="006114CB">
        <w:rPr>
          <w:rFonts w:ascii="David" w:eastAsia="Calibri" w:hAnsi="David" w:hint="cs"/>
          <w:b/>
          <w:bCs/>
          <w:rtl/>
        </w:rPr>
        <w:t>פרסם לא</w:t>
      </w:r>
      <w:r w:rsidRPr="006114CB">
        <w:rPr>
          <w:rFonts w:ascii="David" w:eastAsia="Calibri" w:hAnsi="David"/>
          <w:b/>
          <w:bCs/>
          <w:rtl/>
        </w:rPr>
        <w:t xml:space="preserve"> </w:t>
      </w:r>
      <w:r w:rsidRPr="006114CB">
        <w:rPr>
          <w:rFonts w:ascii="David" w:eastAsia="Calibri" w:hAnsi="David" w:hint="cs"/>
          <w:b/>
          <w:bCs/>
          <w:rtl/>
        </w:rPr>
        <w:t xml:space="preserve">את </w:t>
      </w:r>
      <w:r w:rsidRPr="006114CB">
        <w:rPr>
          <w:rFonts w:ascii="David" w:eastAsia="Calibri" w:hAnsi="David"/>
          <w:b/>
          <w:bCs/>
          <w:rtl/>
        </w:rPr>
        <w:t xml:space="preserve">המכרז לאתר אחסון </w:t>
      </w:r>
      <w:r w:rsidRPr="006114CB">
        <w:rPr>
          <w:rFonts w:ascii="David" w:eastAsia="Calibri" w:hAnsi="David" w:hint="cs"/>
          <w:b/>
          <w:bCs/>
          <w:rtl/>
        </w:rPr>
        <w:t xml:space="preserve">הגפ"ם </w:t>
      </w:r>
      <w:r w:rsidRPr="006114CB">
        <w:rPr>
          <w:rFonts w:ascii="David" w:eastAsia="Calibri" w:hAnsi="David" w:hint="eastAsia"/>
          <w:b/>
          <w:bCs/>
          <w:rtl/>
        </w:rPr>
        <w:t>ביבור</w:t>
      </w:r>
      <w:r w:rsidRPr="006114CB">
        <w:rPr>
          <w:rFonts w:ascii="David" w:eastAsia="Calibri" w:hAnsi="David"/>
          <w:b/>
          <w:bCs/>
          <w:rtl/>
        </w:rPr>
        <w:t xml:space="preserve"> </w:t>
      </w:r>
      <w:r w:rsidRPr="006114CB">
        <w:rPr>
          <w:rFonts w:ascii="David" w:eastAsia="Calibri" w:hAnsi="David" w:hint="cs"/>
          <w:b/>
          <w:bCs/>
          <w:rtl/>
        </w:rPr>
        <w:t>ולא</w:t>
      </w:r>
      <w:r w:rsidRPr="006114CB">
        <w:rPr>
          <w:rFonts w:ascii="David" w:eastAsia="Calibri" w:hAnsi="David"/>
          <w:b/>
          <w:bCs/>
          <w:rtl/>
        </w:rPr>
        <w:t xml:space="preserve"> </w:t>
      </w:r>
      <w:r w:rsidRPr="006114CB">
        <w:rPr>
          <w:rFonts w:ascii="David" w:eastAsia="Calibri" w:hAnsi="David" w:hint="cs"/>
          <w:b/>
          <w:bCs/>
          <w:rtl/>
        </w:rPr>
        <w:t xml:space="preserve">את </w:t>
      </w:r>
      <w:r w:rsidRPr="006114CB">
        <w:rPr>
          <w:rFonts w:ascii="David" w:eastAsia="Calibri" w:hAnsi="David" w:hint="eastAsia"/>
          <w:b/>
          <w:bCs/>
          <w:rtl/>
        </w:rPr>
        <w:t>מודל</w:t>
      </w:r>
      <w:r w:rsidRPr="006114CB">
        <w:rPr>
          <w:rFonts w:ascii="David" w:eastAsia="Calibri" w:hAnsi="David"/>
          <w:b/>
          <w:bCs/>
          <w:rtl/>
        </w:rPr>
        <w:t xml:space="preserve"> </w:t>
      </w:r>
      <w:r w:rsidRPr="006114CB">
        <w:rPr>
          <w:rFonts w:ascii="David" w:eastAsia="Calibri" w:hAnsi="David" w:hint="cs"/>
          <w:b/>
          <w:bCs/>
          <w:rtl/>
        </w:rPr>
        <w:t>ה</w:t>
      </w:r>
      <w:r w:rsidRPr="006114CB">
        <w:rPr>
          <w:rFonts w:ascii="David" w:eastAsia="Calibri" w:hAnsi="David" w:hint="eastAsia"/>
          <w:b/>
          <w:bCs/>
          <w:rtl/>
        </w:rPr>
        <w:t>מימון</w:t>
      </w:r>
      <w:r w:rsidRPr="006114CB">
        <w:rPr>
          <w:rFonts w:ascii="David" w:eastAsia="Calibri" w:hAnsi="David"/>
          <w:b/>
          <w:bCs/>
          <w:rtl/>
        </w:rPr>
        <w:t xml:space="preserve"> </w:t>
      </w:r>
      <w:r w:rsidRPr="006114CB">
        <w:rPr>
          <w:rFonts w:ascii="David" w:eastAsia="Calibri" w:hAnsi="David" w:hint="cs"/>
          <w:b/>
          <w:bCs/>
          <w:rtl/>
        </w:rPr>
        <w:t>ה</w:t>
      </w:r>
      <w:r w:rsidRPr="006114CB">
        <w:rPr>
          <w:rFonts w:ascii="David" w:eastAsia="Calibri" w:hAnsi="David" w:hint="eastAsia"/>
          <w:b/>
          <w:bCs/>
          <w:rtl/>
        </w:rPr>
        <w:t>כולל</w:t>
      </w:r>
      <w:r w:rsidRPr="006114CB">
        <w:rPr>
          <w:rFonts w:ascii="David" w:eastAsia="Calibri" w:hAnsi="David"/>
          <w:b/>
          <w:bCs/>
          <w:rtl/>
        </w:rPr>
        <w:t xml:space="preserve"> </w:t>
      </w:r>
      <w:r w:rsidRPr="006114CB">
        <w:rPr>
          <w:rFonts w:ascii="David" w:eastAsia="Calibri" w:hAnsi="David" w:hint="eastAsia"/>
          <w:b/>
          <w:bCs/>
          <w:rtl/>
        </w:rPr>
        <w:t>להקמת</w:t>
      </w:r>
      <w:r w:rsidRPr="006114CB">
        <w:rPr>
          <w:rFonts w:ascii="David" w:eastAsia="Calibri" w:hAnsi="David"/>
          <w:b/>
          <w:bCs/>
          <w:rtl/>
        </w:rPr>
        <w:t xml:space="preserve"> </w:t>
      </w:r>
      <w:r w:rsidRPr="006114CB">
        <w:rPr>
          <w:rFonts w:ascii="David" w:eastAsia="Calibri" w:hAnsi="David" w:hint="eastAsia"/>
          <w:b/>
          <w:bCs/>
          <w:rtl/>
        </w:rPr>
        <w:t>המתקן</w:t>
      </w:r>
      <w:r w:rsidRPr="006114CB">
        <w:rPr>
          <w:rFonts w:ascii="David" w:eastAsia="Calibri" w:hAnsi="David"/>
          <w:b/>
          <w:bCs/>
          <w:rtl/>
        </w:rPr>
        <w:t xml:space="preserve">, </w:t>
      </w:r>
      <w:r w:rsidRPr="006114CB">
        <w:rPr>
          <w:rFonts w:ascii="David" w:eastAsia="Calibri" w:hAnsi="David" w:hint="eastAsia"/>
          <w:b/>
          <w:bCs/>
          <w:rtl/>
        </w:rPr>
        <w:t>תוואי</w:t>
      </w:r>
      <w:r w:rsidRPr="006114CB">
        <w:rPr>
          <w:rFonts w:ascii="David" w:eastAsia="Calibri" w:hAnsi="David"/>
          <w:b/>
          <w:bCs/>
          <w:rtl/>
        </w:rPr>
        <w:t xml:space="preserve"> ההולכה היבשתי </w:t>
      </w:r>
      <w:r w:rsidRPr="006114CB">
        <w:rPr>
          <w:rFonts w:ascii="David" w:eastAsia="Calibri" w:hAnsi="David" w:hint="cs"/>
          <w:b/>
          <w:bCs/>
          <w:rtl/>
        </w:rPr>
        <w:t>והאחסון לגפ</w:t>
      </w:r>
      <w:r w:rsidRPr="006114CB">
        <w:rPr>
          <w:rFonts w:ascii="David" w:eastAsia="Calibri" w:hAnsi="David"/>
          <w:b/>
          <w:bCs/>
          <w:rtl/>
        </w:rPr>
        <w:t>"</w:t>
      </w:r>
      <w:r w:rsidRPr="006114CB">
        <w:rPr>
          <w:rFonts w:ascii="David" w:eastAsia="Calibri" w:hAnsi="David" w:hint="cs"/>
          <w:b/>
          <w:bCs/>
          <w:rtl/>
        </w:rPr>
        <w:t>ם.</w:t>
      </w:r>
    </w:p>
    <w:bookmarkEnd w:id="30"/>
    <w:p w:rsidR="006114CB" w:rsidRPr="006114CB" w:rsidP="002F4530">
      <w:pPr>
        <w:keepNext/>
        <w:keepLines/>
        <w:spacing w:line="269" w:lineRule="auto"/>
        <w:ind w:left="-567"/>
        <w:rPr>
          <w:rFonts w:eastAsia="Calibri"/>
          <w:szCs w:val="20"/>
          <w:rtl/>
        </w:rPr>
      </w:pPr>
    </w:p>
    <w:p w:rsidR="006114CB" w:rsidP="002F4530">
      <w:pPr>
        <w:spacing w:line="269" w:lineRule="auto"/>
        <w:ind w:left="312"/>
        <w:rPr>
          <w:rFonts w:ascii="David" w:eastAsia="Calibri" w:hAnsi="David"/>
          <w:b/>
          <w:bCs/>
          <w:rtl/>
        </w:rPr>
      </w:pPr>
      <w:r w:rsidRPr="006114CB">
        <w:rPr>
          <w:rFonts w:ascii="David" w:eastAsia="Calibri" w:hAnsi="David" w:hint="cs"/>
          <w:b/>
          <w:bCs/>
          <w:rtl/>
        </w:rPr>
        <w:t>על חנ"י להשלים את תכנון המקשר הימי ולהסדיר את התוואי היבשתי עד מתקן האחסון ביבור, ולקדם תוכנית סטטוטורית רלוונטית להקמת המקשר הימי שדרכו יגיע הגפ</w:t>
      </w:r>
      <w:r w:rsidRPr="006114CB">
        <w:rPr>
          <w:rFonts w:ascii="David" w:eastAsia="Calibri" w:hAnsi="David"/>
          <w:b/>
          <w:bCs/>
          <w:rtl/>
        </w:rPr>
        <w:t>"</w:t>
      </w:r>
      <w:r w:rsidRPr="006114CB">
        <w:rPr>
          <w:rFonts w:ascii="David" w:eastAsia="Calibri" w:hAnsi="David" w:hint="cs"/>
          <w:b/>
          <w:bCs/>
          <w:rtl/>
        </w:rPr>
        <w:t xml:space="preserve">ם למתקן זה. על החשכ"ל להשלים את מודל המימון אשר יאפשר את הקמת המתקנים, </w:t>
      </w:r>
      <w:r w:rsidRPr="006114CB">
        <w:rPr>
          <w:rFonts w:ascii="David" w:eastAsia="Calibri" w:hAnsi="David"/>
          <w:b/>
          <w:bCs/>
          <w:rtl/>
        </w:rPr>
        <w:t>תוואי ההולכה היבשתי והאחסון לגפ"ם</w:t>
      </w:r>
      <w:r w:rsidRPr="006114CB">
        <w:rPr>
          <w:rFonts w:ascii="David" w:eastAsia="Calibri" w:hAnsi="David" w:hint="cs"/>
          <w:b/>
          <w:bCs/>
          <w:rtl/>
        </w:rPr>
        <w:t xml:space="preserve"> לצורך הגדלת יתירות מלאי הגפ</w:t>
      </w:r>
      <w:r w:rsidRPr="006114CB">
        <w:rPr>
          <w:rFonts w:ascii="David" w:eastAsia="Calibri" w:hAnsi="David"/>
          <w:b/>
          <w:bCs/>
          <w:rtl/>
        </w:rPr>
        <w:t>"</w:t>
      </w:r>
      <w:r w:rsidRPr="006114CB">
        <w:rPr>
          <w:rFonts w:ascii="David" w:eastAsia="Calibri" w:hAnsi="David" w:hint="cs"/>
          <w:b/>
          <w:bCs/>
          <w:rtl/>
        </w:rPr>
        <w:t>ם באמצעות יבואו ואחסונו באזור הצפון.</w:t>
      </w:r>
    </w:p>
    <w:p w:rsidR="006114CB" w:rsidP="002F4530">
      <w:pPr>
        <w:spacing w:line="269" w:lineRule="auto"/>
        <w:ind w:left="312"/>
        <w:rPr>
          <w:rFonts w:ascii="David" w:eastAsia="Calibri" w:hAnsi="David"/>
          <w:b/>
          <w:bCs/>
          <w:rtl/>
        </w:rPr>
      </w:pPr>
    </w:p>
    <w:p w:rsidR="006114CB" w:rsidRPr="006114CB" w:rsidP="002F4530">
      <w:pPr>
        <w:keepNext/>
        <w:keepLines/>
        <w:numPr>
          <w:ilvl w:val="0"/>
          <w:numId w:val="13"/>
        </w:numPr>
        <w:spacing w:line="269" w:lineRule="auto"/>
        <w:ind w:left="357" w:hanging="357"/>
        <w:outlineLvl w:val="5"/>
        <w:rPr>
          <w:rFonts w:eastAsia="Times New Roman"/>
          <w:spacing w:val="40"/>
          <w:rtl/>
        </w:rPr>
      </w:pPr>
      <w:r w:rsidRPr="006114CB">
        <w:rPr>
          <w:rFonts w:eastAsia="Times New Roman" w:hint="cs"/>
          <w:spacing w:val="40"/>
          <w:rtl/>
        </w:rPr>
        <w:t xml:space="preserve">חלופה ליבוא גפ"ם דרך מסוף הכימיקלים בחיפה </w:t>
      </w:r>
    </w:p>
    <w:p w:rsidR="006114CB" w:rsidRPr="006114CB" w:rsidP="002F4530">
      <w:pPr>
        <w:rPr>
          <w:rFonts w:eastAsia="Calibri"/>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באוקטובר 2023 פרצה מלחמת חרבות ברזל, ובמהלכה נוצר קושי בהבטחת רציפות אספקת הגפ</w:t>
      </w:r>
      <w:r w:rsidRPr="006114CB">
        <w:rPr>
          <w:rFonts w:ascii="David" w:eastAsia="Calibri" w:hAnsi="David"/>
          <w:sz w:val="24"/>
          <w:rtl/>
        </w:rPr>
        <w:t>"</w:t>
      </w:r>
      <w:r w:rsidRPr="006114CB">
        <w:rPr>
          <w:rFonts w:ascii="David" w:eastAsia="Calibri" w:hAnsi="David" w:hint="cs"/>
          <w:sz w:val="24"/>
          <w:rtl/>
        </w:rPr>
        <w:t>ם דרך נמל קצא"א בשל אילוצים ביטחוניים. בשל כך היה צורך לבחון חלופות נוספות במקביל ליישום חלופת המתקן מול יבור, להבאה מהירה של גפ</w:t>
      </w:r>
      <w:r w:rsidRPr="006114CB">
        <w:rPr>
          <w:rFonts w:ascii="David" w:eastAsia="Calibri" w:hAnsi="David"/>
          <w:sz w:val="24"/>
          <w:rtl/>
        </w:rPr>
        <w:t>"</w:t>
      </w:r>
      <w:r w:rsidRPr="006114CB">
        <w:rPr>
          <w:rFonts w:ascii="David" w:eastAsia="Calibri" w:hAnsi="David" w:hint="cs"/>
          <w:sz w:val="24"/>
          <w:rtl/>
        </w:rPr>
        <w:t xml:space="preserve">ם לישראל על תשתית קיימת אם הדבר לא מתאפשר דרך נמל קצא"א.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זמן קצר</w:t>
      </w:r>
      <w:r w:rsidRPr="006114CB">
        <w:rPr>
          <w:rFonts w:ascii="David" w:eastAsia="Calibri" w:hAnsi="David"/>
          <w:rtl/>
        </w:rPr>
        <w:t xml:space="preserve"> לאחר </w:t>
      </w:r>
      <w:r w:rsidRPr="006114CB">
        <w:rPr>
          <w:rFonts w:ascii="David" w:eastAsia="Calibri" w:hAnsi="David" w:hint="cs"/>
          <w:rtl/>
        </w:rPr>
        <w:t>פרוץ מלחמת חרבות ברזל הציעה חברה בתעשייה הפטרוכימית</w:t>
      </w:r>
      <w:r>
        <w:rPr>
          <w:rFonts w:ascii="David" w:eastAsia="Calibri" w:hAnsi="David"/>
          <w:vertAlign w:val="superscript"/>
          <w:rtl/>
        </w:rPr>
        <w:footnoteReference w:id="100"/>
      </w:r>
      <w:r w:rsidRPr="006114CB">
        <w:rPr>
          <w:rFonts w:ascii="David" w:eastAsia="Calibri" w:hAnsi="David" w:hint="cs"/>
          <w:rtl/>
        </w:rPr>
        <w:t xml:space="preserve"> (להלן - החברה הפטרוכימית או החברה), ש</w:t>
      </w:r>
      <w:r w:rsidRPr="006114CB">
        <w:rPr>
          <w:rFonts w:ascii="David" w:eastAsia="Calibri" w:hAnsi="David" w:hint="cs"/>
          <w:sz w:val="24"/>
          <w:rtl/>
        </w:rPr>
        <w:t xml:space="preserve">לה מתקנים במסוף הכימיקלים הקיים בחיפה, </w:t>
      </w:r>
      <w:r w:rsidRPr="006114CB">
        <w:rPr>
          <w:rFonts w:ascii="David" w:eastAsia="Calibri" w:hAnsi="David" w:hint="cs"/>
          <w:rtl/>
        </w:rPr>
        <w:t xml:space="preserve">ליצור תשתית יבוא מהירה </w:t>
      </w:r>
      <w:r w:rsidRPr="006114CB">
        <w:rPr>
          <w:rFonts w:ascii="David" w:eastAsia="Calibri" w:hAnsi="David"/>
          <w:rtl/>
        </w:rPr>
        <w:t>במסוף הכימיקלים בחיפה</w:t>
      </w:r>
      <w:r w:rsidRPr="006114CB">
        <w:rPr>
          <w:rFonts w:ascii="David" w:eastAsia="Calibri" w:hAnsi="David" w:hint="cs"/>
          <w:rtl/>
        </w:rPr>
        <w:t xml:space="preserve"> באמצעות מתקניה הקיימים ו</w:t>
      </w:r>
      <w:r w:rsidRPr="006114CB">
        <w:rPr>
          <w:rFonts w:ascii="David" w:eastAsia="Calibri" w:hAnsi="David"/>
          <w:rtl/>
        </w:rPr>
        <w:t>הנחת צנרת זמינה במסוף וחיבור</w:t>
      </w:r>
      <w:r w:rsidRPr="006114CB">
        <w:rPr>
          <w:rFonts w:ascii="David" w:eastAsia="Calibri" w:hAnsi="David" w:hint="cs"/>
          <w:rtl/>
        </w:rPr>
        <w:t>ו</w:t>
      </w:r>
      <w:r w:rsidRPr="006114CB">
        <w:rPr>
          <w:rFonts w:ascii="David" w:eastAsia="Calibri" w:hAnsi="David"/>
          <w:rtl/>
        </w:rPr>
        <w:t xml:space="preserve"> לפריקת אוניות באמצעות צינור גמיש </w:t>
      </w:r>
      <w:r w:rsidRPr="006114CB">
        <w:rPr>
          <w:rFonts w:ascii="David" w:eastAsia="Calibri" w:hAnsi="David" w:hint="cs"/>
          <w:rtl/>
        </w:rPr>
        <w:t xml:space="preserve">בדומה לצינור </w:t>
      </w:r>
      <w:r w:rsidRPr="006114CB">
        <w:rPr>
          <w:rFonts w:ascii="David" w:eastAsia="Calibri" w:hAnsi="David"/>
          <w:rtl/>
        </w:rPr>
        <w:t>שמשמש לכך במקשר הימי של קצא"א, והושאל לשם כך מקצא"א.</w:t>
      </w:r>
      <w:r w:rsidRPr="006114CB">
        <w:rPr>
          <w:rFonts w:ascii="David" w:eastAsia="Calibri" w:hAnsi="David" w:hint="cs"/>
          <w:rtl/>
        </w:rPr>
        <w:t xml:space="preserve"> לעמדת החברה, הצעתה האמורה ליבוא גפ"ם תחייב </w:t>
      </w:r>
      <w:r w:rsidRPr="006114CB">
        <w:rPr>
          <w:rFonts w:ascii="David" w:eastAsia="Calibri" w:hAnsi="David" w:hint="cs"/>
          <w:sz w:val="24"/>
          <w:rtl/>
        </w:rPr>
        <w:t>השקעות תשתית אשר ניתנות להשלמה בתוך זמן קצר</w:t>
      </w:r>
      <w:r w:rsidRPr="006114CB">
        <w:rPr>
          <w:rFonts w:ascii="David" w:eastAsia="Calibri" w:hAnsi="David" w:hint="cs"/>
          <w:rtl/>
        </w:rPr>
        <w:t>.</w:t>
      </w:r>
      <w:r w:rsidRPr="006114CB">
        <w:rPr>
          <w:rFonts w:ascii="David" w:eastAsia="Calibri" w:hAnsi="David"/>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בפגישה שקיים צוות הביקורת עם החברה הפטרוכימית ביולי 2025 הציגה החברה</w:t>
      </w:r>
      <w:r>
        <w:rPr>
          <w:rFonts w:eastAsia="Calibri"/>
          <w:vertAlign w:val="superscript"/>
          <w:rtl/>
        </w:rPr>
        <w:footnoteReference w:id="101"/>
      </w:r>
      <w:r w:rsidRPr="006114CB">
        <w:rPr>
          <w:rFonts w:ascii="David" w:eastAsia="Calibri" w:hAnsi="David" w:hint="cs"/>
          <w:rtl/>
        </w:rPr>
        <w:t xml:space="preserve"> את מתחם החברה כחלופה מהירה ליבוא גפ"ם למדינת ישראל בצפון הארץ (להלן - </w:t>
      </w:r>
      <w:r w:rsidRPr="006114CB">
        <w:rPr>
          <w:rFonts w:ascii="David" w:eastAsia="Calibri" w:hAnsi="David" w:hint="eastAsia"/>
          <w:rtl/>
        </w:rPr>
        <w:t>מתווה</w:t>
      </w:r>
      <w:r w:rsidRPr="006114CB">
        <w:rPr>
          <w:rFonts w:ascii="David" w:eastAsia="Calibri" w:hAnsi="David"/>
          <w:rtl/>
        </w:rPr>
        <w:t xml:space="preserve"> </w:t>
      </w:r>
      <w:r w:rsidRPr="006114CB">
        <w:rPr>
          <w:rFonts w:ascii="David" w:eastAsia="Calibri" w:hAnsi="David" w:hint="cs"/>
          <w:rtl/>
        </w:rPr>
        <w:t xml:space="preserve">החברה הפטרוכימית או המתווה). לפי המתווה, ייעשה שימוש במאגר הגפ"ם הקיים במתקני החברה, </w:t>
      </w:r>
      <w:r w:rsidRPr="006114CB">
        <w:rPr>
          <w:rFonts w:ascii="David" w:eastAsia="Calibri" w:hAnsi="David" w:hint="cs"/>
          <w:rtl/>
        </w:rPr>
        <w:t>והוא יוגדל עד 1,200 טון</w:t>
      </w:r>
      <w:r>
        <w:rPr>
          <w:rFonts w:ascii="David" w:eastAsia="Calibri" w:hAnsi="David"/>
          <w:vertAlign w:val="superscript"/>
          <w:rtl/>
        </w:rPr>
        <w:footnoteReference w:id="102"/>
      </w:r>
      <w:r w:rsidRPr="006114CB">
        <w:rPr>
          <w:rFonts w:ascii="David" w:eastAsia="Calibri" w:hAnsi="David" w:hint="cs"/>
          <w:rtl/>
        </w:rPr>
        <w:t>, למתקן החברה יתווספו עמדות לטעינת מכליות, והוא יחובר לבז"ן, ומשם למתקני הגז בקריית אתא, באמצעות שימוש בעמדות טעינת המכליות הקיימות בבז"ן ומתקני ספקי הגז, וייבנה מתקן לאחסון ולניפוק של גפ"ם בסמוך ליישוב רנטיס כדי לשרת את הרש"</w:t>
      </w:r>
      <w:r w:rsidR="00A23EA9">
        <w:rPr>
          <w:rFonts w:ascii="David" w:eastAsia="Calibri" w:hAnsi="David" w:hint="cs"/>
          <w:rtl/>
        </w:rPr>
        <w:t>פ</w:t>
      </w:r>
      <w:r w:rsidRPr="006114CB">
        <w:rPr>
          <w:rFonts w:ascii="David" w:eastAsia="Calibri" w:hAnsi="David" w:hint="cs"/>
          <w:rtl/>
        </w:rPr>
        <w:t xml:space="preserve">.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rtl/>
        </w:rPr>
      </w:pPr>
      <w:r w:rsidRPr="006114CB">
        <w:rPr>
          <w:rFonts w:ascii="David" w:eastAsia="Calibri" w:hAnsi="David" w:hint="cs"/>
          <w:rtl/>
        </w:rPr>
        <w:t xml:space="preserve">בהצעתה של החברה הפטרוכימית הוצגו שלוש חלופות אפשריות </w:t>
      </w:r>
      <w:r w:rsidRPr="006114CB">
        <w:rPr>
          <w:rFonts w:ascii="David" w:eastAsia="Calibri" w:hAnsi="David" w:hint="cs"/>
          <w:sz w:val="24"/>
          <w:rtl/>
        </w:rPr>
        <w:t>לפריקת גפ</w:t>
      </w:r>
      <w:r w:rsidRPr="006114CB">
        <w:rPr>
          <w:rFonts w:ascii="David" w:eastAsia="Calibri" w:hAnsi="David"/>
          <w:sz w:val="24"/>
          <w:rtl/>
        </w:rPr>
        <w:t>"</w:t>
      </w:r>
      <w:r w:rsidRPr="006114CB">
        <w:rPr>
          <w:rFonts w:ascii="David" w:eastAsia="Calibri" w:hAnsi="David" w:hint="cs"/>
          <w:sz w:val="24"/>
          <w:rtl/>
        </w:rPr>
        <w:t>ם: (א) פריקה של כימיקלים במִִנְגש</w:t>
      </w:r>
      <w:r>
        <w:rPr>
          <w:rFonts w:ascii="David" w:eastAsia="Calibri" w:hAnsi="David"/>
          <w:sz w:val="24"/>
          <w:vertAlign w:val="superscript"/>
          <w:rtl/>
        </w:rPr>
        <w:footnoteReference w:id="103"/>
      </w:r>
      <w:r w:rsidRPr="006114CB">
        <w:rPr>
          <w:rFonts w:ascii="David" w:eastAsia="Calibri" w:hAnsi="David" w:hint="cs"/>
          <w:sz w:val="24"/>
          <w:rtl/>
        </w:rPr>
        <w:t xml:space="preserve"> המשמש את החברה במסוף הכימיקלים של חנ"י, על בסיס תשתית קיימת. הקמת החלופה תיקח חודשים ספורים, אך היא מחייבת את אישור פיקוד העורף (להלן - פקע"ר), קבלת היתר </w:t>
      </w:r>
      <w:r w:rsidRPr="006114CB">
        <w:rPr>
          <w:rFonts w:ascii="David" w:eastAsia="Calibri" w:hAnsi="David"/>
          <w:sz w:val="24"/>
          <w:rtl/>
        </w:rPr>
        <w:t xml:space="preserve">ורישוי </w:t>
      </w:r>
      <w:r w:rsidRPr="006114CB">
        <w:rPr>
          <w:rFonts w:ascii="David" w:eastAsia="Calibri" w:hAnsi="David" w:hint="cs"/>
          <w:sz w:val="24"/>
          <w:rtl/>
        </w:rPr>
        <w:t>מ</w:t>
      </w:r>
      <w:r w:rsidRPr="006114CB">
        <w:rPr>
          <w:rFonts w:ascii="David" w:eastAsia="Calibri" w:hAnsi="David"/>
          <w:sz w:val="24"/>
          <w:rtl/>
        </w:rPr>
        <w:t>משרד האנרגיה</w:t>
      </w:r>
      <w:r w:rsidRPr="006114CB">
        <w:rPr>
          <w:rFonts w:ascii="David" w:eastAsia="Calibri" w:hAnsi="David" w:hint="cs"/>
          <w:sz w:val="24"/>
          <w:rtl/>
        </w:rPr>
        <w:t xml:space="preserve"> ו</w:t>
      </w:r>
      <w:r w:rsidRPr="006114CB">
        <w:rPr>
          <w:rFonts w:ascii="David" w:eastAsia="Calibri" w:hAnsi="David"/>
          <w:sz w:val="24"/>
          <w:rtl/>
        </w:rPr>
        <w:t xml:space="preserve">הקמת קו ייעודי </w:t>
      </w:r>
      <w:r w:rsidRPr="006114CB">
        <w:rPr>
          <w:rFonts w:ascii="David" w:eastAsia="Calibri" w:hAnsi="David" w:hint="cs"/>
          <w:sz w:val="24"/>
          <w:rtl/>
        </w:rPr>
        <w:t>מהמנגש</w:t>
      </w:r>
      <w:r w:rsidRPr="006114CB">
        <w:rPr>
          <w:rFonts w:ascii="David" w:eastAsia="Calibri" w:hAnsi="David"/>
          <w:sz w:val="24"/>
          <w:rtl/>
        </w:rPr>
        <w:t xml:space="preserve"> למתקני </w:t>
      </w:r>
      <w:r w:rsidRPr="006114CB">
        <w:rPr>
          <w:rFonts w:ascii="David" w:eastAsia="Calibri" w:hAnsi="David" w:hint="cs"/>
          <w:sz w:val="24"/>
          <w:rtl/>
        </w:rPr>
        <w:t>החברה מצפון לנמל</w:t>
      </w:r>
      <w:r w:rsidRPr="006114CB">
        <w:rPr>
          <w:rFonts w:ascii="David" w:eastAsia="Calibri" w:hAnsi="David"/>
          <w:sz w:val="24"/>
          <w:rtl/>
        </w:rPr>
        <w:t xml:space="preserve"> </w:t>
      </w:r>
      <w:r w:rsidRPr="006114CB">
        <w:rPr>
          <w:rFonts w:ascii="David" w:eastAsia="Calibri" w:hAnsi="David" w:hint="cs"/>
          <w:sz w:val="24"/>
          <w:rtl/>
        </w:rPr>
        <w:t xml:space="preserve">(אשר ניתנו לו </w:t>
      </w:r>
      <w:r w:rsidRPr="006114CB">
        <w:rPr>
          <w:rFonts w:ascii="David" w:eastAsia="Calibri" w:hAnsi="David"/>
          <w:sz w:val="24"/>
          <w:rtl/>
        </w:rPr>
        <w:t>היתרים</w:t>
      </w:r>
      <w:r w:rsidRPr="006114CB">
        <w:rPr>
          <w:rFonts w:ascii="David" w:eastAsia="Calibri" w:hAnsi="David" w:hint="cs"/>
          <w:sz w:val="24"/>
          <w:rtl/>
        </w:rPr>
        <w:t xml:space="preserve"> והוא מצוי בתהליכי ביצוע); (ב) הקמת מקשר ימי על תוואי קו גז טבעי סטטוטורי בהתאם לתמ"א 37. עלות החלופה מוערכת בכ-25 - 30 מיליון ש"ח, משך הקמתה מוערך בכ-36 חודשים, והיא מחייבת </w:t>
      </w:r>
      <w:r w:rsidRPr="006114CB">
        <w:rPr>
          <w:rFonts w:ascii="David" w:eastAsia="Calibri" w:hAnsi="David"/>
          <w:sz w:val="24"/>
          <w:rtl/>
        </w:rPr>
        <w:t xml:space="preserve">אישורים סטטוטוריים, תכנון </w:t>
      </w:r>
      <w:r w:rsidRPr="006114CB">
        <w:rPr>
          <w:rFonts w:ascii="David" w:eastAsia="Calibri" w:hAnsi="David" w:hint="cs"/>
          <w:sz w:val="24"/>
          <w:rtl/>
        </w:rPr>
        <w:t xml:space="preserve">של </w:t>
      </w:r>
      <w:r w:rsidRPr="006114CB">
        <w:rPr>
          <w:rFonts w:ascii="David" w:eastAsia="Calibri" w:hAnsi="David"/>
          <w:sz w:val="24"/>
          <w:rtl/>
        </w:rPr>
        <w:t>המקשר</w:t>
      </w:r>
      <w:r w:rsidRPr="006114CB">
        <w:rPr>
          <w:rFonts w:ascii="David" w:eastAsia="Calibri" w:hAnsi="David" w:hint="cs"/>
          <w:sz w:val="24"/>
          <w:rtl/>
        </w:rPr>
        <w:t xml:space="preserve"> ועבודות ל</w:t>
      </w:r>
      <w:r w:rsidRPr="006114CB">
        <w:rPr>
          <w:rFonts w:ascii="David" w:eastAsia="Calibri" w:hAnsi="David"/>
          <w:sz w:val="24"/>
          <w:rtl/>
        </w:rPr>
        <w:t xml:space="preserve">הקמת </w:t>
      </w:r>
      <w:r w:rsidRPr="006114CB">
        <w:rPr>
          <w:rFonts w:ascii="David" w:eastAsia="Calibri" w:hAnsi="David" w:hint="cs"/>
          <w:sz w:val="24"/>
          <w:rtl/>
        </w:rPr>
        <w:t xml:space="preserve">צנרת ההולכה הימית אל מתקני החברה; (ג) שימוש במקשר ימי קיים של תש"א. עלות החלופה מוערכת בכ-25 - 30 מיליון ש"ח, ומשך הקמתה מוערך בכ-12 - 24 חודשים. חלופה זו אפשרית ליישום רק לאחר הפסקת פעילות תש"א במסוף קריית חיים, והיא מחייבת פעולות להרחבת שימוש ברצועה קיימת והקמת קו חדש. </w:t>
      </w:r>
    </w:p>
    <w:p w:rsidR="006114CB" w:rsidRPr="006114CB" w:rsidP="002F4530">
      <w:pPr>
        <w:keepNext/>
        <w:keepLines/>
        <w:spacing w:line="269" w:lineRule="auto"/>
        <w:ind w:left="-567"/>
        <w:rPr>
          <w:rFonts w:eastAsia="Calibri"/>
          <w:szCs w:val="20"/>
          <w:rtl/>
        </w:rPr>
      </w:pPr>
    </w:p>
    <w:p w:rsidR="006114CB" w:rsidP="002F4530">
      <w:pPr>
        <w:spacing w:line="269" w:lineRule="auto"/>
        <w:ind w:left="312"/>
        <w:rPr>
          <w:rFonts w:ascii="David" w:eastAsia="Calibri" w:hAnsi="David"/>
          <w:b/>
          <w:bCs/>
          <w:rtl/>
        </w:rPr>
      </w:pPr>
      <w:r w:rsidRPr="006114CB">
        <w:rPr>
          <w:rFonts w:ascii="David" w:eastAsia="Calibri" w:hAnsi="David" w:hint="cs"/>
          <w:sz w:val="24"/>
          <w:rtl/>
        </w:rPr>
        <w:t>ביוני 2025 ביקשה המינהלת לפיתוח מפרץ חיפה מחנ"י לבדוק חלופה של פריקת גפ"ם במסוף הכימיקלים בחיפה באמצעות החברה הפטרוכימית. מסקר סיכונים ראשוני שנעשה בפברואר 2025 בהזמנת חנ"י עולה כי לאחר יישום התאמות במישור הטכני ובמישור התפעולי, רמות הסיכון לפריקת גפ</w:t>
      </w:r>
      <w:r w:rsidRPr="006114CB">
        <w:rPr>
          <w:rFonts w:ascii="David" w:eastAsia="Calibri" w:hAnsi="David"/>
          <w:sz w:val="24"/>
          <w:rtl/>
        </w:rPr>
        <w:t>"</w:t>
      </w:r>
      <w:r w:rsidRPr="006114CB">
        <w:rPr>
          <w:rFonts w:ascii="David" w:eastAsia="Calibri" w:hAnsi="David" w:hint="cs"/>
          <w:sz w:val="24"/>
          <w:rtl/>
        </w:rPr>
        <w:t>ם בנמל נמצאות בטווח המקובל (בכפוף לביצוע סקר מלא)</w:t>
      </w:r>
      <w:r>
        <w:rPr>
          <w:rFonts w:ascii="David" w:eastAsia="Calibri" w:hAnsi="David"/>
          <w:sz w:val="24"/>
          <w:vertAlign w:val="superscript"/>
          <w:rtl/>
        </w:rPr>
        <w:footnoteReference w:id="104"/>
      </w:r>
      <w:r w:rsidRPr="006114CB">
        <w:rPr>
          <w:rFonts w:ascii="David" w:eastAsia="Calibri" w:hAnsi="David" w:hint="cs"/>
          <w:sz w:val="24"/>
          <w:rtl/>
        </w:rPr>
        <w:t>. בהתבסס על הסקר הראשוני ערכה חנ"י ביוני 2025 בדיקת היתכנות לפריקת גפ"ם במסוף הכימיקלים בטווח זמן קצר</w:t>
      </w:r>
      <w:r>
        <w:rPr>
          <w:rFonts w:ascii="David" w:eastAsia="Calibri" w:hAnsi="David"/>
          <w:sz w:val="24"/>
          <w:vertAlign w:val="superscript"/>
          <w:rtl/>
        </w:rPr>
        <w:footnoteReference w:id="105"/>
      </w:r>
      <w:r w:rsidRPr="006114CB">
        <w:rPr>
          <w:rFonts w:ascii="David" w:eastAsia="Calibri" w:hAnsi="David" w:hint="cs"/>
          <w:sz w:val="24"/>
          <w:rtl/>
        </w:rPr>
        <w:t>. הבדיקה התבססה על ההנחה שבעקבות הפגיעה בבז"ן במבצע עם כלביא יכולתו לייצר גפ"ם בזמן הקרוב מוטלת בספק, ויש סיכון למחסור בגפ"ם במשק בחורף 2026.</w:t>
      </w:r>
    </w:p>
    <w:p w:rsidR="001B37C0" w:rsidP="002F4530">
      <w:pPr>
        <w:spacing w:line="269" w:lineRule="auto"/>
        <w:ind w:left="312"/>
        <w:rPr>
          <w:rFonts w:ascii="David" w:eastAsia="Calibri" w:hAnsi="David"/>
          <w:b/>
          <w:bCs/>
          <w:rtl/>
        </w:rPr>
      </w:pPr>
    </w:p>
    <w:p w:rsidR="006114CB" w:rsidRPr="006114CB" w:rsidP="002F4530">
      <w:pPr>
        <w:spacing w:line="269" w:lineRule="auto"/>
        <w:ind w:left="312"/>
        <w:rPr>
          <w:rFonts w:ascii="David" w:eastAsia="Times New Roman" w:hAnsi="David" w:cs="Times New Roman"/>
          <w:sz w:val="24"/>
          <w:rtl/>
        </w:rPr>
      </w:pPr>
      <w:r w:rsidRPr="006114CB">
        <w:rPr>
          <w:rFonts w:ascii="David" w:eastAsia="Calibri" w:hAnsi="David" w:hint="cs"/>
          <w:sz w:val="24"/>
          <w:rtl/>
        </w:rPr>
        <w:t>המסקנות העיקריות של בדיקת ההיתכנות היו כי אין כל היתכנות לפריקת גפ"ם במסוף בטווח הקצר; על פי המידע שבידי חנ"י, הזמן הנדרש לסגירת פערי השינוע והאחסון (הנדרשת לשם קידום חלופה זו) מוערך בכשלוש שנים;</w:t>
      </w:r>
      <w:r w:rsidRPr="006114CB">
        <w:rPr>
          <w:rFonts w:ascii="David" w:eastAsia="Times New Roman" w:hAnsi="David" w:cs="Times New Roman" w:hint="cs"/>
          <w:sz w:val="24"/>
          <w:rtl/>
        </w:rPr>
        <w:t xml:space="preserve"> </w:t>
      </w:r>
      <w:r w:rsidRPr="006114CB">
        <w:rPr>
          <w:rFonts w:ascii="David" w:eastAsia="Calibri" w:hAnsi="David" w:hint="cs"/>
          <w:sz w:val="24"/>
          <w:rtl/>
        </w:rPr>
        <w:t xml:space="preserve">חנ"י, </w:t>
      </w:r>
      <w:r w:rsidRPr="006114CB">
        <w:rPr>
          <w:rFonts w:eastAsia="Calibri" w:hint="cs"/>
          <w:rtl/>
        </w:rPr>
        <w:t>רשות הספנות והנמלים</w:t>
      </w:r>
      <w:r w:rsidRPr="006114CB">
        <w:rPr>
          <w:rFonts w:ascii="David" w:eastAsia="Calibri" w:hAnsi="David" w:hint="cs"/>
          <w:sz w:val="24"/>
          <w:rtl/>
        </w:rPr>
        <w:t xml:space="preserve"> </w:t>
      </w:r>
      <w:r w:rsidRPr="006114CB">
        <w:rPr>
          <w:rFonts w:eastAsia="Calibri" w:hint="cs"/>
          <w:rtl/>
        </w:rPr>
        <w:t xml:space="preserve">(להלן - </w:t>
      </w:r>
      <w:r w:rsidRPr="006114CB">
        <w:rPr>
          <w:rFonts w:ascii="David" w:eastAsia="Calibri" w:hAnsi="David" w:hint="cs"/>
          <w:sz w:val="24"/>
          <w:rtl/>
        </w:rPr>
        <w:t>רספ"ן</w:t>
      </w:r>
      <w:r w:rsidRPr="006114CB">
        <w:rPr>
          <w:rFonts w:eastAsia="Calibri" w:hint="cs"/>
          <w:rtl/>
        </w:rPr>
        <w:t>)</w:t>
      </w:r>
      <w:r w:rsidRPr="006114CB">
        <w:rPr>
          <w:rFonts w:ascii="David" w:eastAsia="Calibri" w:hAnsi="David" w:hint="cs"/>
          <w:sz w:val="24"/>
          <w:rtl/>
        </w:rPr>
        <w:t xml:space="preserve">, פקע"ר, </w:t>
      </w:r>
      <w:r w:rsidRPr="006114CB">
        <w:rPr>
          <w:rFonts w:eastAsia="Calibri" w:hint="cs"/>
          <w:rtl/>
        </w:rPr>
        <w:t>רשות כבאות והצלה</w:t>
      </w:r>
      <w:r w:rsidRPr="006114CB">
        <w:rPr>
          <w:rFonts w:ascii="David" w:eastAsia="Calibri" w:hAnsi="David" w:hint="cs"/>
          <w:sz w:val="24"/>
          <w:rtl/>
        </w:rPr>
        <w:t>, משרד האנרגיה ותעבורה ימית חיפה נדרשים לקבל החלטה אם רמת הסיכון ופוטנציאל הנזק קבילים מבחינתם.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 xml:space="preserve">ביוני 2025 הביעה רספ"ן את עמדתה בנוגע לפריקת גפ"ם במסוף הכימיקלים בחיפה, ולפיה מומלץ שאוניות יפרקו גפ"ם באמצעות מקשר ימי המרוחק מקו החוף בכ-1,500 מטר (ובעומק של כ-15 מטר), המאפשר לקשור אוניות המובילות גפ"ם. לדעתה, לשיטת פריקה זו יש יתרונות בתחום הבטיחות ובמשאבי הנמל, והכנסת אוניית גפ"ם היא תהליך מורכב הנתון למגבלות בטיחות שיגרמו להפרעה קשה בפעילות ניטול המטען. </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 xml:space="preserve">ביולי 2025, פחות משנתיים מפרוץ מלחמת חרבות ברזל, התייחס פקע"ר ליבוא גפ"ם דרך מסוף הכימיקלים של חנ"י למנגש המשמש את החברה הפטרוכימית. פקע"ר ציין כי ככלל, אין לו התנגדות לקידום התוכנית להקמת תשתית ליבוא גפ"ם במסוף הכימיקלים לצורכי המשק בשגרה ובמסלול תכנוני המתאים לעיתות שגרה. יתרה מזאת, בהליך תכנוני סדור בשגרה פקע"ר אינו משפיע על מיקומם של אתרי חומ"ס (חומרים מסוכנים), אלא מטמיע את דרישות המיגון במסגרת התוכנית. עם זאת, יש סבירות גבוהה למעבר משגרה לחירום ללא התרעה מוקדמת שתספק זמן ומרחב להרחקת אוניית גפ"ם ממסוף הכימיקלים. הסיכונים במקרה של פגיעה מלחמתית באונייה כזו נשארים ללא שינוי מהתייחסות פקע"ר הקודמת שניתנה בסמוך </w:t>
      </w:r>
      <w:r w:rsidRPr="006114CB">
        <w:rPr>
          <w:rFonts w:ascii="David" w:eastAsia="Calibri" w:hAnsi="David" w:hint="cs"/>
          <w:sz w:val="24"/>
          <w:rtl/>
        </w:rPr>
        <w:t>לפרוץ המלחמה, שבה התנגד פקע"ר לשימוש בנמל הכימיקלים ליבוא גפ</w:t>
      </w:r>
      <w:r w:rsidRPr="006114CB">
        <w:rPr>
          <w:rFonts w:ascii="David" w:eastAsia="Calibri" w:hAnsi="David"/>
          <w:sz w:val="24"/>
          <w:rtl/>
        </w:rPr>
        <w:t>"</w:t>
      </w:r>
      <w:r w:rsidRPr="006114CB">
        <w:rPr>
          <w:rFonts w:ascii="David" w:eastAsia="Calibri" w:hAnsi="David" w:hint="cs"/>
          <w:sz w:val="24"/>
          <w:rtl/>
        </w:rPr>
        <w:t>ם בזמן המלחמה</w:t>
      </w:r>
      <w:r>
        <w:rPr>
          <w:rFonts w:ascii="David" w:eastAsia="Calibri" w:hAnsi="David"/>
          <w:vertAlign w:val="superscript"/>
          <w:rtl/>
        </w:rPr>
        <w:footnoteReference w:id="106"/>
      </w:r>
      <w:r w:rsidRPr="006114CB">
        <w:rPr>
          <w:rFonts w:ascii="David" w:eastAsia="Calibri" w:hAnsi="David" w:hint="cs"/>
          <w:sz w:val="24"/>
          <w:rtl/>
        </w:rPr>
        <w:t>. לגישת פקע"ר, אם יוקם אתר כזה במפרץ חיפה לא יינתן לו אישור הפעלה בזמן המלחמה.</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 xml:space="preserve">בחודשים יולי ואוגוסט 2025 התקיימו כמה ישיבות ביוזמת המינהלת לפיתוח מפרץ חיפה בנושא יבוא גפ"ם דרך מסוף הכימיקלים, </w:t>
      </w:r>
      <w:r w:rsidRPr="006114CB">
        <w:rPr>
          <w:rFonts w:ascii="David" w:eastAsia="Calibri" w:hAnsi="David" w:hint="eastAsia"/>
          <w:sz w:val="24"/>
          <w:rtl/>
        </w:rPr>
        <w:t>בהשתתפות</w:t>
      </w:r>
      <w:r w:rsidRPr="006114CB">
        <w:rPr>
          <w:rFonts w:ascii="David" w:eastAsia="Calibri" w:hAnsi="David"/>
          <w:sz w:val="24"/>
          <w:rtl/>
        </w:rPr>
        <w:t xml:space="preserve"> </w:t>
      </w:r>
      <w:r w:rsidRPr="006114CB">
        <w:rPr>
          <w:rFonts w:ascii="David" w:eastAsia="Calibri" w:hAnsi="David" w:hint="cs"/>
          <w:sz w:val="24"/>
          <w:rtl/>
        </w:rPr>
        <w:t>נציגי המינהלת, חנ"י, מינהל הדלק, אג״ת, רספ"ן, והחברה הפטרוכימית. הישיבות נועדו לבחון אפשרות יבוא גפ"ם דרך מסוף הכימיקלים בחיפה כיתירות אסטרטגית לנקודת יבוא הגפ"ם היחידה בישראל, בנמל קצא"א באשקלון (כפתרון מהיר עד לפתרון ארוך טווח). בדיונים הועלה הקושי בפריקת הגפ"ם במסוף הכימיקלים, הנובע מדרישות בטיחות ושמירה על מרחקי בטיחות מזעריים בין אוניות גפ"ם לכלי שיט אחרים.</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בפגישה שהתקיימה במשרדי המועצה הלאומית לכלכלה בנושא יבוא גפ</w:t>
      </w:r>
      <w:r w:rsidRPr="006114CB">
        <w:rPr>
          <w:rFonts w:ascii="David" w:eastAsia="Calibri" w:hAnsi="David"/>
          <w:sz w:val="24"/>
          <w:rtl/>
        </w:rPr>
        <w:t>"</w:t>
      </w:r>
      <w:r w:rsidRPr="006114CB">
        <w:rPr>
          <w:rFonts w:ascii="David" w:eastAsia="Calibri" w:hAnsi="David" w:hint="cs"/>
          <w:sz w:val="24"/>
          <w:rtl/>
        </w:rPr>
        <w:t>ם דרך מסוף הכימיקלים בחיפה ביולי 2025 הציגה חנ"י כמה סוגיות הדורשות פתרון כדי לאפשר את היבוא, כגון הקמת תשתיות מתאימות לפריקת הגפ</w:t>
      </w:r>
      <w:r w:rsidRPr="006114CB">
        <w:rPr>
          <w:rFonts w:ascii="David" w:eastAsia="Calibri" w:hAnsi="David"/>
          <w:sz w:val="24"/>
          <w:rtl/>
        </w:rPr>
        <w:t>"</w:t>
      </w:r>
      <w:r w:rsidRPr="006114CB">
        <w:rPr>
          <w:rFonts w:ascii="David" w:eastAsia="Calibri" w:hAnsi="David" w:hint="cs"/>
          <w:sz w:val="24"/>
          <w:rtl/>
        </w:rPr>
        <w:t>ם; הקמת מכלי אחסון שיוכלו לקלוט תכולה של אוניית גפ</w:t>
      </w:r>
      <w:r w:rsidRPr="006114CB">
        <w:rPr>
          <w:rFonts w:ascii="David" w:eastAsia="Calibri" w:hAnsi="David"/>
          <w:sz w:val="24"/>
          <w:rtl/>
        </w:rPr>
        <w:t>"</w:t>
      </w:r>
      <w:r w:rsidRPr="006114CB">
        <w:rPr>
          <w:rFonts w:ascii="David" w:eastAsia="Calibri" w:hAnsi="David" w:hint="cs"/>
          <w:sz w:val="24"/>
          <w:rtl/>
        </w:rPr>
        <w:t xml:space="preserve">ם שלמה בהיקף של לפחות 6,000 </w:t>
      </w:r>
      <w:r w:rsidRPr="006114CB">
        <w:rPr>
          <w:rFonts w:ascii="David" w:eastAsia="Calibri" w:hAnsi="David" w:hint="eastAsia"/>
          <w:sz w:val="24"/>
          <w:rtl/>
        </w:rPr>
        <w:t>טונות</w:t>
      </w:r>
      <w:r w:rsidRPr="006114CB">
        <w:rPr>
          <w:rFonts w:ascii="David" w:eastAsia="Calibri" w:hAnsi="David" w:hint="cs"/>
          <w:sz w:val="24"/>
          <w:rtl/>
        </w:rPr>
        <w:t>; התמודדות עם אילוצים תפעוליים שייווצרו בניהול הנמל עם כניסת אוניות גפ</w:t>
      </w:r>
      <w:r w:rsidRPr="006114CB">
        <w:rPr>
          <w:rFonts w:ascii="David" w:eastAsia="Calibri" w:hAnsi="David"/>
          <w:sz w:val="24"/>
          <w:rtl/>
        </w:rPr>
        <w:t>"</w:t>
      </w:r>
      <w:r w:rsidRPr="006114CB">
        <w:rPr>
          <w:rFonts w:ascii="David" w:eastAsia="Calibri" w:hAnsi="David" w:hint="cs"/>
          <w:sz w:val="24"/>
          <w:rtl/>
        </w:rPr>
        <w:t>ם ומגבלות הבטיחות שייווצרו עקב כך. חנ"י חזרה על עמדתה זו בפגישה עם צוות הביקורת באוקטובר 2025.</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אג"ת מסר לצוות הביקורת ביולי 2025 כי יישום מתווה החברה הפטרוכימית מוטל בספק בשל קשיים שמערימים המאסדרים הרלוונטיים בתחום האנרגיה והספנות.</w:t>
      </w:r>
    </w:p>
    <w:p w:rsidR="006114CB" w:rsidRPr="006114CB" w:rsidP="002F4530">
      <w:pPr>
        <w:keepNext/>
        <w:keepLines/>
        <w:spacing w:line="269" w:lineRule="auto"/>
        <w:ind w:left="-567"/>
        <w:rPr>
          <w:rFonts w:eastAsia="Calibri"/>
          <w:szCs w:val="20"/>
          <w:rtl/>
        </w:rPr>
      </w:pPr>
    </w:p>
    <w:p w:rsidR="006114CB" w:rsidRPr="006114CB" w:rsidP="002F4530">
      <w:pPr>
        <w:spacing w:line="269" w:lineRule="auto"/>
        <w:ind w:left="312"/>
        <w:rPr>
          <w:rFonts w:ascii="David" w:eastAsia="Calibri" w:hAnsi="David"/>
          <w:sz w:val="24"/>
          <w:rtl/>
        </w:rPr>
      </w:pPr>
      <w:r w:rsidRPr="006114CB">
        <w:rPr>
          <w:rFonts w:ascii="David" w:eastAsia="Calibri" w:hAnsi="David" w:hint="cs"/>
          <w:sz w:val="24"/>
          <w:rtl/>
        </w:rPr>
        <w:t>סגן יו"ר המועצה הלאומית לכלכלה מסר לצוות הביקורת בנובמבר 2025 כי חלופת פריקת הגפ</w:t>
      </w:r>
      <w:r w:rsidRPr="006114CB">
        <w:rPr>
          <w:rFonts w:ascii="David" w:eastAsia="Calibri" w:hAnsi="David"/>
          <w:sz w:val="24"/>
          <w:rtl/>
        </w:rPr>
        <w:t>"</w:t>
      </w:r>
      <w:r w:rsidRPr="006114CB">
        <w:rPr>
          <w:rFonts w:ascii="David" w:eastAsia="Calibri" w:hAnsi="David" w:hint="cs"/>
          <w:sz w:val="24"/>
          <w:rtl/>
        </w:rPr>
        <w:t>ם באמצעות מתקני החברה הפטרוכימית בנמל הכימיקלים נבחנת הן מבחינת מקום מיטבי לעגינת אוניית הגפ</w:t>
      </w:r>
      <w:r w:rsidRPr="006114CB">
        <w:rPr>
          <w:rFonts w:ascii="David" w:eastAsia="Calibri" w:hAnsi="David"/>
          <w:sz w:val="24"/>
          <w:rtl/>
        </w:rPr>
        <w:t>"</w:t>
      </w:r>
      <w:r w:rsidRPr="006114CB">
        <w:rPr>
          <w:rFonts w:ascii="David" w:eastAsia="Calibri" w:hAnsi="David" w:hint="cs"/>
          <w:sz w:val="24"/>
          <w:rtl/>
        </w:rPr>
        <w:t>ם בנמל והן מבחינת תנאי הבטיחות לפריקה, להזרמה ולאחסון הנדרשים על ידי משרד האנרגיה.</w:t>
      </w:r>
    </w:p>
    <w:p w:rsidR="006114CB" w:rsidRPr="006114CB" w:rsidP="002F4530">
      <w:pPr>
        <w:keepNext/>
        <w:keepLines/>
        <w:spacing w:line="269" w:lineRule="auto"/>
        <w:ind w:left="-567"/>
        <w:rPr>
          <w:rFonts w:eastAsia="Calibri"/>
          <w:szCs w:val="20"/>
          <w:rtl/>
        </w:rPr>
      </w:pPr>
    </w:p>
    <w:p w:rsidR="001B37C0" w:rsidRPr="001B37C0" w:rsidP="002F4530">
      <w:pPr>
        <w:spacing w:line="269" w:lineRule="auto"/>
        <w:ind w:left="312"/>
        <w:rPr>
          <w:rFonts w:ascii="David" w:eastAsia="Calibri" w:hAnsi="David"/>
          <w:sz w:val="24"/>
          <w:rtl/>
        </w:rPr>
      </w:pPr>
      <w:r w:rsidRPr="006114CB">
        <w:rPr>
          <w:rFonts w:ascii="David" w:eastAsia="Calibri" w:hAnsi="David" w:hint="cs"/>
          <w:sz w:val="24"/>
          <w:rtl/>
        </w:rPr>
        <w:t>בפברואר 2026 העבירה חנ"י סקר סיכונים מפורט אותו ביצעה באמצעות יועצים חיצוניים, לבחינת גורמי המקצוע הרלוונטיים במשרד התחבורה, האנרגיה, רספ"ן, המועצה הלאומית</w:t>
      </w:r>
      <w:r>
        <w:rPr>
          <w:rFonts w:ascii="David" w:eastAsia="Calibri" w:hAnsi="David" w:hint="cs"/>
          <w:b/>
          <w:bCs/>
          <w:rtl/>
        </w:rPr>
        <w:t xml:space="preserve"> </w:t>
      </w:r>
      <w:r w:rsidRPr="001B37C0">
        <w:rPr>
          <w:rFonts w:ascii="David" w:eastAsia="Calibri" w:hAnsi="David" w:hint="cs"/>
          <w:sz w:val="24"/>
          <w:rtl/>
        </w:rPr>
        <w:t>לכלכלה, אג"ת והחשכ"ל. בסקר הסיכונים פורטו הסיכונים הכרוכים בתפעול אניית גפ"ם במסוף הכימיקלים בחיפה, והדרישות התפעוליות לגידור סיכונים אלה.</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ind w:left="312"/>
        <w:rPr>
          <w:rFonts w:ascii="David" w:eastAsia="Calibri" w:hAnsi="David"/>
          <w:b/>
          <w:bCs/>
          <w:sz w:val="24"/>
          <w:rtl/>
        </w:rPr>
      </w:pPr>
      <w:bookmarkStart w:id="31" w:name="_Hlk222302972"/>
      <w:r w:rsidRPr="001B37C0">
        <w:rPr>
          <w:rFonts w:ascii="David" w:eastAsia="Calibri" w:hAnsi="David" w:hint="cs"/>
          <w:b/>
          <w:bCs/>
          <w:sz w:val="24"/>
          <w:rtl/>
        </w:rPr>
        <w:t>עלה כי נכון למועד סיום הביקורת, ולאחר יותר משנתיים מתחילת מלחמת חרבות ברזל, שבה התחדדה החשיבות שבהקמה מהירה של מתקן פריקה נוסף של גפ</w:t>
      </w:r>
      <w:r w:rsidRPr="001B37C0">
        <w:rPr>
          <w:rFonts w:ascii="David" w:eastAsia="Calibri" w:hAnsi="David"/>
          <w:b/>
          <w:bCs/>
          <w:sz w:val="24"/>
          <w:rtl/>
        </w:rPr>
        <w:t>"</w:t>
      </w:r>
      <w:r w:rsidRPr="001B37C0">
        <w:rPr>
          <w:rFonts w:ascii="David" w:eastAsia="Calibri" w:hAnsi="David" w:hint="cs"/>
          <w:b/>
          <w:bCs/>
          <w:sz w:val="24"/>
          <w:rtl/>
        </w:rPr>
        <w:t xml:space="preserve">ם בצפון הארץ, טרם קבעו חנ"י ומשרד האנרגיה את התנאים הבטיחותיים הנדרשים מהחברה הפטרוכימית להקמת ותפעול של מתקן הפריקה בנמל הכימיקלים בחיפה, ועל כן חלופה זו, הנותנת פתרון מהיר ליבוא גפ"ם בצפון </w:t>
      </w:r>
      <w:r w:rsidRPr="001B37C0">
        <w:rPr>
          <w:rFonts w:ascii="David" w:eastAsia="Calibri" w:hAnsi="David" w:hint="eastAsia"/>
          <w:b/>
          <w:bCs/>
          <w:sz w:val="24"/>
          <w:rtl/>
        </w:rPr>
        <w:t>הארץ</w:t>
      </w:r>
      <w:r w:rsidRPr="001B37C0">
        <w:rPr>
          <w:rFonts w:ascii="David" w:eastAsia="Calibri" w:hAnsi="David"/>
          <w:b/>
          <w:bCs/>
          <w:sz w:val="24"/>
          <w:rtl/>
        </w:rPr>
        <w:t xml:space="preserve">, אינה </w:t>
      </w:r>
      <w:r w:rsidRPr="001B37C0">
        <w:rPr>
          <w:rFonts w:ascii="David" w:eastAsia="Calibri" w:hAnsi="David" w:hint="eastAsia"/>
          <w:b/>
          <w:bCs/>
          <w:sz w:val="24"/>
          <w:rtl/>
        </w:rPr>
        <w:t>מגיעה</w:t>
      </w:r>
      <w:r w:rsidRPr="001B37C0">
        <w:rPr>
          <w:rFonts w:ascii="David" w:eastAsia="Calibri" w:hAnsi="David"/>
          <w:b/>
          <w:bCs/>
          <w:sz w:val="24"/>
          <w:rtl/>
        </w:rPr>
        <w:t xml:space="preserve"> לכדי מיצוי </w:t>
      </w:r>
      <w:r w:rsidRPr="001B37C0">
        <w:rPr>
          <w:rFonts w:ascii="David" w:eastAsia="Calibri" w:hAnsi="David" w:hint="cs"/>
          <w:b/>
          <w:bCs/>
          <w:sz w:val="24"/>
          <w:rtl/>
        </w:rPr>
        <w:t>ב</w:t>
      </w:r>
      <w:r w:rsidRPr="001B37C0">
        <w:rPr>
          <w:rFonts w:ascii="David" w:eastAsia="Calibri" w:hAnsi="David" w:hint="eastAsia"/>
          <w:b/>
          <w:bCs/>
          <w:sz w:val="24"/>
          <w:rtl/>
        </w:rPr>
        <w:t>בחינת</w:t>
      </w:r>
      <w:r w:rsidRPr="001B37C0">
        <w:rPr>
          <w:rFonts w:ascii="David" w:eastAsia="Calibri" w:hAnsi="David"/>
          <w:b/>
          <w:bCs/>
          <w:sz w:val="24"/>
          <w:rtl/>
        </w:rPr>
        <w:t xml:space="preserve"> </w:t>
      </w:r>
      <w:r w:rsidRPr="001B37C0">
        <w:rPr>
          <w:rFonts w:ascii="David" w:eastAsia="Calibri" w:hAnsi="David" w:hint="eastAsia"/>
          <w:b/>
          <w:bCs/>
          <w:sz w:val="24"/>
          <w:rtl/>
        </w:rPr>
        <w:t>החלופה</w:t>
      </w:r>
      <w:r w:rsidRPr="001B37C0">
        <w:rPr>
          <w:rFonts w:ascii="David" w:eastAsia="Calibri" w:hAnsi="David"/>
          <w:b/>
          <w:bCs/>
          <w:sz w:val="24"/>
          <w:rtl/>
        </w:rPr>
        <w:t xml:space="preserve"> </w:t>
      </w:r>
      <w:r w:rsidRPr="001B37C0">
        <w:rPr>
          <w:rFonts w:ascii="David" w:eastAsia="Calibri" w:hAnsi="David" w:hint="eastAsia"/>
          <w:b/>
          <w:bCs/>
          <w:sz w:val="24"/>
          <w:rtl/>
        </w:rPr>
        <w:t>והיתכנותה</w:t>
      </w:r>
      <w:r w:rsidRPr="001B37C0">
        <w:rPr>
          <w:rFonts w:ascii="David" w:eastAsia="Calibri" w:hAnsi="David"/>
          <w:b/>
          <w:bCs/>
          <w:sz w:val="24"/>
          <w:rtl/>
        </w:rPr>
        <w:t xml:space="preserve"> </w:t>
      </w:r>
      <w:r w:rsidRPr="001B37C0">
        <w:rPr>
          <w:rFonts w:ascii="David" w:eastAsia="Calibri" w:hAnsi="David" w:hint="eastAsia"/>
          <w:b/>
          <w:bCs/>
          <w:sz w:val="24"/>
          <w:rtl/>
        </w:rPr>
        <w:t>הממשית</w:t>
      </w:r>
      <w:r w:rsidRPr="001B37C0">
        <w:rPr>
          <w:rFonts w:ascii="David" w:eastAsia="Calibri" w:hAnsi="David" w:hint="cs"/>
          <w:b/>
          <w:bCs/>
          <w:sz w:val="24"/>
          <w:rtl/>
        </w:rPr>
        <w:t>. לפיכך יבוא גפ</w:t>
      </w:r>
      <w:r w:rsidRPr="001B37C0">
        <w:rPr>
          <w:rFonts w:ascii="David" w:eastAsia="Calibri" w:hAnsi="David"/>
          <w:b/>
          <w:bCs/>
          <w:sz w:val="24"/>
          <w:rtl/>
        </w:rPr>
        <w:t>"</w:t>
      </w:r>
      <w:r w:rsidRPr="001B37C0">
        <w:rPr>
          <w:rFonts w:ascii="David" w:eastAsia="Calibri" w:hAnsi="David" w:hint="cs"/>
          <w:b/>
          <w:bCs/>
          <w:sz w:val="24"/>
          <w:rtl/>
        </w:rPr>
        <w:t>ם עדיין אפשרי רק באזור הדרום באמצעות קצא"א, ללא יתירות גיאוגרפית.</w:t>
      </w:r>
      <w:r w:rsidRPr="001B37C0">
        <w:rPr>
          <w:rFonts w:ascii="David" w:eastAsia="Calibri" w:hAnsi="David"/>
          <w:b/>
          <w:bCs/>
          <w:sz w:val="24"/>
          <w:rtl/>
        </w:rPr>
        <w:t xml:space="preserve"> </w:t>
      </w:r>
    </w:p>
    <w:p w:rsidR="001B37C0" w:rsidRPr="001B37C0" w:rsidP="002F4530">
      <w:pPr>
        <w:spacing w:line="269" w:lineRule="auto"/>
        <w:ind w:left="312"/>
        <w:rPr>
          <w:rFonts w:ascii="David" w:eastAsia="Calibri" w:hAnsi="David"/>
          <w:b/>
          <w:bCs/>
          <w:sz w:val="24"/>
          <w:rtl/>
        </w:rPr>
      </w:pPr>
    </w:p>
    <w:bookmarkEnd w:id="31"/>
    <w:p w:rsidR="001B37C0" w:rsidRPr="001B37C0" w:rsidP="002F4530">
      <w:pPr>
        <w:spacing w:line="269" w:lineRule="auto"/>
        <w:ind w:left="283"/>
        <w:rPr>
          <w:rFonts w:eastAsia="Calibri"/>
          <w:rtl/>
        </w:rPr>
      </w:pPr>
      <w:r w:rsidRPr="001B37C0">
        <w:rPr>
          <w:rFonts w:eastAsia="Calibri" w:hint="cs"/>
          <w:rtl/>
        </w:rPr>
        <w:t xml:space="preserve">בתשובתה ממאי 2026 מסרה חנ"י כי היא כבר קבעה </w:t>
      </w:r>
      <w:r w:rsidRPr="001B37C0">
        <w:rPr>
          <w:rFonts w:eastAsia="Calibri"/>
          <w:rtl/>
        </w:rPr>
        <w:t xml:space="preserve">את התנאים </w:t>
      </w:r>
      <w:r w:rsidRPr="001B37C0">
        <w:rPr>
          <w:rFonts w:eastAsia="Calibri" w:hint="cs"/>
          <w:rtl/>
        </w:rPr>
        <w:t>ה</w:t>
      </w:r>
      <w:r w:rsidRPr="001B37C0">
        <w:rPr>
          <w:rFonts w:eastAsia="Calibri" w:hint="eastAsia"/>
          <w:rtl/>
        </w:rPr>
        <w:t>בטיחותיים</w:t>
      </w:r>
      <w:r w:rsidRPr="001B37C0">
        <w:rPr>
          <w:rFonts w:eastAsia="Calibri"/>
          <w:rtl/>
        </w:rPr>
        <w:t xml:space="preserve"> </w:t>
      </w:r>
      <w:r w:rsidRPr="001B37C0">
        <w:rPr>
          <w:rFonts w:eastAsia="Calibri" w:hint="eastAsia"/>
          <w:rtl/>
        </w:rPr>
        <w:t>ו</w:t>
      </w:r>
      <w:r w:rsidRPr="001B37C0">
        <w:rPr>
          <w:rFonts w:eastAsia="Calibri" w:hint="cs"/>
          <w:rtl/>
        </w:rPr>
        <w:t>ה</w:t>
      </w:r>
      <w:r w:rsidRPr="001B37C0">
        <w:rPr>
          <w:rFonts w:eastAsia="Calibri" w:hint="eastAsia"/>
          <w:rtl/>
        </w:rPr>
        <w:t>תפעוליים</w:t>
      </w:r>
      <w:r w:rsidRPr="001B37C0">
        <w:rPr>
          <w:rFonts w:eastAsia="Calibri" w:hint="cs"/>
          <w:rtl/>
        </w:rPr>
        <w:t xml:space="preserve"> </w:t>
      </w:r>
      <w:r w:rsidRPr="001B37C0">
        <w:rPr>
          <w:rFonts w:eastAsia="Calibri"/>
          <w:rtl/>
        </w:rPr>
        <w:t>הנדרשים לפריקת גפ"</w:t>
      </w:r>
      <w:r w:rsidRPr="001B37C0">
        <w:rPr>
          <w:rFonts w:eastAsia="Calibri" w:hint="cs"/>
          <w:rtl/>
        </w:rPr>
        <w:t>ם בהתאם לסקר סיכונים שהיא ערכה,</w:t>
      </w:r>
      <w:r w:rsidRPr="001B37C0">
        <w:rPr>
          <w:rFonts w:eastAsia="Calibri"/>
          <w:rtl/>
        </w:rPr>
        <w:t xml:space="preserve"> והציגה אותם </w:t>
      </w:r>
      <w:r w:rsidRPr="001B37C0">
        <w:rPr>
          <w:rFonts w:eastAsia="Calibri" w:hint="cs"/>
          <w:rtl/>
        </w:rPr>
        <w:t>ל</w:t>
      </w:r>
      <w:r w:rsidRPr="001B37C0">
        <w:rPr>
          <w:rFonts w:eastAsia="Calibri"/>
          <w:rtl/>
        </w:rPr>
        <w:t>מקבלי ההחלטות</w:t>
      </w:r>
      <w:r w:rsidRPr="001B37C0">
        <w:rPr>
          <w:rFonts w:eastAsia="Calibri" w:hint="cs"/>
          <w:rtl/>
        </w:rPr>
        <w:t xml:space="preserve">, וכי הם </w:t>
      </w:r>
      <w:r w:rsidRPr="001B37C0">
        <w:rPr>
          <w:rFonts w:eastAsia="Calibri"/>
          <w:rtl/>
        </w:rPr>
        <w:t xml:space="preserve">טרם </w:t>
      </w:r>
      <w:r w:rsidRPr="001B37C0">
        <w:rPr>
          <w:rFonts w:eastAsia="Calibri" w:hint="cs"/>
          <w:rtl/>
        </w:rPr>
        <w:t xml:space="preserve">קיבלו </w:t>
      </w:r>
      <w:r w:rsidRPr="001B37C0">
        <w:rPr>
          <w:rFonts w:eastAsia="Calibri"/>
          <w:rtl/>
        </w:rPr>
        <w:t xml:space="preserve">החלטה סופית </w:t>
      </w:r>
      <w:r w:rsidRPr="001B37C0">
        <w:rPr>
          <w:rFonts w:eastAsia="Calibri" w:hint="cs"/>
          <w:rtl/>
        </w:rPr>
        <w:t xml:space="preserve">שתאפשר את קידום ההקמה של המתקן. חנ"י הוסיפה בתשובתה כי ייבוא </w:t>
      </w:r>
      <w:r w:rsidRPr="001B37C0">
        <w:rPr>
          <w:rFonts w:eastAsia="Calibri" w:hint="eastAsia"/>
          <w:rtl/>
        </w:rPr>
        <w:t>גפ</w:t>
      </w:r>
      <w:r w:rsidRPr="001B37C0">
        <w:rPr>
          <w:rFonts w:eastAsia="Calibri"/>
          <w:rtl/>
        </w:rPr>
        <w:t>"ם</w:t>
      </w:r>
      <w:r w:rsidRPr="001B37C0">
        <w:rPr>
          <w:rFonts w:eastAsia="Calibri" w:hint="cs"/>
          <w:rtl/>
        </w:rPr>
        <w:t xml:space="preserve"> למסוף הכימיקלים ישבש את פעילות בריכת הנמל ופריקת מטענים שונים במרחב, ולכן היא סבורה בתוקף סמכותה ואחריותה בנושא כי חלופה זו אינה ישימה.</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ind w:left="283"/>
        <w:rPr>
          <w:rFonts w:eastAsia="Calibri"/>
          <w:rtl/>
        </w:rPr>
      </w:pPr>
      <w:r w:rsidRPr="001B37C0">
        <w:rPr>
          <w:rFonts w:eastAsia="Calibri" w:hint="cs"/>
          <w:rtl/>
        </w:rPr>
        <w:t xml:space="preserve">בתשובתה ממאי 2026 מסרה רספ"ן כי יבוא גפ"ם באמצעות </w:t>
      </w:r>
      <w:r w:rsidRPr="001B37C0">
        <w:rPr>
          <w:rFonts w:eastAsia="Calibri"/>
          <w:rtl/>
        </w:rPr>
        <w:t>הפעלה של רציף הכימיקלים</w:t>
      </w:r>
      <w:r w:rsidRPr="001B37C0">
        <w:rPr>
          <w:rFonts w:eastAsia="Calibri" w:hint="cs"/>
          <w:rtl/>
        </w:rPr>
        <w:t xml:space="preserve"> בחיפה </w:t>
      </w:r>
      <w:r w:rsidRPr="001B37C0">
        <w:rPr>
          <w:rFonts w:eastAsia="Calibri"/>
          <w:rtl/>
        </w:rPr>
        <w:t>אינ</w:t>
      </w:r>
      <w:r w:rsidRPr="001B37C0">
        <w:rPr>
          <w:rFonts w:eastAsia="Calibri" w:hint="cs"/>
          <w:rtl/>
        </w:rPr>
        <w:t>ו</w:t>
      </w:r>
      <w:r w:rsidRPr="001B37C0">
        <w:rPr>
          <w:rFonts w:eastAsia="Calibri"/>
          <w:rtl/>
        </w:rPr>
        <w:t xml:space="preserve"> עומד בדרישות התפעוליות והבטיחותיות</w:t>
      </w:r>
      <w:r w:rsidRPr="001B37C0">
        <w:rPr>
          <w:rFonts w:eastAsia="Calibri" w:hint="cs"/>
          <w:rtl/>
        </w:rPr>
        <w:t xml:space="preserve"> הרלוונטיות</w:t>
      </w:r>
      <w:r w:rsidRPr="001B37C0">
        <w:rPr>
          <w:rFonts w:eastAsia="Calibri"/>
          <w:rtl/>
        </w:rPr>
        <w:t xml:space="preserve"> ועלול</w:t>
      </w:r>
      <w:r w:rsidRPr="001B37C0">
        <w:rPr>
          <w:rFonts w:eastAsia="Calibri" w:hint="cs"/>
          <w:rtl/>
        </w:rPr>
        <w:t xml:space="preserve"> לפגוע</w:t>
      </w:r>
      <w:r w:rsidRPr="001B37C0">
        <w:rPr>
          <w:rFonts w:eastAsia="Calibri"/>
          <w:rtl/>
        </w:rPr>
        <w:t xml:space="preserve"> פגיעה רחבה בתפקוד הנמלים במפרץ חיפה</w:t>
      </w:r>
      <w:r w:rsidRPr="001B37C0">
        <w:rPr>
          <w:rFonts w:eastAsia="Calibri" w:hint="cs"/>
          <w:rtl/>
        </w:rPr>
        <w:t xml:space="preserve">, הן משום שיגרום לחסימה תפעולית של אזורי נמל מרכזיים והן משום שיצריך להטיל הגבלות חמורות על מספנות ישראל בשל מרחקי בטיחות שיידרשו. </w:t>
      </w:r>
      <w:r w:rsidRPr="001B37C0">
        <w:rPr>
          <w:rFonts w:eastAsia="Calibri" w:hint="cs"/>
          <w:rtl/>
        </w:rPr>
        <w:t xml:space="preserve">לדבריה </w:t>
      </w:r>
      <w:r w:rsidRPr="001B37C0">
        <w:rPr>
          <w:rFonts w:eastAsia="Calibri"/>
          <w:rtl/>
        </w:rPr>
        <w:t xml:space="preserve">הדבר עלול ליצור שיתוק תעשייתי וסיכון אסטרטגי למשק הימי של מדינת ישראל, </w:t>
      </w:r>
      <w:r w:rsidRPr="001B37C0">
        <w:rPr>
          <w:rFonts w:eastAsia="Calibri" w:hint="cs"/>
          <w:rtl/>
        </w:rPr>
        <w:t xml:space="preserve">בייחוד </w:t>
      </w:r>
      <w:r w:rsidRPr="001B37C0">
        <w:rPr>
          <w:rFonts w:eastAsia="Calibri"/>
          <w:rtl/>
        </w:rPr>
        <w:t>בתקופות חירום.</w:t>
      </w:r>
      <w:r w:rsidRPr="001B37C0">
        <w:rPr>
          <w:rFonts w:eastAsia="Calibri" w:hint="cs"/>
          <w:rtl/>
        </w:rPr>
        <w:t xml:space="preserve"> רספ"ן הוסיפה כי לפי עמדתה בשל סיכוני בטיחות ופגיעות תפעוליות משמעותיות בכלי שיט אחרים יש לפרוק גפ"ם במקשר ימי או מתקן המרוחק מפעילות נמלית אחרת.</w:t>
      </w:r>
    </w:p>
    <w:p w:rsidR="001B37C0" w:rsidRPr="001B37C0" w:rsidP="002F4530">
      <w:pPr>
        <w:keepNext/>
        <w:keepLines/>
        <w:spacing w:line="269" w:lineRule="auto"/>
        <w:ind w:left="-568"/>
        <w:rPr>
          <w:rFonts w:eastAsia="Calibri"/>
          <w:szCs w:val="20"/>
          <w:rtl/>
        </w:rPr>
      </w:pPr>
    </w:p>
    <w:p w:rsidR="001B37C0" w:rsidRPr="001B37C0" w:rsidP="002F4530">
      <w:pPr>
        <w:spacing w:line="269" w:lineRule="auto"/>
        <w:ind w:left="283"/>
        <w:rPr>
          <w:rFonts w:eastAsia="Calibri"/>
          <w:rtl/>
        </w:rPr>
      </w:pPr>
      <w:r w:rsidRPr="001B37C0">
        <w:rPr>
          <w:rFonts w:eastAsia="Calibri" w:hint="cs"/>
          <w:rtl/>
        </w:rPr>
        <w:t>המועצה הלאומית לכלכלה מסרה בתשובתה מאפריל 2026 כי לאחר מועד סיום הביקורת במרץ 2026 התקיים דיון של כלל הגורמים הנוגעים בדבר אצל מנכ"ל משרד האנרגיה, והוא הכריע כי יקודם פתרון יבוא הגפ"ם דרך מסוף הכימיקלים, בתנאים הבטיחותיים שעליהם הסכימו חנ"י, רספ"ן, החברה הפטרוכימית ונציגי משרד האנרגיה. להערכת המועצה הלאומית לכלכלה אם הפתרון יקודם על ידי כלל הגורמים האמורים, ניתן יהיה לייבא גפ"ם באמצעות מסוף הכימיקלים כבר בתחילת שנת 2027.</w:t>
      </w:r>
    </w:p>
    <w:p w:rsidR="001B37C0" w:rsidRPr="001B37C0" w:rsidP="002F4530">
      <w:pPr>
        <w:keepNext/>
        <w:keepLines/>
        <w:spacing w:line="269" w:lineRule="auto"/>
        <w:ind w:left="-568"/>
        <w:rPr>
          <w:rFonts w:eastAsia="Calibri"/>
          <w:szCs w:val="20"/>
          <w:rtl/>
        </w:rPr>
      </w:pPr>
    </w:p>
    <w:p w:rsidR="001B37C0" w:rsidRPr="001B37C0" w:rsidP="002F4530">
      <w:pPr>
        <w:spacing w:line="269" w:lineRule="auto"/>
        <w:ind w:left="283"/>
        <w:rPr>
          <w:rFonts w:eastAsia="Calibri"/>
          <w:rtl/>
        </w:rPr>
      </w:pPr>
      <w:r w:rsidRPr="001B37C0">
        <w:rPr>
          <w:rFonts w:eastAsia="Calibri" w:hint="cs"/>
          <w:rtl/>
        </w:rPr>
        <w:t>משרד האנרגיה מסר בתשובתו כי בעקבות סקר סיכונים שהוצג למשרד ובהתאם לכללי הבטיחות ואסדרה המתחייבים, הוא פועל למציאת פתרונות ישימים שיאפשרו את הקמתו של המתקן בהקדם האפשרי, על אף הקשיים הטמונים בהקמתו של מתקן זה.</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ind w:left="283"/>
        <w:rPr>
          <w:rFonts w:ascii="David" w:eastAsia="Calibri" w:hAnsi="David"/>
          <w:b/>
          <w:bCs/>
          <w:sz w:val="24"/>
          <w:rtl/>
        </w:rPr>
      </w:pPr>
      <w:r w:rsidRPr="001B37C0">
        <w:rPr>
          <w:rFonts w:ascii="David" w:eastAsia="Calibri" w:hAnsi="David" w:hint="cs"/>
          <w:b/>
          <w:bCs/>
          <w:sz w:val="24"/>
          <w:rtl/>
        </w:rPr>
        <w:t>מוצע לחנ"י ולמשרד האנרגיה לקבוע את התנאים הנדרשים לפריקת גפ</w:t>
      </w:r>
      <w:r w:rsidRPr="001B37C0">
        <w:rPr>
          <w:rFonts w:ascii="David" w:eastAsia="Calibri" w:hAnsi="David"/>
          <w:b/>
          <w:bCs/>
          <w:sz w:val="24"/>
          <w:rtl/>
        </w:rPr>
        <w:t>"</w:t>
      </w:r>
      <w:r w:rsidRPr="001B37C0">
        <w:rPr>
          <w:rFonts w:ascii="David" w:eastAsia="Calibri" w:hAnsi="David" w:hint="cs"/>
          <w:b/>
          <w:bCs/>
          <w:sz w:val="24"/>
          <w:rtl/>
        </w:rPr>
        <w:t>ם בנמל הכימיקלים, ולהציג לפני המועצה הלאומית לכלכלה את התנאים הנדרשים כדי לאפשר חלופה זו. עוד מוצע למועצה הלאומית לכלכלה, האמונה על יישום החלטת הממשלה 1231 ועל הסרת חסמים ליישומה, להכריע בנושא, ובהתאם להחלטתה לקבוע לוחות זמנים להקמת המתקן, ובכך לפעול ליצירת יתירות לפריקת הגפ</w:t>
      </w:r>
      <w:r w:rsidRPr="001B37C0">
        <w:rPr>
          <w:rFonts w:ascii="David" w:eastAsia="Calibri" w:hAnsi="David"/>
          <w:b/>
          <w:bCs/>
          <w:sz w:val="24"/>
          <w:rtl/>
        </w:rPr>
        <w:t>"</w:t>
      </w:r>
      <w:r w:rsidRPr="001B37C0">
        <w:rPr>
          <w:rFonts w:ascii="David" w:eastAsia="Calibri" w:hAnsi="David" w:hint="cs"/>
          <w:b/>
          <w:bCs/>
          <w:sz w:val="24"/>
          <w:rtl/>
        </w:rPr>
        <w:t>ם באזור הצפון.</w:t>
      </w:r>
    </w:p>
    <w:p w:rsidR="001B37C0" w:rsidRPr="001B37C0" w:rsidP="002F4530">
      <w:pPr>
        <w:keepNext/>
        <w:keepLines/>
        <w:spacing w:line="269" w:lineRule="auto"/>
        <w:ind w:left="-567"/>
        <w:rPr>
          <w:rFonts w:eastAsia="Calibri"/>
          <w:szCs w:val="20"/>
          <w:rtl/>
        </w:rPr>
      </w:pPr>
    </w:p>
    <w:p w:rsidR="001B37C0" w:rsidP="002F4530">
      <w:pPr>
        <w:spacing w:line="269" w:lineRule="auto"/>
        <w:rPr>
          <w:rFonts w:ascii="David" w:eastAsia="Calibri" w:hAnsi="David"/>
          <w:rtl/>
        </w:rPr>
      </w:pPr>
      <w:r w:rsidRPr="001B37C0">
        <w:rPr>
          <w:rFonts w:ascii="David" w:eastAsia="Calibri" w:hAnsi="David" w:hint="cs"/>
          <w:rtl/>
        </w:rPr>
        <w:t xml:space="preserve">בתמונות שלהלן מוצגות כלל החלופות האפשריות ליבוא גפ"ם בצפון הארץ. </w:t>
      </w:r>
    </w:p>
    <w:p w:rsidR="001B37C0" w:rsidP="002F4530">
      <w:pPr>
        <w:spacing w:line="269" w:lineRule="auto"/>
        <w:rPr>
          <w:rFonts w:ascii="David" w:eastAsia="Calibri" w:hAnsi="David"/>
          <w:rtl/>
        </w:rPr>
      </w:pPr>
    </w:p>
    <w:p w:rsidR="001B37C0" w:rsidRPr="001B37C0" w:rsidP="002F4530">
      <w:pPr>
        <w:tabs>
          <w:tab w:val="left" w:pos="6060"/>
        </w:tabs>
        <w:rPr>
          <w:rFonts w:ascii="David" w:eastAsia="Calibri" w:hAnsi="David"/>
          <w:rtl/>
        </w:rPr>
      </w:pPr>
      <w:r>
        <w:rPr>
          <w:rFonts w:ascii="David" w:eastAsia="Calibri" w:hAnsi="David"/>
          <w:rtl/>
        </w:rPr>
        <w:tab/>
      </w:r>
    </w:p>
    <w:p w:rsidR="001B37C0" w:rsidRPr="001B37C0" w:rsidP="002F4530">
      <w:pPr>
        <w:keepNext/>
        <w:keepLines/>
        <w:spacing w:line="269" w:lineRule="auto"/>
        <w:jc w:val="center"/>
        <w:rPr>
          <w:rFonts w:ascii="David" w:eastAsia="Calibri" w:hAnsi="David"/>
          <w:b/>
          <w:bCs/>
          <w:rtl/>
        </w:rPr>
      </w:pPr>
      <w:r w:rsidRPr="001B37C0">
        <w:rPr>
          <w:rFonts w:ascii="David" w:eastAsia="Calibri" w:hAnsi="David" w:hint="eastAsia"/>
          <w:rtl/>
        </w:rPr>
        <w:t>תמונ</w:t>
      </w:r>
      <w:r w:rsidRPr="001B37C0">
        <w:rPr>
          <w:rFonts w:ascii="David" w:eastAsia="Calibri" w:hAnsi="David" w:hint="cs"/>
          <w:rtl/>
        </w:rPr>
        <w:t>ה</w:t>
      </w:r>
      <w:r w:rsidRPr="001B37C0">
        <w:rPr>
          <w:rFonts w:ascii="David" w:eastAsia="Calibri" w:hAnsi="David"/>
          <w:rtl/>
        </w:rPr>
        <w:t xml:space="preserve"> 3:</w:t>
      </w:r>
      <w:r w:rsidRPr="001B37C0">
        <w:rPr>
          <w:rFonts w:ascii="David" w:eastAsia="Calibri" w:hAnsi="David" w:hint="cs"/>
          <w:b/>
          <w:bCs/>
          <w:rtl/>
        </w:rPr>
        <w:t xml:space="preserve"> </w:t>
      </w:r>
      <w:r w:rsidRPr="001B37C0">
        <w:rPr>
          <w:rFonts w:ascii="David" w:eastAsia="Calibri" w:hAnsi="David" w:hint="eastAsia"/>
          <w:b/>
          <w:bCs/>
          <w:rtl/>
        </w:rPr>
        <w:t>חלופות</w:t>
      </w:r>
      <w:r w:rsidRPr="001B37C0">
        <w:rPr>
          <w:rFonts w:ascii="David" w:eastAsia="Calibri" w:hAnsi="David"/>
          <w:b/>
          <w:bCs/>
          <w:rtl/>
        </w:rPr>
        <w:t xml:space="preserve"> ליבוא </w:t>
      </w:r>
      <w:r w:rsidRPr="001B37C0">
        <w:rPr>
          <w:rFonts w:ascii="David" w:eastAsia="Calibri" w:hAnsi="David" w:hint="eastAsia"/>
          <w:b/>
          <w:bCs/>
          <w:rtl/>
        </w:rPr>
        <w:t>גפ</w:t>
      </w:r>
      <w:r w:rsidRPr="001B37C0">
        <w:rPr>
          <w:rFonts w:ascii="David" w:eastAsia="Calibri" w:hAnsi="David"/>
          <w:b/>
          <w:bCs/>
          <w:rtl/>
        </w:rPr>
        <w:t xml:space="preserve">"ם </w:t>
      </w:r>
      <w:r w:rsidRPr="001B37C0">
        <w:rPr>
          <w:rFonts w:ascii="David" w:eastAsia="Calibri" w:hAnsi="David" w:hint="cs"/>
          <w:b/>
          <w:bCs/>
          <w:rtl/>
        </w:rPr>
        <w:t>בנמל הכימיקלים בחיפה</w:t>
      </w:r>
    </w:p>
    <w:p w:rsidR="001B37C0" w:rsidRPr="001B37C0" w:rsidP="002F4530">
      <w:pPr>
        <w:spacing w:line="269" w:lineRule="auto"/>
        <w:jc w:val="center"/>
        <w:rPr>
          <w:rFonts w:ascii="David" w:eastAsia="Calibri" w:hAnsi="David"/>
          <w:b/>
          <w:bCs/>
          <w:rtl/>
        </w:rPr>
      </w:pPr>
      <w:r w:rsidRPr="001B37C0">
        <w:rPr>
          <w:rFonts w:eastAsia="Calibri"/>
          <w:noProof/>
        </w:rPr>
        <w:drawing>
          <wp:inline distT="0" distB="0" distL="0" distR="0">
            <wp:extent cx="5220335" cy="3644265"/>
            <wp:effectExtent l="0" t="0" r="0" b="0"/>
            <wp:docPr id="74" name="תמונה 74" descr="תצלום אויר של נמל הכימיקלים בחיפה עם חלופות ליבוא גפ&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
                    <pic:cNvPicPr/>
                  </pic:nvPicPr>
                  <pic:blipFill>
                    <a:blip xmlns:r="http://schemas.openxmlformats.org/officeDocument/2006/relationships" r:embed="rId20"/>
                    <a:stretch>
                      <a:fillRect/>
                    </a:stretch>
                  </pic:blipFill>
                  <pic:spPr>
                    <a:xfrm>
                      <a:off x="0" y="0"/>
                      <a:ext cx="5220335" cy="3644265"/>
                    </a:xfrm>
                    <a:prstGeom prst="rect">
                      <a:avLst/>
                    </a:prstGeom>
                  </pic:spPr>
                </pic:pic>
              </a:graphicData>
            </a:graphic>
          </wp:inline>
        </w:drawing>
      </w:r>
    </w:p>
    <w:p w:rsidR="001B37C0" w:rsidRPr="001B37C0" w:rsidP="002F4530">
      <w:pPr>
        <w:spacing w:line="269" w:lineRule="auto"/>
        <w:rPr>
          <w:rFonts w:eastAsia="Calibri"/>
          <w:szCs w:val="20"/>
          <w:rtl/>
        </w:rPr>
      </w:pPr>
      <w:r w:rsidRPr="001B37C0">
        <w:rPr>
          <w:rFonts w:eastAsia="Calibri" w:hint="eastAsia"/>
          <w:szCs w:val="20"/>
          <w:rtl/>
        </w:rPr>
        <w:t>המקור</w:t>
      </w:r>
      <w:r w:rsidRPr="001B37C0">
        <w:rPr>
          <w:rFonts w:eastAsia="Calibri"/>
          <w:szCs w:val="20"/>
          <w:rtl/>
        </w:rPr>
        <w:t>: מפת רקע של המרכז למיפוי ישראל, זיהוי הנקודות לפי המידע מ</w:t>
      </w:r>
      <w:r w:rsidRPr="001B37C0">
        <w:rPr>
          <w:rFonts w:eastAsia="Calibri" w:hint="cs"/>
          <w:szCs w:val="20"/>
          <w:rtl/>
        </w:rPr>
        <w:t>החברה הפטרוכימית</w:t>
      </w:r>
      <w:r w:rsidRPr="001B37C0">
        <w:rPr>
          <w:rFonts w:eastAsia="Calibri"/>
          <w:szCs w:val="20"/>
          <w:rtl/>
        </w:rPr>
        <w:t>, בעיבוד משרד מבקר המדינה</w:t>
      </w:r>
      <w:r w:rsidRPr="001B37C0">
        <w:rPr>
          <w:rFonts w:eastAsia="Calibri" w:hint="cs"/>
          <w:szCs w:val="20"/>
          <w:rtl/>
        </w:rPr>
        <w:t>.</w:t>
      </w:r>
    </w:p>
    <w:p w:rsidR="001B37C0" w:rsidRPr="001B37C0" w:rsidP="002F4530">
      <w:pPr>
        <w:keepNext/>
        <w:keepLines/>
        <w:spacing w:line="269" w:lineRule="auto"/>
        <w:jc w:val="center"/>
        <w:rPr>
          <w:rFonts w:eastAsia="Calibri"/>
          <w:b/>
          <w:bCs/>
          <w:sz w:val="24"/>
          <w:rtl/>
        </w:rPr>
      </w:pPr>
      <w:r w:rsidRPr="001B37C0">
        <w:rPr>
          <w:rFonts w:eastAsia="Calibri" w:hint="eastAsia"/>
          <w:sz w:val="24"/>
          <w:rtl/>
        </w:rPr>
        <w:t>תמונה</w:t>
      </w:r>
      <w:r w:rsidRPr="001B37C0">
        <w:rPr>
          <w:rFonts w:eastAsia="Calibri"/>
          <w:sz w:val="24"/>
          <w:rtl/>
        </w:rPr>
        <w:t xml:space="preserve"> 4:</w:t>
      </w:r>
      <w:r w:rsidRPr="001B37C0">
        <w:rPr>
          <w:rFonts w:eastAsia="Calibri" w:hint="cs"/>
          <w:sz w:val="24"/>
          <w:rtl/>
        </w:rPr>
        <w:t xml:space="preserve"> </w:t>
      </w:r>
      <w:r w:rsidRPr="001B37C0">
        <w:rPr>
          <w:rFonts w:eastAsia="Calibri" w:hint="cs"/>
          <w:b/>
          <w:bCs/>
          <w:sz w:val="24"/>
          <w:rtl/>
        </w:rPr>
        <w:t>חלופה לייבוא גפ"ם באמצעות מקשר ימי מערבית ליבור</w:t>
      </w:r>
    </w:p>
    <w:p w:rsidR="001B37C0" w:rsidRPr="001B37C0" w:rsidP="002F4530">
      <w:pPr>
        <w:spacing w:line="269" w:lineRule="auto"/>
        <w:rPr>
          <w:rFonts w:ascii="David" w:eastAsia="Calibri" w:hAnsi="David"/>
          <w:b/>
          <w:bCs/>
          <w:color w:val="FF0000"/>
          <w:rtl/>
        </w:rPr>
      </w:pPr>
      <w:r w:rsidRPr="001B37C0">
        <w:rPr>
          <w:rFonts w:eastAsia="Calibri"/>
          <w:noProof/>
        </w:rPr>
        <w:drawing>
          <wp:inline distT="0" distB="0" distL="0" distR="0">
            <wp:extent cx="5220335" cy="2490866"/>
            <wp:effectExtent l="0" t="0" r="0" b="5080"/>
            <wp:docPr id="2" name="תמונה 2" descr="תיאור גרפי של חלופת יבוא גפ&quot;ם באמצעות מקשר ימי מול יב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21"/>
                    <a:srcRect t="8903"/>
                    <a:stretch>
                      <a:fillRect/>
                    </a:stretch>
                  </pic:blipFill>
                  <pic:spPr bwMode="auto">
                    <a:xfrm>
                      <a:off x="0" y="0"/>
                      <a:ext cx="5220335" cy="249086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B37C0" w:rsidRPr="001B37C0" w:rsidP="002F4530">
      <w:pPr>
        <w:spacing w:line="269" w:lineRule="auto"/>
        <w:rPr>
          <w:rFonts w:eastAsia="Calibri"/>
          <w:szCs w:val="20"/>
          <w:rtl/>
        </w:rPr>
      </w:pPr>
      <w:r w:rsidRPr="001B37C0">
        <w:rPr>
          <w:rFonts w:eastAsia="Calibri" w:hint="eastAsia"/>
          <w:szCs w:val="20"/>
          <w:rtl/>
        </w:rPr>
        <w:t>המקור</w:t>
      </w:r>
      <w:r w:rsidRPr="001B37C0">
        <w:rPr>
          <w:rFonts w:eastAsia="Calibri"/>
          <w:szCs w:val="20"/>
          <w:rtl/>
        </w:rPr>
        <w:t>: המ</w:t>
      </w:r>
      <w:r w:rsidRPr="001B37C0">
        <w:rPr>
          <w:rFonts w:eastAsia="Calibri" w:hint="eastAsia"/>
          <w:szCs w:val="20"/>
          <w:rtl/>
        </w:rPr>
        <w:t>ינהלת</w:t>
      </w:r>
      <w:r w:rsidRPr="001B37C0">
        <w:rPr>
          <w:rFonts w:eastAsia="Calibri"/>
          <w:szCs w:val="20"/>
          <w:rtl/>
        </w:rPr>
        <w:t xml:space="preserve"> לפיתוח מפרץ חיפה, 2024.</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sz w:val="24"/>
          <w:rtl/>
        </w:rPr>
      </w:pPr>
      <w:r w:rsidRPr="001B37C0">
        <w:rPr>
          <w:rFonts w:eastAsia="Calibri" w:hint="cs"/>
          <w:b/>
          <w:bCs/>
          <w:sz w:val="24"/>
          <w:rtl/>
        </w:rPr>
        <w:t xml:space="preserve">מהתמונות עולה כי נמל הכימיקלים בחיפה יכול לשמש חלופה ליבוא גפ"ם לטווח הקצר משום שהוא נשען על תשתיות נמל קיימות, ואילו מקשר ימי ליבוא גפ"ם מול אתר האחסון ביבור יכול לשמש פתרון ליבוא גפ"ם בטווח הארוך, בשל משך זמן התכנון, ההסדרה הסטטוטורית של תוואי המקרקעין לצנרת הולכת הגפ"ם והקמת התשתיות אשר יידרשו למימוש החלופה והפעלתה. </w:t>
      </w:r>
    </w:p>
    <w:p w:rsidR="006114CB" w:rsidRPr="006114CB" w:rsidP="002F4530">
      <w:pPr>
        <w:spacing w:line="269" w:lineRule="auto"/>
        <w:rPr>
          <w:rFonts w:ascii="David" w:eastAsia="Calibri" w:hAnsi="David"/>
          <w:rtl/>
        </w:rPr>
      </w:pPr>
    </w:p>
    <w:p w:rsidR="001B37C0" w:rsidRPr="001B37C0" w:rsidP="002F4530">
      <w:pPr>
        <w:spacing w:line="269" w:lineRule="auto"/>
        <w:rPr>
          <w:rFonts w:ascii="David" w:eastAsia="Calibri" w:hAnsi="David"/>
          <w:rtl/>
        </w:rPr>
      </w:pPr>
      <w:r w:rsidRPr="001B37C0">
        <w:rPr>
          <w:rFonts w:ascii="David" w:eastAsia="Calibri" w:hAnsi="David" w:hint="cs"/>
          <w:rtl/>
        </w:rPr>
        <w:t xml:space="preserve">בלוח </w:t>
      </w:r>
      <w:r w:rsidR="00E660CE">
        <w:rPr>
          <w:rFonts w:ascii="David" w:eastAsia="Calibri" w:hAnsi="David" w:hint="cs"/>
          <w:rtl/>
        </w:rPr>
        <w:t>ש</w:t>
      </w:r>
      <w:r w:rsidRPr="001B37C0">
        <w:rPr>
          <w:rFonts w:ascii="David" w:eastAsia="Calibri" w:hAnsi="David" w:hint="cs"/>
          <w:rtl/>
        </w:rPr>
        <w:t>להלן ריכוז החלופות האפשריות ליבוא גפ"ם באזור הצפון, על בסיס טבלת סטטוס ששלח ראש המינהלת לפיתוח מפרץ חיפה באוקטובר 2025 למינהל הדלק, למל"ל ולרח"ל:</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jc w:val="center"/>
        <w:rPr>
          <w:rFonts w:eastAsia="Calibri"/>
          <w:rtl/>
        </w:rPr>
      </w:pPr>
      <w:r w:rsidRPr="001B37C0">
        <w:rPr>
          <w:rFonts w:ascii="David" w:eastAsia="Calibri" w:hAnsi="David" w:hint="eastAsia"/>
          <w:rtl/>
        </w:rPr>
        <w:t>לוח</w:t>
      </w:r>
      <w:r w:rsidRPr="001B37C0">
        <w:rPr>
          <w:rFonts w:ascii="David" w:eastAsia="Calibri" w:hAnsi="David"/>
          <w:rtl/>
        </w:rPr>
        <w:t xml:space="preserve"> 3:</w:t>
      </w:r>
      <w:r w:rsidRPr="001B37C0">
        <w:rPr>
          <w:rFonts w:ascii="David" w:eastAsia="Calibri" w:hAnsi="David" w:hint="cs"/>
          <w:b/>
          <w:bCs/>
          <w:rtl/>
        </w:rPr>
        <w:t xml:space="preserve"> ריכוז החלופות ליבוא גפ"ם בצפון הארץ</w:t>
      </w:r>
    </w:p>
    <w:tbl>
      <w:tblPr>
        <w:tblStyle w:val="110"/>
        <w:bidiVisual/>
        <w:tblW w:w="5000" w:type="pct"/>
        <w:jc w:val="center"/>
        <w:tblLook w:val="04A0"/>
      </w:tblPr>
      <w:tblGrid>
        <w:gridCol w:w="1406"/>
        <w:gridCol w:w="2268"/>
        <w:gridCol w:w="2268"/>
        <w:gridCol w:w="2268"/>
      </w:tblGrid>
      <w:tr w:rsidTr="004753CF">
        <w:tblPrEx>
          <w:tblW w:w="5000" w:type="pct"/>
          <w:tblLook w:val="04A0"/>
        </w:tblPrEx>
        <w:trPr>
          <w:cantSplit/>
          <w:tblHeader/>
        </w:trPr>
        <w:tc>
          <w:tcPr>
            <w:tcW w:w="857" w:type="pct"/>
          </w:tcPr>
          <w:p w:rsidR="001B37C0" w:rsidRPr="001B37C0" w:rsidP="002F4530">
            <w:pPr>
              <w:spacing w:line="269" w:lineRule="auto"/>
              <w:rPr>
                <w:rFonts w:eastAsia="Calibri"/>
                <w:b/>
                <w:bCs/>
                <w:sz w:val="22"/>
                <w:szCs w:val="22"/>
                <w:rtl/>
              </w:rPr>
            </w:pPr>
          </w:p>
        </w:tc>
        <w:tc>
          <w:tcPr>
            <w:tcW w:w="1381" w:type="pct"/>
          </w:tcPr>
          <w:p w:rsidR="001B37C0" w:rsidRPr="001B37C0" w:rsidP="002F4530">
            <w:pPr>
              <w:spacing w:line="269" w:lineRule="auto"/>
              <w:jc w:val="center"/>
              <w:rPr>
                <w:rFonts w:eastAsia="Calibri"/>
                <w:b/>
                <w:bCs/>
                <w:sz w:val="22"/>
                <w:szCs w:val="22"/>
                <w:rtl/>
              </w:rPr>
            </w:pPr>
            <w:r w:rsidRPr="001B37C0">
              <w:rPr>
                <w:rFonts w:eastAsia="Calibri"/>
                <w:b/>
                <w:bCs/>
                <w:sz w:val="22"/>
                <w:szCs w:val="22"/>
                <w:rtl/>
              </w:rPr>
              <w:t>מקשר יבור</w:t>
            </w:r>
          </w:p>
        </w:tc>
        <w:tc>
          <w:tcPr>
            <w:tcW w:w="1381" w:type="pct"/>
          </w:tcPr>
          <w:p w:rsidR="001B37C0" w:rsidRPr="001B37C0" w:rsidP="002F4530">
            <w:pPr>
              <w:spacing w:line="269" w:lineRule="auto"/>
              <w:jc w:val="center"/>
              <w:rPr>
                <w:rFonts w:eastAsia="Calibri"/>
                <w:b/>
                <w:bCs/>
                <w:sz w:val="22"/>
                <w:szCs w:val="22"/>
                <w:rtl/>
              </w:rPr>
            </w:pPr>
            <w:r w:rsidRPr="001B37C0">
              <w:rPr>
                <w:rFonts w:eastAsia="Calibri"/>
                <w:b/>
                <w:bCs/>
                <w:sz w:val="22"/>
                <w:szCs w:val="22"/>
                <w:rtl/>
              </w:rPr>
              <w:t>מקשר דור</w:t>
            </w:r>
          </w:p>
        </w:tc>
        <w:tc>
          <w:tcPr>
            <w:tcW w:w="1381" w:type="pct"/>
          </w:tcPr>
          <w:p w:rsidR="001B37C0" w:rsidRPr="001B37C0" w:rsidP="002F4530">
            <w:pPr>
              <w:spacing w:line="269" w:lineRule="auto"/>
              <w:jc w:val="center"/>
              <w:rPr>
                <w:rFonts w:eastAsia="Calibri"/>
                <w:b/>
                <w:bCs/>
                <w:sz w:val="22"/>
                <w:szCs w:val="22"/>
                <w:rtl/>
              </w:rPr>
            </w:pPr>
            <w:r w:rsidRPr="001B37C0">
              <w:rPr>
                <w:rFonts w:eastAsia="Calibri"/>
                <w:b/>
                <w:bCs/>
                <w:sz w:val="22"/>
                <w:szCs w:val="22"/>
                <w:rtl/>
              </w:rPr>
              <w:t>מסוף הכימיקלים</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hint="cs"/>
                <w:b/>
                <w:bCs/>
                <w:sz w:val="22"/>
                <w:szCs w:val="22"/>
                <w:rtl/>
              </w:rPr>
              <w:t>ה</w:t>
            </w:r>
            <w:r w:rsidRPr="001B37C0">
              <w:rPr>
                <w:rFonts w:eastAsia="Calibri"/>
                <w:b/>
                <w:bCs/>
                <w:sz w:val="22"/>
                <w:szCs w:val="22"/>
                <w:rtl/>
              </w:rPr>
              <w:t>פירוט</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מקשר ימי מול אתר יבור שיתחבר לאתר אחסון וניפוק</w:t>
            </w:r>
            <w:r w:rsidRPr="001B37C0">
              <w:rPr>
                <w:rFonts w:eastAsia="Calibri" w:hint="cs"/>
                <w:sz w:val="22"/>
                <w:szCs w:val="22"/>
                <w:rtl/>
              </w:rPr>
              <w:t xml:space="preserve"> של</w:t>
            </w:r>
            <w:r w:rsidRPr="001B37C0">
              <w:rPr>
                <w:rFonts w:eastAsia="Calibri"/>
                <w:sz w:val="22"/>
                <w:szCs w:val="22"/>
                <w:rtl/>
              </w:rPr>
              <w:t xml:space="preserve"> 20,000 טונה</w:t>
            </w:r>
            <w:r w:rsidRPr="001B37C0">
              <w:rPr>
                <w:rFonts w:eastAsia="Calibri" w:hint="cs"/>
                <w:sz w:val="22"/>
                <w:szCs w:val="22"/>
                <w:rtl/>
              </w:rPr>
              <w:t xml:space="preserve"> </w:t>
            </w:r>
            <w:r w:rsidRPr="001B37C0">
              <w:rPr>
                <w:rFonts w:eastAsia="Calibri"/>
                <w:sz w:val="22"/>
                <w:szCs w:val="22"/>
                <w:rtl/>
              </w:rPr>
              <w:t>ביבור</w:t>
            </w:r>
          </w:p>
        </w:tc>
        <w:tc>
          <w:tcPr>
            <w:tcW w:w="1381" w:type="pct"/>
          </w:tcPr>
          <w:p w:rsidR="001B37C0" w:rsidRPr="001B37C0" w:rsidP="002F4530">
            <w:pPr>
              <w:spacing w:line="269" w:lineRule="auto"/>
              <w:rPr>
                <w:rFonts w:eastAsia="Calibri"/>
                <w:sz w:val="22"/>
                <w:szCs w:val="22"/>
                <w:rtl/>
              </w:rPr>
            </w:pPr>
            <w:r w:rsidRPr="001B37C0">
              <w:rPr>
                <w:rFonts w:eastAsia="Times New Roman"/>
                <w:color w:val="000000"/>
                <w:sz w:val="22"/>
                <w:szCs w:val="22"/>
                <w:rtl/>
              </w:rPr>
              <w:t xml:space="preserve">מקשר ימי מול </w:t>
            </w:r>
            <w:r w:rsidRPr="001B37C0">
              <w:rPr>
                <w:rFonts w:eastAsia="Times New Roman" w:hint="cs"/>
                <w:color w:val="000000"/>
                <w:sz w:val="22"/>
                <w:szCs w:val="22"/>
                <w:rtl/>
              </w:rPr>
              <w:t>החברה הפטרוכימית</w:t>
            </w:r>
          </w:p>
        </w:tc>
        <w:tc>
          <w:tcPr>
            <w:tcW w:w="1381" w:type="pct"/>
          </w:tcPr>
          <w:p w:rsidR="001B37C0" w:rsidRPr="001B37C0" w:rsidP="002F4530">
            <w:pPr>
              <w:spacing w:line="269" w:lineRule="auto"/>
              <w:rPr>
                <w:rFonts w:eastAsia="Calibri"/>
                <w:sz w:val="22"/>
                <w:szCs w:val="22"/>
                <w:rtl/>
              </w:rPr>
            </w:pPr>
            <w:r w:rsidRPr="001B37C0">
              <w:rPr>
                <w:rFonts w:eastAsia="Times New Roman"/>
                <w:color w:val="000000"/>
                <w:sz w:val="22"/>
                <w:szCs w:val="22"/>
                <w:rtl/>
              </w:rPr>
              <w:t>זרוע פריקה במסוף הכימיקלים בחיפה</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hint="cs"/>
                <w:b/>
                <w:bCs/>
                <w:sz w:val="22"/>
                <w:szCs w:val="22"/>
                <w:rtl/>
              </w:rPr>
              <w:t>ה</w:t>
            </w:r>
            <w:r w:rsidRPr="001B37C0">
              <w:rPr>
                <w:rFonts w:eastAsia="Calibri"/>
                <w:b/>
                <w:bCs/>
                <w:sz w:val="22"/>
                <w:szCs w:val="22"/>
                <w:rtl/>
              </w:rPr>
              <w:t xml:space="preserve">גוף </w:t>
            </w:r>
            <w:r w:rsidRPr="001B37C0">
              <w:rPr>
                <w:rFonts w:eastAsia="Calibri" w:hint="cs"/>
                <w:b/>
                <w:bCs/>
                <w:sz w:val="22"/>
                <w:szCs w:val="22"/>
                <w:rtl/>
              </w:rPr>
              <w:t>ה</w:t>
            </w:r>
            <w:r w:rsidRPr="001B37C0">
              <w:rPr>
                <w:rFonts w:eastAsia="Calibri"/>
                <w:b/>
                <w:bCs/>
                <w:sz w:val="22"/>
                <w:szCs w:val="22"/>
                <w:rtl/>
              </w:rPr>
              <w:t>מוביל</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חנ"י</w:t>
            </w:r>
          </w:p>
        </w:tc>
        <w:tc>
          <w:tcPr>
            <w:tcW w:w="1381" w:type="pct"/>
          </w:tcPr>
          <w:p w:rsidR="001B37C0" w:rsidRPr="001B37C0" w:rsidP="002F4530">
            <w:pPr>
              <w:spacing w:line="269" w:lineRule="auto"/>
              <w:rPr>
                <w:rFonts w:eastAsia="Calibri"/>
                <w:sz w:val="22"/>
                <w:szCs w:val="22"/>
                <w:rtl/>
              </w:rPr>
            </w:pPr>
            <w:r w:rsidRPr="001B37C0">
              <w:rPr>
                <w:rFonts w:eastAsia="Times New Roman" w:hint="cs"/>
                <w:color w:val="000000"/>
                <w:sz w:val="22"/>
                <w:szCs w:val="22"/>
                <w:rtl/>
              </w:rPr>
              <w:t>החברה הפטרוכימית</w:t>
            </w:r>
          </w:p>
        </w:tc>
        <w:tc>
          <w:tcPr>
            <w:tcW w:w="1381" w:type="pct"/>
          </w:tcPr>
          <w:p w:rsidR="001B37C0" w:rsidRPr="001B37C0" w:rsidP="002F4530">
            <w:pPr>
              <w:spacing w:line="269" w:lineRule="auto"/>
              <w:rPr>
                <w:rFonts w:eastAsia="Calibri"/>
                <w:sz w:val="22"/>
                <w:szCs w:val="22"/>
                <w:rtl/>
              </w:rPr>
            </w:pPr>
            <w:r w:rsidRPr="001B37C0">
              <w:rPr>
                <w:rFonts w:eastAsia="Times New Roman" w:hint="cs"/>
                <w:color w:val="000000"/>
                <w:sz w:val="22"/>
                <w:szCs w:val="22"/>
                <w:rtl/>
              </w:rPr>
              <w:t>החברה הפטרוכימית</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Times New Roman"/>
                <w:b/>
                <w:bCs/>
                <w:color w:val="000000"/>
                <w:sz w:val="22"/>
                <w:szCs w:val="22"/>
                <w:rtl/>
              </w:rPr>
              <w:t>סטטוטורי</w:t>
            </w:r>
            <w:r w:rsidRPr="001B37C0">
              <w:rPr>
                <w:rFonts w:eastAsia="Calibri"/>
                <w:b/>
                <w:bCs/>
                <w:sz w:val="22"/>
                <w:szCs w:val="22"/>
                <w:rtl/>
              </w:rPr>
              <w:t>קה</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טרם החל</w:t>
            </w:r>
            <w:r w:rsidRPr="001B37C0">
              <w:rPr>
                <w:rFonts w:eastAsia="Calibri" w:hint="cs"/>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בחינה של אפשרות להתכנס אל תוכנית קיימת</w:t>
            </w:r>
            <w:r w:rsidRPr="001B37C0">
              <w:rPr>
                <w:rFonts w:eastAsia="Calibri" w:hint="cs"/>
                <w:sz w:val="22"/>
                <w:szCs w:val="22"/>
                <w:rtl/>
              </w:rPr>
              <w:t>,</w:t>
            </w:r>
            <w:r w:rsidRPr="001B37C0">
              <w:rPr>
                <w:rFonts w:eastAsia="Calibri"/>
                <w:sz w:val="22"/>
                <w:szCs w:val="22"/>
                <w:rtl/>
              </w:rPr>
              <w:t xml:space="preserve"> תמ"א 2/37</w:t>
            </w:r>
            <w:r w:rsidRPr="001B37C0">
              <w:rPr>
                <w:rFonts w:eastAsia="Calibri" w:hint="cs"/>
                <w:sz w:val="22"/>
                <w:szCs w:val="22"/>
                <w:rtl/>
              </w:rPr>
              <w:t>.</w:t>
            </w:r>
            <w:r w:rsidRPr="001B37C0">
              <w:rPr>
                <w:rFonts w:eastAsia="Calibri"/>
                <w:sz w:val="22"/>
                <w:szCs w:val="22"/>
                <w:rtl/>
              </w:rPr>
              <w:t xml:space="preserve"> יידרשו סקרי סיכונים ועוד בדיקות. יכול לקחת שנה </w:t>
            </w:r>
            <w:r w:rsidRPr="001B37C0">
              <w:rPr>
                <w:rFonts w:eastAsia="Calibri" w:hint="cs"/>
                <w:sz w:val="22"/>
                <w:szCs w:val="22"/>
                <w:rtl/>
              </w:rPr>
              <w:t>ומעלה.</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מתאפשר במסגרת תת"ל 118</w:t>
            </w:r>
            <w:r w:rsidRPr="001B37C0">
              <w:rPr>
                <w:rFonts w:eastAsia="Calibri" w:hint="cs"/>
                <w:sz w:val="22"/>
                <w:szCs w:val="22"/>
                <w:rtl/>
              </w:rPr>
              <w:t>,</w:t>
            </w:r>
            <w:r w:rsidRPr="001B37C0">
              <w:rPr>
                <w:rFonts w:eastAsia="Calibri"/>
                <w:sz w:val="22"/>
                <w:szCs w:val="22"/>
                <w:rtl/>
              </w:rPr>
              <w:t xml:space="preserve"> שנמצאת בשלבים מתקדמים לקראת אישור סופי בתחילת 2026</w:t>
            </w:r>
            <w:r w:rsidRPr="001B37C0">
              <w:rPr>
                <w:rFonts w:eastAsia="Calibri" w:hint="cs"/>
                <w:sz w:val="22"/>
                <w:szCs w:val="22"/>
                <w:rtl/>
              </w:rPr>
              <w:t>.</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b/>
                <w:bCs/>
                <w:sz w:val="22"/>
                <w:szCs w:val="22"/>
                <w:rtl/>
              </w:rPr>
              <w:t>לו"ז למימוש</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2030</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2028 (ללא קשיים סטטוטוריים)</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2026</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b/>
                <w:bCs/>
                <w:sz w:val="22"/>
                <w:szCs w:val="22"/>
                <w:rtl/>
              </w:rPr>
              <w:t>בטיחות</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בטיחותי. רחוק מאזורים אורבניים ופעילות נמלית אחרת</w:t>
            </w:r>
            <w:r w:rsidRPr="001B37C0">
              <w:rPr>
                <w:rFonts w:eastAsia="Calibri" w:hint="cs"/>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בטיחותי יותר מחלופת מסוף הכימיקלים. רחוק מאזורים אורבניים, קרוב יחסית לשובר הגלים של נמל המפרץ.</w:t>
            </w:r>
          </w:p>
          <w:p w:rsidR="001B37C0" w:rsidRPr="001B37C0" w:rsidP="002F4530">
            <w:pPr>
              <w:spacing w:line="269" w:lineRule="auto"/>
              <w:rPr>
                <w:rFonts w:eastAsia="Calibri"/>
                <w:sz w:val="22"/>
                <w:szCs w:val="22"/>
                <w:rtl/>
              </w:rPr>
            </w:pPr>
            <w:r w:rsidRPr="001B37C0">
              <w:rPr>
                <w:rFonts w:eastAsia="Calibri"/>
                <w:sz w:val="22"/>
                <w:szCs w:val="22"/>
                <w:rtl/>
              </w:rPr>
              <w:t>יטיל מגבלות מסוימות של מרחקי בטיחות על סביבת החוף וייתכן שגם בים מול אוניות אחרות</w:t>
            </w:r>
            <w:r w:rsidRPr="001B37C0">
              <w:rPr>
                <w:rFonts w:eastAsia="Calibri" w:hint="cs"/>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Times New Roman"/>
                <w:color w:val="000000"/>
                <w:sz w:val="22"/>
                <w:szCs w:val="22"/>
                <w:rtl/>
              </w:rPr>
              <w:t>צמידות לתשתיות נמליות אחרות</w:t>
            </w:r>
            <w:r w:rsidRPr="001B37C0">
              <w:rPr>
                <w:rFonts w:eastAsia="Times New Roman" w:hint="cs"/>
                <w:color w:val="000000"/>
                <w:sz w:val="22"/>
                <w:szCs w:val="22"/>
                <w:rtl/>
              </w:rPr>
              <w:t xml:space="preserve"> </w:t>
            </w:r>
            <w:r w:rsidRPr="001B37C0">
              <w:rPr>
                <w:rFonts w:eastAsia="Times New Roman"/>
                <w:color w:val="000000"/>
                <w:sz w:val="22"/>
                <w:szCs w:val="22"/>
                <w:rtl/>
              </w:rPr>
              <w:t>- מגביל תנועת אוניות אחרות, תפעול מורכב של אירועי חירום</w:t>
            </w:r>
            <w:r w:rsidRPr="001B37C0">
              <w:rPr>
                <w:rFonts w:eastAsia="Times New Roman" w:hint="cs"/>
                <w:color w:val="000000"/>
                <w:sz w:val="22"/>
                <w:szCs w:val="22"/>
                <w:rtl/>
              </w:rPr>
              <w:t>.</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b/>
                <w:bCs/>
                <w:sz w:val="22"/>
                <w:szCs w:val="22"/>
                <w:rtl/>
              </w:rPr>
              <w:t xml:space="preserve">עלות </w:t>
            </w:r>
            <w:r w:rsidRPr="001B37C0">
              <w:rPr>
                <w:rFonts w:eastAsia="Calibri" w:hint="cs"/>
                <w:b/>
                <w:bCs/>
                <w:sz w:val="22"/>
                <w:szCs w:val="22"/>
                <w:rtl/>
              </w:rPr>
              <w:t>ה</w:t>
            </w:r>
            <w:r w:rsidRPr="001B37C0">
              <w:rPr>
                <w:rFonts w:eastAsia="Calibri"/>
                <w:b/>
                <w:bCs/>
                <w:sz w:val="22"/>
                <w:szCs w:val="22"/>
                <w:rtl/>
              </w:rPr>
              <w:t>הקמה</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גבוהה</w:t>
            </w:r>
            <w:r w:rsidRPr="001B37C0">
              <w:rPr>
                <w:rFonts w:eastAsia="Calibri" w:hint="cs"/>
                <w:sz w:val="22"/>
                <w:szCs w:val="22"/>
                <w:rtl/>
              </w:rPr>
              <w:t xml:space="preserve"> </w:t>
            </w:r>
            <w:r w:rsidRPr="001B37C0">
              <w:rPr>
                <w:rFonts w:eastAsia="Calibri"/>
                <w:sz w:val="22"/>
                <w:szCs w:val="22"/>
                <w:rtl/>
              </w:rPr>
              <w:t xml:space="preserve">- עשרות רבות עד מאות מיליוני </w:t>
            </w:r>
            <w:r w:rsidRPr="001B37C0">
              <w:rPr>
                <w:rFonts w:eastAsia="Calibri" w:hint="cs"/>
                <w:sz w:val="22"/>
                <w:szCs w:val="22"/>
                <w:rtl/>
              </w:rPr>
              <w:t>ש״ח,</w:t>
            </w:r>
            <w:r w:rsidRPr="001B37C0">
              <w:rPr>
                <w:rFonts w:eastAsia="Calibri"/>
                <w:sz w:val="22"/>
                <w:szCs w:val="22"/>
                <w:rtl/>
              </w:rPr>
              <w:t xml:space="preserve"> כולל צנרת עד אתר אחסון יבור</w:t>
            </w:r>
            <w:r w:rsidRPr="001B37C0">
              <w:rPr>
                <w:rFonts w:eastAsia="Calibri" w:hint="cs"/>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נמו</w:t>
            </w:r>
            <w:r w:rsidRPr="001B37C0">
              <w:rPr>
                <w:rFonts w:eastAsia="Calibri" w:hint="cs"/>
                <w:sz w:val="22"/>
                <w:szCs w:val="22"/>
                <w:rtl/>
              </w:rPr>
              <w:t xml:space="preserve">כה </w:t>
            </w:r>
            <w:r w:rsidRPr="001B37C0">
              <w:rPr>
                <w:rFonts w:eastAsia="Calibri"/>
                <w:sz w:val="22"/>
                <w:szCs w:val="22"/>
                <w:rtl/>
              </w:rPr>
              <w:t>- יוזמה ומימון פרטי, מבקשים מהמדינה להשתתף בכ-10</w:t>
            </w:r>
            <w:r w:rsidRPr="001B37C0">
              <w:rPr>
                <w:rFonts w:eastAsia="Calibri" w:hint="cs"/>
                <w:sz w:val="22"/>
                <w:szCs w:val="22"/>
                <w:rtl/>
              </w:rPr>
              <w:t xml:space="preserve"> </w:t>
            </w:r>
            <w:r w:rsidRPr="001B37C0">
              <w:rPr>
                <w:rFonts w:eastAsia="Calibri"/>
                <w:sz w:val="22"/>
                <w:szCs w:val="22"/>
                <w:rtl/>
              </w:rPr>
              <w:t>-</w:t>
            </w:r>
            <w:r w:rsidRPr="001B37C0">
              <w:rPr>
                <w:rFonts w:eastAsia="Calibri" w:hint="cs"/>
                <w:sz w:val="22"/>
                <w:szCs w:val="22"/>
                <w:rtl/>
              </w:rPr>
              <w:t xml:space="preserve"> </w:t>
            </w:r>
            <w:r w:rsidRPr="001B37C0">
              <w:rPr>
                <w:rFonts w:eastAsia="Calibri"/>
                <w:sz w:val="22"/>
                <w:szCs w:val="22"/>
                <w:rtl/>
              </w:rPr>
              <w:t>20 מ</w:t>
            </w:r>
            <w:r w:rsidRPr="001B37C0">
              <w:rPr>
                <w:rFonts w:eastAsia="Calibri" w:hint="cs"/>
                <w:sz w:val="22"/>
                <w:szCs w:val="22"/>
                <w:rtl/>
              </w:rPr>
              <w:t>י</w:t>
            </w:r>
            <w:r w:rsidRPr="001B37C0">
              <w:rPr>
                <w:rFonts w:eastAsia="Calibri"/>
                <w:sz w:val="22"/>
                <w:szCs w:val="22"/>
                <w:rtl/>
              </w:rPr>
              <w:t>ל</w:t>
            </w:r>
            <w:r w:rsidRPr="001B37C0">
              <w:rPr>
                <w:rFonts w:eastAsia="Calibri" w:hint="cs"/>
                <w:sz w:val="22"/>
                <w:szCs w:val="22"/>
                <w:rtl/>
              </w:rPr>
              <w:t>יון ש״ח.</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נמו</w:t>
            </w:r>
            <w:r w:rsidRPr="001B37C0">
              <w:rPr>
                <w:rFonts w:eastAsia="Calibri" w:hint="cs"/>
                <w:sz w:val="22"/>
                <w:szCs w:val="22"/>
                <w:rtl/>
              </w:rPr>
              <w:t>כה</w:t>
            </w:r>
            <w:r w:rsidRPr="001B37C0">
              <w:rPr>
                <w:rFonts w:eastAsia="Calibri"/>
                <w:sz w:val="22"/>
                <w:szCs w:val="22"/>
                <w:rtl/>
              </w:rPr>
              <w:t xml:space="preserve"> מאוד</w:t>
            </w:r>
            <w:r w:rsidRPr="001B37C0">
              <w:rPr>
                <w:rFonts w:eastAsia="Calibri" w:hint="cs"/>
                <w:sz w:val="22"/>
                <w:szCs w:val="22"/>
                <w:rtl/>
              </w:rPr>
              <w:t xml:space="preserve"> </w:t>
            </w:r>
            <w:r w:rsidRPr="001B37C0">
              <w:rPr>
                <w:rFonts w:eastAsia="Calibri"/>
                <w:sz w:val="22"/>
                <w:szCs w:val="22"/>
                <w:rtl/>
              </w:rPr>
              <w:t xml:space="preserve">- יוזמה </w:t>
            </w:r>
            <w:r w:rsidR="001E604F">
              <w:rPr>
                <w:rFonts w:eastAsia="Calibri"/>
                <w:sz w:val="22"/>
                <w:szCs w:val="22"/>
                <w:rtl/>
              </w:rPr>
              <w:br/>
            </w:r>
            <w:r w:rsidRPr="001B37C0">
              <w:rPr>
                <w:rFonts w:eastAsia="Calibri"/>
                <w:sz w:val="22"/>
                <w:szCs w:val="22"/>
                <w:rtl/>
              </w:rPr>
              <w:t>ו-100% מימון פרטי, אין עלות תקציבית למדינה</w:t>
            </w:r>
            <w:r w:rsidRPr="001B37C0">
              <w:rPr>
                <w:rFonts w:eastAsia="Calibri" w:hint="cs"/>
                <w:sz w:val="22"/>
                <w:szCs w:val="22"/>
                <w:rtl/>
              </w:rPr>
              <w:t>.</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b/>
                <w:bCs/>
                <w:sz w:val="22"/>
                <w:szCs w:val="22"/>
                <w:rtl/>
              </w:rPr>
              <w:t xml:space="preserve">עלות </w:t>
            </w:r>
            <w:r w:rsidRPr="001B37C0">
              <w:rPr>
                <w:rFonts w:eastAsia="Calibri" w:hint="cs"/>
                <w:b/>
                <w:bCs/>
                <w:sz w:val="22"/>
                <w:szCs w:val="22"/>
                <w:rtl/>
              </w:rPr>
              <w:t>ה</w:t>
            </w:r>
            <w:r w:rsidRPr="001B37C0">
              <w:rPr>
                <w:rFonts w:eastAsia="Calibri"/>
                <w:b/>
                <w:bCs/>
                <w:sz w:val="22"/>
                <w:szCs w:val="22"/>
                <w:rtl/>
              </w:rPr>
              <w:t>הפעלה</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גבוהה, בגלל המרחק מהנמל</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בינונית, קרוב לנמל, בדומה לאשדוד</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נמו</w:t>
            </w:r>
            <w:r w:rsidRPr="001B37C0">
              <w:rPr>
                <w:rFonts w:eastAsia="Calibri" w:hint="cs"/>
                <w:sz w:val="22"/>
                <w:szCs w:val="22"/>
                <w:rtl/>
              </w:rPr>
              <w:t>כה</w:t>
            </w:r>
            <w:r w:rsidRPr="001B37C0">
              <w:rPr>
                <w:rFonts w:eastAsia="Calibri"/>
                <w:sz w:val="22"/>
                <w:szCs w:val="22"/>
                <w:rtl/>
              </w:rPr>
              <w:t xml:space="preserve"> מאוד</w:t>
            </w:r>
            <w:r w:rsidRPr="001B37C0">
              <w:rPr>
                <w:rFonts w:eastAsia="Calibri" w:hint="cs"/>
                <w:sz w:val="22"/>
                <w:szCs w:val="22"/>
                <w:rtl/>
              </w:rPr>
              <w:t xml:space="preserve"> </w:t>
            </w:r>
            <w:r w:rsidRPr="001B37C0">
              <w:rPr>
                <w:rFonts w:eastAsia="Calibri"/>
                <w:sz w:val="22"/>
                <w:szCs w:val="22"/>
                <w:rtl/>
              </w:rPr>
              <w:t>- זרוע במנגש על מסוף ולא מקשר בים הפתוח, יאפשר עלות תחרותית מול מקשר קצא"א אשקלון</w:t>
            </w:r>
            <w:r w:rsidRPr="001B37C0">
              <w:rPr>
                <w:rFonts w:eastAsia="Calibri" w:hint="cs"/>
                <w:sz w:val="22"/>
                <w:szCs w:val="22"/>
                <w:rtl/>
              </w:rPr>
              <w:t>.</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b/>
                <w:bCs/>
                <w:sz w:val="22"/>
                <w:szCs w:val="22"/>
                <w:rtl/>
              </w:rPr>
              <w:t>מיקום</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צפוני</w:t>
            </w:r>
          </w:p>
          <w:p w:rsidR="001B37C0" w:rsidRPr="001B37C0" w:rsidP="002F4530">
            <w:pPr>
              <w:spacing w:line="269" w:lineRule="auto"/>
              <w:rPr>
                <w:rFonts w:eastAsia="Times New Roman"/>
                <w:color w:val="000000"/>
                <w:sz w:val="22"/>
                <w:szCs w:val="22"/>
                <w:rtl/>
              </w:rPr>
            </w:pPr>
            <w:r w:rsidRPr="001B37C0">
              <w:rPr>
                <w:rFonts w:eastAsia="Times New Roman"/>
                <w:color w:val="000000"/>
                <w:sz w:val="22"/>
                <w:szCs w:val="22"/>
                <w:rtl/>
              </w:rPr>
              <w:t>נותן מענה יעיל לצפון לאחר הפסקת פעילות בז"ן</w:t>
            </w:r>
            <w:r w:rsidRPr="001B37C0">
              <w:rPr>
                <w:rFonts w:eastAsia="Times New Roman" w:hint="cs"/>
                <w:color w:val="000000"/>
                <w:sz w:val="22"/>
                <w:szCs w:val="22"/>
                <w:rtl/>
              </w:rPr>
              <w:t>.</w:t>
            </w:r>
          </w:p>
          <w:p w:rsidR="001B37C0" w:rsidRPr="001B37C0" w:rsidP="002F4530">
            <w:pPr>
              <w:spacing w:line="269" w:lineRule="auto"/>
              <w:rPr>
                <w:rFonts w:eastAsia="Calibri"/>
                <w:sz w:val="22"/>
                <w:szCs w:val="22"/>
                <w:rtl/>
              </w:rPr>
            </w:pPr>
            <w:r w:rsidRPr="001B37C0">
              <w:rPr>
                <w:rFonts w:eastAsia="Times New Roman"/>
                <w:color w:val="000000"/>
                <w:sz w:val="22"/>
                <w:szCs w:val="22"/>
                <w:rtl/>
              </w:rPr>
              <w:t>לא מתחרה ישירות מול קצא"א אשקלון על הביקושים הרבים במרכז הארץ</w:t>
            </w:r>
            <w:r w:rsidRPr="001B37C0">
              <w:rPr>
                <w:rFonts w:eastAsia="Times New Roman" w:hint="cs"/>
                <w:color w:val="000000"/>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צפוני</w:t>
            </w:r>
          </w:p>
          <w:p w:rsidR="001B37C0" w:rsidRPr="001B37C0" w:rsidP="002F4530">
            <w:pPr>
              <w:spacing w:line="269" w:lineRule="auto"/>
              <w:rPr>
                <w:rFonts w:eastAsia="Times New Roman"/>
                <w:color w:val="000000"/>
                <w:sz w:val="22"/>
                <w:szCs w:val="22"/>
                <w:rtl/>
              </w:rPr>
            </w:pPr>
            <w:r w:rsidRPr="001B37C0">
              <w:rPr>
                <w:rFonts w:eastAsia="Times New Roman"/>
                <w:color w:val="000000"/>
                <w:sz w:val="22"/>
                <w:szCs w:val="22"/>
                <w:rtl/>
              </w:rPr>
              <w:t>נותן מענה יעיל לצפון לאחר הפסקת פעילות בז"ן</w:t>
            </w:r>
            <w:r w:rsidRPr="001B37C0">
              <w:rPr>
                <w:rFonts w:eastAsia="Times New Roman" w:hint="cs"/>
                <w:color w:val="000000"/>
                <w:sz w:val="22"/>
                <w:szCs w:val="22"/>
                <w:rtl/>
              </w:rPr>
              <w:t>.</w:t>
            </w:r>
          </w:p>
          <w:p w:rsidR="001B37C0" w:rsidRPr="001B37C0" w:rsidP="002F4530">
            <w:pPr>
              <w:spacing w:line="269" w:lineRule="auto"/>
              <w:rPr>
                <w:rFonts w:eastAsia="Calibri"/>
                <w:sz w:val="22"/>
                <w:szCs w:val="22"/>
                <w:rtl/>
              </w:rPr>
            </w:pPr>
            <w:r w:rsidRPr="001B37C0">
              <w:rPr>
                <w:rFonts w:eastAsia="Times New Roman"/>
                <w:color w:val="000000"/>
                <w:sz w:val="22"/>
                <w:szCs w:val="22"/>
                <w:rtl/>
              </w:rPr>
              <w:t>לא מתחרה ישירות מול קצא"א אשקלון על הביקושים הרבים במרכז הארץ</w:t>
            </w:r>
            <w:r w:rsidRPr="001B37C0">
              <w:rPr>
                <w:rFonts w:eastAsia="Times New Roman" w:hint="cs"/>
                <w:color w:val="000000"/>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צפוני</w:t>
            </w:r>
          </w:p>
          <w:p w:rsidR="001B37C0" w:rsidRPr="001B37C0" w:rsidP="002F4530">
            <w:pPr>
              <w:spacing w:line="269" w:lineRule="auto"/>
              <w:rPr>
                <w:rFonts w:eastAsia="Times New Roman"/>
                <w:color w:val="000000"/>
                <w:sz w:val="22"/>
                <w:szCs w:val="22"/>
                <w:rtl/>
              </w:rPr>
            </w:pPr>
            <w:r w:rsidRPr="001B37C0">
              <w:rPr>
                <w:rFonts w:eastAsia="Times New Roman"/>
                <w:color w:val="000000"/>
                <w:sz w:val="22"/>
                <w:szCs w:val="22"/>
                <w:rtl/>
              </w:rPr>
              <w:t>נותן מענה יעיל לצפון לאחר הפסקת פעילות בז"ן</w:t>
            </w:r>
            <w:r w:rsidRPr="001B37C0">
              <w:rPr>
                <w:rFonts w:eastAsia="Times New Roman" w:hint="cs"/>
                <w:color w:val="000000"/>
                <w:sz w:val="22"/>
                <w:szCs w:val="22"/>
                <w:rtl/>
              </w:rPr>
              <w:t>.</w:t>
            </w:r>
          </w:p>
          <w:p w:rsidR="001B37C0" w:rsidRPr="001B37C0" w:rsidP="002F4530">
            <w:pPr>
              <w:spacing w:line="269" w:lineRule="auto"/>
              <w:rPr>
                <w:rFonts w:eastAsia="Calibri"/>
                <w:sz w:val="22"/>
                <w:szCs w:val="22"/>
                <w:rtl/>
              </w:rPr>
            </w:pPr>
            <w:r w:rsidRPr="001B37C0">
              <w:rPr>
                <w:rFonts w:eastAsia="Times New Roman"/>
                <w:color w:val="000000"/>
                <w:sz w:val="22"/>
                <w:szCs w:val="22"/>
                <w:rtl/>
              </w:rPr>
              <w:t>לא מתחרה ישירות מול קצא"א אשקלון על הביקושים הרבים במרכז הארץ</w:t>
            </w:r>
            <w:r w:rsidRPr="001B37C0">
              <w:rPr>
                <w:rFonts w:eastAsia="Times New Roman" w:hint="cs"/>
                <w:color w:val="000000"/>
                <w:sz w:val="22"/>
                <w:szCs w:val="22"/>
                <w:rtl/>
              </w:rPr>
              <w:t>.</w:t>
            </w:r>
          </w:p>
        </w:tc>
      </w:tr>
      <w:tr w:rsidTr="004753CF">
        <w:tblPrEx>
          <w:tblW w:w="5000"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hint="cs"/>
                <w:b/>
                <w:bCs/>
                <w:sz w:val="22"/>
                <w:szCs w:val="22"/>
                <w:rtl/>
              </w:rPr>
              <w:t>היבטים</w:t>
            </w:r>
            <w:r w:rsidRPr="001B37C0">
              <w:rPr>
                <w:rFonts w:eastAsia="Calibri"/>
                <w:b/>
                <w:bCs/>
                <w:sz w:val="22"/>
                <w:szCs w:val="22"/>
                <w:rtl/>
              </w:rPr>
              <w:t xml:space="preserve"> תפעוליים</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מוגבל במז</w:t>
            </w:r>
            <w:r w:rsidRPr="001B37C0">
              <w:rPr>
                <w:rFonts w:eastAsia="Calibri" w:hint="cs"/>
                <w:sz w:val="22"/>
                <w:szCs w:val="22"/>
                <w:rtl/>
              </w:rPr>
              <w:t>ג אוויר</w:t>
            </w:r>
            <w:r w:rsidRPr="001B37C0">
              <w:rPr>
                <w:rFonts w:eastAsia="Calibri"/>
                <w:sz w:val="22"/>
                <w:szCs w:val="22"/>
                <w:rtl/>
              </w:rPr>
              <w:t xml:space="preserve"> סוער, בעיקר בחורף</w:t>
            </w:r>
            <w:r w:rsidRPr="001B37C0">
              <w:rPr>
                <w:rFonts w:eastAsia="Calibri" w:hint="cs"/>
                <w:sz w:val="22"/>
                <w:szCs w:val="22"/>
                <w:rtl/>
              </w:rPr>
              <w:t>.</w:t>
            </w:r>
          </w:p>
          <w:p w:rsidR="001B37C0" w:rsidRPr="001B37C0" w:rsidP="002F4530">
            <w:pPr>
              <w:spacing w:line="269" w:lineRule="auto"/>
              <w:rPr>
                <w:rFonts w:eastAsia="Calibri"/>
                <w:sz w:val="22"/>
                <w:szCs w:val="22"/>
                <w:rtl/>
              </w:rPr>
            </w:pPr>
            <w:r w:rsidRPr="001B37C0">
              <w:rPr>
                <w:rFonts w:eastAsia="Calibri"/>
                <w:sz w:val="22"/>
                <w:szCs w:val="22"/>
                <w:rtl/>
              </w:rPr>
              <w:t>פקע"ר מאשר גם בשגרה וגם בחירום, בגלל ר</w:t>
            </w:r>
            <w:r w:rsidRPr="001B37C0">
              <w:rPr>
                <w:rFonts w:eastAsia="Calibri" w:hint="cs"/>
                <w:sz w:val="22"/>
                <w:szCs w:val="22"/>
                <w:rtl/>
              </w:rPr>
              <w:t>י</w:t>
            </w:r>
            <w:r w:rsidRPr="001B37C0">
              <w:rPr>
                <w:rFonts w:eastAsia="Calibri"/>
                <w:sz w:val="22"/>
                <w:szCs w:val="22"/>
                <w:rtl/>
              </w:rPr>
              <w:t>חוק משימושים אחרים</w:t>
            </w:r>
            <w:r w:rsidRPr="001B37C0">
              <w:rPr>
                <w:rFonts w:eastAsia="Calibri" w:hint="cs"/>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מוגבל במז</w:t>
            </w:r>
            <w:r w:rsidRPr="001B37C0">
              <w:rPr>
                <w:rFonts w:eastAsia="Calibri" w:hint="cs"/>
                <w:sz w:val="22"/>
                <w:szCs w:val="22"/>
                <w:rtl/>
              </w:rPr>
              <w:t>ג אוויר</w:t>
            </w:r>
            <w:r w:rsidRPr="001B37C0">
              <w:rPr>
                <w:rFonts w:eastAsia="Calibri"/>
                <w:sz w:val="22"/>
                <w:szCs w:val="22"/>
                <w:rtl/>
              </w:rPr>
              <w:t xml:space="preserve"> סוער, בעיקר בחורף</w:t>
            </w:r>
            <w:r w:rsidRPr="001B37C0">
              <w:rPr>
                <w:rFonts w:eastAsia="Calibri" w:hint="cs"/>
                <w:sz w:val="22"/>
                <w:szCs w:val="22"/>
                <w:rtl/>
              </w:rPr>
              <w:t>.</w:t>
            </w:r>
          </w:p>
          <w:p w:rsidR="001B37C0" w:rsidRPr="001B37C0" w:rsidP="002F4530">
            <w:pPr>
              <w:spacing w:line="269" w:lineRule="auto"/>
              <w:rPr>
                <w:rFonts w:eastAsia="Calibri"/>
                <w:sz w:val="22"/>
                <w:szCs w:val="22"/>
                <w:rtl/>
              </w:rPr>
            </w:pPr>
            <w:r w:rsidRPr="001B37C0">
              <w:rPr>
                <w:rFonts w:eastAsia="Calibri"/>
                <w:sz w:val="22"/>
                <w:szCs w:val="22"/>
                <w:rtl/>
              </w:rPr>
              <w:t>פקע"ר מאשר גם בשגרה וגם בחירום, בגלל ר</w:t>
            </w:r>
            <w:r w:rsidRPr="001B37C0">
              <w:rPr>
                <w:rFonts w:eastAsia="Calibri" w:hint="cs"/>
                <w:sz w:val="22"/>
                <w:szCs w:val="22"/>
                <w:rtl/>
              </w:rPr>
              <w:t>י</w:t>
            </w:r>
            <w:r w:rsidRPr="001B37C0">
              <w:rPr>
                <w:rFonts w:eastAsia="Calibri"/>
                <w:sz w:val="22"/>
                <w:szCs w:val="22"/>
                <w:rtl/>
              </w:rPr>
              <w:t>חוק משימושים אחרים</w:t>
            </w:r>
            <w:r w:rsidRPr="001B37C0">
              <w:rPr>
                <w:rFonts w:eastAsia="Calibri" w:hint="cs"/>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Times New Roman"/>
                <w:color w:val="000000"/>
                <w:sz w:val="22"/>
                <w:szCs w:val="22"/>
                <w:rtl/>
              </w:rPr>
              <w:t>לא מושפע ממזג אוויר סוער</w:t>
            </w:r>
            <w:r w:rsidRPr="001B37C0">
              <w:rPr>
                <w:rFonts w:eastAsia="Times New Roman" w:hint="cs"/>
                <w:color w:val="000000"/>
                <w:sz w:val="22"/>
                <w:szCs w:val="22"/>
                <w:rtl/>
              </w:rPr>
              <w:t xml:space="preserve"> </w:t>
            </w:r>
            <w:r w:rsidRPr="001B37C0">
              <w:rPr>
                <w:rFonts w:eastAsia="Times New Roman"/>
                <w:color w:val="000000"/>
                <w:sz w:val="22"/>
                <w:szCs w:val="22"/>
                <w:rtl/>
              </w:rPr>
              <w:t>- בתוך בריכת הנמל</w:t>
            </w:r>
            <w:r w:rsidRPr="001B37C0">
              <w:rPr>
                <w:rFonts w:eastAsia="Times New Roman" w:hint="cs"/>
                <w:color w:val="000000"/>
                <w:sz w:val="22"/>
                <w:szCs w:val="22"/>
                <w:rtl/>
              </w:rPr>
              <w:t>.</w:t>
            </w:r>
          </w:p>
          <w:p w:rsidR="001B37C0" w:rsidRPr="001B37C0" w:rsidP="002F4530">
            <w:pPr>
              <w:spacing w:line="269" w:lineRule="auto"/>
              <w:rPr>
                <w:rFonts w:eastAsia="Calibri"/>
                <w:sz w:val="22"/>
                <w:szCs w:val="22"/>
                <w:rtl/>
              </w:rPr>
            </w:pPr>
            <w:r w:rsidRPr="001B37C0">
              <w:rPr>
                <w:rFonts w:eastAsia="Times New Roman"/>
                <w:color w:val="000000"/>
                <w:sz w:val="22"/>
                <w:szCs w:val="22"/>
                <w:rtl/>
              </w:rPr>
              <w:t>פקע"ר לא מאשר להשתמש בחלופה זו במלחמה, רק בשגרה</w:t>
            </w:r>
            <w:r w:rsidRPr="001B37C0">
              <w:rPr>
                <w:rFonts w:eastAsia="Times New Roman" w:hint="cs"/>
                <w:color w:val="000000"/>
                <w:sz w:val="22"/>
                <w:szCs w:val="22"/>
                <w:rtl/>
              </w:rPr>
              <w:t>.</w:t>
            </w:r>
          </w:p>
        </w:tc>
      </w:tr>
    </w:tbl>
    <w:tbl>
      <w:tblPr>
        <w:tblStyle w:val="120"/>
        <w:bidiVisual/>
        <w:tblW w:w="5001" w:type="pct"/>
        <w:jc w:val="center"/>
        <w:tblLook w:val="04A0"/>
      </w:tblPr>
      <w:tblGrid>
        <w:gridCol w:w="1408"/>
        <w:gridCol w:w="2268"/>
        <w:gridCol w:w="2268"/>
        <w:gridCol w:w="2268"/>
      </w:tblGrid>
      <w:tr w:rsidTr="001B37C0">
        <w:tblPrEx>
          <w:tblW w:w="5001"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b/>
                <w:bCs/>
                <w:sz w:val="22"/>
                <w:szCs w:val="22"/>
                <w:rtl/>
              </w:rPr>
              <w:t>משמעויות חיבור לאתרי אחסון וניפוק</w:t>
            </w:r>
          </w:p>
        </w:tc>
        <w:tc>
          <w:tcPr>
            <w:tcW w:w="1381" w:type="pct"/>
          </w:tcPr>
          <w:p w:rsidR="001B37C0" w:rsidRPr="001B37C0" w:rsidP="002F4530">
            <w:pPr>
              <w:spacing w:line="269" w:lineRule="auto"/>
              <w:rPr>
                <w:rFonts w:eastAsia="Calibri"/>
                <w:sz w:val="22"/>
                <w:szCs w:val="22"/>
                <w:rtl/>
              </w:rPr>
            </w:pPr>
            <w:r w:rsidRPr="001B37C0">
              <w:rPr>
                <w:rFonts w:eastAsia="Times New Roman"/>
                <w:color w:val="000000"/>
                <w:sz w:val="22"/>
                <w:szCs w:val="22"/>
                <w:rtl/>
              </w:rPr>
              <w:t>צנרת יבשתית קצרה של כ</w:t>
            </w:r>
            <w:r w:rsidRPr="001B37C0">
              <w:rPr>
                <w:rFonts w:eastAsia="Times New Roman" w:hint="cs"/>
                <w:color w:val="000000"/>
                <w:sz w:val="22"/>
                <w:szCs w:val="22"/>
                <w:rtl/>
              </w:rPr>
              <w:t>שישה</w:t>
            </w:r>
            <w:r w:rsidRPr="001B37C0">
              <w:rPr>
                <w:rFonts w:eastAsia="Times New Roman"/>
                <w:color w:val="000000"/>
                <w:sz w:val="22"/>
                <w:szCs w:val="22"/>
                <w:rtl/>
              </w:rPr>
              <w:t>-</w:t>
            </w:r>
            <w:r w:rsidRPr="001B37C0">
              <w:rPr>
                <w:rFonts w:eastAsia="Times New Roman" w:hint="cs"/>
                <w:color w:val="000000"/>
                <w:sz w:val="22"/>
                <w:szCs w:val="22"/>
                <w:rtl/>
              </w:rPr>
              <w:t>שבעה</w:t>
            </w:r>
            <w:r w:rsidRPr="001B37C0">
              <w:rPr>
                <w:rFonts w:eastAsia="Times New Roman"/>
                <w:color w:val="000000"/>
                <w:sz w:val="22"/>
                <w:szCs w:val="22"/>
                <w:rtl/>
              </w:rPr>
              <w:t xml:space="preserve"> ק</w:t>
            </w:r>
            <w:r w:rsidRPr="001B37C0">
              <w:rPr>
                <w:rFonts w:eastAsia="Times New Roman" w:hint="cs"/>
                <w:color w:val="000000"/>
                <w:sz w:val="22"/>
                <w:szCs w:val="22"/>
                <w:rtl/>
              </w:rPr>
              <w:t>ילומטר</w:t>
            </w:r>
            <w:r w:rsidRPr="001B37C0">
              <w:rPr>
                <w:rFonts w:eastAsia="Times New Roman"/>
                <w:color w:val="000000"/>
                <w:sz w:val="22"/>
                <w:szCs w:val="22"/>
                <w:rtl/>
              </w:rPr>
              <w:t xml:space="preserve"> לאתר יבור</w:t>
            </w:r>
            <w:r w:rsidRPr="001B37C0">
              <w:rPr>
                <w:rFonts w:eastAsia="Times New Roman" w:hint="cs"/>
                <w:color w:val="000000"/>
                <w:sz w:val="22"/>
                <w:szCs w:val="22"/>
                <w:rtl/>
              </w:rPr>
              <w:t>, המאפשר</w:t>
            </w:r>
            <w:r w:rsidRPr="001B37C0">
              <w:rPr>
                <w:rFonts w:eastAsia="Times New Roman"/>
                <w:color w:val="000000"/>
                <w:sz w:val="22"/>
                <w:szCs w:val="22"/>
                <w:rtl/>
              </w:rPr>
              <w:t xml:space="preserve"> אחסון וניפוק</w:t>
            </w:r>
            <w:r w:rsidRPr="001B37C0">
              <w:rPr>
                <w:rFonts w:eastAsia="Times New Roman" w:hint="cs"/>
                <w:color w:val="000000"/>
                <w:sz w:val="22"/>
                <w:szCs w:val="22"/>
                <w:rtl/>
              </w:rPr>
              <w:t xml:space="preserve"> של</w:t>
            </w:r>
            <w:r w:rsidRPr="001B37C0">
              <w:rPr>
                <w:rFonts w:eastAsia="Times New Roman"/>
                <w:color w:val="000000"/>
                <w:sz w:val="22"/>
                <w:szCs w:val="22"/>
                <w:rtl/>
              </w:rPr>
              <w:t xml:space="preserve"> 20,000 טונה</w:t>
            </w:r>
          </w:p>
        </w:tc>
        <w:tc>
          <w:tcPr>
            <w:tcW w:w="1381" w:type="pct"/>
          </w:tcPr>
          <w:p w:rsidR="001B37C0" w:rsidRPr="001B37C0" w:rsidP="002F4530">
            <w:pPr>
              <w:spacing w:line="269" w:lineRule="auto"/>
              <w:rPr>
                <w:rFonts w:eastAsia="Calibri"/>
                <w:sz w:val="22"/>
                <w:szCs w:val="22"/>
                <w:rtl/>
              </w:rPr>
            </w:pPr>
            <w:r w:rsidRPr="001B37C0">
              <w:rPr>
                <w:rFonts w:eastAsia="Times New Roman"/>
                <w:color w:val="000000"/>
                <w:sz w:val="22"/>
                <w:szCs w:val="22"/>
                <w:rtl/>
              </w:rPr>
              <w:t xml:space="preserve">חיבור צנרת קיים, דרך מפעלי </w:t>
            </w:r>
            <w:r w:rsidRPr="001B37C0">
              <w:rPr>
                <w:rFonts w:eastAsia="Times New Roman" w:hint="cs"/>
                <w:color w:val="000000"/>
                <w:sz w:val="22"/>
                <w:szCs w:val="22"/>
                <w:rtl/>
              </w:rPr>
              <w:t xml:space="preserve">החברה הפטרוכימית </w:t>
            </w:r>
            <w:r w:rsidRPr="001B37C0">
              <w:rPr>
                <w:rFonts w:eastAsia="Times New Roman"/>
                <w:color w:val="000000"/>
                <w:sz w:val="22"/>
                <w:szCs w:val="22"/>
                <w:rtl/>
              </w:rPr>
              <w:t>לבז</w:t>
            </w:r>
            <w:r w:rsidRPr="001B37C0">
              <w:rPr>
                <w:rFonts w:eastAsia="Times New Roman" w:hint="cs"/>
                <w:color w:val="000000"/>
                <w:sz w:val="22"/>
                <w:szCs w:val="22"/>
                <w:rtl/>
              </w:rPr>
              <w:t>"</w:t>
            </w:r>
            <w:r w:rsidRPr="001B37C0">
              <w:rPr>
                <w:rFonts w:eastAsia="Times New Roman"/>
                <w:color w:val="000000"/>
                <w:sz w:val="22"/>
                <w:szCs w:val="22"/>
                <w:rtl/>
              </w:rPr>
              <w:t>ן וחוות הגפ"ם בקרי</w:t>
            </w:r>
            <w:r w:rsidRPr="001B37C0">
              <w:rPr>
                <w:rFonts w:eastAsia="Times New Roman" w:hint="cs"/>
                <w:color w:val="000000"/>
                <w:sz w:val="22"/>
                <w:szCs w:val="22"/>
                <w:rtl/>
              </w:rPr>
              <w:t>י</w:t>
            </w:r>
            <w:r w:rsidRPr="001B37C0">
              <w:rPr>
                <w:rFonts w:eastAsia="Times New Roman"/>
                <w:color w:val="000000"/>
                <w:sz w:val="22"/>
                <w:szCs w:val="22"/>
                <w:rtl/>
              </w:rPr>
              <w:t xml:space="preserve">ת אתא, </w:t>
            </w:r>
            <w:r w:rsidRPr="001B37C0">
              <w:rPr>
                <w:rFonts w:eastAsia="Times New Roman" w:hint="cs"/>
                <w:color w:val="000000"/>
                <w:sz w:val="22"/>
                <w:szCs w:val="22"/>
                <w:rtl/>
              </w:rPr>
              <w:t>מ</w:t>
            </w:r>
            <w:r w:rsidRPr="001B37C0">
              <w:rPr>
                <w:rFonts w:eastAsia="Times New Roman"/>
                <w:color w:val="000000"/>
                <w:sz w:val="22"/>
                <w:szCs w:val="22"/>
                <w:rtl/>
              </w:rPr>
              <w:t xml:space="preserve">אפשר לפרוק </w:t>
            </w:r>
            <w:r w:rsidRPr="001B37C0">
              <w:rPr>
                <w:rFonts w:eastAsia="Times New Roman" w:hint="cs"/>
                <w:color w:val="000000"/>
                <w:sz w:val="22"/>
                <w:szCs w:val="22"/>
                <w:rtl/>
              </w:rPr>
              <w:t xml:space="preserve">מייד </w:t>
            </w:r>
            <w:r w:rsidRPr="001B37C0">
              <w:rPr>
                <w:rFonts w:eastAsia="Times New Roman"/>
                <w:color w:val="000000"/>
                <w:sz w:val="22"/>
                <w:szCs w:val="22"/>
                <w:rtl/>
              </w:rPr>
              <w:t>בעת הצורך (בתרחיש השבתה של בז"ן)</w:t>
            </w:r>
            <w:r w:rsidRPr="001B37C0">
              <w:rPr>
                <w:rFonts w:eastAsia="Times New Roman" w:hint="cs"/>
                <w:color w:val="000000"/>
                <w:sz w:val="22"/>
                <w:szCs w:val="22"/>
                <w:rtl/>
              </w:rPr>
              <w:t>.</w:t>
            </w:r>
          </w:p>
          <w:p w:rsidR="001B37C0" w:rsidRPr="001B37C0" w:rsidP="002F4530">
            <w:pPr>
              <w:spacing w:line="269" w:lineRule="auto"/>
              <w:rPr>
                <w:rFonts w:eastAsia="Calibri"/>
                <w:sz w:val="22"/>
                <w:szCs w:val="22"/>
                <w:rtl/>
              </w:rPr>
            </w:pPr>
            <w:r w:rsidRPr="001B37C0">
              <w:rPr>
                <w:rFonts w:eastAsia="Times New Roman"/>
                <w:color w:val="000000"/>
                <w:sz w:val="22"/>
                <w:szCs w:val="22"/>
                <w:rtl/>
              </w:rPr>
              <w:t>צנרת עד אתר יבור, המאפשר אחסון וניפוק של 20,000 טון, ארו</w:t>
            </w:r>
            <w:r w:rsidRPr="001B37C0">
              <w:rPr>
                <w:rFonts w:eastAsia="Times New Roman" w:hint="cs"/>
                <w:color w:val="000000"/>
                <w:sz w:val="22"/>
                <w:szCs w:val="22"/>
                <w:rtl/>
              </w:rPr>
              <w:t>כה</w:t>
            </w:r>
            <w:r w:rsidRPr="001B37C0">
              <w:rPr>
                <w:rFonts w:eastAsia="Times New Roman"/>
                <w:color w:val="000000"/>
                <w:sz w:val="22"/>
                <w:szCs w:val="22"/>
                <w:rtl/>
              </w:rPr>
              <w:t xml:space="preserve"> ויקר</w:t>
            </w:r>
            <w:r w:rsidRPr="001B37C0">
              <w:rPr>
                <w:rFonts w:eastAsia="Times New Roman" w:hint="cs"/>
                <w:color w:val="000000"/>
                <w:sz w:val="22"/>
                <w:szCs w:val="22"/>
                <w:rtl/>
              </w:rPr>
              <w:t>ה</w:t>
            </w:r>
            <w:r w:rsidRPr="001B37C0">
              <w:rPr>
                <w:rFonts w:eastAsia="Times New Roman"/>
                <w:color w:val="000000"/>
                <w:sz w:val="22"/>
                <w:szCs w:val="22"/>
                <w:rtl/>
              </w:rPr>
              <w:t xml:space="preserve"> (30 ק"מ)</w:t>
            </w:r>
            <w:r w:rsidRPr="001B37C0">
              <w:rPr>
                <w:rFonts w:eastAsia="Times New Roman" w:hint="cs"/>
                <w:color w:val="000000"/>
                <w:sz w:val="22"/>
                <w:szCs w:val="22"/>
                <w:rtl/>
              </w:rPr>
              <w:t xml:space="preserve">, </w:t>
            </w:r>
            <w:r w:rsidRPr="001B37C0">
              <w:rPr>
                <w:rFonts w:eastAsia="Times New Roman"/>
                <w:color w:val="000000"/>
                <w:sz w:val="22"/>
                <w:szCs w:val="22"/>
                <w:rtl/>
              </w:rPr>
              <w:t>על בסיס סטטוטוריקה קיימת בתמ"א 32 עם סטטוטוריקה בתהליך (תמ"א 75ד)</w:t>
            </w:r>
            <w:r w:rsidRPr="001B37C0">
              <w:rPr>
                <w:rFonts w:eastAsia="Times New Roman" w:hint="cs"/>
                <w:color w:val="000000"/>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 xml:space="preserve">חיבור צנרת קיים, דרך מפעלי </w:t>
            </w:r>
            <w:r w:rsidRPr="001B37C0">
              <w:rPr>
                <w:rFonts w:eastAsia="Times New Roman" w:hint="cs"/>
                <w:color w:val="000000"/>
                <w:sz w:val="22"/>
                <w:szCs w:val="22"/>
                <w:rtl/>
              </w:rPr>
              <w:t>החברה הפטרוכימית</w:t>
            </w:r>
            <w:r w:rsidRPr="001B37C0">
              <w:rPr>
                <w:rFonts w:eastAsia="Calibri" w:hint="cs"/>
                <w:sz w:val="22"/>
                <w:szCs w:val="22"/>
                <w:rtl/>
              </w:rPr>
              <w:t xml:space="preserve"> </w:t>
            </w:r>
            <w:r w:rsidRPr="001B37C0">
              <w:rPr>
                <w:rFonts w:eastAsia="Calibri"/>
                <w:sz w:val="22"/>
                <w:szCs w:val="22"/>
                <w:rtl/>
              </w:rPr>
              <w:t>לבז</w:t>
            </w:r>
            <w:r w:rsidRPr="001B37C0">
              <w:rPr>
                <w:rFonts w:eastAsia="Calibri" w:hint="cs"/>
                <w:sz w:val="22"/>
                <w:szCs w:val="22"/>
                <w:rtl/>
              </w:rPr>
              <w:t>"</w:t>
            </w:r>
            <w:r w:rsidRPr="001B37C0">
              <w:rPr>
                <w:rFonts w:eastAsia="Calibri"/>
                <w:sz w:val="22"/>
                <w:szCs w:val="22"/>
                <w:rtl/>
              </w:rPr>
              <w:t>ן וחוות הגפ"ם בקרי</w:t>
            </w:r>
            <w:r w:rsidRPr="001B37C0">
              <w:rPr>
                <w:rFonts w:eastAsia="Calibri" w:hint="cs"/>
                <w:sz w:val="22"/>
                <w:szCs w:val="22"/>
                <w:rtl/>
              </w:rPr>
              <w:t>י</w:t>
            </w:r>
            <w:r w:rsidRPr="001B37C0">
              <w:rPr>
                <w:rFonts w:eastAsia="Calibri"/>
                <w:sz w:val="22"/>
                <w:szCs w:val="22"/>
                <w:rtl/>
              </w:rPr>
              <w:t xml:space="preserve">ת אתא, </w:t>
            </w:r>
            <w:r w:rsidRPr="001B37C0">
              <w:rPr>
                <w:rFonts w:eastAsia="Calibri" w:hint="cs"/>
                <w:sz w:val="22"/>
                <w:szCs w:val="22"/>
                <w:rtl/>
              </w:rPr>
              <w:t>מ</w:t>
            </w:r>
            <w:r w:rsidRPr="001B37C0">
              <w:rPr>
                <w:rFonts w:eastAsia="Calibri"/>
                <w:sz w:val="22"/>
                <w:szCs w:val="22"/>
                <w:rtl/>
              </w:rPr>
              <w:t xml:space="preserve">אפשר לפרוק </w:t>
            </w:r>
            <w:r w:rsidRPr="001B37C0">
              <w:rPr>
                <w:rFonts w:eastAsia="Calibri" w:hint="cs"/>
                <w:sz w:val="22"/>
                <w:szCs w:val="22"/>
                <w:rtl/>
              </w:rPr>
              <w:t>מייד</w:t>
            </w:r>
            <w:r w:rsidRPr="001B37C0">
              <w:rPr>
                <w:rFonts w:eastAsia="Calibri"/>
                <w:sz w:val="22"/>
                <w:szCs w:val="22"/>
                <w:rtl/>
              </w:rPr>
              <w:t xml:space="preserve"> בעת הצורך (בתרחיש השבתה של בז"ן)</w:t>
            </w:r>
            <w:r w:rsidRPr="001B37C0">
              <w:rPr>
                <w:rFonts w:eastAsia="Calibri" w:hint="cs"/>
                <w:sz w:val="22"/>
                <w:szCs w:val="22"/>
                <w:rtl/>
              </w:rPr>
              <w:t>.</w:t>
            </w:r>
          </w:p>
          <w:p w:rsidR="001B37C0" w:rsidRPr="001B37C0" w:rsidP="002F4530">
            <w:pPr>
              <w:spacing w:line="269" w:lineRule="auto"/>
              <w:rPr>
                <w:rFonts w:eastAsia="Calibri"/>
                <w:sz w:val="22"/>
                <w:szCs w:val="22"/>
                <w:rtl/>
              </w:rPr>
            </w:pPr>
            <w:r w:rsidRPr="001B37C0">
              <w:rPr>
                <w:rFonts w:eastAsia="Times New Roman"/>
                <w:color w:val="000000"/>
                <w:sz w:val="22"/>
                <w:szCs w:val="22"/>
                <w:rtl/>
              </w:rPr>
              <w:t>צנרת עד אתר יבור, המאפ</w:t>
            </w:r>
            <w:r w:rsidRPr="001B37C0">
              <w:rPr>
                <w:rFonts w:eastAsia="Times New Roman" w:hint="eastAsia"/>
                <w:color w:val="000000"/>
                <w:sz w:val="22"/>
                <w:szCs w:val="22"/>
                <w:rtl/>
              </w:rPr>
              <w:t>שר</w:t>
            </w:r>
            <w:r w:rsidRPr="001B37C0">
              <w:rPr>
                <w:rFonts w:eastAsia="Times New Roman"/>
                <w:color w:val="000000"/>
                <w:sz w:val="22"/>
                <w:szCs w:val="22"/>
                <w:rtl/>
              </w:rPr>
              <w:t xml:space="preserve"> אחסון וניפוק </w:t>
            </w:r>
            <w:r w:rsidRPr="001B37C0">
              <w:rPr>
                <w:rFonts w:eastAsia="Times New Roman" w:hint="eastAsia"/>
                <w:color w:val="000000"/>
                <w:sz w:val="22"/>
                <w:szCs w:val="22"/>
                <w:rtl/>
              </w:rPr>
              <w:t>של</w:t>
            </w:r>
            <w:r w:rsidRPr="001B37C0">
              <w:rPr>
                <w:rFonts w:eastAsia="Times New Roman"/>
                <w:color w:val="000000"/>
                <w:sz w:val="22"/>
                <w:szCs w:val="22"/>
                <w:rtl/>
              </w:rPr>
              <w:t xml:space="preserve"> 20,000 טון, ארו</w:t>
            </w:r>
            <w:r w:rsidRPr="001B37C0">
              <w:rPr>
                <w:rFonts w:eastAsia="Times New Roman" w:hint="cs"/>
                <w:color w:val="000000"/>
                <w:sz w:val="22"/>
                <w:szCs w:val="22"/>
                <w:rtl/>
              </w:rPr>
              <w:t>כה</w:t>
            </w:r>
            <w:r w:rsidRPr="001B37C0">
              <w:rPr>
                <w:rFonts w:eastAsia="Times New Roman"/>
                <w:color w:val="000000"/>
                <w:sz w:val="22"/>
                <w:szCs w:val="22"/>
                <w:rtl/>
              </w:rPr>
              <w:t xml:space="preserve"> ויקר</w:t>
            </w:r>
            <w:r w:rsidRPr="001B37C0">
              <w:rPr>
                <w:rFonts w:eastAsia="Times New Roman" w:hint="cs"/>
                <w:color w:val="000000"/>
                <w:sz w:val="22"/>
                <w:szCs w:val="22"/>
                <w:rtl/>
              </w:rPr>
              <w:t>ה</w:t>
            </w:r>
            <w:r w:rsidRPr="001B37C0">
              <w:rPr>
                <w:rFonts w:eastAsia="Times New Roman"/>
                <w:color w:val="000000"/>
                <w:sz w:val="22"/>
                <w:szCs w:val="22"/>
                <w:rtl/>
              </w:rPr>
              <w:t xml:space="preserve"> (30 ק"מ)</w:t>
            </w:r>
            <w:r w:rsidRPr="001B37C0">
              <w:rPr>
                <w:rFonts w:eastAsia="Times New Roman" w:hint="cs"/>
                <w:color w:val="000000"/>
                <w:sz w:val="22"/>
                <w:szCs w:val="22"/>
                <w:rtl/>
              </w:rPr>
              <w:t>,</w:t>
            </w:r>
            <w:r w:rsidRPr="001B37C0">
              <w:rPr>
                <w:rFonts w:eastAsia="Times New Roman"/>
                <w:color w:val="000000"/>
                <w:sz w:val="22"/>
                <w:szCs w:val="22"/>
                <w:rtl/>
              </w:rPr>
              <w:t xml:space="preserve"> על בסיס סטטוטוריקה קיימת בתמ"א 32 עם סטטוטוריקה בתהליך (תמ"א 75ד)</w:t>
            </w:r>
          </w:p>
        </w:tc>
      </w:tr>
      <w:tr w:rsidTr="001B37C0">
        <w:tblPrEx>
          <w:tblW w:w="5001" w:type="pct"/>
          <w:tblLook w:val="04A0"/>
        </w:tblPrEx>
        <w:trPr>
          <w:cantSplit/>
        </w:trPr>
        <w:tc>
          <w:tcPr>
            <w:tcW w:w="857" w:type="pct"/>
          </w:tcPr>
          <w:p w:rsidR="001B37C0" w:rsidRPr="001B37C0" w:rsidP="002F4530">
            <w:pPr>
              <w:spacing w:line="269" w:lineRule="auto"/>
              <w:rPr>
                <w:rFonts w:eastAsia="Calibri"/>
                <w:b/>
                <w:bCs/>
                <w:sz w:val="22"/>
                <w:szCs w:val="22"/>
                <w:rtl/>
              </w:rPr>
            </w:pPr>
            <w:r w:rsidRPr="001B37C0">
              <w:rPr>
                <w:rFonts w:eastAsia="Calibri"/>
                <w:b/>
                <w:bCs/>
                <w:sz w:val="22"/>
                <w:szCs w:val="22"/>
                <w:rtl/>
              </w:rPr>
              <w:t xml:space="preserve">סיכוני </w:t>
            </w:r>
            <w:r w:rsidRPr="001B37C0">
              <w:rPr>
                <w:rFonts w:eastAsia="Calibri" w:hint="cs"/>
                <w:b/>
                <w:bCs/>
                <w:sz w:val="22"/>
                <w:szCs w:val="22"/>
                <w:rtl/>
              </w:rPr>
              <w:t>המיזם</w:t>
            </w:r>
          </w:p>
        </w:tc>
        <w:tc>
          <w:tcPr>
            <w:tcW w:w="1381" w:type="pct"/>
          </w:tcPr>
          <w:p w:rsidR="001B37C0" w:rsidRPr="001B37C0" w:rsidP="002F4530">
            <w:pPr>
              <w:spacing w:line="269" w:lineRule="auto"/>
              <w:rPr>
                <w:rFonts w:eastAsia="Times New Roman"/>
                <w:color w:val="000000"/>
                <w:sz w:val="22"/>
                <w:szCs w:val="22"/>
                <w:rtl/>
              </w:rPr>
            </w:pPr>
            <w:r w:rsidRPr="001B37C0">
              <w:rPr>
                <w:rFonts w:eastAsia="Calibri"/>
                <w:sz w:val="22"/>
                <w:szCs w:val="22"/>
                <w:rtl/>
              </w:rPr>
              <w:t>לא יכול להתחיל לפעול לפני סיום הקמת אתר האחסון ו</w:t>
            </w:r>
            <w:r w:rsidRPr="001B37C0">
              <w:rPr>
                <w:rFonts w:eastAsia="Calibri" w:hint="cs"/>
                <w:sz w:val="22"/>
                <w:szCs w:val="22"/>
                <w:rtl/>
              </w:rPr>
              <w:t>ה</w:t>
            </w:r>
            <w:r w:rsidRPr="001B37C0">
              <w:rPr>
                <w:rFonts w:eastAsia="Calibri"/>
                <w:sz w:val="22"/>
                <w:szCs w:val="22"/>
                <w:rtl/>
              </w:rPr>
              <w:t>ניפוק יבור</w:t>
            </w:r>
            <w:r w:rsidRPr="001B37C0">
              <w:rPr>
                <w:rFonts w:eastAsia="Times New Roman"/>
                <w:color w:val="000000"/>
                <w:sz w:val="22"/>
                <w:szCs w:val="22"/>
                <w:rtl/>
              </w:rPr>
              <w:t xml:space="preserve"> (2030)</w:t>
            </w:r>
            <w:r w:rsidRPr="001B37C0">
              <w:rPr>
                <w:rFonts w:eastAsia="Times New Roman" w:hint="cs"/>
                <w:color w:val="000000"/>
                <w:sz w:val="22"/>
                <w:szCs w:val="22"/>
                <w:rtl/>
              </w:rPr>
              <w:t>.</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תלות בחברה פרטית (</w:t>
            </w:r>
            <w:r w:rsidRPr="001B37C0">
              <w:rPr>
                <w:rFonts w:eastAsia="Calibri" w:hint="cs"/>
                <w:sz w:val="22"/>
                <w:szCs w:val="22"/>
                <w:rtl/>
              </w:rPr>
              <w:t>החברה הפטרוכימית</w:t>
            </w:r>
            <w:r w:rsidRPr="001B37C0">
              <w:rPr>
                <w:rFonts w:eastAsia="Calibri"/>
                <w:sz w:val="22"/>
                <w:szCs w:val="22"/>
                <w:rtl/>
              </w:rPr>
              <w:t>)</w:t>
            </w:r>
            <w:r w:rsidRPr="001B37C0">
              <w:rPr>
                <w:rFonts w:eastAsia="Calibri" w:hint="cs"/>
                <w:sz w:val="22"/>
                <w:szCs w:val="22"/>
                <w:rtl/>
              </w:rPr>
              <w:t xml:space="preserve">, </w:t>
            </w:r>
            <w:r w:rsidRPr="001B37C0">
              <w:rPr>
                <w:rFonts w:eastAsia="Calibri"/>
                <w:sz w:val="22"/>
                <w:szCs w:val="22"/>
                <w:rtl/>
              </w:rPr>
              <w:t>חוסר ודאות סטטוטורית</w:t>
            </w:r>
          </w:p>
        </w:tc>
        <w:tc>
          <w:tcPr>
            <w:tcW w:w="1381" w:type="pct"/>
          </w:tcPr>
          <w:p w:rsidR="001B37C0" w:rsidRPr="001B37C0" w:rsidP="002F4530">
            <w:pPr>
              <w:spacing w:line="269" w:lineRule="auto"/>
              <w:rPr>
                <w:rFonts w:eastAsia="Calibri"/>
                <w:sz w:val="22"/>
                <w:szCs w:val="22"/>
                <w:rtl/>
              </w:rPr>
            </w:pPr>
            <w:r w:rsidRPr="001B37C0">
              <w:rPr>
                <w:rFonts w:eastAsia="Calibri"/>
                <w:sz w:val="22"/>
                <w:szCs w:val="22"/>
                <w:rtl/>
              </w:rPr>
              <w:t>תלות בחברה פרטית (</w:t>
            </w:r>
            <w:r w:rsidRPr="001B37C0">
              <w:rPr>
                <w:rFonts w:eastAsia="Calibri" w:hint="cs"/>
                <w:sz w:val="22"/>
                <w:szCs w:val="22"/>
                <w:rtl/>
              </w:rPr>
              <w:t>החברה הפטרוכימית</w:t>
            </w:r>
            <w:r w:rsidRPr="001B37C0">
              <w:rPr>
                <w:rFonts w:eastAsia="Calibri"/>
                <w:sz w:val="22"/>
                <w:szCs w:val="22"/>
                <w:rtl/>
              </w:rPr>
              <w:t>)</w:t>
            </w:r>
          </w:p>
        </w:tc>
      </w:tr>
    </w:tbl>
    <w:p w:rsidR="001B37C0" w:rsidRPr="001B37C0" w:rsidP="002F4530">
      <w:pPr>
        <w:spacing w:line="269" w:lineRule="auto"/>
        <w:rPr>
          <w:rFonts w:eastAsia="Times New Roman" w:cs="Times New Roman"/>
          <w:sz w:val="24"/>
          <w:rtl/>
        </w:rPr>
      </w:pPr>
      <w:r w:rsidRPr="001B37C0">
        <w:rPr>
          <w:rFonts w:eastAsia="Calibri" w:hint="cs"/>
          <w:szCs w:val="20"/>
          <w:rtl/>
        </w:rPr>
        <w:t>ה</w:t>
      </w:r>
      <w:r w:rsidRPr="001B37C0">
        <w:rPr>
          <w:rFonts w:eastAsia="Calibri" w:hint="eastAsia"/>
          <w:szCs w:val="20"/>
          <w:rtl/>
        </w:rPr>
        <w:t>מקור</w:t>
      </w:r>
      <w:r w:rsidRPr="001B37C0">
        <w:rPr>
          <w:rFonts w:eastAsia="Calibri"/>
          <w:szCs w:val="20"/>
          <w:rtl/>
        </w:rPr>
        <w:t>: המ</w:t>
      </w:r>
      <w:r w:rsidRPr="001B37C0">
        <w:rPr>
          <w:rFonts w:eastAsia="Calibri" w:hint="eastAsia"/>
          <w:szCs w:val="20"/>
          <w:rtl/>
        </w:rPr>
        <w:t>י</w:t>
      </w:r>
      <w:r w:rsidRPr="001B37C0">
        <w:rPr>
          <w:rFonts w:eastAsia="Calibri"/>
          <w:szCs w:val="20"/>
          <w:rtl/>
        </w:rPr>
        <w:t>נהלת לפיתוח מפרץ חיפה, אוקטובר 2025</w:t>
      </w:r>
      <w:r w:rsidRPr="001B37C0">
        <w:rPr>
          <w:rFonts w:eastAsia="Calibri" w:hint="cs"/>
          <w:szCs w:val="20"/>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b/>
          <w:bCs/>
          <w:sz w:val="24"/>
          <w:rtl/>
        </w:rPr>
      </w:pPr>
      <w:r w:rsidRPr="001B37C0">
        <w:rPr>
          <w:rFonts w:ascii="David" w:eastAsia="Calibri" w:hAnsi="David" w:hint="cs"/>
          <w:b/>
          <w:bCs/>
          <w:sz w:val="24"/>
          <w:rtl/>
        </w:rPr>
        <w:t xml:space="preserve">כעולה מהלוח, לחלופות ליבוא גפ"ם בצפון הארץ יתרונות וחסרונות. חלופת מסוף התזקיקים ירדה מהפרק בהתאם להחלטת חנ"י והתקדמות תש"א בתכנון הנמל ללא מסוף לפריקת גפ"ם. מבין החלופות שנשארו, חנ"י מצדדת בהקמת מקשר ימי </w:t>
      </w:r>
      <w:r w:rsidRPr="001B37C0">
        <w:rPr>
          <w:rFonts w:ascii="David" w:eastAsia="Calibri" w:hAnsi="David" w:hint="eastAsia"/>
          <w:b/>
          <w:bCs/>
          <w:sz w:val="24"/>
          <w:rtl/>
        </w:rPr>
        <w:t>מול</w:t>
      </w:r>
      <w:r w:rsidRPr="001B37C0">
        <w:rPr>
          <w:rFonts w:ascii="David" w:eastAsia="Calibri" w:hAnsi="David"/>
          <w:b/>
          <w:bCs/>
          <w:sz w:val="24"/>
          <w:rtl/>
        </w:rPr>
        <w:t xml:space="preserve"> חופי עכו</w:t>
      </w:r>
      <w:r w:rsidRPr="001B37C0">
        <w:rPr>
          <w:rFonts w:ascii="David" w:eastAsia="Calibri" w:hAnsi="David" w:hint="cs"/>
          <w:b/>
          <w:bCs/>
          <w:sz w:val="24"/>
          <w:rtl/>
        </w:rPr>
        <w:t>, חלופה שיתרונותיה הם בצנרת ההולכה הקצרה אל מתקני האחסון ביבור (שישה-שבעה קילומטר בלבד) וב</w:t>
      </w:r>
      <w:r w:rsidRPr="001B37C0">
        <w:rPr>
          <w:rFonts w:ascii="David" w:eastAsia="Calibri" w:hAnsi="David"/>
          <w:b/>
          <w:bCs/>
          <w:sz w:val="24"/>
          <w:rtl/>
        </w:rPr>
        <w:t>בטיחות</w:t>
      </w:r>
      <w:r w:rsidRPr="001B37C0">
        <w:rPr>
          <w:rFonts w:ascii="David" w:eastAsia="Calibri" w:hAnsi="David" w:hint="cs"/>
          <w:b/>
          <w:bCs/>
          <w:sz w:val="24"/>
          <w:rtl/>
        </w:rPr>
        <w:t>ה, שכן המקשר מ</w:t>
      </w:r>
      <w:r w:rsidRPr="001B37C0">
        <w:rPr>
          <w:rFonts w:ascii="David" w:eastAsia="Calibri" w:hAnsi="David"/>
          <w:b/>
          <w:bCs/>
          <w:sz w:val="24"/>
          <w:rtl/>
        </w:rPr>
        <w:t>ר</w:t>
      </w:r>
      <w:r w:rsidRPr="001B37C0">
        <w:rPr>
          <w:rFonts w:ascii="David" w:eastAsia="Calibri" w:hAnsi="David" w:hint="cs"/>
          <w:b/>
          <w:bCs/>
          <w:sz w:val="24"/>
          <w:rtl/>
        </w:rPr>
        <w:t>ו</w:t>
      </w:r>
      <w:r w:rsidRPr="001B37C0">
        <w:rPr>
          <w:rFonts w:ascii="David" w:eastAsia="Calibri" w:hAnsi="David"/>
          <w:b/>
          <w:bCs/>
          <w:sz w:val="24"/>
          <w:rtl/>
        </w:rPr>
        <w:t>חק מאזורים אורבניים ו</w:t>
      </w:r>
      <w:r w:rsidRPr="001B37C0">
        <w:rPr>
          <w:rFonts w:ascii="David" w:eastAsia="Calibri" w:hAnsi="David" w:hint="cs"/>
          <w:b/>
          <w:bCs/>
          <w:sz w:val="24"/>
          <w:rtl/>
        </w:rPr>
        <w:t>מ</w:t>
      </w:r>
      <w:r w:rsidRPr="001B37C0">
        <w:rPr>
          <w:rFonts w:ascii="David" w:eastAsia="Calibri" w:hAnsi="David"/>
          <w:b/>
          <w:bCs/>
          <w:sz w:val="24"/>
          <w:rtl/>
        </w:rPr>
        <w:t>פעילות נמלית אחרת</w:t>
      </w:r>
      <w:r w:rsidRPr="001B37C0">
        <w:rPr>
          <w:rFonts w:ascii="David" w:eastAsia="Calibri" w:hAnsi="David" w:hint="cs"/>
          <w:b/>
          <w:bCs/>
          <w:sz w:val="24"/>
          <w:rtl/>
        </w:rPr>
        <w:t xml:space="preserve">. עם זאת, עלות חלופה זו גבוהה, הלו"ז למימושה הוא רק בשנת 2030, והיא מחייבת קידום תוכניות סטטוטוריות.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b/>
          <w:bCs/>
          <w:sz w:val="24"/>
          <w:rtl/>
        </w:rPr>
      </w:pPr>
      <w:r w:rsidRPr="001B37C0">
        <w:rPr>
          <w:rFonts w:ascii="David" w:eastAsia="Calibri" w:hAnsi="David" w:hint="cs"/>
          <w:b/>
          <w:bCs/>
          <w:sz w:val="24"/>
          <w:rtl/>
        </w:rPr>
        <w:t xml:space="preserve">מנגד, החברה הפטרוכימית, חברה פרטית בעלת אינטרס עסקי, פועלת לקידום חלופת פריקת גפ"ם בנמל הכימיקלים (החברה הפטרוכימית) או במקשר ימי מול מתקני החברה. יתרונות חלופה זו הם העלות הנמוכה שלה ומהירות הקמתה, וחסרונה העיקרי הוא בטיחותי, בשל </w:t>
      </w:r>
      <w:r w:rsidRPr="001B37C0">
        <w:rPr>
          <w:rFonts w:ascii="David" w:eastAsia="Calibri" w:hAnsi="David"/>
          <w:b/>
          <w:bCs/>
          <w:sz w:val="24"/>
          <w:rtl/>
        </w:rPr>
        <w:t xml:space="preserve">צמידות </w:t>
      </w:r>
      <w:r w:rsidRPr="001B37C0">
        <w:rPr>
          <w:rFonts w:ascii="David" w:eastAsia="Calibri" w:hAnsi="David" w:hint="cs"/>
          <w:b/>
          <w:bCs/>
          <w:sz w:val="24"/>
          <w:rtl/>
        </w:rPr>
        <w:t xml:space="preserve">הנמל </w:t>
      </w:r>
      <w:r w:rsidRPr="001B37C0">
        <w:rPr>
          <w:rFonts w:ascii="David" w:eastAsia="Calibri" w:hAnsi="David"/>
          <w:b/>
          <w:bCs/>
          <w:sz w:val="24"/>
          <w:rtl/>
        </w:rPr>
        <w:t>לתשתיות נמל אחרות</w:t>
      </w:r>
      <w:r w:rsidRPr="001B37C0">
        <w:rPr>
          <w:rFonts w:ascii="David" w:eastAsia="Calibri" w:hAnsi="David" w:hint="cs"/>
          <w:b/>
          <w:bCs/>
          <w:sz w:val="24"/>
          <w:rtl/>
        </w:rPr>
        <w:t xml:space="preserve">, שבשלה אסר פקע"ר לעשות בה שימוש בעת מלחמה. כמו כן, היא כרוכה בחוסר ודאות סטטוטורית ובתלות בחברה פרטית.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sz w:val="24"/>
          <w:rtl/>
        </w:rPr>
      </w:pPr>
      <w:r w:rsidRPr="001B37C0">
        <w:rPr>
          <w:rFonts w:ascii="David" w:eastAsia="Calibri" w:hAnsi="David"/>
          <w:sz w:val="24"/>
          <w:rtl/>
        </w:rPr>
        <w:t xml:space="preserve">בפגישה </w:t>
      </w:r>
      <w:r w:rsidRPr="001B37C0">
        <w:rPr>
          <w:rFonts w:ascii="David" w:eastAsia="Calibri" w:hAnsi="David" w:hint="eastAsia"/>
          <w:sz w:val="24"/>
          <w:rtl/>
        </w:rPr>
        <w:t>שקיים</w:t>
      </w:r>
      <w:r w:rsidRPr="001B37C0">
        <w:rPr>
          <w:rFonts w:ascii="David" w:eastAsia="Calibri" w:hAnsi="David"/>
          <w:sz w:val="24"/>
          <w:rtl/>
        </w:rPr>
        <w:t xml:space="preserve"> צוות הביקורת עם </w:t>
      </w:r>
      <w:r w:rsidRPr="001B37C0">
        <w:rPr>
          <w:rFonts w:ascii="David" w:eastAsia="Calibri" w:hAnsi="David" w:hint="eastAsia"/>
          <w:sz w:val="24"/>
          <w:rtl/>
        </w:rPr>
        <w:t>נציגי</w:t>
      </w:r>
      <w:r w:rsidRPr="001B37C0">
        <w:rPr>
          <w:rFonts w:ascii="David" w:eastAsia="Calibri" w:hAnsi="David"/>
          <w:sz w:val="24"/>
          <w:rtl/>
        </w:rPr>
        <w:t xml:space="preserve"> </w:t>
      </w:r>
      <w:r w:rsidRPr="001B37C0">
        <w:rPr>
          <w:rFonts w:ascii="David" w:eastAsia="Calibri" w:hAnsi="David" w:hint="cs"/>
          <w:sz w:val="24"/>
          <w:rtl/>
        </w:rPr>
        <w:t>החש</w:t>
      </w:r>
      <w:r w:rsidRPr="001B37C0">
        <w:rPr>
          <w:rFonts w:ascii="David" w:eastAsia="Calibri" w:hAnsi="David" w:hint="eastAsia"/>
          <w:sz w:val="24"/>
          <w:rtl/>
        </w:rPr>
        <w:t>כ</w:t>
      </w:r>
      <w:r w:rsidRPr="001B37C0">
        <w:rPr>
          <w:rFonts w:ascii="David" w:eastAsia="Calibri" w:hAnsi="David"/>
          <w:sz w:val="24"/>
          <w:rtl/>
        </w:rPr>
        <w:t>"ל באוגוסט 2025 הם מסר</w:t>
      </w:r>
      <w:r w:rsidRPr="001B37C0">
        <w:rPr>
          <w:rFonts w:ascii="David" w:eastAsia="Calibri" w:hAnsi="David" w:hint="eastAsia"/>
          <w:sz w:val="24"/>
          <w:rtl/>
        </w:rPr>
        <w:t>ו</w:t>
      </w:r>
      <w:r w:rsidRPr="001B37C0">
        <w:rPr>
          <w:rFonts w:ascii="David" w:eastAsia="Calibri" w:hAnsi="David"/>
          <w:sz w:val="24"/>
          <w:rtl/>
        </w:rPr>
        <w:t xml:space="preserve"> </w:t>
      </w:r>
      <w:r w:rsidRPr="001B37C0">
        <w:rPr>
          <w:rFonts w:ascii="David" w:eastAsia="Calibri" w:hAnsi="David" w:hint="eastAsia"/>
          <w:sz w:val="24"/>
          <w:rtl/>
        </w:rPr>
        <w:t>כי</w:t>
      </w:r>
      <w:r w:rsidRPr="001B37C0">
        <w:rPr>
          <w:rFonts w:ascii="David" w:eastAsia="Calibri" w:hAnsi="David"/>
          <w:sz w:val="24"/>
          <w:rtl/>
        </w:rPr>
        <w:t xml:space="preserve"> ה</w:t>
      </w:r>
      <w:r w:rsidRPr="001B37C0">
        <w:rPr>
          <w:rFonts w:ascii="David" w:eastAsia="Calibri" w:hAnsi="David" w:hint="cs"/>
          <w:sz w:val="24"/>
          <w:rtl/>
        </w:rPr>
        <w:t>כדאיות ה</w:t>
      </w:r>
      <w:r w:rsidRPr="001B37C0">
        <w:rPr>
          <w:rFonts w:ascii="David" w:eastAsia="Calibri" w:hAnsi="David"/>
          <w:sz w:val="24"/>
          <w:rtl/>
        </w:rPr>
        <w:t xml:space="preserve">כלכלית של מקשר חדש בצפון </w:t>
      </w:r>
      <w:r w:rsidRPr="001B37C0">
        <w:rPr>
          <w:rFonts w:ascii="David" w:eastAsia="Calibri" w:hAnsi="David" w:hint="eastAsia"/>
          <w:sz w:val="24"/>
          <w:rtl/>
        </w:rPr>
        <w:t>עשויה</w:t>
      </w:r>
      <w:r w:rsidRPr="001B37C0">
        <w:rPr>
          <w:rFonts w:ascii="David" w:eastAsia="Calibri" w:hAnsi="David"/>
          <w:sz w:val="24"/>
          <w:rtl/>
        </w:rPr>
        <w:t xml:space="preserve"> להיות מוטלת בספק </w:t>
      </w:r>
      <w:r w:rsidRPr="001B37C0">
        <w:rPr>
          <w:rFonts w:ascii="David" w:eastAsia="Calibri" w:hAnsi="David" w:hint="eastAsia"/>
          <w:sz w:val="24"/>
          <w:rtl/>
        </w:rPr>
        <w:t>אם</w:t>
      </w:r>
      <w:r w:rsidRPr="001B37C0">
        <w:rPr>
          <w:rFonts w:ascii="David" w:eastAsia="Calibri" w:hAnsi="David"/>
          <w:sz w:val="24"/>
          <w:rtl/>
        </w:rPr>
        <w:t xml:space="preserve"> </w:t>
      </w:r>
      <w:r w:rsidRPr="001B37C0">
        <w:rPr>
          <w:rFonts w:ascii="David" w:eastAsia="Calibri" w:hAnsi="David" w:hint="eastAsia"/>
          <w:sz w:val="24"/>
          <w:rtl/>
        </w:rPr>
        <w:t>בז</w:t>
      </w:r>
      <w:r w:rsidRPr="001B37C0">
        <w:rPr>
          <w:rFonts w:ascii="David" w:eastAsia="Calibri" w:hAnsi="David"/>
          <w:sz w:val="24"/>
          <w:rtl/>
        </w:rPr>
        <w:t>"ן לא תיסגר. חשש זה עלה בעקבות מלחמת חרבות ברזל, ובין היתר עקב קשיים בהגעתן של א</w:t>
      </w:r>
      <w:r w:rsidRPr="001B37C0">
        <w:rPr>
          <w:rFonts w:ascii="David" w:eastAsia="Calibri" w:hAnsi="David" w:hint="cs"/>
          <w:sz w:val="24"/>
          <w:rtl/>
        </w:rPr>
        <w:t>ו</w:t>
      </w:r>
      <w:r w:rsidRPr="001B37C0">
        <w:rPr>
          <w:rFonts w:ascii="David" w:eastAsia="Calibri" w:hAnsi="David"/>
          <w:sz w:val="24"/>
          <w:rtl/>
        </w:rPr>
        <w:t xml:space="preserve">ניות לפריקת גפ"ם אל המקשר הימי מול חופי אשקלון, </w:t>
      </w:r>
      <w:r w:rsidRPr="001B37C0">
        <w:rPr>
          <w:rFonts w:ascii="David" w:eastAsia="Calibri" w:hAnsi="David" w:hint="eastAsia"/>
          <w:sz w:val="24"/>
          <w:rtl/>
        </w:rPr>
        <w:t>דבר</w:t>
      </w:r>
      <w:r w:rsidRPr="001B37C0">
        <w:rPr>
          <w:rFonts w:ascii="David" w:eastAsia="Calibri" w:hAnsi="David"/>
          <w:sz w:val="24"/>
          <w:rtl/>
        </w:rPr>
        <w:t xml:space="preserve"> </w:t>
      </w:r>
      <w:r w:rsidRPr="001B37C0">
        <w:rPr>
          <w:rFonts w:ascii="David" w:eastAsia="Calibri" w:hAnsi="David" w:hint="cs"/>
          <w:sz w:val="24"/>
          <w:rtl/>
        </w:rPr>
        <w:t>שהוביל להכרה</w:t>
      </w:r>
      <w:r w:rsidRPr="001B37C0">
        <w:rPr>
          <w:rFonts w:ascii="David" w:eastAsia="Calibri" w:hAnsi="David"/>
          <w:sz w:val="24"/>
          <w:rtl/>
        </w:rPr>
        <w:t xml:space="preserve"> ב</w:t>
      </w:r>
      <w:r w:rsidRPr="001B37C0">
        <w:rPr>
          <w:rFonts w:ascii="David" w:eastAsia="Calibri" w:hAnsi="David" w:hint="cs"/>
          <w:sz w:val="24"/>
          <w:rtl/>
        </w:rPr>
        <w:t>צורך ב</w:t>
      </w:r>
      <w:r w:rsidRPr="001B37C0">
        <w:rPr>
          <w:rFonts w:ascii="David" w:eastAsia="Calibri" w:hAnsi="David" w:hint="eastAsia"/>
          <w:sz w:val="24"/>
          <w:rtl/>
        </w:rPr>
        <w:t>חשיבה</w:t>
      </w:r>
      <w:r w:rsidRPr="001B37C0">
        <w:rPr>
          <w:rFonts w:ascii="David" w:eastAsia="Calibri" w:hAnsi="David"/>
          <w:sz w:val="24"/>
          <w:rtl/>
        </w:rPr>
        <w:t xml:space="preserve"> </w:t>
      </w:r>
      <w:r w:rsidRPr="001B37C0">
        <w:rPr>
          <w:rFonts w:ascii="David" w:eastAsia="Calibri" w:hAnsi="David" w:hint="eastAsia"/>
          <w:sz w:val="24"/>
          <w:rtl/>
        </w:rPr>
        <w:t>מחדש</w:t>
      </w:r>
      <w:r w:rsidRPr="001B37C0">
        <w:rPr>
          <w:rFonts w:ascii="David" w:eastAsia="Calibri" w:hAnsi="David"/>
          <w:sz w:val="24"/>
          <w:rtl/>
        </w:rPr>
        <w:t xml:space="preserve"> </w:t>
      </w:r>
      <w:r w:rsidRPr="001B37C0">
        <w:rPr>
          <w:rFonts w:ascii="David" w:eastAsia="Calibri" w:hAnsi="David" w:hint="eastAsia"/>
          <w:sz w:val="24"/>
          <w:rtl/>
        </w:rPr>
        <w:t>על</w:t>
      </w:r>
      <w:r w:rsidRPr="001B37C0">
        <w:rPr>
          <w:rFonts w:ascii="David" w:eastAsia="Calibri" w:hAnsi="David"/>
          <w:sz w:val="24"/>
          <w:rtl/>
        </w:rPr>
        <w:t xml:space="preserve"> </w:t>
      </w:r>
      <w:r w:rsidRPr="001B37C0">
        <w:rPr>
          <w:rFonts w:ascii="David" w:eastAsia="Calibri" w:hAnsi="David" w:hint="eastAsia"/>
          <w:sz w:val="24"/>
          <w:rtl/>
        </w:rPr>
        <w:t>החלטת</w:t>
      </w:r>
      <w:r w:rsidRPr="001B37C0">
        <w:rPr>
          <w:rFonts w:ascii="David" w:eastAsia="Calibri" w:hAnsi="David"/>
          <w:sz w:val="24"/>
          <w:rtl/>
        </w:rPr>
        <w:t xml:space="preserve"> </w:t>
      </w:r>
      <w:r w:rsidRPr="001B37C0">
        <w:rPr>
          <w:rFonts w:ascii="David" w:eastAsia="Calibri" w:hAnsi="David" w:hint="eastAsia"/>
          <w:sz w:val="24"/>
          <w:rtl/>
        </w:rPr>
        <w:t>הממשלה</w:t>
      </w:r>
      <w:r w:rsidRPr="001B37C0">
        <w:rPr>
          <w:rFonts w:ascii="David" w:eastAsia="Calibri" w:hAnsi="David"/>
          <w:sz w:val="24"/>
          <w:rtl/>
        </w:rPr>
        <w:t xml:space="preserve"> </w:t>
      </w:r>
      <w:r w:rsidRPr="001B37C0">
        <w:rPr>
          <w:rFonts w:ascii="David" w:eastAsia="Calibri" w:hAnsi="David" w:hint="eastAsia"/>
          <w:sz w:val="24"/>
          <w:rtl/>
        </w:rPr>
        <w:t>לסגירת</w:t>
      </w:r>
      <w:r w:rsidRPr="001B37C0">
        <w:rPr>
          <w:rFonts w:ascii="David" w:eastAsia="Calibri" w:hAnsi="David"/>
          <w:sz w:val="24"/>
          <w:rtl/>
        </w:rPr>
        <w:t xml:space="preserve"> </w:t>
      </w:r>
      <w:r w:rsidRPr="001B37C0">
        <w:rPr>
          <w:rFonts w:ascii="David" w:eastAsia="Calibri" w:hAnsi="David" w:hint="eastAsia"/>
          <w:sz w:val="24"/>
          <w:rtl/>
        </w:rPr>
        <w:t>המפעלים</w:t>
      </w:r>
      <w:r w:rsidRPr="001B37C0">
        <w:rPr>
          <w:rFonts w:ascii="David" w:eastAsia="Calibri" w:hAnsi="David"/>
          <w:sz w:val="24"/>
          <w:rtl/>
        </w:rPr>
        <w:t xml:space="preserve"> </w:t>
      </w:r>
      <w:r w:rsidRPr="001B37C0">
        <w:rPr>
          <w:rFonts w:ascii="David" w:eastAsia="Calibri" w:hAnsi="David" w:hint="eastAsia"/>
          <w:sz w:val="24"/>
          <w:rtl/>
        </w:rPr>
        <w:t>הפטרוכימיים</w:t>
      </w:r>
      <w:r w:rsidRPr="001B37C0">
        <w:rPr>
          <w:rFonts w:ascii="David" w:eastAsia="Calibri" w:hAnsi="David"/>
          <w:sz w:val="24"/>
          <w:rtl/>
        </w:rPr>
        <w:t xml:space="preserve"> </w:t>
      </w:r>
      <w:r w:rsidRPr="001B37C0">
        <w:rPr>
          <w:rFonts w:ascii="David" w:eastAsia="Calibri" w:hAnsi="David" w:hint="eastAsia"/>
          <w:sz w:val="24"/>
          <w:rtl/>
        </w:rPr>
        <w:t>בחיפה</w:t>
      </w:r>
      <w:r w:rsidRPr="001B37C0">
        <w:rPr>
          <w:rFonts w:ascii="David" w:eastAsia="Calibri" w:hAnsi="David" w:hint="cs"/>
          <w:sz w:val="24"/>
          <w:rtl/>
        </w:rPr>
        <w:t>,</w:t>
      </w:r>
      <w:r w:rsidRPr="001B37C0">
        <w:rPr>
          <w:rFonts w:ascii="David" w:eastAsia="Calibri" w:hAnsi="David"/>
          <w:sz w:val="24"/>
          <w:rtl/>
        </w:rPr>
        <w:t xml:space="preserve"> </w:t>
      </w:r>
      <w:r w:rsidRPr="001B37C0">
        <w:rPr>
          <w:rFonts w:ascii="David" w:eastAsia="Calibri" w:hAnsi="David" w:hint="cs"/>
          <w:sz w:val="24"/>
          <w:rtl/>
        </w:rPr>
        <w:t>כדי</w:t>
      </w:r>
      <w:r w:rsidRPr="001B37C0">
        <w:rPr>
          <w:rFonts w:ascii="David" w:eastAsia="Calibri" w:hAnsi="David"/>
          <w:sz w:val="24"/>
          <w:rtl/>
        </w:rPr>
        <w:t xml:space="preserve"> </w:t>
      </w:r>
      <w:r w:rsidRPr="001B37C0">
        <w:rPr>
          <w:rFonts w:ascii="David" w:eastAsia="Calibri" w:hAnsi="David" w:hint="eastAsia"/>
          <w:sz w:val="24"/>
          <w:rtl/>
        </w:rPr>
        <w:t>לשמור</w:t>
      </w:r>
      <w:r w:rsidRPr="001B37C0">
        <w:rPr>
          <w:rFonts w:ascii="David" w:eastAsia="Calibri" w:hAnsi="David"/>
          <w:sz w:val="24"/>
          <w:rtl/>
        </w:rPr>
        <w:t xml:space="preserve"> </w:t>
      </w:r>
      <w:r w:rsidRPr="001B37C0">
        <w:rPr>
          <w:rFonts w:ascii="David" w:eastAsia="Calibri" w:hAnsi="David" w:hint="eastAsia"/>
          <w:sz w:val="24"/>
          <w:rtl/>
        </w:rPr>
        <w:t>על</w:t>
      </w:r>
      <w:r w:rsidRPr="001B37C0">
        <w:rPr>
          <w:rFonts w:ascii="David" w:eastAsia="Calibri" w:hAnsi="David"/>
          <w:sz w:val="24"/>
          <w:rtl/>
        </w:rPr>
        <w:t xml:space="preserve"> </w:t>
      </w:r>
      <w:r w:rsidRPr="001B37C0">
        <w:rPr>
          <w:rFonts w:ascii="David" w:eastAsia="Calibri" w:hAnsi="David" w:hint="eastAsia"/>
          <w:sz w:val="24"/>
          <w:rtl/>
        </w:rPr>
        <w:t>עצמאותה</w:t>
      </w:r>
      <w:r w:rsidRPr="001B37C0">
        <w:rPr>
          <w:rFonts w:ascii="David" w:eastAsia="Calibri" w:hAnsi="David"/>
          <w:sz w:val="24"/>
          <w:rtl/>
        </w:rPr>
        <w:t xml:space="preserve"> </w:t>
      </w:r>
      <w:r w:rsidRPr="001B37C0">
        <w:rPr>
          <w:rFonts w:ascii="David" w:eastAsia="Calibri" w:hAnsi="David" w:hint="eastAsia"/>
          <w:sz w:val="24"/>
          <w:rtl/>
        </w:rPr>
        <w:t>האנרגטית</w:t>
      </w:r>
      <w:r w:rsidRPr="001B37C0">
        <w:rPr>
          <w:rFonts w:ascii="David" w:eastAsia="Calibri" w:hAnsi="David"/>
          <w:sz w:val="24"/>
          <w:rtl/>
        </w:rPr>
        <w:t xml:space="preserve"> </w:t>
      </w:r>
      <w:r w:rsidRPr="001B37C0">
        <w:rPr>
          <w:rFonts w:ascii="David" w:eastAsia="Calibri" w:hAnsi="David" w:hint="eastAsia"/>
          <w:sz w:val="24"/>
          <w:rtl/>
        </w:rPr>
        <w:t>של</w:t>
      </w:r>
      <w:r w:rsidRPr="001B37C0">
        <w:rPr>
          <w:rFonts w:ascii="David" w:eastAsia="Calibri" w:hAnsi="David"/>
          <w:sz w:val="24"/>
          <w:rtl/>
        </w:rPr>
        <w:t xml:space="preserve"> </w:t>
      </w:r>
      <w:r w:rsidRPr="001B37C0">
        <w:rPr>
          <w:rFonts w:ascii="David" w:eastAsia="Calibri" w:hAnsi="David" w:hint="eastAsia"/>
          <w:sz w:val="24"/>
          <w:rtl/>
        </w:rPr>
        <w:t>המדינה</w:t>
      </w:r>
      <w:r w:rsidRPr="001B37C0">
        <w:rPr>
          <w:rFonts w:ascii="David" w:eastAsia="Calibri" w:hAnsi="David"/>
          <w:sz w:val="24"/>
          <w:rtl/>
        </w:rPr>
        <w:t xml:space="preserve"> </w:t>
      </w:r>
      <w:r w:rsidRPr="001B37C0">
        <w:rPr>
          <w:rFonts w:ascii="David" w:eastAsia="Calibri" w:hAnsi="David" w:hint="eastAsia"/>
          <w:sz w:val="24"/>
          <w:rtl/>
        </w:rPr>
        <w:t>במצבי</w:t>
      </w:r>
      <w:r w:rsidRPr="001B37C0">
        <w:rPr>
          <w:rFonts w:ascii="David" w:eastAsia="Calibri" w:hAnsi="David"/>
          <w:sz w:val="24"/>
          <w:rtl/>
        </w:rPr>
        <w:t xml:space="preserve"> </w:t>
      </w:r>
      <w:r w:rsidRPr="001B37C0">
        <w:rPr>
          <w:rFonts w:ascii="David" w:eastAsia="Calibri" w:hAnsi="David" w:hint="eastAsia"/>
          <w:sz w:val="24"/>
          <w:rtl/>
        </w:rPr>
        <w:t>חירום</w:t>
      </w:r>
      <w:r w:rsidRPr="001B37C0">
        <w:rPr>
          <w:rFonts w:ascii="David" w:eastAsia="Calibri" w:hAnsi="David"/>
          <w:sz w:val="24"/>
          <w:rtl/>
        </w:rPr>
        <w:t xml:space="preserve">.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b/>
          <w:bCs/>
          <w:rtl/>
        </w:rPr>
      </w:pPr>
      <w:r w:rsidRPr="001B37C0">
        <w:rPr>
          <w:rFonts w:ascii="David" w:eastAsia="Calibri" w:hAnsi="David" w:hint="cs"/>
          <w:b/>
          <w:bCs/>
          <w:rtl/>
        </w:rPr>
        <w:t xml:space="preserve">נכון למועד סיום הביקורת ישנן כמה חלופות אפשריות לקידום תוכנית ליבוא גפ"ם (באמצעות </w:t>
      </w:r>
      <w:r w:rsidRPr="001B37C0">
        <w:rPr>
          <w:rFonts w:eastAsia="Calibri" w:hint="eastAsia"/>
          <w:b/>
          <w:bCs/>
          <w:rtl/>
        </w:rPr>
        <w:t>מקשר</w:t>
      </w:r>
      <w:r w:rsidRPr="001B37C0">
        <w:rPr>
          <w:rFonts w:eastAsia="Calibri"/>
          <w:b/>
          <w:bCs/>
          <w:rtl/>
        </w:rPr>
        <w:t xml:space="preserve"> ימי או </w:t>
      </w:r>
      <w:r w:rsidRPr="001B37C0">
        <w:rPr>
          <w:rFonts w:eastAsia="Calibri" w:hint="eastAsia"/>
          <w:b/>
          <w:bCs/>
          <w:rtl/>
        </w:rPr>
        <w:t>מזח</w:t>
      </w:r>
      <w:r w:rsidRPr="001B37C0">
        <w:rPr>
          <w:rFonts w:eastAsia="Calibri"/>
          <w:b/>
          <w:bCs/>
          <w:rtl/>
        </w:rPr>
        <w:t xml:space="preserve"> יבשתי</w:t>
      </w:r>
      <w:r w:rsidRPr="001B37C0">
        <w:rPr>
          <w:rFonts w:ascii="David" w:eastAsia="Calibri" w:hAnsi="David" w:hint="cs"/>
          <w:b/>
          <w:bCs/>
          <w:rtl/>
        </w:rPr>
        <w:t xml:space="preserve">). </w:t>
      </w:r>
      <w:bookmarkStart w:id="32" w:name="_Hlk222303039"/>
      <w:r w:rsidRPr="001B37C0">
        <w:rPr>
          <w:rFonts w:ascii="David" w:eastAsia="Calibri" w:hAnsi="David" w:hint="eastAsia"/>
          <w:b/>
          <w:bCs/>
          <w:rtl/>
        </w:rPr>
        <w:t>עלה</w:t>
      </w:r>
      <w:r w:rsidRPr="001B37C0">
        <w:rPr>
          <w:rFonts w:ascii="David" w:eastAsia="Calibri" w:hAnsi="David"/>
          <w:b/>
          <w:bCs/>
          <w:rtl/>
        </w:rPr>
        <w:t xml:space="preserve"> כי </w:t>
      </w:r>
      <w:r w:rsidRPr="001B37C0">
        <w:rPr>
          <w:rFonts w:ascii="David" w:eastAsia="Calibri" w:hAnsi="David" w:hint="cs"/>
          <w:b/>
          <w:bCs/>
          <w:rtl/>
        </w:rPr>
        <w:t xml:space="preserve">גורמים בעלי אינטרסים שונים, בממשלה ומחוצה לה (חנ"י, ועדת ההיגוי, וחברה פטרוכימית) פועלים לקידום חלופות שונות ליבוא הגפ"ם לצפון הארץ. </w:t>
      </w:r>
      <w:r w:rsidRPr="001B37C0">
        <w:rPr>
          <w:rFonts w:ascii="David" w:eastAsia="Calibri" w:hAnsi="David"/>
          <w:b/>
          <w:bCs/>
          <w:rtl/>
        </w:rPr>
        <w:t>חלופות אלו נמצאות בשלבים מקדמיים בלבד של הליכים תכנוניים, זאת על אף החשיבות בהגדלת מאגרי אחסון הגפ"ם לשם יצירת מלאי לעתות שגרה וחירום.</w:t>
      </w:r>
    </w:p>
    <w:bookmarkEnd w:id="32"/>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b/>
          <w:bCs/>
          <w:rtl/>
        </w:rPr>
      </w:pPr>
      <w:r w:rsidRPr="001B37C0">
        <w:rPr>
          <w:rFonts w:ascii="David" w:eastAsia="Calibri" w:hAnsi="David" w:hint="eastAsia"/>
          <w:b/>
          <w:bCs/>
          <w:rtl/>
        </w:rPr>
        <w:t>המועצה</w:t>
      </w:r>
      <w:r w:rsidRPr="001B37C0">
        <w:rPr>
          <w:rFonts w:ascii="David" w:eastAsia="Calibri" w:hAnsi="David"/>
          <w:b/>
          <w:bCs/>
          <w:rtl/>
        </w:rPr>
        <w:t xml:space="preserve"> </w:t>
      </w:r>
      <w:r w:rsidRPr="001B37C0">
        <w:rPr>
          <w:rFonts w:ascii="David" w:eastAsia="Calibri" w:hAnsi="David" w:hint="eastAsia"/>
          <w:b/>
          <w:bCs/>
          <w:rtl/>
        </w:rPr>
        <w:t>הלאומית</w:t>
      </w:r>
      <w:r w:rsidRPr="001B37C0">
        <w:rPr>
          <w:rFonts w:ascii="David" w:eastAsia="Calibri" w:hAnsi="David"/>
          <w:b/>
          <w:bCs/>
          <w:rtl/>
        </w:rPr>
        <w:t xml:space="preserve"> </w:t>
      </w:r>
      <w:r w:rsidRPr="001B37C0">
        <w:rPr>
          <w:rFonts w:ascii="David" w:eastAsia="Calibri" w:hAnsi="David" w:hint="eastAsia"/>
          <w:b/>
          <w:bCs/>
          <w:rtl/>
        </w:rPr>
        <w:t>לכלכלה</w:t>
      </w:r>
      <w:r w:rsidRPr="001B37C0">
        <w:rPr>
          <w:rFonts w:ascii="David" w:eastAsia="Calibri" w:hAnsi="David" w:hint="cs"/>
          <w:b/>
          <w:bCs/>
          <w:rtl/>
        </w:rPr>
        <w:t>,</w:t>
      </w:r>
      <w:r w:rsidRPr="001B37C0">
        <w:rPr>
          <w:rFonts w:ascii="David" w:eastAsia="Calibri" w:hAnsi="David"/>
          <w:b/>
          <w:bCs/>
          <w:rtl/>
        </w:rPr>
        <w:t xml:space="preserve"> </w:t>
      </w:r>
      <w:r w:rsidRPr="001B37C0">
        <w:rPr>
          <w:rFonts w:ascii="David" w:eastAsia="Calibri" w:hAnsi="David" w:hint="eastAsia"/>
          <w:b/>
          <w:bCs/>
          <w:rtl/>
        </w:rPr>
        <w:t>העומדת</w:t>
      </w:r>
      <w:r w:rsidRPr="001B37C0">
        <w:rPr>
          <w:rFonts w:ascii="David" w:eastAsia="Calibri" w:hAnsi="David"/>
          <w:b/>
          <w:bCs/>
          <w:rtl/>
        </w:rPr>
        <w:t xml:space="preserve"> </w:t>
      </w:r>
      <w:r w:rsidRPr="001B37C0">
        <w:rPr>
          <w:rFonts w:ascii="David" w:eastAsia="Calibri" w:hAnsi="David" w:hint="eastAsia"/>
          <w:b/>
          <w:bCs/>
          <w:rtl/>
        </w:rPr>
        <w:t>בראש</w:t>
      </w:r>
      <w:r w:rsidRPr="001B37C0">
        <w:rPr>
          <w:rFonts w:ascii="David" w:eastAsia="Calibri" w:hAnsi="David"/>
          <w:b/>
          <w:bCs/>
          <w:rtl/>
        </w:rPr>
        <w:t xml:space="preserve"> </w:t>
      </w:r>
      <w:r w:rsidRPr="001B37C0">
        <w:rPr>
          <w:rFonts w:ascii="David" w:eastAsia="Calibri" w:hAnsi="David" w:hint="eastAsia"/>
          <w:b/>
          <w:bCs/>
          <w:rtl/>
        </w:rPr>
        <w:t>המ</w:t>
      </w:r>
      <w:r w:rsidRPr="001B37C0">
        <w:rPr>
          <w:rFonts w:ascii="David" w:eastAsia="Calibri" w:hAnsi="David" w:hint="cs"/>
          <w:b/>
          <w:bCs/>
          <w:rtl/>
        </w:rPr>
        <w:t>י</w:t>
      </w:r>
      <w:r w:rsidRPr="001B37C0">
        <w:rPr>
          <w:rFonts w:ascii="David" w:eastAsia="Calibri" w:hAnsi="David" w:hint="eastAsia"/>
          <w:b/>
          <w:bCs/>
          <w:rtl/>
        </w:rPr>
        <w:t>נהלת</w:t>
      </w:r>
      <w:r w:rsidRPr="001B37C0">
        <w:rPr>
          <w:rFonts w:ascii="David" w:eastAsia="Calibri" w:hAnsi="David"/>
          <w:b/>
          <w:bCs/>
          <w:rtl/>
        </w:rPr>
        <w:t xml:space="preserve"> </w:t>
      </w:r>
      <w:r w:rsidRPr="001B37C0">
        <w:rPr>
          <w:rFonts w:ascii="David" w:eastAsia="Calibri" w:hAnsi="David" w:hint="eastAsia"/>
          <w:b/>
          <w:bCs/>
          <w:rtl/>
        </w:rPr>
        <w:t>לפיתוח</w:t>
      </w:r>
      <w:r w:rsidRPr="001B37C0">
        <w:rPr>
          <w:rFonts w:ascii="David" w:eastAsia="Calibri" w:hAnsi="David"/>
          <w:b/>
          <w:bCs/>
          <w:rtl/>
        </w:rPr>
        <w:t xml:space="preserve"> מפרץ חיפה, מנסה לקדם את </w:t>
      </w:r>
      <w:r w:rsidRPr="001B37C0">
        <w:rPr>
          <w:rFonts w:ascii="David" w:eastAsia="Calibri" w:hAnsi="David" w:hint="eastAsia"/>
          <w:b/>
          <w:bCs/>
          <w:rtl/>
        </w:rPr>
        <w:t>כל</w:t>
      </w:r>
      <w:r w:rsidRPr="001B37C0">
        <w:rPr>
          <w:rFonts w:ascii="David" w:eastAsia="Calibri" w:hAnsi="David"/>
          <w:b/>
          <w:bCs/>
          <w:rtl/>
        </w:rPr>
        <w:t xml:space="preserve"> החלופות במקביל. עם זאת, החלופה </w:t>
      </w:r>
      <w:r w:rsidRPr="001B37C0">
        <w:rPr>
          <w:rFonts w:ascii="David" w:eastAsia="Calibri" w:hAnsi="David" w:hint="cs"/>
          <w:b/>
          <w:bCs/>
          <w:rtl/>
        </w:rPr>
        <w:t>ש</w:t>
      </w:r>
      <w:r w:rsidRPr="001B37C0">
        <w:rPr>
          <w:rFonts w:ascii="David" w:eastAsia="Calibri" w:hAnsi="David" w:hint="eastAsia"/>
          <w:b/>
          <w:bCs/>
          <w:rtl/>
        </w:rPr>
        <w:t>בה</w:t>
      </w:r>
      <w:r w:rsidRPr="001B37C0">
        <w:rPr>
          <w:rFonts w:ascii="David" w:eastAsia="Calibri" w:hAnsi="David"/>
          <w:b/>
          <w:bCs/>
          <w:rtl/>
        </w:rPr>
        <w:t xml:space="preserve"> </w:t>
      </w:r>
      <w:r w:rsidRPr="001B37C0">
        <w:rPr>
          <w:rFonts w:ascii="David" w:eastAsia="Calibri" w:hAnsi="David" w:hint="eastAsia"/>
          <w:b/>
          <w:bCs/>
          <w:rtl/>
        </w:rPr>
        <w:t>מצדדת</w:t>
      </w:r>
      <w:r w:rsidRPr="001B37C0">
        <w:rPr>
          <w:rFonts w:ascii="David" w:eastAsia="Calibri" w:hAnsi="David"/>
          <w:b/>
          <w:bCs/>
          <w:rtl/>
        </w:rPr>
        <w:t xml:space="preserve"> </w:t>
      </w:r>
      <w:r w:rsidRPr="001B37C0">
        <w:rPr>
          <w:rFonts w:ascii="David" w:eastAsia="Calibri" w:hAnsi="David" w:hint="eastAsia"/>
          <w:b/>
          <w:bCs/>
          <w:rtl/>
        </w:rPr>
        <w:t>חנ</w:t>
      </w:r>
      <w:r w:rsidRPr="001B37C0">
        <w:rPr>
          <w:rFonts w:ascii="David" w:eastAsia="Calibri" w:hAnsi="David"/>
          <w:b/>
          <w:bCs/>
          <w:rtl/>
        </w:rPr>
        <w:t>"י</w:t>
      </w:r>
      <w:r w:rsidRPr="001B37C0">
        <w:rPr>
          <w:rFonts w:ascii="David" w:eastAsia="Calibri" w:hAnsi="David" w:hint="cs"/>
          <w:b/>
          <w:bCs/>
          <w:rtl/>
        </w:rPr>
        <w:t>,</w:t>
      </w:r>
      <w:r w:rsidRPr="001B37C0">
        <w:rPr>
          <w:rFonts w:ascii="David" w:eastAsia="Calibri" w:hAnsi="David"/>
          <w:b/>
          <w:bCs/>
          <w:rtl/>
        </w:rPr>
        <w:t xml:space="preserve"> </w:t>
      </w:r>
      <w:r w:rsidRPr="001B37C0">
        <w:rPr>
          <w:rFonts w:ascii="David" w:eastAsia="Calibri" w:hAnsi="David" w:hint="cs"/>
          <w:b/>
          <w:bCs/>
          <w:rtl/>
        </w:rPr>
        <w:t>ש</w:t>
      </w:r>
      <w:r w:rsidRPr="001B37C0">
        <w:rPr>
          <w:rFonts w:ascii="David" w:eastAsia="Calibri" w:hAnsi="David"/>
          <w:b/>
          <w:bCs/>
          <w:rtl/>
        </w:rPr>
        <w:t xml:space="preserve">היא אמונה על תכנונה, אינה מקודמת </w:t>
      </w:r>
      <w:r w:rsidRPr="001B37C0">
        <w:rPr>
          <w:rFonts w:ascii="David" w:eastAsia="Calibri" w:hAnsi="David" w:hint="eastAsia"/>
          <w:b/>
          <w:bCs/>
          <w:rtl/>
        </w:rPr>
        <w:t>בהתאם</w:t>
      </w:r>
      <w:r w:rsidRPr="001B37C0">
        <w:rPr>
          <w:rFonts w:ascii="David" w:eastAsia="Calibri" w:hAnsi="David"/>
          <w:b/>
          <w:bCs/>
          <w:rtl/>
        </w:rPr>
        <w:t xml:space="preserve"> </w:t>
      </w:r>
      <w:r w:rsidRPr="001B37C0">
        <w:rPr>
          <w:rFonts w:ascii="David" w:eastAsia="Calibri" w:hAnsi="David" w:hint="eastAsia"/>
          <w:b/>
          <w:bCs/>
          <w:rtl/>
        </w:rPr>
        <w:t>ללוחות</w:t>
      </w:r>
      <w:r w:rsidRPr="001B37C0">
        <w:rPr>
          <w:rFonts w:ascii="David" w:eastAsia="Calibri" w:hAnsi="David"/>
          <w:b/>
          <w:bCs/>
          <w:rtl/>
        </w:rPr>
        <w:t xml:space="preserve"> </w:t>
      </w:r>
      <w:r w:rsidRPr="001B37C0">
        <w:rPr>
          <w:rFonts w:ascii="David" w:eastAsia="Calibri" w:hAnsi="David" w:hint="eastAsia"/>
          <w:b/>
          <w:bCs/>
          <w:rtl/>
        </w:rPr>
        <w:t>הזמנים</w:t>
      </w:r>
      <w:r w:rsidRPr="001B37C0">
        <w:rPr>
          <w:rFonts w:ascii="David" w:eastAsia="Calibri" w:hAnsi="David"/>
          <w:b/>
          <w:bCs/>
          <w:rtl/>
        </w:rPr>
        <w:t xml:space="preserve"> </w:t>
      </w:r>
      <w:r w:rsidRPr="001B37C0">
        <w:rPr>
          <w:rFonts w:ascii="David" w:eastAsia="Calibri" w:hAnsi="David" w:hint="eastAsia"/>
          <w:b/>
          <w:bCs/>
          <w:rtl/>
        </w:rPr>
        <w:t>שנקבעו</w:t>
      </w:r>
      <w:r w:rsidRPr="001B37C0">
        <w:rPr>
          <w:rFonts w:ascii="David" w:eastAsia="Calibri" w:hAnsi="David"/>
          <w:b/>
          <w:bCs/>
          <w:rtl/>
        </w:rPr>
        <w:t xml:space="preserve"> </w:t>
      </w:r>
      <w:r w:rsidRPr="001B37C0">
        <w:rPr>
          <w:rFonts w:ascii="David" w:eastAsia="Calibri" w:hAnsi="David" w:hint="eastAsia"/>
          <w:b/>
          <w:bCs/>
          <w:rtl/>
        </w:rPr>
        <w:t>לה</w:t>
      </w:r>
      <w:r w:rsidRPr="001B37C0">
        <w:rPr>
          <w:rFonts w:ascii="David" w:eastAsia="Calibri" w:hAnsi="David"/>
          <w:b/>
          <w:bCs/>
          <w:rtl/>
        </w:rPr>
        <w:t xml:space="preserve"> </w:t>
      </w:r>
      <w:r w:rsidRPr="001B37C0">
        <w:rPr>
          <w:rFonts w:ascii="David" w:eastAsia="Calibri" w:hAnsi="David" w:hint="cs"/>
          <w:b/>
          <w:bCs/>
          <w:rtl/>
        </w:rPr>
        <w:t xml:space="preserve">(עד סוף שנת 2027) </w:t>
      </w:r>
      <w:r w:rsidRPr="001B37C0">
        <w:rPr>
          <w:rFonts w:ascii="David" w:eastAsia="Calibri" w:hAnsi="David" w:hint="eastAsia"/>
          <w:b/>
          <w:bCs/>
          <w:rtl/>
        </w:rPr>
        <w:t>לקידום</w:t>
      </w:r>
      <w:r w:rsidRPr="001B37C0">
        <w:rPr>
          <w:rFonts w:ascii="David" w:eastAsia="Calibri" w:hAnsi="David"/>
          <w:b/>
          <w:bCs/>
          <w:rtl/>
        </w:rPr>
        <w:t xml:space="preserve"> ההליכים הסטטוטוריים של המקשר הימי</w:t>
      </w:r>
      <w:r w:rsidRPr="001B37C0">
        <w:rPr>
          <w:rFonts w:ascii="David" w:eastAsia="Calibri" w:hAnsi="David" w:hint="cs"/>
          <w:b/>
          <w:bCs/>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ascii="David" w:eastAsia="Calibri" w:hAnsi="David" w:hint="cs"/>
          <w:b/>
          <w:bCs/>
          <w:sz w:val="24"/>
          <w:rtl/>
        </w:rPr>
        <w:t>על המועצה הלאומית לכלכלה, כגורם האמון על יישום החלטה 1231, לבחון את החלופות ואת</w:t>
      </w:r>
      <w:r>
        <w:rPr>
          <w:rFonts w:ascii="David" w:eastAsia="Calibri" w:hAnsi="David" w:hint="cs"/>
          <w:b/>
          <w:bCs/>
          <w:sz w:val="24"/>
          <w:rtl/>
        </w:rPr>
        <w:t xml:space="preserve"> </w:t>
      </w:r>
      <w:r w:rsidRPr="001B37C0">
        <w:rPr>
          <w:rFonts w:ascii="David" w:eastAsia="Calibri" w:hAnsi="David" w:hint="cs"/>
          <w:b/>
          <w:bCs/>
          <w:sz w:val="24"/>
          <w:rtl/>
        </w:rPr>
        <w:t>היכולת ליישמן בהתאם ללוחות הזמנים שנקבעו לסגירת בז"ן ובהתאם למורכבות ההסדרות הסטטוטוריות העלולות להשפיע על משך זמן השלמתן, ובהתחשב בחילוקי הדעות בסוגיה זו לקדם חלופה שביצועה יעמוד בלוח הזמנים הנדרש. בהתאם עליה ולפעול לקידומה כדי לאפשר יבוא גפ</w:t>
      </w:r>
      <w:r w:rsidRPr="001B37C0">
        <w:rPr>
          <w:rFonts w:ascii="David" w:eastAsia="Calibri" w:hAnsi="David"/>
          <w:b/>
          <w:bCs/>
          <w:sz w:val="24"/>
          <w:rtl/>
        </w:rPr>
        <w:t>"</w:t>
      </w:r>
      <w:r w:rsidRPr="001B37C0">
        <w:rPr>
          <w:rFonts w:ascii="David" w:eastAsia="Calibri" w:hAnsi="David" w:hint="cs"/>
          <w:b/>
          <w:bCs/>
          <w:sz w:val="24"/>
          <w:rtl/>
        </w:rPr>
        <w:t>ם בצפון הארץ לאחר סגירת בז"ן, ולהגדיל את יתירות הגפ</w:t>
      </w:r>
      <w:r w:rsidRPr="001B37C0">
        <w:rPr>
          <w:rFonts w:ascii="David" w:eastAsia="Calibri" w:hAnsi="David"/>
          <w:b/>
          <w:bCs/>
          <w:sz w:val="24"/>
          <w:rtl/>
        </w:rPr>
        <w:t>"</w:t>
      </w:r>
      <w:r w:rsidRPr="001B37C0">
        <w:rPr>
          <w:rFonts w:ascii="David" w:eastAsia="Calibri" w:hAnsi="David" w:hint="cs"/>
          <w:b/>
          <w:bCs/>
          <w:sz w:val="24"/>
          <w:rtl/>
        </w:rPr>
        <w:t>ם במשק בשגרה ובחירום</w:t>
      </w:r>
      <w:r w:rsidRPr="001B37C0">
        <w:rPr>
          <w:rFonts w:eastAsia="Calibri" w:hint="cs"/>
          <w:rtl/>
        </w:rPr>
        <w:t xml:space="preserve">. </w:t>
      </w:r>
    </w:p>
    <w:p w:rsidR="001B37C0" w:rsidRPr="001B37C0" w:rsidP="002F4530">
      <w:pPr>
        <w:keepNext/>
        <w:keepLines/>
        <w:spacing w:line="269" w:lineRule="auto"/>
        <w:ind w:left="-567"/>
        <w:rPr>
          <w:rFonts w:eastAsia="Calibri"/>
          <w:szCs w:val="20"/>
          <w:rtl/>
        </w:rPr>
      </w:pPr>
    </w:p>
    <w:p w:rsidR="001B37C0" w:rsidP="002F4530">
      <w:pPr>
        <w:keepNext/>
        <w:keepLines/>
        <w:spacing w:line="269" w:lineRule="auto"/>
        <w:outlineLvl w:val="4"/>
        <w:rPr>
          <w:rFonts w:eastAsia="Times New Roman"/>
          <w:bCs/>
          <w:spacing w:val="40"/>
          <w:rtl/>
        </w:rPr>
      </w:pPr>
      <w:r w:rsidRPr="001B37C0">
        <w:rPr>
          <w:rFonts w:eastAsia="Times New Roman" w:hint="cs"/>
          <w:bCs/>
          <w:spacing w:val="40"/>
          <w:rtl/>
        </w:rPr>
        <w:t>אחסון גפ"ם בצפון הארץ</w:t>
      </w:r>
    </w:p>
    <w:p w:rsidR="00E660CE" w:rsidRPr="001B37C0" w:rsidP="002F4530">
      <w:pPr>
        <w:keepNext/>
        <w:keepLines/>
        <w:spacing w:line="269" w:lineRule="auto"/>
        <w:outlineLvl w:val="4"/>
        <w:rPr>
          <w:rFonts w:eastAsia="Times New Roman"/>
          <w:bCs/>
          <w:spacing w:val="40"/>
          <w:rtl/>
        </w:rPr>
      </w:pPr>
    </w:p>
    <w:p w:rsidR="001B37C0" w:rsidRPr="001B37C0" w:rsidP="002F4530">
      <w:pPr>
        <w:spacing w:line="269" w:lineRule="auto"/>
        <w:rPr>
          <w:rFonts w:ascii="David" w:eastAsia="Calibri" w:hAnsi="David"/>
          <w:rtl/>
        </w:rPr>
      </w:pPr>
      <w:r w:rsidRPr="001B37C0">
        <w:rPr>
          <w:rFonts w:ascii="David" w:eastAsia="Calibri" w:hAnsi="David" w:hint="eastAsia"/>
          <w:rtl/>
        </w:rPr>
        <w:t>בהתאם</w:t>
      </w:r>
      <w:r w:rsidRPr="001B37C0">
        <w:rPr>
          <w:rFonts w:ascii="David" w:eastAsia="Calibri" w:hAnsi="David"/>
          <w:rtl/>
        </w:rPr>
        <w:t xml:space="preserve"> </w:t>
      </w:r>
      <w:r w:rsidRPr="001B37C0">
        <w:rPr>
          <w:rFonts w:ascii="David" w:eastAsia="Calibri" w:hAnsi="David" w:hint="eastAsia"/>
          <w:rtl/>
        </w:rPr>
        <w:t>לאבני</w:t>
      </w:r>
      <w:r w:rsidRPr="001B37C0">
        <w:rPr>
          <w:rFonts w:ascii="David" w:eastAsia="Calibri" w:hAnsi="David"/>
          <w:rtl/>
        </w:rPr>
        <w:t xml:space="preserve"> </w:t>
      </w:r>
      <w:r w:rsidRPr="001B37C0">
        <w:rPr>
          <w:rFonts w:ascii="David" w:eastAsia="Calibri" w:hAnsi="David" w:hint="eastAsia"/>
          <w:rtl/>
        </w:rPr>
        <w:t>הדרך</w:t>
      </w:r>
      <w:r w:rsidRPr="001B37C0">
        <w:rPr>
          <w:rFonts w:ascii="David" w:eastAsia="Calibri" w:hAnsi="David"/>
          <w:rtl/>
        </w:rPr>
        <w:t xml:space="preserve"> </w:t>
      </w:r>
      <w:r w:rsidRPr="001B37C0">
        <w:rPr>
          <w:rFonts w:ascii="David" w:eastAsia="Calibri" w:hAnsi="David" w:hint="eastAsia"/>
          <w:rtl/>
        </w:rPr>
        <w:t>שקבעה</w:t>
      </w:r>
      <w:r w:rsidRPr="001B37C0">
        <w:rPr>
          <w:rFonts w:ascii="David" w:eastAsia="Calibri" w:hAnsi="David"/>
          <w:rtl/>
        </w:rPr>
        <w:t xml:space="preserve"> </w:t>
      </w:r>
      <w:r w:rsidRPr="001B37C0">
        <w:rPr>
          <w:rFonts w:ascii="David" w:eastAsia="Calibri" w:hAnsi="David" w:hint="eastAsia"/>
          <w:rtl/>
        </w:rPr>
        <w:t>ועדת</w:t>
      </w:r>
      <w:r w:rsidRPr="001B37C0">
        <w:rPr>
          <w:rFonts w:ascii="David" w:eastAsia="Calibri" w:hAnsi="David"/>
          <w:rtl/>
        </w:rPr>
        <w:t xml:space="preserve"> </w:t>
      </w:r>
      <w:r w:rsidRPr="001B37C0">
        <w:rPr>
          <w:rFonts w:ascii="David" w:eastAsia="Calibri" w:hAnsi="David" w:hint="eastAsia"/>
          <w:rtl/>
        </w:rPr>
        <w:t>ההיגוי</w:t>
      </w:r>
      <w:r w:rsidRPr="001B37C0">
        <w:rPr>
          <w:rFonts w:ascii="David" w:eastAsia="Calibri" w:hAnsi="David"/>
          <w:rtl/>
        </w:rPr>
        <w:t xml:space="preserve"> </w:t>
      </w:r>
      <w:r w:rsidRPr="001B37C0">
        <w:rPr>
          <w:rFonts w:ascii="David" w:eastAsia="Calibri" w:hAnsi="David" w:hint="eastAsia"/>
          <w:rtl/>
        </w:rPr>
        <w:t>של</w:t>
      </w:r>
      <w:r w:rsidRPr="001B37C0">
        <w:rPr>
          <w:rFonts w:ascii="David" w:eastAsia="Calibri" w:hAnsi="David"/>
          <w:rtl/>
        </w:rPr>
        <w:t xml:space="preserve"> </w:t>
      </w:r>
      <w:r w:rsidRPr="001B37C0">
        <w:rPr>
          <w:rFonts w:ascii="David" w:eastAsia="Calibri" w:hAnsi="David" w:hint="eastAsia"/>
          <w:rtl/>
        </w:rPr>
        <w:t>התוכנית</w:t>
      </w:r>
      <w:r w:rsidRPr="001B37C0">
        <w:rPr>
          <w:rFonts w:ascii="David" w:eastAsia="Calibri" w:hAnsi="David"/>
          <w:rtl/>
        </w:rPr>
        <w:t xml:space="preserve"> </w:t>
      </w:r>
      <w:r w:rsidRPr="001B37C0">
        <w:rPr>
          <w:rFonts w:ascii="David" w:eastAsia="Calibri" w:hAnsi="David" w:hint="eastAsia"/>
          <w:rtl/>
        </w:rPr>
        <w:t>האסטרטגית</w:t>
      </w:r>
      <w:r w:rsidRPr="001B37C0">
        <w:rPr>
          <w:rFonts w:ascii="David" w:eastAsia="Calibri" w:hAnsi="David"/>
          <w:rtl/>
        </w:rPr>
        <w:t xml:space="preserve"> </w:t>
      </w:r>
      <w:r w:rsidRPr="001B37C0">
        <w:rPr>
          <w:rFonts w:ascii="David" w:eastAsia="Calibri" w:hAnsi="David" w:hint="eastAsia"/>
          <w:rtl/>
        </w:rPr>
        <w:t>לפיתוח</w:t>
      </w:r>
      <w:r w:rsidRPr="001B37C0">
        <w:rPr>
          <w:rFonts w:ascii="David" w:eastAsia="Calibri" w:hAnsi="David"/>
          <w:rtl/>
        </w:rPr>
        <w:t xml:space="preserve"> </w:t>
      </w:r>
      <w:r w:rsidRPr="001B37C0">
        <w:rPr>
          <w:rFonts w:ascii="David" w:eastAsia="Calibri" w:hAnsi="David" w:hint="eastAsia"/>
          <w:rtl/>
        </w:rPr>
        <w:t>מפרץ</w:t>
      </w:r>
      <w:r w:rsidRPr="001B37C0">
        <w:rPr>
          <w:rFonts w:ascii="David" w:eastAsia="Calibri" w:hAnsi="David"/>
          <w:rtl/>
        </w:rPr>
        <w:t xml:space="preserve"> </w:t>
      </w:r>
      <w:r w:rsidRPr="001B37C0">
        <w:rPr>
          <w:rFonts w:ascii="David" w:eastAsia="Calibri" w:hAnsi="David" w:hint="eastAsia"/>
          <w:rtl/>
        </w:rPr>
        <w:t>חיפה</w:t>
      </w:r>
      <w:r w:rsidRPr="001B37C0">
        <w:rPr>
          <w:rFonts w:ascii="David" w:eastAsia="Calibri" w:hAnsi="David"/>
          <w:rtl/>
        </w:rPr>
        <w:t xml:space="preserve"> </w:t>
      </w:r>
      <w:r w:rsidRPr="001B37C0">
        <w:rPr>
          <w:rFonts w:ascii="David" w:eastAsia="Calibri" w:hAnsi="David" w:hint="eastAsia"/>
          <w:rtl/>
        </w:rPr>
        <w:t>להקמת</w:t>
      </w:r>
      <w:r w:rsidRPr="001B37C0">
        <w:rPr>
          <w:rFonts w:ascii="David" w:eastAsia="Calibri" w:hAnsi="David"/>
          <w:rtl/>
        </w:rPr>
        <w:t xml:space="preserve"> </w:t>
      </w:r>
      <w:r w:rsidRPr="001B37C0">
        <w:rPr>
          <w:rFonts w:ascii="David" w:eastAsia="Calibri" w:hAnsi="David" w:hint="eastAsia"/>
          <w:rtl/>
        </w:rPr>
        <w:t>תשתיות</w:t>
      </w:r>
      <w:r w:rsidRPr="001B37C0">
        <w:rPr>
          <w:rFonts w:ascii="David" w:eastAsia="Calibri" w:hAnsi="David"/>
          <w:rtl/>
        </w:rPr>
        <w:t xml:space="preserve"> </w:t>
      </w:r>
      <w:r w:rsidRPr="001B37C0">
        <w:rPr>
          <w:rFonts w:ascii="David" w:eastAsia="Calibri" w:hAnsi="David" w:hint="eastAsia"/>
          <w:rtl/>
        </w:rPr>
        <w:t>לענף</w:t>
      </w:r>
      <w:r w:rsidRPr="001B37C0">
        <w:rPr>
          <w:rFonts w:ascii="David" w:eastAsia="Calibri" w:hAnsi="David"/>
          <w:rtl/>
        </w:rPr>
        <w:t xml:space="preserve"> </w:t>
      </w:r>
      <w:r w:rsidRPr="001B37C0">
        <w:rPr>
          <w:rFonts w:ascii="David" w:eastAsia="Calibri" w:hAnsi="David" w:hint="eastAsia"/>
          <w:rtl/>
        </w:rPr>
        <w:t>הגפ</w:t>
      </w:r>
      <w:r w:rsidRPr="001B37C0">
        <w:rPr>
          <w:rFonts w:ascii="David" w:eastAsia="Calibri" w:hAnsi="David"/>
          <w:rtl/>
        </w:rPr>
        <w:t>"</w:t>
      </w:r>
      <w:r w:rsidRPr="001B37C0">
        <w:rPr>
          <w:rFonts w:ascii="David" w:eastAsia="Calibri" w:hAnsi="David" w:hint="eastAsia"/>
          <w:rtl/>
        </w:rPr>
        <w:t>ם</w:t>
      </w:r>
      <w:r w:rsidRPr="001B37C0">
        <w:rPr>
          <w:rFonts w:ascii="David" w:eastAsia="Calibri" w:hAnsi="David"/>
          <w:rtl/>
        </w:rPr>
        <w:t xml:space="preserve">, היתר הבנייה לאחסון במתקן </w:t>
      </w:r>
      <w:r w:rsidRPr="001B37C0">
        <w:rPr>
          <w:rFonts w:ascii="David" w:eastAsia="Calibri" w:hAnsi="David" w:hint="eastAsia"/>
          <w:rtl/>
        </w:rPr>
        <w:t>יבור</w:t>
      </w:r>
      <w:r w:rsidRPr="001B37C0">
        <w:rPr>
          <w:rFonts w:ascii="David" w:eastAsia="Calibri" w:hAnsi="David"/>
          <w:rtl/>
        </w:rPr>
        <w:t xml:space="preserve"> אמור להיות מושלם עד 2027, והקמתו של האתר אמורה להסתיים עד 2030.</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hint="cs"/>
          <w:rtl/>
        </w:rPr>
        <w:t xml:space="preserve">נציג </w:t>
      </w:r>
      <w:r w:rsidRPr="001B37C0">
        <w:rPr>
          <w:rFonts w:ascii="David" w:eastAsia="Calibri" w:hAnsi="David"/>
          <w:rtl/>
        </w:rPr>
        <w:t>החשכ"ל מסר לצוות הביקורת כי מסמכי המיון המוקדם להקמת מתקן אחסון הגפ"</w:t>
      </w:r>
      <w:r w:rsidRPr="001B37C0">
        <w:rPr>
          <w:rFonts w:ascii="David" w:eastAsia="Calibri" w:hAnsi="David" w:hint="cs"/>
          <w:rtl/>
        </w:rPr>
        <w:t>ם</w:t>
      </w:r>
      <w:r w:rsidRPr="001B37C0">
        <w:rPr>
          <w:rFonts w:ascii="David" w:eastAsia="Calibri" w:hAnsi="David"/>
          <w:rtl/>
        </w:rPr>
        <w:t xml:space="preserve"> ביבור פורסמו ביום 31.12.25. </w:t>
      </w:r>
      <w:r w:rsidRPr="001B37C0">
        <w:rPr>
          <w:rFonts w:ascii="David" w:eastAsia="Calibri" w:hAnsi="David" w:hint="cs"/>
          <w:rtl/>
        </w:rPr>
        <w:t>עוד</w:t>
      </w:r>
      <w:r w:rsidRPr="001B37C0">
        <w:rPr>
          <w:rFonts w:ascii="David" w:eastAsia="Calibri" w:hAnsi="David"/>
          <w:rtl/>
        </w:rPr>
        <w:t xml:space="preserve"> מסר החשכ"ל כי </w:t>
      </w:r>
      <w:r w:rsidRPr="001B37C0">
        <w:rPr>
          <w:rFonts w:ascii="David" w:eastAsia="Calibri" w:hAnsi="David" w:hint="cs"/>
          <w:rtl/>
        </w:rPr>
        <w:t>נעשים</w:t>
      </w:r>
      <w:r w:rsidRPr="001B37C0">
        <w:rPr>
          <w:rFonts w:ascii="David" w:eastAsia="Calibri" w:hAnsi="David"/>
          <w:rtl/>
        </w:rPr>
        <w:t xml:space="preserve"> </w:t>
      </w:r>
      <w:r w:rsidRPr="001B37C0">
        <w:rPr>
          <w:rFonts w:ascii="David" w:eastAsia="Calibri" w:hAnsi="David" w:hint="cs"/>
          <w:rtl/>
        </w:rPr>
        <w:t>תיאומים</w:t>
      </w:r>
      <w:r w:rsidRPr="001B37C0">
        <w:rPr>
          <w:rFonts w:ascii="David" w:eastAsia="Calibri" w:hAnsi="David"/>
          <w:rtl/>
        </w:rPr>
        <w:t xml:space="preserve"> נדרשים מול צדדי ג', בעיקר מול חנ"י</w:t>
      </w:r>
      <w:r w:rsidRPr="001B37C0">
        <w:rPr>
          <w:rFonts w:ascii="David" w:eastAsia="Calibri" w:hAnsi="David" w:hint="cs"/>
          <w:rtl/>
        </w:rPr>
        <w:t>,</w:t>
      </w:r>
      <w:r w:rsidRPr="001B37C0">
        <w:rPr>
          <w:rFonts w:ascii="David" w:eastAsia="Calibri" w:hAnsi="David"/>
          <w:rtl/>
        </w:rPr>
        <w:t xml:space="preserve"> בכל הקשור להקמת תשתית היבוא (מקשרים ימיים ליבוא גפ"ם)</w:t>
      </w:r>
      <w:r w:rsidRPr="001B37C0">
        <w:rPr>
          <w:rFonts w:ascii="David" w:eastAsia="Calibri" w:hAnsi="David" w:hint="cs"/>
          <w:rtl/>
        </w:rPr>
        <w:t>,</w:t>
      </w:r>
      <w:r w:rsidRPr="001B37C0">
        <w:rPr>
          <w:rFonts w:ascii="David" w:eastAsia="Calibri" w:hAnsi="David"/>
          <w:rtl/>
        </w:rPr>
        <w:t xml:space="preserve"> הנדרשת לשם הפעלת המתקן. תיאו</w:t>
      </w:r>
      <w:r w:rsidRPr="001B37C0">
        <w:rPr>
          <w:rFonts w:ascii="David" w:eastAsia="Calibri" w:hAnsi="David" w:hint="cs"/>
          <w:rtl/>
        </w:rPr>
        <w:t>מי</w:t>
      </w:r>
      <w:r w:rsidRPr="001B37C0">
        <w:rPr>
          <w:rFonts w:ascii="David" w:eastAsia="Calibri" w:hAnsi="David"/>
          <w:rtl/>
        </w:rPr>
        <w:t xml:space="preserve">ם </w:t>
      </w:r>
      <w:r w:rsidRPr="001B37C0">
        <w:rPr>
          <w:rFonts w:ascii="David" w:eastAsia="Calibri" w:hAnsi="David" w:hint="cs"/>
          <w:rtl/>
        </w:rPr>
        <w:t>אלו</w:t>
      </w:r>
      <w:r w:rsidRPr="001B37C0">
        <w:rPr>
          <w:rFonts w:ascii="David" w:eastAsia="Calibri" w:hAnsi="David"/>
          <w:rtl/>
        </w:rPr>
        <w:t xml:space="preserve"> הכרחי</w:t>
      </w:r>
      <w:r w:rsidRPr="001B37C0">
        <w:rPr>
          <w:rFonts w:ascii="David" w:eastAsia="Calibri" w:hAnsi="David" w:hint="cs"/>
          <w:rtl/>
        </w:rPr>
        <w:t>ים</w:t>
      </w:r>
      <w:r w:rsidRPr="001B37C0">
        <w:rPr>
          <w:rFonts w:ascii="David" w:eastAsia="Calibri" w:hAnsi="David"/>
          <w:rtl/>
        </w:rPr>
        <w:t xml:space="preserve"> לשם התנעת הליך המכרז.</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b/>
          <w:bCs/>
          <w:rtl/>
        </w:rPr>
      </w:pPr>
      <w:bookmarkStart w:id="33" w:name="_Hlk222303085"/>
      <w:r w:rsidRPr="001B37C0">
        <w:rPr>
          <w:rFonts w:ascii="David" w:eastAsia="Calibri" w:hAnsi="David"/>
          <w:b/>
          <w:bCs/>
          <w:rtl/>
        </w:rPr>
        <w:t xml:space="preserve">נמצא כי </w:t>
      </w:r>
      <w:r w:rsidRPr="001B37C0">
        <w:rPr>
          <w:rFonts w:ascii="David" w:eastAsia="Calibri" w:hAnsi="David" w:hint="eastAsia"/>
          <w:b/>
          <w:bCs/>
          <w:rtl/>
        </w:rPr>
        <w:t>המכרז</w:t>
      </w:r>
      <w:r w:rsidRPr="001B37C0">
        <w:rPr>
          <w:rFonts w:ascii="David" w:eastAsia="Calibri" w:hAnsi="David"/>
          <w:b/>
          <w:bCs/>
          <w:rtl/>
        </w:rPr>
        <w:t xml:space="preserve"> להקמת </w:t>
      </w:r>
      <w:r w:rsidRPr="001B37C0">
        <w:rPr>
          <w:rFonts w:ascii="David" w:eastAsia="Calibri" w:hAnsi="David" w:hint="eastAsia"/>
          <w:b/>
          <w:bCs/>
          <w:rtl/>
        </w:rPr>
        <w:t>מתקני</w:t>
      </w:r>
      <w:r w:rsidRPr="001B37C0">
        <w:rPr>
          <w:rFonts w:ascii="David" w:eastAsia="Calibri" w:hAnsi="David"/>
          <w:b/>
          <w:bCs/>
          <w:rtl/>
        </w:rPr>
        <w:t xml:space="preserve"> האחסון המתוכננים </w:t>
      </w:r>
      <w:r w:rsidRPr="001B37C0">
        <w:rPr>
          <w:rFonts w:ascii="David" w:eastAsia="Calibri" w:hAnsi="David" w:hint="eastAsia"/>
          <w:b/>
          <w:bCs/>
          <w:rtl/>
        </w:rPr>
        <w:t>ביבור</w:t>
      </w:r>
      <w:r w:rsidRPr="001B37C0">
        <w:rPr>
          <w:rFonts w:ascii="David" w:eastAsia="Calibri" w:hAnsi="David"/>
          <w:b/>
          <w:bCs/>
          <w:rtl/>
        </w:rPr>
        <w:t xml:space="preserve"> נמצא בשלב מקדמי</w:t>
      </w:r>
      <w:r w:rsidRPr="001B37C0">
        <w:rPr>
          <w:rFonts w:ascii="David" w:eastAsia="Calibri" w:hAnsi="David" w:hint="cs"/>
          <w:b/>
          <w:bCs/>
          <w:rtl/>
        </w:rPr>
        <w:t xml:space="preserve"> בלבד</w:t>
      </w:r>
      <w:r w:rsidRPr="001B37C0">
        <w:rPr>
          <w:rFonts w:ascii="David" w:eastAsia="Calibri" w:hAnsi="David"/>
          <w:b/>
          <w:bCs/>
          <w:rtl/>
        </w:rPr>
        <w:t xml:space="preserve"> של </w:t>
      </w:r>
      <w:r w:rsidRPr="001B37C0">
        <w:rPr>
          <w:rFonts w:ascii="David" w:eastAsia="Calibri" w:hAnsi="David"/>
          <w:b/>
          <w:bCs/>
        </w:rPr>
        <w:t>PQ</w:t>
      </w:r>
      <w:r>
        <w:rPr>
          <w:rFonts w:ascii="David" w:eastAsia="Calibri" w:hAnsi="David"/>
          <w:b/>
          <w:bCs/>
          <w:vertAlign w:val="superscript"/>
          <w:rtl/>
        </w:rPr>
        <w:footnoteReference w:id="107"/>
      </w:r>
      <w:r w:rsidRPr="001B37C0">
        <w:rPr>
          <w:rFonts w:ascii="David" w:eastAsia="Calibri" w:hAnsi="David" w:hint="cs"/>
          <w:b/>
          <w:bCs/>
          <w:rtl/>
        </w:rPr>
        <w:t xml:space="preserve"> </w:t>
      </w:r>
      <w:r w:rsidRPr="001B37C0">
        <w:rPr>
          <w:rFonts w:ascii="David" w:eastAsia="Calibri" w:hAnsi="David" w:hint="eastAsia"/>
          <w:b/>
          <w:bCs/>
          <w:rtl/>
        </w:rPr>
        <w:t>בניהול</w:t>
      </w:r>
      <w:r w:rsidRPr="001B37C0">
        <w:rPr>
          <w:rFonts w:ascii="David" w:eastAsia="Calibri" w:hAnsi="David"/>
          <w:b/>
          <w:bCs/>
          <w:rtl/>
        </w:rPr>
        <w:t xml:space="preserve"> החש</w:t>
      </w:r>
      <w:r w:rsidRPr="001B37C0">
        <w:rPr>
          <w:rFonts w:ascii="David" w:eastAsia="Calibri" w:hAnsi="David" w:hint="cs"/>
          <w:b/>
          <w:bCs/>
          <w:rtl/>
        </w:rPr>
        <w:t>כ״ל</w:t>
      </w:r>
      <w:r w:rsidRPr="001B37C0">
        <w:rPr>
          <w:rFonts w:ascii="David" w:eastAsia="Calibri" w:hAnsi="David"/>
          <w:b/>
          <w:bCs/>
          <w:rtl/>
        </w:rPr>
        <w:t xml:space="preserve">, </w:t>
      </w:r>
      <w:r w:rsidRPr="001B37C0">
        <w:rPr>
          <w:rFonts w:ascii="David" w:eastAsia="Calibri" w:hAnsi="David" w:hint="cs"/>
          <w:b/>
          <w:bCs/>
          <w:rtl/>
        </w:rPr>
        <w:t>ולכן הוא עלול לחרוג מלוחות הזמנים שקבעה המינהלת לפיתוח מפרץ חיפה להשלמת הקמת המתקן עד לשנת 2030</w:t>
      </w:r>
      <w:r w:rsidRPr="001B37C0">
        <w:rPr>
          <w:rFonts w:ascii="David" w:eastAsia="Calibri" w:hAnsi="David"/>
          <w:b/>
          <w:bCs/>
          <w:rtl/>
        </w:rPr>
        <w:t xml:space="preserve">. </w:t>
      </w:r>
    </w:p>
    <w:bookmarkEnd w:id="33"/>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b/>
          <w:bCs/>
          <w:rtl/>
        </w:rPr>
      </w:pPr>
      <w:r w:rsidRPr="001B37C0">
        <w:rPr>
          <w:rFonts w:ascii="David" w:eastAsia="Calibri" w:hAnsi="David" w:hint="cs"/>
          <w:b/>
          <w:bCs/>
          <w:rtl/>
        </w:rPr>
        <w:t>מהאמור עולה כי הקמת שרשרת אספקה חדשה למתקן אחסון הגפ"ם המתוכנן בצפון הארץ ביבור, שהיא תנאי הכרחי לקיום החלטת הממשלה 1231 ולסגירת המפעלים הפטרוכימיים בחיפה, אינה מקודמת, דבר שצפוי לעכב את יישום החלטת הממשלה במידה ניכרת.</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משרד האנרגיה מסר בתשובתו כי הוא מקדם את הקמתם של כלל מתקני האחסון ותשתיות הגפ"ם בצפון הארץ, לרבות מתן הנחיות הנדסיות ואחרות. עוד מסר המשרד כי לאחרונה פורסם קדם-מיון למכרז לאתר יבור בתיאום עם החשכ"ל ואף נקבעו לוחות זמנים בעניינו.</w:t>
      </w:r>
    </w:p>
    <w:p w:rsidR="001B37C0" w:rsidRPr="001B37C0" w:rsidP="002F4530">
      <w:pPr>
        <w:spacing w:line="269" w:lineRule="auto"/>
        <w:rPr>
          <w:rFonts w:eastAsia="Calibri"/>
          <w:rtl/>
        </w:rPr>
      </w:pPr>
      <w:r w:rsidRPr="001B37C0">
        <w:rPr>
          <w:rFonts w:eastAsia="Calibri" w:hint="eastAsia"/>
          <w:rtl/>
        </w:rPr>
        <w:t>מינהל</w:t>
      </w:r>
      <w:r w:rsidRPr="001B37C0">
        <w:rPr>
          <w:rFonts w:eastAsia="Calibri"/>
          <w:rtl/>
        </w:rPr>
        <w:t xml:space="preserve"> התשתיות במשרד התחבורה מסר בתשובתו </w:t>
      </w:r>
      <w:r w:rsidRPr="001B37C0">
        <w:rPr>
          <w:rFonts w:eastAsia="Calibri" w:hint="eastAsia"/>
          <w:rtl/>
        </w:rPr>
        <w:t>ממאי</w:t>
      </w:r>
      <w:r w:rsidRPr="001B37C0">
        <w:rPr>
          <w:rFonts w:eastAsia="Calibri"/>
          <w:rtl/>
        </w:rPr>
        <w:t xml:space="preserve"> 2026 כי ל</w:t>
      </w:r>
      <w:r w:rsidRPr="001B37C0">
        <w:rPr>
          <w:rFonts w:eastAsia="Calibri" w:hint="cs"/>
          <w:rtl/>
        </w:rPr>
        <w:t xml:space="preserve">פי </w:t>
      </w:r>
      <w:r w:rsidRPr="001B37C0">
        <w:rPr>
          <w:rFonts w:eastAsia="Calibri"/>
          <w:rtl/>
        </w:rPr>
        <w:t>הנחיית אגף החש</w:t>
      </w:r>
      <w:r w:rsidRPr="001B37C0">
        <w:rPr>
          <w:rFonts w:eastAsia="Calibri" w:hint="cs"/>
          <w:rtl/>
        </w:rPr>
        <w:t>כ"ל</w:t>
      </w:r>
      <w:r w:rsidRPr="001B37C0">
        <w:rPr>
          <w:rFonts w:eastAsia="Calibri"/>
          <w:rtl/>
        </w:rPr>
        <w:t xml:space="preserve"> גובש מענה תכנוני ליצירת דרך גישה ייעודית למתקן הגפ"ם ביבור, וכי הפרויקט נמצא בשלב תכנון </w:t>
      </w:r>
      <w:r w:rsidRPr="001B37C0">
        <w:rPr>
          <w:rFonts w:eastAsia="Calibri" w:hint="eastAsia"/>
          <w:rtl/>
        </w:rPr>
        <w:t>ס</w:t>
      </w:r>
      <w:r w:rsidRPr="001B37C0">
        <w:rPr>
          <w:rFonts w:eastAsia="Calibri" w:hint="cs"/>
          <w:rtl/>
        </w:rPr>
        <w:t>ט</w:t>
      </w:r>
      <w:r w:rsidRPr="001B37C0">
        <w:rPr>
          <w:rFonts w:eastAsia="Calibri" w:hint="eastAsia"/>
          <w:rtl/>
        </w:rPr>
        <w:t>טוטורי</w:t>
      </w:r>
      <w:r w:rsidRPr="001B37C0">
        <w:rPr>
          <w:rFonts w:eastAsia="Calibri"/>
          <w:rtl/>
        </w:rPr>
        <w:t xml:space="preserve"> </w:t>
      </w:r>
      <w:r w:rsidRPr="001B37C0">
        <w:rPr>
          <w:rFonts w:eastAsia="Calibri" w:hint="eastAsia"/>
          <w:rtl/>
        </w:rPr>
        <w:t>ו</w:t>
      </w:r>
      <w:r w:rsidRPr="001B37C0">
        <w:rPr>
          <w:rFonts w:eastAsia="Calibri" w:hint="cs"/>
          <w:rtl/>
        </w:rPr>
        <w:t>מתוקצב בידי</w:t>
      </w:r>
      <w:r w:rsidRPr="001B37C0">
        <w:rPr>
          <w:rFonts w:eastAsia="Calibri"/>
          <w:rtl/>
        </w:rPr>
        <w:t xml:space="preserve"> </w:t>
      </w:r>
      <w:r w:rsidRPr="001B37C0">
        <w:rPr>
          <w:rFonts w:eastAsia="Calibri" w:hint="eastAsia"/>
          <w:rtl/>
        </w:rPr>
        <w:t>אגף</w:t>
      </w:r>
      <w:r w:rsidRPr="001B37C0">
        <w:rPr>
          <w:rFonts w:eastAsia="Calibri"/>
          <w:rtl/>
        </w:rPr>
        <w:t xml:space="preserve"> </w:t>
      </w:r>
      <w:r w:rsidRPr="001B37C0">
        <w:rPr>
          <w:rFonts w:eastAsia="Calibri" w:hint="eastAsia"/>
          <w:rtl/>
        </w:rPr>
        <w:t>החש</w:t>
      </w:r>
      <w:r w:rsidRPr="001B37C0">
        <w:rPr>
          <w:rFonts w:eastAsia="Calibri" w:hint="cs"/>
          <w:rtl/>
        </w:rPr>
        <w:t>כ"ל</w:t>
      </w:r>
      <w:r w:rsidRPr="001B37C0">
        <w:rPr>
          <w:rFonts w:eastAsia="Calibri"/>
          <w:rtl/>
        </w:rPr>
        <w:t>.</w:t>
      </w:r>
    </w:p>
    <w:p w:rsidR="001B37C0" w:rsidRPr="00E660CE" w:rsidP="002F4530">
      <w:pPr>
        <w:keepNext/>
        <w:keepLines/>
        <w:spacing w:line="269" w:lineRule="auto"/>
        <w:ind w:left="-567"/>
        <w:rPr>
          <w:rFonts w:eastAsia="Calibri"/>
          <w:sz w:val="18"/>
          <w:szCs w:val="18"/>
          <w:rtl/>
        </w:rPr>
      </w:pPr>
    </w:p>
    <w:p w:rsidR="001B37C0" w:rsidRPr="001B37C0" w:rsidP="002F4530">
      <w:pPr>
        <w:spacing w:line="269" w:lineRule="auto"/>
        <w:rPr>
          <w:rFonts w:ascii="David" w:eastAsia="Calibri" w:hAnsi="David"/>
          <w:b/>
          <w:bCs/>
          <w:rtl/>
        </w:rPr>
      </w:pPr>
      <w:r w:rsidRPr="001B37C0">
        <w:rPr>
          <w:rFonts w:ascii="David" w:eastAsia="Calibri" w:hAnsi="David" w:hint="cs"/>
          <w:b/>
          <w:bCs/>
          <w:rtl/>
        </w:rPr>
        <w:t>מומלץ לשר האנרגיה האמון על בחינת העמידה בתנאי הקבוע בהחלטת הממשלה 1231 להבטחת הרציפות התפקודית של משק האנרגיה ולקיומן של התשתיות הנדרשות, לבחון את סוגיית אחסון הגפ"ם בצפון הארץ ולפעול בשיתוף משרד התחבורה, המועצה הלאומית לכלכלה והחשכ״ל לקביעת לוחות זמנים ואבני דרך לקידום הקמת כלל התשתיות הנדרשות בצפון הארץ - מתקן לפריקת גפ"ם מיובא, קו הולכה ומתקן אחסון.</w:t>
      </w:r>
    </w:p>
    <w:p w:rsidR="001B37C0" w:rsidRPr="00E660CE" w:rsidP="002F4530">
      <w:pPr>
        <w:keepNext/>
        <w:keepLines/>
        <w:spacing w:line="269" w:lineRule="auto"/>
        <w:ind w:left="-567"/>
        <w:rPr>
          <w:rFonts w:eastAsia="Calibri"/>
          <w:sz w:val="18"/>
          <w:szCs w:val="18"/>
          <w:rtl/>
        </w:rPr>
      </w:pPr>
    </w:p>
    <w:p w:rsidR="001B37C0" w:rsidRPr="001B37C0" w:rsidP="002F4530">
      <w:pPr>
        <w:keepNext/>
        <w:keepLines/>
        <w:spacing w:line="269" w:lineRule="auto"/>
        <w:outlineLvl w:val="3"/>
        <w:rPr>
          <w:rFonts w:eastAsia="Times New Roman"/>
          <w:bCs/>
          <w:szCs w:val="26"/>
          <w:rtl/>
        </w:rPr>
      </w:pPr>
      <w:r w:rsidRPr="001B37C0">
        <w:rPr>
          <w:rFonts w:eastAsia="Times New Roman" w:hint="cs"/>
          <w:bCs/>
          <w:szCs w:val="26"/>
          <w:rtl/>
        </w:rPr>
        <w:t>תשתיות גפ"ם בדרום</w:t>
      </w:r>
    </w:p>
    <w:p w:rsidR="001B37C0" w:rsidRPr="00E660CE" w:rsidP="002F4530">
      <w:pPr>
        <w:rPr>
          <w:rFonts w:eastAsia="Calibri"/>
          <w:sz w:val="14"/>
          <w:szCs w:val="18"/>
          <w:rtl/>
        </w:rPr>
      </w:pPr>
    </w:p>
    <w:p w:rsidR="001B37C0" w:rsidRPr="001B37C0" w:rsidP="002F4530">
      <w:pPr>
        <w:spacing w:line="269" w:lineRule="auto"/>
        <w:rPr>
          <w:rFonts w:eastAsia="Calibri"/>
          <w:rtl/>
        </w:rPr>
      </w:pPr>
      <w:r w:rsidRPr="001B37C0">
        <w:rPr>
          <w:rFonts w:eastAsia="Calibri" w:hint="cs"/>
          <w:rtl/>
        </w:rPr>
        <w:t>החלטת הממשלה 1231 קבעה כי נוסף על הקמת מקשר ימי ליבוא ויצוא של גפ"ם במרחב נמל אשדוד, יש לפעול להקמת מתקני אחסון נוספים של גפ</w:t>
      </w:r>
      <w:r w:rsidRPr="001B37C0">
        <w:rPr>
          <w:rFonts w:eastAsia="Calibri"/>
          <w:rtl/>
        </w:rPr>
        <w:t>"</w:t>
      </w:r>
      <w:r w:rsidRPr="001B37C0">
        <w:rPr>
          <w:rFonts w:eastAsia="Calibri" w:hint="cs"/>
          <w:rtl/>
        </w:rPr>
        <w:t>ם, מעבר לכמות 10,000 טונה הנמצאת בקצא"א, כדי לאפשר יתירות תפעולית בתקופת החורף ובעיתות חירום שבהן לא יוכלו אוניות לפקוד את חופי המדינה.</w:t>
      </w:r>
    </w:p>
    <w:p w:rsidR="001B37C0" w:rsidRPr="00E660CE" w:rsidP="002F4530">
      <w:pPr>
        <w:keepNext/>
        <w:keepLines/>
        <w:spacing w:line="269" w:lineRule="auto"/>
        <w:ind w:left="-567"/>
        <w:rPr>
          <w:rFonts w:eastAsia="Calibri"/>
          <w:sz w:val="18"/>
          <w:szCs w:val="18"/>
          <w:rtl/>
        </w:rPr>
      </w:pPr>
    </w:p>
    <w:p w:rsidR="001B37C0" w:rsidRPr="001B37C0" w:rsidP="002F4530">
      <w:pPr>
        <w:keepNext/>
        <w:keepLines/>
        <w:spacing w:line="269" w:lineRule="auto"/>
        <w:outlineLvl w:val="4"/>
        <w:rPr>
          <w:rFonts w:eastAsia="Times New Roman"/>
          <w:bCs/>
          <w:spacing w:val="40"/>
          <w:rtl/>
        </w:rPr>
      </w:pPr>
      <w:r w:rsidRPr="001B37C0">
        <w:rPr>
          <w:rFonts w:eastAsia="Times New Roman" w:hint="cs"/>
          <w:bCs/>
          <w:spacing w:val="40"/>
          <w:rtl/>
        </w:rPr>
        <w:t>שיפוץ מקשר ימי לתזקיקים בנמל אשדוד והשמשתו ליבוא גפ</w:t>
      </w:r>
      <w:r w:rsidRPr="001B37C0">
        <w:rPr>
          <w:rFonts w:eastAsia="Times New Roman"/>
          <w:bCs/>
          <w:spacing w:val="40"/>
          <w:rtl/>
        </w:rPr>
        <w:t>"</w:t>
      </w:r>
      <w:r w:rsidRPr="001B37C0">
        <w:rPr>
          <w:rFonts w:eastAsia="Times New Roman" w:hint="cs"/>
          <w:bCs/>
          <w:spacing w:val="40"/>
          <w:rtl/>
        </w:rPr>
        <w:t xml:space="preserve">ם </w:t>
      </w:r>
    </w:p>
    <w:p w:rsidR="001B37C0" w:rsidRPr="00E660CE" w:rsidP="002F4530">
      <w:pPr>
        <w:rPr>
          <w:rFonts w:eastAsia="Calibri"/>
          <w:sz w:val="16"/>
          <w:szCs w:val="20"/>
          <w:rtl/>
        </w:rPr>
      </w:pPr>
    </w:p>
    <w:p w:rsidR="001B37C0" w:rsidRPr="001B37C0" w:rsidP="002F4530">
      <w:pPr>
        <w:spacing w:line="269" w:lineRule="auto"/>
        <w:rPr>
          <w:rFonts w:eastAsia="Calibri"/>
          <w:rtl/>
        </w:rPr>
      </w:pPr>
      <w:r w:rsidRPr="001B37C0">
        <w:rPr>
          <w:rFonts w:eastAsia="Calibri" w:hint="cs"/>
          <w:rtl/>
        </w:rPr>
        <w:t>בשנות השישים של המאה העשרים</w:t>
      </w:r>
      <w:r w:rsidRPr="001B37C0">
        <w:rPr>
          <w:rFonts w:eastAsia="Calibri"/>
          <w:rtl/>
        </w:rPr>
        <w:t xml:space="preserve"> הוקמו שני מקשרים ימיים מול נמל אשדוד (צפוני בקוטר 24 אינ</w:t>
      </w:r>
      <w:r w:rsidRPr="001B37C0">
        <w:rPr>
          <w:rFonts w:eastAsia="Calibri" w:hint="cs"/>
          <w:rtl/>
        </w:rPr>
        <w:t>ץ׳</w:t>
      </w:r>
      <w:r w:rsidRPr="001B37C0">
        <w:rPr>
          <w:rFonts w:eastAsia="Calibri"/>
          <w:rtl/>
        </w:rPr>
        <w:t xml:space="preserve"> להזרמת מזוט</w:t>
      </w:r>
      <w:r w:rsidRPr="001B37C0">
        <w:rPr>
          <w:rFonts w:eastAsia="Calibri" w:hint="cs"/>
          <w:rtl/>
        </w:rPr>
        <w:t>,</w:t>
      </w:r>
      <w:r w:rsidRPr="001B37C0">
        <w:rPr>
          <w:rFonts w:eastAsia="Calibri"/>
          <w:rtl/>
        </w:rPr>
        <w:t xml:space="preserve"> ודרומי בקוטר 16 אינ</w:t>
      </w:r>
      <w:r w:rsidRPr="001B37C0">
        <w:rPr>
          <w:rFonts w:eastAsia="Calibri" w:hint="cs"/>
          <w:rtl/>
        </w:rPr>
        <w:t>ץ׳</w:t>
      </w:r>
      <w:r w:rsidRPr="001B37C0">
        <w:rPr>
          <w:rFonts w:eastAsia="Calibri"/>
          <w:rtl/>
        </w:rPr>
        <w:t xml:space="preserve"> להזרמת תזקיקים) (להלן - המקשרים הימיים)</w:t>
      </w:r>
      <w:r>
        <w:rPr>
          <w:rFonts w:ascii="David" w:eastAsia="Calibri" w:hAnsi="David" w:hint="cs"/>
          <w:rtl/>
        </w:rPr>
        <w:t xml:space="preserve"> </w:t>
      </w:r>
      <w:r w:rsidRPr="001B37C0">
        <w:rPr>
          <w:rFonts w:eastAsia="Calibri" w:hint="cs"/>
          <w:rtl/>
        </w:rPr>
        <w:t xml:space="preserve">ששירתו </w:t>
      </w:r>
      <w:r w:rsidRPr="001B37C0">
        <w:rPr>
          <w:rFonts w:eastAsia="Calibri"/>
          <w:rtl/>
        </w:rPr>
        <w:t xml:space="preserve">את תחנת הכוח אשכול של חברת החשמל לישראל בע"מ (להלן - </w:t>
      </w:r>
      <w:r w:rsidRPr="001B37C0">
        <w:rPr>
          <w:rFonts w:eastAsia="Calibri" w:hint="cs"/>
          <w:rtl/>
        </w:rPr>
        <w:t>חח"י</w:t>
      </w:r>
      <w:r w:rsidRPr="001B37C0">
        <w:rPr>
          <w:rFonts w:eastAsia="Calibri"/>
          <w:rtl/>
        </w:rPr>
        <w:t>).</w:t>
      </w:r>
      <w:r w:rsidRPr="001B37C0">
        <w:rPr>
          <w:rFonts w:eastAsia="Calibri" w:hint="cs"/>
          <w:rtl/>
        </w:rPr>
        <w:t xml:space="preserve"> בשנים האחרונות, מאז חיבור תחנת הכוח לגז הטבעי כשאין עוד צורך במקשרים לשימוש תחנת הכוח, חח״י מפעילה אותם לשם יבוא ויצוא של תזקיקים מבית הזיקוק באשדוד, </w:t>
      </w:r>
      <w:r w:rsidRPr="001B37C0">
        <w:rPr>
          <w:rFonts w:eastAsia="Calibri" w:hint="eastAsia"/>
          <w:rtl/>
        </w:rPr>
        <w:t>הנדרשים</w:t>
      </w:r>
      <w:r w:rsidRPr="001B37C0">
        <w:rPr>
          <w:rFonts w:eastAsia="Calibri" w:hint="cs"/>
          <w:rtl/>
        </w:rPr>
        <w:t xml:space="preserve"> לצרכים תפעוליים של בז"א.</w:t>
      </w:r>
    </w:p>
    <w:p w:rsidR="001B37C0" w:rsidRPr="00E660CE" w:rsidP="002F4530">
      <w:pPr>
        <w:keepNext/>
        <w:keepLines/>
        <w:spacing w:line="269" w:lineRule="auto"/>
        <w:ind w:left="-567"/>
        <w:rPr>
          <w:rFonts w:eastAsia="Calibri"/>
          <w:sz w:val="18"/>
          <w:szCs w:val="18"/>
          <w:rtl/>
        </w:rPr>
      </w:pPr>
    </w:p>
    <w:p w:rsidR="001B37C0" w:rsidRPr="001B37C0" w:rsidP="002F4530">
      <w:pPr>
        <w:spacing w:line="269" w:lineRule="auto"/>
        <w:rPr>
          <w:rFonts w:eastAsia="Calibri"/>
          <w:rtl/>
        </w:rPr>
      </w:pPr>
      <w:r w:rsidRPr="001B37C0">
        <w:rPr>
          <w:rFonts w:eastAsia="Calibri" w:hint="cs"/>
          <w:rtl/>
        </w:rPr>
        <w:t>ב</w:t>
      </w:r>
      <w:r w:rsidRPr="001B37C0">
        <w:rPr>
          <w:rFonts w:eastAsia="Calibri"/>
          <w:rtl/>
        </w:rPr>
        <w:t xml:space="preserve">סיכום </w:t>
      </w:r>
      <w:r w:rsidRPr="001B37C0">
        <w:rPr>
          <w:rFonts w:eastAsia="Calibri" w:hint="cs"/>
          <w:rtl/>
        </w:rPr>
        <w:t>משנת 1996</w:t>
      </w:r>
      <w:r w:rsidRPr="001B37C0">
        <w:rPr>
          <w:rFonts w:eastAsia="Calibri"/>
          <w:rtl/>
        </w:rPr>
        <w:t xml:space="preserve"> בין רשות הנמלים (היום רספ"ן) </w:t>
      </w:r>
      <w:r w:rsidRPr="001B37C0">
        <w:rPr>
          <w:rFonts w:eastAsia="Calibri" w:hint="cs"/>
          <w:rtl/>
        </w:rPr>
        <w:t>ו</w:t>
      </w:r>
      <w:r w:rsidRPr="001B37C0">
        <w:rPr>
          <w:rFonts w:eastAsia="Calibri"/>
          <w:rtl/>
        </w:rPr>
        <w:t>בין חח"י</w:t>
      </w:r>
      <w:r w:rsidRPr="001B37C0">
        <w:rPr>
          <w:rFonts w:eastAsia="Calibri" w:hint="cs"/>
          <w:rtl/>
        </w:rPr>
        <w:t xml:space="preserve"> נקבע כי המקשרים הימיים וצנרת ההולכה מהם יופעלו </w:t>
      </w:r>
      <w:r w:rsidRPr="001B37C0">
        <w:rPr>
          <w:rFonts w:eastAsia="Calibri"/>
          <w:rtl/>
        </w:rPr>
        <w:t>ע</w:t>
      </w:r>
      <w:r w:rsidRPr="001B37C0">
        <w:rPr>
          <w:rFonts w:eastAsia="Calibri" w:hint="cs"/>
          <w:rtl/>
        </w:rPr>
        <w:t>ל ידי</w:t>
      </w:r>
      <w:r w:rsidRPr="001B37C0">
        <w:rPr>
          <w:rFonts w:eastAsia="Calibri"/>
          <w:rtl/>
        </w:rPr>
        <w:t xml:space="preserve"> חח"י כל עוד זו תפעיל את תחנת הכ</w:t>
      </w:r>
      <w:r w:rsidRPr="001B37C0">
        <w:rPr>
          <w:rFonts w:eastAsia="Calibri" w:hint="cs"/>
          <w:rtl/>
        </w:rPr>
        <w:t>ו</w:t>
      </w:r>
      <w:r w:rsidRPr="001B37C0">
        <w:rPr>
          <w:rFonts w:eastAsia="Calibri"/>
          <w:rtl/>
        </w:rPr>
        <w:t>ח</w:t>
      </w:r>
      <w:r w:rsidRPr="001B37C0">
        <w:rPr>
          <w:rFonts w:eastAsia="Calibri" w:hint="cs"/>
          <w:rtl/>
        </w:rPr>
        <w:t xml:space="preserve"> אשכול. לאחר מכירת תחנת הכוח לגוף פרטי הוחלט בשנת 2023 על העברתם לבעלות חנ"י, שהיא חברה ממשלתית המשמשת </w:t>
      </w:r>
      <w:r w:rsidRPr="001B37C0">
        <w:rPr>
          <w:rFonts w:eastAsia="Calibri" w:cs="Times New Roman"/>
          <w:sz w:val="24"/>
        </w:rPr>
        <w:t>landlord</w:t>
      </w:r>
      <w:r w:rsidRPr="001B37C0">
        <w:rPr>
          <w:rFonts w:eastAsia="Calibri" w:hint="cs"/>
          <w:rtl/>
        </w:rPr>
        <w:t xml:space="preserve"> בנמלי ישראל, אך אינה חברה מפעילה</w:t>
      </w:r>
      <w:r>
        <w:rPr>
          <w:rFonts w:eastAsia="Calibri"/>
          <w:vertAlign w:val="superscript"/>
          <w:rtl/>
        </w:rPr>
        <w:footnoteReference w:id="108"/>
      </w:r>
      <w:r w:rsidRPr="001B37C0">
        <w:rPr>
          <w:rFonts w:eastAsia="Calibri" w:hint="cs"/>
          <w:rtl/>
        </w:rPr>
        <w:t>. מכיוון שטרם הוחלט מי החברה שתפעיל את המקשר הימי, וכדי לשמור על רציפות תפעולית, חנ"י טרם חתמה מול חח"י על הסכם להעברת הבעלות של המקשר.</w:t>
      </w:r>
    </w:p>
    <w:p w:rsidR="001B37C0" w:rsidRPr="00E660CE" w:rsidP="002F4530">
      <w:pPr>
        <w:keepNext/>
        <w:keepLines/>
        <w:spacing w:line="269" w:lineRule="auto"/>
        <w:ind w:left="-567"/>
        <w:rPr>
          <w:rFonts w:eastAsia="Calibri"/>
          <w:sz w:val="18"/>
          <w:szCs w:val="18"/>
          <w:rtl/>
        </w:rPr>
      </w:pPr>
    </w:p>
    <w:p w:rsidR="00E660CE" w:rsidP="002F4530">
      <w:pPr>
        <w:spacing w:line="269" w:lineRule="auto"/>
        <w:rPr>
          <w:rFonts w:eastAsia="Calibri"/>
          <w:rtl/>
        </w:rPr>
      </w:pPr>
      <w:r w:rsidRPr="001B37C0">
        <w:rPr>
          <w:rFonts w:eastAsia="Calibri" w:hint="cs"/>
          <w:rtl/>
        </w:rPr>
        <w:t>בתמונה להלן תחום תת"ל 81א על רקע תצ"א של מתחם המקשר ומתקני החוף הסמוכים לו באשדוד:</w:t>
      </w:r>
    </w:p>
    <w:p w:rsidR="00E660CE" w:rsidRPr="00E660CE" w:rsidP="002F4530">
      <w:pPr>
        <w:spacing w:line="269" w:lineRule="auto"/>
        <w:rPr>
          <w:rFonts w:eastAsia="Calibri"/>
          <w:sz w:val="2"/>
          <w:szCs w:val="2"/>
          <w:rtl/>
        </w:rPr>
      </w:pPr>
    </w:p>
    <w:p w:rsidR="001B37C0" w:rsidRPr="001B37C0" w:rsidP="002F4530">
      <w:pPr>
        <w:spacing w:line="269" w:lineRule="auto"/>
        <w:jc w:val="center"/>
        <w:rPr>
          <w:rFonts w:eastAsia="Calibri"/>
          <w:b/>
          <w:bCs/>
          <w:rtl/>
        </w:rPr>
      </w:pPr>
      <w:r w:rsidRPr="001B37C0">
        <w:rPr>
          <w:rFonts w:eastAsia="Calibri" w:hint="eastAsia"/>
          <w:rtl/>
        </w:rPr>
        <w:t>תמונה</w:t>
      </w:r>
      <w:r w:rsidRPr="001B37C0">
        <w:rPr>
          <w:rFonts w:eastAsia="Calibri"/>
          <w:rtl/>
        </w:rPr>
        <w:t xml:space="preserve"> 5:</w:t>
      </w:r>
      <w:r w:rsidRPr="001B37C0">
        <w:rPr>
          <w:rFonts w:eastAsia="Calibri" w:hint="cs"/>
          <w:b/>
          <w:bCs/>
        </w:rPr>
        <w:t xml:space="preserve"> </w:t>
      </w:r>
      <w:r w:rsidRPr="001B37C0">
        <w:rPr>
          <w:rFonts w:eastAsia="Calibri" w:hint="cs"/>
          <w:b/>
          <w:bCs/>
          <w:rtl/>
        </w:rPr>
        <w:t>מתחם המקשר ומתקני החוף הסמוכים לו באשדוד</w:t>
      </w:r>
    </w:p>
    <w:p w:rsidR="001B37C0" w:rsidRPr="001B37C0" w:rsidP="002F4530">
      <w:pPr>
        <w:spacing w:line="269" w:lineRule="auto"/>
        <w:jc w:val="center"/>
        <w:rPr>
          <w:rFonts w:eastAsia="Calibri"/>
          <w:rtl/>
        </w:rPr>
      </w:pPr>
      <w:r w:rsidRPr="001B37C0">
        <w:rPr>
          <w:rFonts w:eastAsia="Calibri"/>
          <w:noProof/>
        </w:rPr>
        <w:drawing>
          <wp:inline distT="0" distB="0" distL="0" distR="0">
            <wp:extent cx="2974367" cy="1845910"/>
            <wp:effectExtent l="0" t="0" r="0" b="2540"/>
            <wp:docPr id="3" name="תמונה 3" descr="תצלום אויר של מתחם המקשר הימי ומתקני החוף הסמוכים לו באשדו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22"/>
                    <a:stretch>
                      <a:fillRect/>
                    </a:stretch>
                  </pic:blipFill>
                  <pic:spPr>
                    <a:xfrm>
                      <a:off x="0" y="0"/>
                      <a:ext cx="2983508" cy="1851583"/>
                    </a:xfrm>
                    <a:prstGeom prst="rect">
                      <a:avLst/>
                    </a:prstGeom>
                  </pic:spPr>
                </pic:pic>
              </a:graphicData>
            </a:graphic>
          </wp:inline>
        </w:drawing>
      </w:r>
    </w:p>
    <w:p w:rsidR="001B37C0" w:rsidRPr="001B37C0" w:rsidP="002F4530">
      <w:pPr>
        <w:spacing w:line="269" w:lineRule="auto"/>
        <w:rPr>
          <w:rFonts w:eastAsia="Calibri"/>
          <w:szCs w:val="20"/>
          <w:rtl/>
        </w:rPr>
      </w:pPr>
      <w:r w:rsidRPr="001B37C0">
        <w:rPr>
          <w:rFonts w:eastAsia="Calibri" w:hint="eastAsia"/>
          <w:szCs w:val="20"/>
          <w:rtl/>
        </w:rPr>
        <w:t>המקור</w:t>
      </w:r>
      <w:r w:rsidRPr="001B37C0">
        <w:rPr>
          <w:rFonts w:eastAsia="Calibri"/>
          <w:szCs w:val="20"/>
          <w:rtl/>
        </w:rPr>
        <w:t xml:space="preserve">: חנ"י. </w:t>
      </w:r>
    </w:p>
    <w:p w:rsidR="001B37C0" w:rsidRPr="001B37C0" w:rsidP="002F4530">
      <w:pPr>
        <w:spacing w:line="269" w:lineRule="auto"/>
        <w:rPr>
          <w:rFonts w:eastAsia="Calibri"/>
          <w:rtl/>
        </w:rPr>
      </w:pPr>
      <w:r w:rsidRPr="001B37C0">
        <w:rPr>
          <w:rFonts w:eastAsia="Calibri" w:hint="cs"/>
          <w:rtl/>
        </w:rPr>
        <w:t>התמונה ממחישה את הפוטנציאל העתידי לשימוש במקשרי התזקיקים הקיימים באשדוד כתשתית קיימת שתוכל לשמש לאחר ביצוע פעולות התאמה נדרשות ליבוא וליצוא של גפ"ם, נוסף על התשתית במקשר קצא"א באשקלון.</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בדצמבר 2022 פנה המשרד לאיכות הסביבה למנכ"ל חח"י בדרישה לשיפוץ מקשר התזקיקים באשדוד עקב מצבו הרעוע, וקבע לוחות זמנים לסיום השמשת המקשר עד סוף שנת 2027. במרץ 2025 פנתה חנ"י למוסדות התכנון כדי לאשר את תוכניות שיפוץ המקשר באשדוד. בפנייתה איחדה חנ"י בין הצורך בשיפוץ המקשר בהתאם להנחיית המשרד להגנת הסביבה ובין הצורך ביבוא ויצוא של גפ</w:t>
      </w:r>
      <w:r w:rsidRPr="001B37C0">
        <w:rPr>
          <w:rFonts w:eastAsia="Calibri"/>
          <w:rtl/>
        </w:rPr>
        <w:t>"</w:t>
      </w:r>
      <w:r w:rsidRPr="001B37C0">
        <w:rPr>
          <w:rFonts w:eastAsia="Calibri" w:hint="cs"/>
          <w:rtl/>
        </w:rPr>
        <w:t xml:space="preserve">ם בהתאם להחלטת הממשלה 1231 לכדי תוכנית אחת שהיא תבצע. </w:t>
      </w:r>
    </w:p>
    <w:p w:rsidR="001B37C0" w:rsidRPr="001B37C0" w:rsidP="002F4530">
      <w:pPr>
        <w:keepNext/>
        <w:keepLines/>
        <w:spacing w:line="269" w:lineRule="auto"/>
        <w:ind w:left="-567"/>
        <w:rPr>
          <w:rFonts w:eastAsia="Calibri"/>
          <w:szCs w:val="20"/>
          <w:rtl/>
        </w:rPr>
      </w:pPr>
    </w:p>
    <w:p w:rsidR="001B37C0" w:rsidP="002F4530">
      <w:pPr>
        <w:tabs>
          <w:tab w:val="left" w:pos="566"/>
        </w:tabs>
        <w:spacing w:line="269" w:lineRule="auto"/>
        <w:rPr>
          <w:rFonts w:eastAsia="Calibri"/>
          <w:b/>
          <w:bCs/>
          <w:rtl/>
        </w:rPr>
      </w:pPr>
      <w:r w:rsidRPr="001B37C0">
        <w:rPr>
          <w:rFonts w:eastAsia="Calibri" w:hint="cs"/>
          <w:b/>
          <w:bCs/>
          <w:rtl/>
        </w:rPr>
        <w:t>במימוש החלטת הממשלה 1231 ממרץ 2022 תתאפשר כניסה חדשה של גפ</w:t>
      </w:r>
      <w:r w:rsidRPr="001B37C0">
        <w:rPr>
          <w:rFonts w:eastAsia="Calibri"/>
          <w:b/>
          <w:bCs/>
          <w:rtl/>
        </w:rPr>
        <w:t>"</w:t>
      </w:r>
      <w:r w:rsidRPr="001B37C0">
        <w:rPr>
          <w:rFonts w:eastAsia="Calibri" w:hint="cs"/>
          <w:b/>
          <w:bCs/>
          <w:rtl/>
        </w:rPr>
        <w:t>ם ביבוא ימי באזור הדרום, באמצעות הנחת צינורות גפ</w:t>
      </w:r>
      <w:r w:rsidRPr="001B37C0">
        <w:rPr>
          <w:rFonts w:eastAsia="Calibri"/>
          <w:b/>
          <w:bCs/>
          <w:rtl/>
        </w:rPr>
        <w:t>"</w:t>
      </w:r>
      <w:r w:rsidRPr="001B37C0">
        <w:rPr>
          <w:rFonts w:eastAsia="Calibri" w:hint="cs"/>
          <w:b/>
          <w:bCs/>
          <w:rtl/>
        </w:rPr>
        <w:t>ם חדשים על צינורות מקשר התזקיקים הקיימים ממילא, המשמשים כיום את בז"א ליבוא ויצוא של תזקיקים. בכך אמורים להיחסך זמן ועלויות, שכן המקשר עצמו כבר קיים ותוואי הקרקע לתשתיות ולצנרת כבר מוסדר סטטוטורית.</w:t>
      </w:r>
    </w:p>
    <w:p w:rsidR="001B37C0" w:rsidRPr="001B37C0" w:rsidP="002F4530">
      <w:pPr>
        <w:tabs>
          <w:tab w:val="left" w:pos="566"/>
        </w:tabs>
        <w:spacing w:line="269" w:lineRule="auto"/>
        <w:rPr>
          <w:rFonts w:eastAsia="Calibri"/>
          <w:b/>
          <w:bCs/>
          <w:rtl/>
        </w:rPr>
      </w:pPr>
    </w:p>
    <w:p w:rsidR="001B37C0" w:rsidRPr="001B37C0" w:rsidP="002F4530">
      <w:pPr>
        <w:spacing w:line="269" w:lineRule="auto"/>
        <w:rPr>
          <w:rFonts w:eastAsia="Calibri"/>
          <w:rtl/>
        </w:rPr>
      </w:pPr>
      <w:r w:rsidRPr="001B37C0">
        <w:rPr>
          <w:rFonts w:eastAsia="Calibri" w:hint="cs"/>
          <w:rtl/>
        </w:rPr>
        <w:t xml:space="preserve">חנ"י מסרה בתגובתה כי החליטה </w:t>
      </w:r>
      <w:r w:rsidRPr="001B37C0">
        <w:rPr>
          <w:rFonts w:eastAsia="Calibri"/>
          <w:rtl/>
        </w:rPr>
        <w:t>לצאת למכרז ביצוע</w:t>
      </w:r>
      <w:r w:rsidRPr="001B37C0">
        <w:rPr>
          <w:rFonts w:eastAsia="Calibri" w:hint="cs"/>
          <w:rtl/>
        </w:rPr>
        <w:t xml:space="preserve"> </w:t>
      </w:r>
      <w:r w:rsidRPr="001B37C0">
        <w:rPr>
          <w:rFonts w:eastAsia="Calibri"/>
          <w:rtl/>
        </w:rPr>
        <w:t xml:space="preserve">ואף החלה בביצוע פרויקט המקשרים להולכת התזקיקים </w:t>
      </w:r>
      <w:r w:rsidRPr="001B37C0">
        <w:rPr>
          <w:rFonts w:eastAsia="Calibri" w:hint="cs"/>
          <w:rtl/>
        </w:rPr>
        <w:t>ב</w:t>
      </w:r>
      <w:r w:rsidRPr="001B37C0">
        <w:rPr>
          <w:rFonts w:eastAsia="Calibri"/>
          <w:rtl/>
        </w:rPr>
        <w:t>השקע</w:t>
      </w:r>
      <w:r w:rsidRPr="001B37C0">
        <w:rPr>
          <w:rFonts w:eastAsia="Calibri" w:hint="cs"/>
          <w:rtl/>
        </w:rPr>
        <w:t>ה</w:t>
      </w:r>
      <w:r w:rsidRPr="001B37C0">
        <w:rPr>
          <w:rFonts w:eastAsia="Calibri"/>
          <w:rtl/>
        </w:rPr>
        <w:t xml:space="preserve"> של עשרות מיליוני ש</w:t>
      </w:r>
      <w:r w:rsidRPr="001B37C0">
        <w:rPr>
          <w:rFonts w:eastAsia="Calibri" w:hint="cs"/>
          <w:rtl/>
        </w:rPr>
        <w:t>"</w:t>
      </w:r>
      <w:r w:rsidRPr="001B37C0">
        <w:rPr>
          <w:rFonts w:eastAsia="Calibri"/>
          <w:rtl/>
        </w:rPr>
        <w:t xml:space="preserve">ח למרות שטרם </w:t>
      </w:r>
      <w:r w:rsidRPr="001B37C0">
        <w:rPr>
          <w:rFonts w:eastAsia="Calibri" w:hint="cs"/>
          <w:rtl/>
        </w:rPr>
        <w:t>בשלו כל</w:t>
      </w:r>
      <w:r w:rsidRPr="001B37C0">
        <w:rPr>
          <w:rFonts w:eastAsia="Calibri"/>
          <w:rtl/>
        </w:rPr>
        <w:t xml:space="preserve"> התנאים </w:t>
      </w:r>
      <w:r w:rsidRPr="001B37C0">
        <w:rPr>
          <w:rFonts w:eastAsia="Calibri" w:hint="cs"/>
          <w:rtl/>
        </w:rPr>
        <w:t>הנדרשים לכך.</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bookmarkStart w:id="34" w:name="_Hlk222303256"/>
      <w:r w:rsidRPr="001B37C0">
        <w:rPr>
          <w:rFonts w:eastAsia="Calibri" w:hint="cs"/>
          <w:b/>
          <w:bCs/>
          <w:rtl/>
        </w:rPr>
        <w:t xml:space="preserve">לאחר </w:t>
      </w:r>
      <w:r w:rsidRPr="001B37C0">
        <w:rPr>
          <w:rFonts w:eastAsia="Calibri" w:hint="eastAsia"/>
          <w:b/>
          <w:bCs/>
          <w:rtl/>
        </w:rPr>
        <w:t>מועד</w:t>
      </w:r>
      <w:r w:rsidRPr="001B37C0">
        <w:rPr>
          <w:rFonts w:eastAsia="Calibri"/>
          <w:b/>
          <w:bCs/>
          <w:rtl/>
        </w:rPr>
        <w:t xml:space="preserve"> </w:t>
      </w:r>
      <w:r w:rsidRPr="001B37C0">
        <w:rPr>
          <w:rFonts w:eastAsia="Calibri" w:hint="eastAsia"/>
          <w:b/>
          <w:bCs/>
          <w:rtl/>
        </w:rPr>
        <w:t>סיום</w:t>
      </w:r>
      <w:r w:rsidRPr="001B37C0">
        <w:rPr>
          <w:rFonts w:eastAsia="Calibri"/>
          <w:b/>
          <w:bCs/>
          <w:rtl/>
        </w:rPr>
        <w:t xml:space="preserve"> </w:t>
      </w:r>
      <w:r w:rsidRPr="001B37C0">
        <w:rPr>
          <w:rFonts w:eastAsia="Calibri" w:hint="eastAsia"/>
          <w:b/>
          <w:bCs/>
          <w:rtl/>
        </w:rPr>
        <w:t>הביקורת</w:t>
      </w:r>
      <w:r w:rsidRPr="001B37C0">
        <w:rPr>
          <w:rFonts w:eastAsia="Calibri"/>
          <w:b/>
          <w:bCs/>
          <w:rtl/>
        </w:rPr>
        <w:t xml:space="preserve"> </w:t>
      </w:r>
      <w:r w:rsidRPr="001B37C0">
        <w:rPr>
          <w:rFonts w:eastAsia="Calibri" w:hint="cs"/>
          <w:b/>
          <w:bCs/>
          <w:rtl/>
        </w:rPr>
        <w:t xml:space="preserve">אישרה הממשלה את </w:t>
      </w:r>
      <w:r w:rsidRPr="001B37C0">
        <w:rPr>
          <w:rFonts w:eastAsia="Calibri" w:hint="eastAsia"/>
          <w:b/>
          <w:bCs/>
          <w:rtl/>
        </w:rPr>
        <w:t>תוכנית</w:t>
      </w:r>
      <w:r w:rsidRPr="001B37C0">
        <w:rPr>
          <w:rFonts w:eastAsia="Calibri"/>
          <w:b/>
          <w:bCs/>
          <w:rtl/>
        </w:rPr>
        <w:t xml:space="preserve"> </w:t>
      </w:r>
      <w:r w:rsidRPr="001B37C0">
        <w:rPr>
          <w:rFonts w:eastAsia="Calibri" w:hint="cs"/>
          <w:b/>
          <w:bCs/>
          <w:rtl/>
        </w:rPr>
        <w:t xml:space="preserve">תת"ל 81א, והוחל בהקמת תשתיות הדלק. על פי עמדת משרד הביטחון, </w:t>
      </w:r>
      <w:r w:rsidRPr="001B37C0">
        <w:rPr>
          <w:rFonts w:eastAsia="Calibri" w:hint="eastAsia"/>
          <w:b/>
          <w:bCs/>
          <w:rtl/>
        </w:rPr>
        <w:t>חלופת</w:t>
      </w:r>
      <w:r w:rsidRPr="001B37C0">
        <w:rPr>
          <w:rFonts w:eastAsia="Calibri"/>
          <w:b/>
          <w:bCs/>
          <w:rtl/>
        </w:rPr>
        <w:t xml:space="preserve"> הקמת מתקן אחסון נוסף בחצרות קצא"א </w:t>
      </w:r>
      <w:r w:rsidRPr="001B37C0">
        <w:rPr>
          <w:rFonts w:eastAsia="Calibri" w:hint="eastAsia"/>
          <w:b/>
          <w:bCs/>
          <w:rtl/>
        </w:rPr>
        <w:t>באזור</w:t>
      </w:r>
      <w:r w:rsidRPr="001B37C0">
        <w:rPr>
          <w:rFonts w:eastAsia="Calibri"/>
          <w:b/>
          <w:bCs/>
          <w:rtl/>
        </w:rPr>
        <w:t xml:space="preserve"> הדרום בהתאם </w:t>
      </w:r>
      <w:r w:rsidRPr="001B37C0">
        <w:rPr>
          <w:rFonts w:eastAsia="Calibri" w:hint="eastAsia"/>
          <w:b/>
          <w:bCs/>
          <w:rtl/>
        </w:rPr>
        <w:t>לתמ</w:t>
      </w:r>
      <w:r w:rsidRPr="001B37C0">
        <w:rPr>
          <w:rFonts w:eastAsia="Calibri"/>
          <w:b/>
          <w:bCs/>
          <w:rtl/>
        </w:rPr>
        <w:t>"א 32, או מקשר ימי נוסף מול חופי אשקלון</w:t>
      </w:r>
      <w:r w:rsidRPr="001B37C0">
        <w:rPr>
          <w:rFonts w:eastAsia="Calibri" w:hint="cs"/>
          <w:b/>
          <w:bCs/>
          <w:rtl/>
        </w:rPr>
        <w:t>,</w:t>
      </w:r>
      <w:r w:rsidRPr="001B37C0">
        <w:rPr>
          <w:rFonts w:eastAsia="Calibri"/>
          <w:b/>
          <w:bCs/>
          <w:rtl/>
        </w:rPr>
        <w:t xml:space="preserve"> </w:t>
      </w:r>
      <w:r w:rsidRPr="001B37C0">
        <w:rPr>
          <w:rFonts w:eastAsia="Calibri" w:hint="eastAsia"/>
          <w:b/>
          <w:bCs/>
          <w:rtl/>
        </w:rPr>
        <w:t>עלול</w:t>
      </w:r>
      <w:r w:rsidRPr="001B37C0">
        <w:rPr>
          <w:rFonts w:eastAsia="Calibri" w:hint="cs"/>
          <w:b/>
          <w:bCs/>
          <w:rtl/>
        </w:rPr>
        <w:t>ה</w:t>
      </w:r>
      <w:r w:rsidRPr="001B37C0">
        <w:rPr>
          <w:rFonts w:eastAsia="Calibri"/>
          <w:b/>
          <w:bCs/>
          <w:rtl/>
        </w:rPr>
        <w:t xml:space="preserve"> </w:t>
      </w:r>
      <w:r w:rsidRPr="001B37C0">
        <w:rPr>
          <w:rFonts w:eastAsia="Calibri" w:hint="eastAsia"/>
          <w:b/>
          <w:bCs/>
          <w:rtl/>
        </w:rPr>
        <w:t>שלא</w:t>
      </w:r>
      <w:r w:rsidRPr="001B37C0">
        <w:rPr>
          <w:rFonts w:eastAsia="Calibri"/>
          <w:b/>
          <w:bCs/>
          <w:rtl/>
        </w:rPr>
        <w:t xml:space="preserve"> </w:t>
      </w:r>
      <w:r w:rsidRPr="001B37C0">
        <w:rPr>
          <w:rFonts w:eastAsia="Calibri" w:hint="eastAsia"/>
          <w:b/>
          <w:bCs/>
          <w:rtl/>
        </w:rPr>
        <w:t>לתת</w:t>
      </w:r>
      <w:r w:rsidRPr="001B37C0">
        <w:rPr>
          <w:rFonts w:eastAsia="Calibri"/>
          <w:b/>
          <w:bCs/>
          <w:rtl/>
        </w:rPr>
        <w:t xml:space="preserve"> מענה ראוי </w:t>
      </w:r>
      <w:r w:rsidRPr="001B37C0">
        <w:rPr>
          <w:rFonts w:eastAsia="Calibri" w:hint="cs"/>
          <w:b/>
          <w:bCs/>
          <w:rtl/>
        </w:rPr>
        <w:t>בשל ה</w:t>
      </w:r>
      <w:r w:rsidRPr="001B37C0">
        <w:rPr>
          <w:rFonts w:eastAsia="Calibri"/>
          <w:b/>
          <w:bCs/>
          <w:rtl/>
        </w:rPr>
        <w:t>חשש הביטחוני</w:t>
      </w:r>
      <w:r w:rsidRPr="001B37C0">
        <w:rPr>
          <w:rFonts w:eastAsia="Calibri" w:hint="cs"/>
          <w:b/>
          <w:bCs/>
          <w:rtl/>
        </w:rPr>
        <w:t xml:space="preserve"> </w:t>
      </w:r>
      <w:r w:rsidRPr="001B37C0">
        <w:rPr>
          <w:rFonts w:eastAsia="Calibri"/>
          <w:b/>
          <w:bCs/>
          <w:rtl/>
        </w:rPr>
        <w:t xml:space="preserve">שעלה במלחמת חרבות ברזל, שכן </w:t>
      </w:r>
      <w:r w:rsidRPr="001B37C0">
        <w:rPr>
          <w:rFonts w:eastAsia="Calibri" w:hint="eastAsia"/>
          <w:b/>
          <w:bCs/>
          <w:rtl/>
        </w:rPr>
        <w:t>הדבר</w:t>
      </w:r>
      <w:r w:rsidRPr="001B37C0">
        <w:rPr>
          <w:rFonts w:eastAsia="Calibri"/>
          <w:b/>
          <w:bCs/>
          <w:rtl/>
        </w:rPr>
        <w:t xml:space="preserve"> </w:t>
      </w:r>
      <w:r w:rsidRPr="001B37C0">
        <w:rPr>
          <w:rFonts w:eastAsia="Calibri" w:hint="cs"/>
          <w:b/>
          <w:bCs/>
          <w:rtl/>
        </w:rPr>
        <w:t>עלול להגביר</w:t>
      </w:r>
      <w:r w:rsidRPr="001B37C0">
        <w:rPr>
          <w:rFonts w:eastAsia="Calibri"/>
          <w:b/>
          <w:bCs/>
          <w:rtl/>
        </w:rPr>
        <w:t xml:space="preserve"> את הסיכונים הביטחוניים </w:t>
      </w:r>
      <w:r w:rsidRPr="001B37C0">
        <w:rPr>
          <w:rFonts w:eastAsia="Calibri" w:hint="cs"/>
          <w:b/>
          <w:bCs/>
          <w:rtl/>
        </w:rPr>
        <w:t>שעלו</w:t>
      </w:r>
      <w:r w:rsidRPr="001B37C0">
        <w:rPr>
          <w:rFonts w:eastAsia="Calibri"/>
          <w:b/>
          <w:bCs/>
          <w:rtl/>
        </w:rPr>
        <w:t xml:space="preserve"> </w:t>
      </w:r>
      <w:r w:rsidRPr="001B37C0">
        <w:rPr>
          <w:rFonts w:eastAsia="Calibri" w:hint="cs"/>
          <w:b/>
          <w:bCs/>
          <w:rtl/>
        </w:rPr>
        <w:t>מ</w:t>
      </w:r>
      <w:r w:rsidRPr="001B37C0">
        <w:rPr>
          <w:rFonts w:eastAsia="Calibri"/>
          <w:b/>
          <w:bCs/>
          <w:rtl/>
        </w:rPr>
        <w:t xml:space="preserve">שימוש בנמל </w:t>
      </w:r>
      <w:r w:rsidRPr="001B37C0">
        <w:rPr>
          <w:rFonts w:eastAsia="Calibri" w:hint="eastAsia"/>
          <w:b/>
          <w:bCs/>
          <w:rtl/>
        </w:rPr>
        <w:t>קצא</w:t>
      </w:r>
      <w:r w:rsidRPr="001B37C0">
        <w:rPr>
          <w:rFonts w:eastAsia="Calibri"/>
          <w:b/>
          <w:bCs/>
          <w:rtl/>
        </w:rPr>
        <w:t xml:space="preserve">"א </w:t>
      </w:r>
      <w:r w:rsidRPr="001B37C0">
        <w:rPr>
          <w:rFonts w:eastAsia="Calibri" w:hint="cs"/>
          <w:b/>
          <w:bCs/>
          <w:rtl/>
        </w:rPr>
        <w:t>בזמן</w:t>
      </w:r>
      <w:r w:rsidRPr="001B37C0">
        <w:rPr>
          <w:rFonts w:eastAsia="Calibri"/>
          <w:b/>
          <w:bCs/>
          <w:rtl/>
        </w:rPr>
        <w:t xml:space="preserve"> המלחמה</w:t>
      </w:r>
      <w:r>
        <w:rPr>
          <w:rFonts w:eastAsia="Calibri"/>
          <w:b/>
          <w:bCs/>
          <w:color w:val="000000"/>
          <w:vertAlign w:val="superscript"/>
          <w:rtl/>
        </w:rPr>
        <w:footnoteReference w:id="109"/>
      </w:r>
      <w:r w:rsidRPr="001B37C0">
        <w:rPr>
          <w:rFonts w:eastAsia="Calibri"/>
          <w:b/>
          <w:bCs/>
          <w:color w:val="000000"/>
          <w:rtl/>
        </w:rPr>
        <w:t xml:space="preserve">, </w:t>
      </w:r>
      <w:r w:rsidRPr="001B37C0">
        <w:rPr>
          <w:rFonts w:eastAsia="Calibri"/>
          <w:b/>
          <w:bCs/>
          <w:rtl/>
        </w:rPr>
        <w:t xml:space="preserve">ללא יצירת חלופה באזור </w:t>
      </w:r>
      <w:r w:rsidRPr="001B37C0">
        <w:rPr>
          <w:rFonts w:eastAsia="Calibri" w:hint="cs"/>
          <w:b/>
          <w:bCs/>
          <w:rtl/>
        </w:rPr>
        <w:t xml:space="preserve">דרום הארץ </w:t>
      </w:r>
      <w:r w:rsidRPr="001B37C0">
        <w:rPr>
          <w:rFonts w:eastAsia="Calibri"/>
          <w:b/>
          <w:bCs/>
          <w:rtl/>
        </w:rPr>
        <w:t xml:space="preserve">לפיזור רמת הסיכון.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b/>
          <w:bCs/>
          <w:rtl/>
        </w:rPr>
        <w:t xml:space="preserve">כמו כן, </w:t>
      </w:r>
      <w:r w:rsidRPr="001B37C0">
        <w:rPr>
          <w:rFonts w:eastAsia="Calibri" w:hint="eastAsia"/>
          <w:b/>
          <w:bCs/>
          <w:rtl/>
        </w:rPr>
        <w:t>בניית</w:t>
      </w:r>
      <w:r w:rsidRPr="001B37C0">
        <w:rPr>
          <w:rFonts w:eastAsia="Calibri"/>
          <w:b/>
          <w:bCs/>
          <w:rtl/>
        </w:rPr>
        <w:t xml:space="preserve"> </w:t>
      </w:r>
      <w:r w:rsidRPr="001B37C0">
        <w:rPr>
          <w:rFonts w:eastAsia="Calibri" w:hint="eastAsia"/>
          <w:b/>
          <w:bCs/>
          <w:rtl/>
        </w:rPr>
        <w:t>צינורות</w:t>
      </w:r>
      <w:r w:rsidRPr="001B37C0">
        <w:rPr>
          <w:rFonts w:eastAsia="Calibri"/>
          <w:b/>
          <w:bCs/>
          <w:rtl/>
        </w:rPr>
        <w:t xml:space="preserve"> </w:t>
      </w:r>
      <w:r w:rsidRPr="001B37C0">
        <w:rPr>
          <w:rFonts w:eastAsia="Calibri" w:hint="eastAsia"/>
          <w:b/>
          <w:bCs/>
          <w:rtl/>
        </w:rPr>
        <w:t>הגפ</w:t>
      </w:r>
      <w:r w:rsidRPr="001B37C0">
        <w:rPr>
          <w:rFonts w:eastAsia="Calibri"/>
          <w:b/>
          <w:bCs/>
          <w:rtl/>
        </w:rPr>
        <w:t>"</w:t>
      </w:r>
      <w:r w:rsidRPr="001B37C0">
        <w:rPr>
          <w:rFonts w:eastAsia="Calibri" w:hint="eastAsia"/>
          <w:b/>
          <w:bCs/>
          <w:rtl/>
        </w:rPr>
        <w:t>ם</w:t>
      </w:r>
      <w:r w:rsidRPr="001B37C0">
        <w:rPr>
          <w:rFonts w:eastAsia="Calibri"/>
          <w:b/>
          <w:bCs/>
          <w:rtl/>
        </w:rPr>
        <w:t xml:space="preserve"> החדשים במקשר הימי הקיים באשדוד אגב שיפוצו תאפשר לבז"א</w:t>
      </w:r>
      <w:r w:rsidRPr="001B37C0">
        <w:rPr>
          <w:rFonts w:eastAsia="Calibri" w:hint="cs"/>
          <w:b/>
          <w:bCs/>
          <w:rtl/>
        </w:rPr>
        <w:t>,</w:t>
      </w:r>
      <w:r w:rsidRPr="001B37C0">
        <w:rPr>
          <w:rFonts w:eastAsia="Calibri"/>
          <w:b/>
          <w:bCs/>
          <w:rtl/>
        </w:rPr>
        <w:t xml:space="preserve"> </w:t>
      </w:r>
      <w:r w:rsidRPr="001B37C0">
        <w:rPr>
          <w:rFonts w:eastAsia="Calibri" w:hint="cs"/>
          <w:b/>
          <w:bCs/>
          <w:rtl/>
        </w:rPr>
        <w:t>ש</w:t>
      </w:r>
      <w:r w:rsidRPr="001B37C0">
        <w:rPr>
          <w:rFonts w:eastAsia="Calibri"/>
          <w:b/>
          <w:bCs/>
          <w:rtl/>
        </w:rPr>
        <w:t xml:space="preserve">לאחר סגירת בז"ן </w:t>
      </w:r>
      <w:r w:rsidRPr="001B37C0">
        <w:rPr>
          <w:rFonts w:eastAsia="Calibri" w:hint="cs"/>
          <w:b/>
          <w:bCs/>
          <w:rtl/>
        </w:rPr>
        <w:t xml:space="preserve">יהיה </w:t>
      </w:r>
      <w:r w:rsidRPr="001B37C0">
        <w:rPr>
          <w:rFonts w:eastAsia="Calibri"/>
          <w:b/>
          <w:bCs/>
          <w:rtl/>
        </w:rPr>
        <w:t>יצרן ה</w:t>
      </w:r>
      <w:r w:rsidRPr="001B37C0">
        <w:rPr>
          <w:rFonts w:eastAsia="Calibri" w:hint="eastAsia"/>
          <w:b/>
          <w:bCs/>
          <w:rtl/>
        </w:rPr>
        <w:t>גפ</w:t>
      </w:r>
      <w:r w:rsidRPr="001B37C0">
        <w:rPr>
          <w:rFonts w:eastAsia="Calibri"/>
          <w:b/>
          <w:bCs/>
          <w:rtl/>
        </w:rPr>
        <w:t>"</w:t>
      </w:r>
      <w:r w:rsidRPr="001B37C0">
        <w:rPr>
          <w:rFonts w:eastAsia="Calibri" w:hint="eastAsia"/>
          <w:b/>
          <w:bCs/>
          <w:rtl/>
        </w:rPr>
        <w:t>ם</w:t>
      </w:r>
      <w:r w:rsidRPr="001B37C0">
        <w:rPr>
          <w:rFonts w:eastAsia="Calibri"/>
          <w:b/>
          <w:bCs/>
          <w:rtl/>
        </w:rPr>
        <w:t xml:space="preserve"> היחיד במדינה, לייצא את ה</w:t>
      </w:r>
      <w:r w:rsidRPr="001B37C0">
        <w:rPr>
          <w:rFonts w:eastAsia="Calibri" w:hint="eastAsia"/>
          <w:b/>
          <w:bCs/>
          <w:rtl/>
        </w:rPr>
        <w:t>גפ</w:t>
      </w:r>
      <w:r w:rsidRPr="001B37C0">
        <w:rPr>
          <w:rFonts w:eastAsia="Calibri"/>
          <w:b/>
          <w:bCs/>
          <w:rtl/>
        </w:rPr>
        <w:t>"</w:t>
      </w:r>
      <w:r w:rsidRPr="001B37C0">
        <w:rPr>
          <w:rFonts w:eastAsia="Calibri" w:hint="eastAsia"/>
          <w:b/>
          <w:bCs/>
          <w:rtl/>
        </w:rPr>
        <w:t>ם</w:t>
      </w:r>
      <w:r w:rsidRPr="001B37C0">
        <w:rPr>
          <w:rFonts w:eastAsia="Calibri"/>
          <w:b/>
          <w:bCs/>
          <w:rtl/>
        </w:rPr>
        <w:t xml:space="preserve"> האולפיני ולהמשיך את פעילות</w:t>
      </w:r>
      <w:r w:rsidRPr="001B37C0">
        <w:rPr>
          <w:rFonts w:eastAsia="Calibri" w:hint="cs"/>
          <w:b/>
          <w:bCs/>
          <w:rtl/>
        </w:rPr>
        <w:t>ו</w:t>
      </w:r>
      <w:r w:rsidRPr="001B37C0">
        <w:rPr>
          <w:rFonts w:eastAsia="Calibri"/>
          <w:b/>
          <w:bCs/>
          <w:rtl/>
        </w:rPr>
        <w:t xml:space="preserve"> הסדירה גם לאחר סגירת בז"ן וכאו"ל.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בתשובתו על טיוטת דוח הביקורת ממאי 2026 ציין בז"א כי אם </w:t>
      </w:r>
      <w:r w:rsidRPr="001B37C0">
        <w:rPr>
          <w:rFonts w:eastAsia="Calibri"/>
          <w:rtl/>
        </w:rPr>
        <w:t>פיתוח המקשרים לא יקודם עד לסוף שנת 2027, הדבר עלול להעמיד את כלל פעילות בז"א בסיכון משמעותי.</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משרד האנרגיה מסר בתשובתו כי הוא</w:t>
      </w:r>
      <w:r w:rsidRPr="001B37C0">
        <w:rPr>
          <w:rFonts w:eastAsia="Calibri"/>
          <w:rtl/>
        </w:rPr>
        <w:t xml:space="preserve"> עשה ועושה מאמצים כבירים </w:t>
      </w:r>
      <w:r w:rsidRPr="001B37C0">
        <w:rPr>
          <w:rFonts w:eastAsia="Calibri" w:hint="cs"/>
          <w:rtl/>
        </w:rPr>
        <w:t>כדי</w:t>
      </w:r>
      <w:r w:rsidRPr="001B37C0">
        <w:rPr>
          <w:rFonts w:eastAsia="Calibri"/>
          <w:rtl/>
        </w:rPr>
        <w:t xml:space="preserve"> לקדם את שדרוג המקשר הימי באשדוד, על אף קשיים בירוקרטיים </w:t>
      </w:r>
      <w:r w:rsidRPr="001B37C0">
        <w:rPr>
          <w:rFonts w:eastAsia="Calibri" w:hint="cs"/>
          <w:rtl/>
        </w:rPr>
        <w:t>ואסדרתיים</w:t>
      </w:r>
      <w:r w:rsidRPr="001B37C0">
        <w:rPr>
          <w:rFonts w:eastAsia="Calibri"/>
          <w:rtl/>
        </w:rPr>
        <w:t xml:space="preserve"> </w:t>
      </w:r>
      <w:r w:rsidRPr="001B37C0">
        <w:rPr>
          <w:rFonts w:eastAsia="Calibri" w:hint="cs"/>
          <w:rtl/>
        </w:rPr>
        <w:t>הנוגעים ל</w:t>
      </w:r>
      <w:r w:rsidRPr="001B37C0">
        <w:rPr>
          <w:rFonts w:eastAsia="Calibri"/>
          <w:rtl/>
        </w:rPr>
        <w:t>כלל גורמי הממשל</w:t>
      </w:r>
    </w:p>
    <w:bookmarkEnd w:id="34"/>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color w:val="000000"/>
          <w:rtl/>
        </w:rPr>
      </w:pPr>
      <w:r w:rsidRPr="001B37C0">
        <w:rPr>
          <w:rFonts w:eastAsia="Calibri" w:hint="eastAsia"/>
          <w:b/>
          <w:bCs/>
          <w:color w:val="000000"/>
          <w:rtl/>
        </w:rPr>
        <w:t>מומלץ</w:t>
      </w:r>
      <w:r w:rsidRPr="001B37C0">
        <w:rPr>
          <w:rFonts w:eastAsia="Calibri"/>
          <w:b/>
          <w:bCs/>
          <w:color w:val="000000"/>
          <w:rtl/>
        </w:rPr>
        <w:t xml:space="preserve"> למשרד האנרגיה </w:t>
      </w:r>
      <w:r w:rsidRPr="001B37C0">
        <w:rPr>
          <w:rFonts w:eastAsia="Calibri" w:hint="eastAsia"/>
          <w:b/>
          <w:bCs/>
          <w:color w:val="000000"/>
          <w:rtl/>
        </w:rPr>
        <w:t>ו</w:t>
      </w:r>
      <w:r w:rsidRPr="001B37C0">
        <w:rPr>
          <w:rFonts w:eastAsia="Calibri" w:hint="cs"/>
          <w:b/>
          <w:bCs/>
          <w:color w:val="000000"/>
          <w:rtl/>
        </w:rPr>
        <w:t>ל</w:t>
      </w:r>
      <w:r w:rsidRPr="001B37C0">
        <w:rPr>
          <w:rFonts w:eastAsia="Calibri" w:hint="eastAsia"/>
          <w:b/>
          <w:bCs/>
          <w:color w:val="000000"/>
          <w:rtl/>
        </w:rPr>
        <w:t>חנ</w:t>
      </w:r>
      <w:r w:rsidRPr="001B37C0">
        <w:rPr>
          <w:rFonts w:eastAsia="Calibri"/>
          <w:b/>
          <w:bCs/>
          <w:color w:val="000000"/>
          <w:rtl/>
        </w:rPr>
        <w:t xml:space="preserve">"י </w:t>
      </w:r>
      <w:r w:rsidRPr="001B37C0">
        <w:rPr>
          <w:rFonts w:eastAsia="Calibri" w:hint="cs"/>
          <w:b/>
          <w:bCs/>
          <w:color w:val="000000"/>
          <w:rtl/>
        </w:rPr>
        <w:t>לקדם את</w:t>
      </w:r>
      <w:r w:rsidRPr="001B37C0">
        <w:rPr>
          <w:rFonts w:eastAsia="Calibri"/>
          <w:b/>
          <w:bCs/>
          <w:color w:val="000000"/>
          <w:rtl/>
        </w:rPr>
        <w:t xml:space="preserve"> </w:t>
      </w:r>
      <w:r w:rsidRPr="001B37C0">
        <w:rPr>
          <w:rFonts w:eastAsia="Calibri" w:hint="cs"/>
          <w:b/>
          <w:bCs/>
          <w:color w:val="000000"/>
          <w:rtl/>
        </w:rPr>
        <w:t>שדרוג</w:t>
      </w:r>
      <w:r w:rsidRPr="001B37C0">
        <w:rPr>
          <w:rFonts w:eastAsia="Calibri"/>
          <w:b/>
          <w:bCs/>
          <w:color w:val="000000"/>
          <w:rtl/>
        </w:rPr>
        <w:t xml:space="preserve"> המקשר הימי </w:t>
      </w:r>
      <w:r w:rsidRPr="001B37C0">
        <w:rPr>
          <w:rFonts w:eastAsia="Calibri" w:hint="cs"/>
          <w:b/>
          <w:bCs/>
          <w:color w:val="000000"/>
          <w:rtl/>
        </w:rPr>
        <w:t xml:space="preserve">באשדוד </w:t>
      </w:r>
      <w:r w:rsidRPr="001B37C0">
        <w:rPr>
          <w:rFonts w:eastAsia="Calibri"/>
          <w:b/>
          <w:bCs/>
          <w:color w:val="000000"/>
          <w:rtl/>
        </w:rPr>
        <w:t>ו</w:t>
      </w:r>
      <w:r w:rsidRPr="001B37C0">
        <w:rPr>
          <w:rFonts w:eastAsia="Calibri" w:hint="cs"/>
          <w:b/>
          <w:bCs/>
          <w:color w:val="000000"/>
          <w:rtl/>
        </w:rPr>
        <w:t>ל</w:t>
      </w:r>
      <w:r w:rsidRPr="001B37C0">
        <w:rPr>
          <w:rFonts w:eastAsia="Calibri"/>
          <w:b/>
          <w:bCs/>
          <w:color w:val="000000"/>
          <w:rtl/>
        </w:rPr>
        <w:t xml:space="preserve">הוספת תשתיות להולכת </w:t>
      </w:r>
      <w:r w:rsidRPr="001B37C0">
        <w:rPr>
          <w:rFonts w:eastAsia="Calibri" w:hint="eastAsia"/>
          <w:b/>
          <w:bCs/>
          <w:color w:val="000000"/>
          <w:rtl/>
        </w:rPr>
        <w:t>גפ</w:t>
      </w:r>
      <w:r w:rsidRPr="001B37C0">
        <w:rPr>
          <w:rFonts w:eastAsia="Calibri"/>
          <w:b/>
          <w:bCs/>
          <w:color w:val="000000"/>
          <w:rtl/>
        </w:rPr>
        <w:t>"ם</w:t>
      </w:r>
      <w:r w:rsidRPr="001B37C0">
        <w:rPr>
          <w:rFonts w:eastAsia="Calibri" w:hint="cs"/>
          <w:b/>
          <w:bCs/>
          <w:color w:val="000000"/>
          <w:rtl/>
        </w:rPr>
        <w:t>, הן כדי שתהיה נקודת יבוא גפ"ם נוספת באזור הדרום בהיבטי פיזור הסיכון הביטחוני הן לשם המשך ייצוא גפ"ם אולפיני מבז"א אחרי סגירת בז"ן</w:t>
      </w:r>
      <w:r w:rsidRPr="001B37C0">
        <w:rPr>
          <w:rFonts w:eastAsia="Calibri"/>
          <w:b/>
          <w:bCs/>
          <w:color w:val="000000"/>
          <w:rtl/>
        </w:rPr>
        <w:t xml:space="preserve">, </w:t>
      </w:r>
      <w:r w:rsidRPr="001B37C0">
        <w:rPr>
          <w:rFonts w:eastAsia="Calibri" w:hint="eastAsia"/>
          <w:b/>
          <w:bCs/>
          <w:color w:val="000000"/>
          <w:rtl/>
        </w:rPr>
        <w:t>כך</w:t>
      </w:r>
      <w:r w:rsidRPr="001B37C0">
        <w:rPr>
          <w:rFonts w:eastAsia="Calibri"/>
          <w:b/>
          <w:bCs/>
          <w:color w:val="000000"/>
          <w:rtl/>
        </w:rPr>
        <w:t xml:space="preserve"> </w:t>
      </w:r>
      <w:r w:rsidRPr="001B37C0">
        <w:rPr>
          <w:rFonts w:eastAsia="Calibri" w:hint="eastAsia"/>
          <w:b/>
          <w:bCs/>
          <w:color w:val="000000"/>
          <w:rtl/>
        </w:rPr>
        <w:t>שיעמוד</w:t>
      </w:r>
      <w:r w:rsidRPr="001B37C0">
        <w:rPr>
          <w:rFonts w:eastAsia="Calibri"/>
          <w:b/>
          <w:bCs/>
          <w:color w:val="000000"/>
          <w:rtl/>
        </w:rPr>
        <w:t xml:space="preserve"> </w:t>
      </w:r>
      <w:r w:rsidRPr="001B37C0">
        <w:rPr>
          <w:rFonts w:eastAsia="Calibri" w:hint="eastAsia"/>
          <w:b/>
          <w:bCs/>
          <w:color w:val="000000"/>
          <w:rtl/>
        </w:rPr>
        <w:t>בלוח</w:t>
      </w:r>
      <w:r w:rsidRPr="001B37C0">
        <w:rPr>
          <w:rFonts w:eastAsia="Calibri"/>
          <w:b/>
          <w:bCs/>
          <w:color w:val="000000"/>
          <w:rtl/>
        </w:rPr>
        <w:t xml:space="preserve"> </w:t>
      </w:r>
      <w:r w:rsidRPr="001B37C0">
        <w:rPr>
          <w:rFonts w:eastAsia="Calibri" w:hint="eastAsia"/>
          <w:b/>
          <w:bCs/>
          <w:color w:val="000000"/>
          <w:rtl/>
        </w:rPr>
        <w:t>הזמנים</w:t>
      </w:r>
      <w:r w:rsidRPr="001B37C0">
        <w:rPr>
          <w:rFonts w:eastAsia="Calibri"/>
          <w:b/>
          <w:bCs/>
          <w:color w:val="000000"/>
          <w:rtl/>
        </w:rPr>
        <w:t xml:space="preserve"> </w:t>
      </w:r>
      <w:r w:rsidRPr="001B37C0">
        <w:rPr>
          <w:rFonts w:eastAsia="Calibri" w:hint="eastAsia"/>
          <w:b/>
          <w:bCs/>
          <w:color w:val="000000"/>
          <w:rtl/>
        </w:rPr>
        <w:t>שקבע</w:t>
      </w:r>
      <w:r w:rsidRPr="001B37C0">
        <w:rPr>
          <w:rFonts w:eastAsia="Calibri"/>
          <w:b/>
          <w:bCs/>
          <w:color w:val="000000"/>
          <w:rtl/>
        </w:rPr>
        <w:t xml:space="preserve"> </w:t>
      </w:r>
      <w:r w:rsidRPr="001B37C0">
        <w:rPr>
          <w:rFonts w:eastAsia="Calibri" w:hint="eastAsia"/>
          <w:b/>
          <w:bCs/>
          <w:color w:val="000000"/>
          <w:rtl/>
        </w:rPr>
        <w:t>המשרד</w:t>
      </w:r>
      <w:r w:rsidRPr="001B37C0">
        <w:rPr>
          <w:rFonts w:eastAsia="Calibri"/>
          <w:b/>
          <w:bCs/>
          <w:color w:val="000000"/>
          <w:rtl/>
        </w:rPr>
        <w:t xml:space="preserve"> </w:t>
      </w:r>
      <w:r w:rsidRPr="001B37C0">
        <w:rPr>
          <w:rFonts w:eastAsia="Calibri" w:hint="eastAsia"/>
          <w:b/>
          <w:bCs/>
          <w:color w:val="000000"/>
          <w:rtl/>
        </w:rPr>
        <w:t>להגנת</w:t>
      </w:r>
      <w:r w:rsidRPr="001B37C0">
        <w:rPr>
          <w:rFonts w:eastAsia="Calibri"/>
          <w:b/>
          <w:bCs/>
          <w:color w:val="000000"/>
          <w:rtl/>
        </w:rPr>
        <w:t xml:space="preserve"> </w:t>
      </w:r>
      <w:r w:rsidRPr="001B37C0">
        <w:rPr>
          <w:rFonts w:eastAsia="Calibri" w:hint="eastAsia"/>
          <w:b/>
          <w:bCs/>
          <w:color w:val="000000"/>
          <w:rtl/>
        </w:rPr>
        <w:t>הסביבה</w:t>
      </w:r>
      <w:r w:rsidRPr="001B37C0">
        <w:rPr>
          <w:rFonts w:eastAsia="Calibri" w:hint="cs"/>
          <w:b/>
          <w:bCs/>
          <w:color w:val="000000"/>
          <w:rtl/>
        </w:rPr>
        <w:t xml:space="preserve"> (עד סוף שנת 2027)</w:t>
      </w:r>
      <w:r w:rsidRPr="001B37C0">
        <w:rPr>
          <w:rFonts w:eastAsia="Calibri"/>
          <w:b/>
          <w:bCs/>
          <w:color w:val="000000"/>
          <w:rtl/>
        </w:rPr>
        <w:t>.</w:t>
      </w:r>
    </w:p>
    <w:p w:rsidR="001B37C0" w:rsidRPr="001B37C0" w:rsidP="002F4530">
      <w:pPr>
        <w:keepNext/>
        <w:keepLines/>
        <w:spacing w:line="269" w:lineRule="auto"/>
        <w:ind w:left="-567"/>
        <w:rPr>
          <w:rFonts w:eastAsia="Calibri"/>
          <w:szCs w:val="20"/>
          <w:rtl/>
        </w:rPr>
      </w:pPr>
    </w:p>
    <w:p w:rsidR="001B37C0" w:rsidRPr="001B37C0" w:rsidP="002F4530">
      <w:pPr>
        <w:keepNext/>
        <w:keepLines/>
        <w:spacing w:line="269" w:lineRule="auto"/>
        <w:outlineLvl w:val="5"/>
        <w:rPr>
          <w:rFonts w:eastAsia="Times New Roman"/>
          <w:color w:val="000000"/>
          <w:spacing w:val="40"/>
          <w:rtl/>
        </w:rPr>
      </w:pPr>
      <w:r w:rsidRPr="001B37C0">
        <w:rPr>
          <w:rFonts w:eastAsia="Times New Roman" w:hint="cs"/>
          <w:color w:val="000000"/>
          <w:spacing w:val="40"/>
          <w:rtl/>
        </w:rPr>
        <w:t>איתור מפעיל חלופי למקשרים הימיים מול נמל אשדוד</w:t>
      </w:r>
    </w:p>
    <w:p w:rsidR="001B37C0" w:rsidRPr="001B37C0" w:rsidP="002F4530">
      <w:pPr>
        <w:rPr>
          <w:rFonts w:eastAsia="Calibri"/>
          <w:rtl/>
        </w:rPr>
      </w:pPr>
    </w:p>
    <w:p w:rsidR="001B37C0" w:rsidRPr="001B37C0" w:rsidP="002F4530">
      <w:pPr>
        <w:spacing w:line="269" w:lineRule="auto"/>
        <w:rPr>
          <w:rFonts w:eastAsia="Calibri"/>
          <w:rtl/>
        </w:rPr>
      </w:pPr>
      <w:r w:rsidRPr="001B37C0">
        <w:rPr>
          <w:rFonts w:eastAsia="Calibri" w:hint="cs"/>
          <w:color w:val="000000"/>
          <w:rtl/>
        </w:rPr>
        <w:t xml:space="preserve">אף כי חנ"י עדיין לא חתמה </w:t>
      </w:r>
      <w:r w:rsidRPr="001B37C0">
        <w:rPr>
          <w:rFonts w:eastAsia="Calibri" w:hint="cs"/>
          <w:rtl/>
        </w:rPr>
        <w:t xml:space="preserve">על הסכם </w:t>
      </w:r>
      <w:r w:rsidRPr="001B37C0">
        <w:rPr>
          <w:rFonts w:eastAsia="Calibri" w:hint="cs"/>
          <w:color w:val="000000"/>
          <w:rtl/>
        </w:rPr>
        <w:t xml:space="preserve">עם </w:t>
      </w:r>
      <w:r w:rsidRPr="001B37C0">
        <w:rPr>
          <w:rFonts w:eastAsia="Calibri" w:hint="cs"/>
          <w:rtl/>
        </w:rPr>
        <w:t xml:space="preserve">חח"י היא החלה לקדם פעולות לביצוע השיפוץ הנחוץ במקשרים ובצנרת ההולכה של הגפ"ם מהמקשרים. בהתאם, פרסמה חנ"י מכרז קבלני הכולל עבודות להחלפת צנרת ההולכה מהמקשרים ולהתאמתם לצרכים השונים, לרבות </w:t>
      </w:r>
      <w:r w:rsidRPr="001B37C0">
        <w:rPr>
          <w:rFonts w:eastAsia="Calibri"/>
          <w:rtl/>
        </w:rPr>
        <w:t xml:space="preserve">התקנת צינור גפ"ם </w:t>
      </w:r>
      <w:r w:rsidRPr="001B37C0">
        <w:rPr>
          <w:rFonts w:eastAsia="Calibri" w:hint="cs"/>
          <w:rtl/>
        </w:rPr>
        <w:t>רגיל</w:t>
      </w:r>
      <w:r w:rsidRPr="001B37C0">
        <w:rPr>
          <w:rFonts w:eastAsia="Calibri"/>
          <w:rtl/>
        </w:rPr>
        <w:t xml:space="preserve"> וגפ"ם אולפיני חדשים מנקודת המקשר הצפוני בקרקעית הים וביבשה עד לפינה הצפון מערבית של </w:t>
      </w:r>
      <w:r w:rsidRPr="001B37C0">
        <w:rPr>
          <w:rFonts w:eastAsia="Calibri" w:hint="cs"/>
          <w:rtl/>
        </w:rPr>
        <w:t>בית</w:t>
      </w:r>
      <w:r w:rsidRPr="001B37C0">
        <w:rPr>
          <w:rFonts w:eastAsia="Calibri"/>
          <w:rtl/>
        </w:rPr>
        <w:t xml:space="preserve"> זיקוק אשדוד.</w:t>
      </w:r>
      <w:r w:rsidRPr="001B37C0">
        <w:rPr>
          <w:rFonts w:eastAsia="Calibri" w:hint="cs"/>
          <w:rtl/>
        </w:rPr>
        <w:t xml:space="preserve"> לאחר שנבחר זוכה במכרז, חתמה עימו חנ"י חוזה לביצוע העבודות..</w:t>
      </w:r>
      <w:r w:rsidRPr="001B37C0">
        <w:rPr>
          <w:rFonts w:eastAsia="Calibri"/>
          <w:rtl/>
        </w:rPr>
        <w:t xml:space="preserve"> </w:t>
      </w:r>
      <w:r w:rsidRPr="001B37C0">
        <w:rPr>
          <w:rFonts w:eastAsia="Calibri" w:hint="cs"/>
          <w:rtl/>
        </w:rPr>
        <w:t>בהתאם ללוחות הזמנים שנקבעו לשיפוץ,</w:t>
      </w:r>
      <w:r w:rsidRPr="001B37C0">
        <w:rPr>
          <w:rFonts w:eastAsia="Calibri"/>
          <w:rtl/>
        </w:rPr>
        <w:t xml:space="preserve"> החלפת צינור המזוט </w:t>
      </w:r>
      <w:r w:rsidRPr="001B37C0">
        <w:rPr>
          <w:rFonts w:eastAsia="Calibri" w:hint="cs"/>
          <w:rtl/>
        </w:rPr>
        <w:t>תתבצע עד</w:t>
      </w:r>
      <w:r w:rsidRPr="001B37C0">
        <w:rPr>
          <w:rFonts w:eastAsia="Calibri"/>
          <w:rtl/>
        </w:rPr>
        <w:t xml:space="preserve"> סוף 2027</w:t>
      </w:r>
      <w:r w:rsidRPr="001B37C0">
        <w:rPr>
          <w:rFonts w:eastAsia="Calibri" w:hint="cs"/>
          <w:rtl/>
        </w:rPr>
        <w:t>;</w:t>
      </w:r>
      <w:r w:rsidRPr="001B37C0">
        <w:rPr>
          <w:rFonts w:eastAsia="Calibri"/>
          <w:rtl/>
        </w:rPr>
        <w:t xml:space="preserve"> </w:t>
      </w:r>
      <w:r w:rsidRPr="001B37C0">
        <w:rPr>
          <w:rFonts w:eastAsia="Calibri"/>
          <w:rtl/>
        </w:rPr>
        <w:t>החלפת צינור התזקיקים ומשוב האדים</w:t>
      </w:r>
      <w:r w:rsidRPr="001B37C0">
        <w:rPr>
          <w:rFonts w:eastAsia="Calibri" w:hint="cs"/>
          <w:rtl/>
        </w:rPr>
        <w:t xml:space="preserve"> תתבצע עד</w:t>
      </w:r>
      <w:r w:rsidRPr="001B37C0">
        <w:rPr>
          <w:rFonts w:eastAsia="Calibri"/>
          <w:rtl/>
        </w:rPr>
        <w:t xml:space="preserve"> יוני 2028</w:t>
      </w:r>
      <w:r w:rsidRPr="001B37C0">
        <w:rPr>
          <w:rFonts w:eastAsia="Calibri" w:hint="cs"/>
          <w:rtl/>
        </w:rPr>
        <w:t>;</w:t>
      </w:r>
      <w:r w:rsidRPr="001B37C0">
        <w:rPr>
          <w:rFonts w:eastAsia="Calibri"/>
          <w:rtl/>
        </w:rPr>
        <w:t xml:space="preserve"> והשלמת הנחת צינורות הגפ"ם הרגיל ו</w:t>
      </w:r>
      <w:r w:rsidRPr="001B37C0">
        <w:rPr>
          <w:rFonts w:eastAsia="Calibri" w:hint="cs"/>
          <w:rtl/>
        </w:rPr>
        <w:t>ה</w:t>
      </w:r>
      <w:r w:rsidRPr="001B37C0">
        <w:rPr>
          <w:rFonts w:eastAsia="Calibri"/>
          <w:rtl/>
        </w:rPr>
        <w:t>אולפיני</w:t>
      </w:r>
      <w:r w:rsidRPr="001B37C0">
        <w:rPr>
          <w:rFonts w:eastAsia="Calibri" w:hint="cs"/>
          <w:rtl/>
        </w:rPr>
        <w:t xml:space="preserve"> תתבצע עד</w:t>
      </w:r>
      <w:r w:rsidRPr="001B37C0">
        <w:rPr>
          <w:rFonts w:eastAsia="Calibri"/>
          <w:rtl/>
        </w:rPr>
        <w:t xml:space="preserve"> נובמבר 2029</w:t>
      </w:r>
      <w:r w:rsidRPr="001B37C0">
        <w:rPr>
          <w:rFonts w:eastAsia="Calibri" w:hint="cs"/>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rtl/>
        </w:rPr>
        <w:t xml:space="preserve">נכון למועד סיום הביקורת המקשרים </w:t>
      </w:r>
      <w:r w:rsidRPr="001B37C0">
        <w:rPr>
          <w:rFonts w:eastAsia="Calibri" w:hint="eastAsia"/>
          <w:rtl/>
        </w:rPr>
        <w:t>עדיין</w:t>
      </w:r>
      <w:r w:rsidRPr="001B37C0">
        <w:rPr>
          <w:rFonts w:eastAsia="Calibri"/>
          <w:rtl/>
        </w:rPr>
        <w:t xml:space="preserve"> מוחזקים ומופעלים ע</w:t>
      </w:r>
      <w:r w:rsidRPr="001B37C0">
        <w:rPr>
          <w:rFonts w:eastAsia="Calibri" w:hint="cs"/>
          <w:rtl/>
        </w:rPr>
        <w:t>ל ידי</w:t>
      </w:r>
      <w:r w:rsidRPr="001B37C0">
        <w:rPr>
          <w:rFonts w:eastAsia="Calibri"/>
          <w:rtl/>
        </w:rPr>
        <w:t xml:space="preserve"> חח"י וטרם </w:t>
      </w:r>
      <w:r w:rsidRPr="001B37C0">
        <w:rPr>
          <w:rFonts w:eastAsia="Calibri" w:hint="eastAsia"/>
          <w:rtl/>
        </w:rPr>
        <w:t>נבחר</w:t>
      </w:r>
      <w:r w:rsidRPr="001B37C0">
        <w:rPr>
          <w:rFonts w:eastAsia="Calibri"/>
          <w:rtl/>
        </w:rPr>
        <w:t xml:space="preserve"> </w:t>
      </w:r>
      <w:r w:rsidRPr="001B37C0">
        <w:rPr>
          <w:rFonts w:eastAsia="Calibri" w:hint="eastAsia"/>
          <w:rtl/>
        </w:rPr>
        <w:t>להם</w:t>
      </w:r>
      <w:r w:rsidRPr="001B37C0">
        <w:rPr>
          <w:rFonts w:eastAsia="Calibri"/>
          <w:rtl/>
        </w:rPr>
        <w:t xml:space="preserve"> </w:t>
      </w:r>
      <w:r w:rsidRPr="001B37C0">
        <w:rPr>
          <w:rFonts w:eastAsia="Calibri" w:hint="eastAsia"/>
          <w:rtl/>
        </w:rPr>
        <w:t>מפעיל</w:t>
      </w:r>
      <w:r w:rsidRPr="001B37C0">
        <w:rPr>
          <w:rFonts w:eastAsia="Calibri"/>
          <w:rtl/>
        </w:rPr>
        <w:t xml:space="preserve"> קבוע. </w:t>
      </w:r>
      <w:r w:rsidRPr="001B37C0">
        <w:rPr>
          <w:rFonts w:eastAsia="Calibri" w:hint="eastAsia"/>
          <w:rtl/>
        </w:rPr>
        <w:t>המקשרים</w:t>
      </w:r>
      <w:r w:rsidRPr="001B37C0">
        <w:rPr>
          <w:rFonts w:eastAsia="Calibri"/>
          <w:rtl/>
        </w:rPr>
        <w:t xml:space="preserve"> מחוברים ישירות לבית הזיקוק באשדוד ביבשה, ועוברים דרך תחנת הכוח </w:t>
      </w:r>
      <w:r w:rsidRPr="001B37C0">
        <w:rPr>
          <w:rFonts w:eastAsia="Calibri" w:hint="eastAsia"/>
          <w:rtl/>
        </w:rPr>
        <w:t>אשכול</w:t>
      </w:r>
      <w:r w:rsidRPr="001B37C0">
        <w:rPr>
          <w:rFonts w:eastAsia="Calibri"/>
          <w:rtl/>
        </w:rPr>
        <w:t xml:space="preserve"> הסמוכה </w:t>
      </w:r>
      <w:r w:rsidRPr="001B37C0">
        <w:rPr>
          <w:rFonts w:eastAsia="Calibri" w:hint="eastAsia"/>
          <w:rtl/>
        </w:rPr>
        <w:t>ל</w:t>
      </w:r>
      <w:r w:rsidRPr="001B37C0">
        <w:rPr>
          <w:rFonts w:eastAsia="Calibri"/>
          <w:rtl/>
        </w:rPr>
        <w:t xml:space="preserve">אשדוד, אשר הוסבה לפעילות על בסיס גז טבעי ונמצאת בבעלות גורם פרטי משנת 2024. </w:t>
      </w:r>
      <w:r w:rsidRPr="001B37C0">
        <w:rPr>
          <w:rFonts w:eastAsia="Calibri" w:hint="cs"/>
          <w:rtl/>
        </w:rPr>
        <w:t>מאחר</w:t>
      </w:r>
      <w:r w:rsidRPr="001B37C0">
        <w:rPr>
          <w:rFonts w:eastAsia="Calibri"/>
          <w:rtl/>
        </w:rPr>
        <w:t xml:space="preserve"> </w:t>
      </w:r>
      <w:r w:rsidRPr="001B37C0">
        <w:rPr>
          <w:rFonts w:eastAsia="Calibri" w:hint="eastAsia"/>
          <w:rtl/>
        </w:rPr>
        <w:t>שחח</w:t>
      </w:r>
      <w:r w:rsidRPr="001B37C0">
        <w:rPr>
          <w:rFonts w:eastAsia="Calibri"/>
          <w:rtl/>
        </w:rPr>
        <w:t xml:space="preserve">"י כבר אינה בעלת עניין מאז מכירת תחנת </w:t>
      </w:r>
      <w:r w:rsidRPr="001B37C0">
        <w:rPr>
          <w:rFonts w:eastAsia="Calibri" w:hint="cs"/>
          <w:rtl/>
        </w:rPr>
        <w:t>ה</w:t>
      </w:r>
      <w:r w:rsidRPr="001B37C0">
        <w:rPr>
          <w:rFonts w:eastAsia="Calibri"/>
          <w:rtl/>
        </w:rPr>
        <w:t>כוח אשכול, חנ"י היא שמתכננת ומבצעת את שיפוץ המקשרים.</w:t>
      </w:r>
    </w:p>
    <w:p w:rsidR="001B37C0" w:rsidRPr="001B37C0" w:rsidP="002F4530">
      <w:pPr>
        <w:keepNext/>
        <w:keepLines/>
        <w:spacing w:line="269" w:lineRule="auto"/>
        <w:ind w:left="-567"/>
        <w:rPr>
          <w:rFonts w:eastAsia="Calibri"/>
          <w:szCs w:val="20"/>
          <w:rtl/>
        </w:rPr>
      </w:pPr>
    </w:p>
    <w:p w:rsidR="006114CB" w:rsidP="002F4530">
      <w:pPr>
        <w:spacing w:line="269" w:lineRule="auto"/>
        <w:rPr>
          <w:rFonts w:ascii="David" w:eastAsia="Calibri" w:hAnsi="David"/>
          <w:rtl/>
        </w:rPr>
      </w:pPr>
      <w:r w:rsidRPr="001B37C0">
        <w:rPr>
          <w:rFonts w:eastAsia="Calibri" w:hint="cs"/>
          <w:rtl/>
        </w:rPr>
        <w:t xml:space="preserve">לאחר מכירת תחנת הכוח אשכול לגוף פרטי עלה הצורך למצוא מפעיל חלופי למקשרים. </w:t>
      </w:r>
      <w:r w:rsidRPr="001B37C0">
        <w:rPr>
          <w:rFonts w:eastAsia="Calibri"/>
          <w:rtl/>
        </w:rPr>
        <w:t xml:space="preserve">צוות בין-משרדי </w:t>
      </w:r>
      <w:r w:rsidRPr="001B37C0">
        <w:rPr>
          <w:rFonts w:eastAsia="Calibri" w:hint="cs"/>
          <w:rtl/>
        </w:rPr>
        <w:t xml:space="preserve">שבחן </w:t>
      </w:r>
      <w:r w:rsidRPr="001B37C0">
        <w:rPr>
          <w:rFonts w:eastAsia="Calibri"/>
          <w:rtl/>
        </w:rPr>
        <w:t>את מכירת המקשרים הימיים פרסם את המלצותיו באפריל 2020</w:t>
      </w:r>
      <w:r>
        <w:rPr>
          <w:rFonts w:eastAsia="Calibri"/>
          <w:color w:val="000000"/>
          <w:vertAlign w:val="superscript"/>
          <w:rtl/>
        </w:rPr>
        <w:footnoteReference w:id="110"/>
      </w:r>
      <w:r w:rsidRPr="001B37C0">
        <w:rPr>
          <w:rFonts w:eastAsia="Calibri"/>
          <w:rtl/>
        </w:rPr>
        <w:t xml:space="preserve">. </w:t>
      </w:r>
      <w:r w:rsidRPr="001B37C0">
        <w:rPr>
          <w:rFonts w:eastAsia="Calibri" w:hint="cs"/>
          <w:rtl/>
        </w:rPr>
        <w:t>ה</w:t>
      </w:r>
      <w:r w:rsidRPr="001B37C0">
        <w:rPr>
          <w:rFonts w:eastAsia="Calibri"/>
          <w:rtl/>
        </w:rPr>
        <w:t>צוות ציין</w:t>
      </w:r>
      <w:r w:rsidRPr="001B37C0">
        <w:rPr>
          <w:rFonts w:eastAsia="Calibri" w:hint="cs"/>
          <w:rtl/>
        </w:rPr>
        <w:t xml:space="preserve"> </w:t>
      </w:r>
      <w:r w:rsidRPr="001B37C0">
        <w:rPr>
          <w:rFonts w:eastAsia="Calibri"/>
          <w:rtl/>
        </w:rPr>
        <w:t>שמכירת המקשרים</w:t>
      </w:r>
      <w:r w:rsidRPr="001B37C0">
        <w:rPr>
          <w:rFonts w:eastAsia="Calibri" w:hint="cs"/>
          <w:rtl/>
        </w:rPr>
        <w:t xml:space="preserve"> או העברתם לגורם מפעיל</w:t>
      </w:r>
      <w:r w:rsidRPr="001B37C0">
        <w:rPr>
          <w:rFonts w:eastAsia="Calibri"/>
          <w:rtl/>
        </w:rPr>
        <w:t xml:space="preserve"> חשובה לקידום התחרות במשק הדלק</w:t>
      </w:r>
      <w:r w:rsidRPr="001B37C0">
        <w:rPr>
          <w:rFonts w:eastAsia="Calibri" w:hint="cs"/>
          <w:rtl/>
        </w:rPr>
        <w:t>,</w:t>
      </w:r>
      <w:r w:rsidRPr="001B37C0">
        <w:rPr>
          <w:rFonts w:eastAsia="Calibri"/>
          <w:rtl/>
        </w:rPr>
        <w:t xml:space="preserve"> ולכן המליץ</w:t>
      </w:r>
      <w:r>
        <w:rPr>
          <w:rFonts w:ascii="David" w:eastAsia="Calibri" w:hAnsi="David" w:hint="cs"/>
          <w:rtl/>
        </w:rPr>
        <w:t xml:space="preserve"> </w:t>
      </w:r>
    </w:p>
    <w:p w:rsidR="001B37C0" w:rsidRPr="001B37C0" w:rsidP="002F4530">
      <w:pPr>
        <w:spacing w:line="269" w:lineRule="auto"/>
        <w:rPr>
          <w:rFonts w:eastAsia="Calibri"/>
          <w:rtl/>
        </w:rPr>
      </w:pPr>
      <w:r w:rsidRPr="001B37C0">
        <w:rPr>
          <w:rFonts w:eastAsia="Calibri"/>
          <w:rtl/>
        </w:rPr>
        <w:t>שלא להתיר השתתפות במכרז לגורמים שאין להם תמריץ להגדיל את הפעילות במקשרים</w:t>
      </w:r>
      <w:r w:rsidRPr="001B37C0">
        <w:rPr>
          <w:rFonts w:eastAsia="Calibri" w:hint="cs"/>
          <w:rtl/>
        </w:rPr>
        <w:t>, ובהם בז"ן, קצא"א, בז"א, חברת נמל אשדוד וחברת דלק קמעונאית שהוא בדק</w:t>
      </w:r>
      <w:r w:rsidRPr="001B37C0">
        <w:rPr>
          <w:rFonts w:eastAsia="Calibri"/>
          <w:rtl/>
        </w:rPr>
        <w:t xml:space="preserve">. </w:t>
      </w:r>
      <w:r w:rsidRPr="001B37C0">
        <w:rPr>
          <w:rFonts w:eastAsia="Calibri" w:hint="cs"/>
          <w:rtl/>
        </w:rPr>
        <w:t xml:space="preserve">בכל הנוגע לתש"א ציין הצוות כי החברה מועמדת לגיטימית להפעלה של המקשר, שכן זו חברה ממשלתית, ללא זיקה לתחום שיווק הדלק, המשמשת </w:t>
      </w:r>
      <w:r w:rsidRPr="001B37C0">
        <w:rPr>
          <w:rFonts w:eastAsia="Calibri"/>
          <w:rtl/>
        </w:rPr>
        <w:t xml:space="preserve">במקרים מסוימים זרוע הביצוע של המדינה </w:t>
      </w:r>
      <w:r w:rsidRPr="001B37C0">
        <w:rPr>
          <w:rFonts w:eastAsia="Calibri" w:hint="cs"/>
          <w:rtl/>
        </w:rPr>
        <w:t>במיזמים</w:t>
      </w:r>
      <w:r w:rsidRPr="001B37C0">
        <w:rPr>
          <w:rFonts w:eastAsia="Calibri"/>
          <w:rtl/>
        </w:rPr>
        <w:t xml:space="preserve"> של הזרמה</w:t>
      </w:r>
      <w:r w:rsidRPr="001B37C0">
        <w:rPr>
          <w:rFonts w:eastAsia="Calibri" w:hint="cs"/>
          <w:rtl/>
        </w:rPr>
        <w:t xml:space="preserve">, וכן יש לה </w:t>
      </w:r>
      <w:r w:rsidRPr="001B37C0">
        <w:rPr>
          <w:rFonts w:eastAsia="Calibri"/>
          <w:rtl/>
        </w:rPr>
        <w:t>ניסיון בהפעלה של תשתית דומה</w:t>
      </w:r>
      <w:r>
        <w:rPr>
          <w:rFonts w:eastAsia="Calibri"/>
          <w:vertAlign w:val="superscript"/>
          <w:rtl/>
        </w:rPr>
        <w:footnoteReference w:id="111"/>
      </w:r>
      <w:r w:rsidRPr="001B37C0">
        <w:rPr>
          <w:rFonts w:eastAsia="Calibri"/>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i/>
          <w:iCs/>
          <w:rtl/>
        </w:rPr>
      </w:pPr>
      <w:r w:rsidRPr="001B37C0">
        <w:rPr>
          <w:rFonts w:eastAsia="Calibri" w:hint="cs"/>
          <w:rtl/>
        </w:rPr>
        <w:t xml:space="preserve">סעיף </w:t>
      </w:r>
      <w:hyperlink r:id="rId23" w:history="1">
        <w:r w:rsidRPr="00897977">
          <w:rPr>
            <w:rFonts w:eastAsia="Calibri" w:hint="cs"/>
            <w:rtl/>
          </w:rPr>
          <w:t>3(28) לתקנות חובת המכרזים, התשנ"ג-</w:t>
        </w:r>
      </w:hyperlink>
      <w:r w:rsidRPr="001B37C0">
        <w:rPr>
          <w:rFonts w:eastAsia="Calibri" w:hint="cs"/>
          <w:rtl/>
        </w:rPr>
        <w:t>1993, קובע כי "</w:t>
      </w:r>
      <w:r w:rsidRPr="001B37C0">
        <w:rPr>
          <w:rFonts w:eastAsia="Calibri" w:hint="eastAsia"/>
          <w:rtl/>
        </w:rPr>
        <w:t>ב</w:t>
      </w:r>
      <w:r w:rsidRPr="001B37C0">
        <w:rPr>
          <w:rFonts w:eastAsia="Calibri"/>
          <w:rtl/>
        </w:rPr>
        <w:t>התקשרות שלגביה נתקיימו נסיבות מיוחדות ונדירות, המצדיקות עשייתה ללא מכרז, רשאית ועדת המכרזים לאשר התקשרות ללא מכרז</w:t>
      </w:r>
      <w:r w:rsidRPr="001B37C0">
        <w:rPr>
          <w:rFonts w:eastAsia="Calibri" w:hint="cs"/>
          <w:rtl/>
        </w:rPr>
        <w:t>,</w:t>
      </w:r>
      <w:r w:rsidRPr="001B37C0">
        <w:rPr>
          <w:rFonts w:eastAsia="Calibri"/>
          <w:rtl/>
        </w:rPr>
        <w:t xml:space="preserve"> ובלבד שוועדת הפטור, באישור שר האוצר, החליטה מטעמים מיוחדים שיירשמו, לפטור אותה מחובת מכרז".</w:t>
      </w:r>
      <w:r w:rsidRPr="001B37C0">
        <w:rPr>
          <w:rFonts w:eastAsia="Calibri" w:hint="cs"/>
          <w:rtl/>
        </w:rPr>
        <w:t xml:space="preserve"> בהתאם לסעיף זה בתקנות, פנתה חנ"י לוועדת הפטור בחשכ״ל בשנת 2022, ופעם נוספת באפריל 2025, כדי לקבל אישור להתקשר עם חברת תש"א בפטור ממכרז.</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פנייתה האחרונה של חנ"י גובתה בחוות דעת של מנהל מינהל הדלק</w:t>
      </w:r>
      <w:r>
        <w:rPr>
          <w:rFonts w:eastAsia="Calibri"/>
          <w:vertAlign w:val="superscript"/>
          <w:rtl/>
        </w:rPr>
        <w:footnoteReference w:id="112"/>
      </w:r>
      <w:r w:rsidRPr="001B37C0">
        <w:rPr>
          <w:rFonts w:eastAsia="Calibri" w:hint="cs"/>
          <w:rtl/>
        </w:rPr>
        <w:t xml:space="preserve"> דאז, אשר צידד בהתקשרות עם תש"א להפעלת המקשר בפטור ממכרז. בפנייתה טענה חנ"י כי </w:t>
      </w:r>
      <w:r w:rsidRPr="001B37C0">
        <w:rPr>
          <w:rFonts w:eastAsia="Calibri"/>
          <w:rtl/>
        </w:rPr>
        <w:t>חשיבות העסקה, דחיפותה, מורכבותה ומשמעותה לשוק הדלק ולביטחון המדינה מחייב</w:t>
      </w:r>
      <w:r w:rsidRPr="001B37C0">
        <w:rPr>
          <w:rFonts w:eastAsia="Calibri" w:hint="cs"/>
          <w:rtl/>
        </w:rPr>
        <w:t>ו</w:t>
      </w:r>
      <w:r w:rsidRPr="001B37C0">
        <w:rPr>
          <w:rFonts w:eastAsia="Calibri"/>
          <w:rtl/>
        </w:rPr>
        <w:t>ת כי</w:t>
      </w:r>
      <w:r w:rsidRPr="001B37C0">
        <w:rPr>
          <w:rFonts w:eastAsia="Calibri" w:hint="cs"/>
          <w:rtl/>
        </w:rPr>
        <w:t xml:space="preserve"> </w:t>
      </w:r>
      <w:r w:rsidRPr="001B37C0">
        <w:rPr>
          <w:rFonts w:eastAsia="Calibri"/>
          <w:rtl/>
        </w:rPr>
        <w:t>מפעילת המקשרים תהיה חברה ממשלתית בעלת ידע ומומחיות בשינוע דלקים, וכי חברה זו</w:t>
      </w:r>
      <w:r w:rsidRPr="001B37C0">
        <w:rPr>
          <w:rFonts w:eastAsia="Calibri" w:hint="cs"/>
          <w:rtl/>
        </w:rPr>
        <w:t xml:space="preserve"> </w:t>
      </w:r>
      <w:r w:rsidRPr="001B37C0">
        <w:rPr>
          <w:rFonts w:eastAsia="Calibri"/>
          <w:rtl/>
        </w:rPr>
        <w:t xml:space="preserve">תוכל להפעיל את המקשרים בלי לצמצם </w:t>
      </w:r>
      <w:r w:rsidRPr="001B37C0">
        <w:rPr>
          <w:rFonts w:eastAsia="Calibri" w:hint="cs"/>
          <w:rtl/>
        </w:rPr>
        <w:t>את ה</w:t>
      </w:r>
      <w:r w:rsidRPr="001B37C0">
        <w:rPr>
          <w:rFonts w:eastAsia="Calibri"/>
          <w:rtl/>
        </w:rPr>
        <w:t>תחרות בשוק הדלק או לפגוע</w:t>
      </w:r>
      <w:r w:rsidRPr="001B37C0">
        <w:rPr>
          <w:rFonts w:eastAsia="Calibri" w:hint="cs"/>
          <w:rtl/>
        </w:rPr>
        <w:t xml:space="preserve"> בה</w:t>
      </w:r>
      <w:r w:rsidRPr="001B37C0">
        <w:rPr>
          <w:rFonts w:eastAsia="Calibri"/>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חנ"י טענה כי</w:t>
      </w:r>
      <w:r w:rsidRPr="001B37C0">
        <w:rPr>
          <w:rFonts w:eastAsia="Calibri"/>
          <w:rtl/>
        </w:rPr>
        <w:t xml:space="preserve"> תש"א הי</w:t>
      </w:r>
      <w:r w:rsidRPr="001B37C0">
        <w:rPr>
          <w:rFonts w:eastAsia="Calibri" w:hint="cs"/>
          <w:rtl/>
        </w:rPr>
        <w:t>א</w:t>
      </w:r>
      <w:r w:rsidRPr="001B37C0">
        <w:rPr>
          <w:rFonts w:eastAsia="Calibri"/>
          <w:rtl/>
        </w:rPr>
        <w:t xml:space="preserve"> השחקנית היחידה כיום במשק המתאימה להפעיל את</w:t>
      </w:r>
      <w:r w:rsidRPr="001B37C0">
        <w:rPr>
          <w:rFonts w:eastAsia="Calibri" w:hint="cs"/>
          <w:rtl/>
        </w:rPr>
        <w:t xml:space="preserve"> </w:t>
      </w:r>
      <w:r w:rsidRPr="001B37C0">
        <w:rPr>
          <w:rFonts w:eastAsia="Calibri"/>
          <w:rtl/>
        </w:rPr>
        <w:t xml:space="preserve">המקשרים במקצועיות ובמומחיות ללא פגיעה בתחרות בשוק הדלק. </w:t>
      </w:r>
      <w:r w:rsidRPr="001B37C0">
        <w:rPr>
          <w:rFonts w:eastAsia="Calibri" w:hint="cs"/>
          <w:rtl/>
        </w:rPr>
        <w:t>עוד היא טענה כי בשל הזמן הרב שדורש הליך מכרזי, ובהתחשב בסד הזמנים שקבע המשרד להגנת הסביבה לסיום השיפוץ עד סוף 2027, יש יתרון לבחירת תש"א בפטור ממכרז. ייחודה של תש"א, לטענת חנ"י, הוא בהיותה חברה ממשלתית המחויבת למטרות ממשלתיות, בפרט לאחר סגירת בז"ן המתוכננת בהתאם להחלטת הממשלה 1231, ולהיוותרו של בז"א יצרן הדלקים היחיד בארץ, הנשען על המקשר ליצוא ויבוא כאמור. בשל נימוקים אלה</w:t>
      </w:r>
      <w:r w:rsidRPr="001B37C0">
        <w:rPr>
          <w:rFonts w:eastAsia="Calibri"/>
          <w:rtl/>
        </w:rPr>
        <w:t xml:space="preserve"> </w:t>
      </w:r>
      <w:r w:rsidRPr="001B37C0">
        <w:rPr>
          <w:rFonts w:eastAsia="Calibri" w:hint="cs"/>
          <w:rtl/>
        </w:rPr>
        <w:t>ביקשה חנ"י מ</w:t>
      </w:r>
      <w:r w:rsidRPr="001B37C0">
        <w:rPr>
          <w:rFonts w:eastAsia="Calibri"/>
          <w:rtl/>
        </w:rPr>
        <w:t>ו</w:t>
      </w:r>
      <w:r w:rsidRPr="001B37C0">
        <w:rPr>
          <w:rFonts w:eastAsia="Calibri" w:hint="cs"/>
          <w:rtl/>
        </w:rPr>
        <w:t>ו</w:t>
      </w:r>
      <w:r w:rsidRPr="001B37C0">
        <w:rPr>
          <w:rFonts w:eastAsia="Calibri"/>
          <w:rtl/>
        </w:rPr>
        <w:t xml:space="preserve">עדת הפטור לאשר התקשרות עם תש"א בפטור </w:t>
      </w:r>
      <w:r w:rsidRPr="001B37C0">
        <w:rPr>
          <w:rFonts w:eastAsia="Calibri" w:hint="cs"/>
          <w:rtl/>
        </w:rPr>
        <w:t>מ</w:t>
      </w:r>
      <w:r w:rsidRPr="001B37C0">
        <w:rPr>
          <w:rFonts w:eastAsia="Calibri"/>
          <w:rtl/>
        </w:rPr>
        <w:t>מכרז</w:t>
      </w:r>
      <w:r w:rsidRPr="001B37C0">
        <w:rPr>
          <w:rFonts w:eastAsia="Calibri" w:hint="cs"/>
          <w:rtl/>
        </w:rPr>
        <w:t xml:space="preserve"> בהתאם לסעיף 3(28) האמור. עוד הדגישה חנ"י כי בהתאם להמלצות הצוות הבין-משרדי, תש"א היא אחת משתי החברות הממשלתיות היחידות שאין להן אינטרס בצמצום הפעלת המקשרים ובפגיעה בתחרות. החברה השנייה היא חנ"י עצמה, המשמשת כאמור </w:t>
      </w:r>
      <w:r w:rsidRPr="006C193E">
        <w:rPr>
          <w:rFonts w:eastAsia="Calibri" w:cs="Times New Roman"/>
          <w:sz w:val="22"/>
          <w:szCs w:val="22"/>
        </w:rPr>
        <w:t>landlord</w:t>
      </w:r>
      <w:r w:rsidRPr="001B37C0">
        <w:rPr>
          <w:rFonts w:eastAsia="Calibri" w:hint="cs"/>
          <w:rtl/>
        </w:rPr>
        <w:t xml:space="preserve"> ואינה רשאית לעסוק בהפעלת הנמלים בהתאם לחוק ולכתב ההסמכה.</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תש"א מסרה לצוות הביקורת בנובמבר 2025 כי אגף החשכ״ל מתנה את מתן הפטור בגיבוש הסכם הפעלה שלה מול המדינה. לדברי תש"א, הפערים שבין תש"א לחשכ״ל בנושא ההסכם, הנוגעים </w:t>
      </w:r>
      <w:r w:rsidRPr="001B37C0">
        <w:rPr>
          <w:rFonts w:eastAsia="Calibri" w:hint="cs"/>
          <w:rtl/>
        </w:rPr>
        <w:t xml:space="preserve">בעיקרם לסוגיית משך הסכם ההפעלה, ידועים ונידונים במשך כמה שנים. עוד מסרה תש"א כי המשא ומתן עימה בנושא נמשך זמן רב וטרם הושגו הסכמות בנושאים שבמחלוקת.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b/>
          <w:bCs/>
          <w:rtl/>
        </w:rPr>
        <w:t>עלה כי המשא ומתן בין החשכ"ל לבין תש"א בנוגע להסכם הפעלה מתמשך מספר שנים, ודורש הסדרה פרטנית של מתן שירותים בהעדר הסכם.</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b/>
          <w:bCs/>
          <w:rtl/>
        </w:rPr>
        <w:t>על החשכ״ל ותש"א לסיים את המשא ומתן ביניהם הנמשך שנים ולחתום על הסכם הפעלה</w:t>
      </w:r>
      <w:r>
        <w:rPr>
          <w:rFonts w:eastAsia="Calibri"/>
          <w:b/>
          <w:bCs/>
          <w:vertAlign w:val="superscript"/>
          <w:rtl/>
        </w:rPr>
        <w:footnoteReference w:id="113"/>
      </w:r>
      <w:r w:rsidRPr="001B37C0">
        <w:rPr>
          <w:rFonts w:eastAsia="Calibri" w:hint="cs"/>
          <w:b/>
          <w:bCs/>
          <w:rtl/>
        </w:rPr>
        <w:t xml:space="preserve">, כדי להסדיר את פעילות החברה כנדרש.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במכתב ששלחה רשות התחרות לחח"י ולחנ"י במרץ 2025 בנושא עמדתה בעניין הקצאת מקשרי הדלק לתפעול של תש"א קבעה הרשות לאחר שביצעה </w:t>
      </w:r>
      <w:r w:rsidRPr="001B37C0">
        <w:rPr>
          <w:rFonts w:eastAsia="Calibri"/>
          <w:rtl/>
        </w:rPr>
        <w:t>בדיקה מקיפה בנוגע לתחום ייבוא התזקיקים בכלל, והגפ"ם בפרט</w:t>
      </w:r>
      <w:r w:rsidRPr="001B37C0">
        <w:rPr>
          <w:rFonts w:eastAsia="Calibri" w:hint="cs"/>
          <w:rtl/>
        </w:rPr>
        <w:t>,</w:t>
      </w:r>
      <w:r w:rsidRPr="001B37C0">
        <w:rPr>
          <w:rFonts w:eastAsia="Calibri"/>
          <w:rtl/>
        </w:rPr>
        <w:t xml:space="preserve"> </w:t>
      </w:r>
      <w:r w:rsidRPr="001B37C0">
        <w:rPr>
          <w:rFonts w:eastAsia="Calibri" w:hint="cs"/>
          <w:rtl/>
        </w:rPr>
        <w:t>כי היא אינה מתנגדת להקצאת המקשרים הימיים באשדוד</w:t>
      </w:r>
      <w:r>
        <w:rPr>
          <w:rFonts w:ascii="David" w:eastAsia="Calibri" w:hAnsi="David" w:hint="cs"/>
          <w:rtl/>
        </w:rPr>
        <w:t xml:space="preserve"> </w:t>
      </w:r>
      <w:r w:rsidRPr="001B37C0">
        <w:rPr>
          <w:rFonts w:eastAsia="Calibri" w:hint="cs"/>
          <w:rtl/>
        </w:rPr>
        <w:t xml:space="preserve">לחברת תש"א, אולם לנוכח חששות תחרותיים יש לשקול אסדרה שתייצר חלופה לפעילות תש"א בעת פריקת תזקיקים באשקלון באמצעות תנאים שיוטלו על תש"א אם תקבל זיכיון להפעלת המקשרים, או פיקוח </w:t>
      </w:r>
      <w:r w:rsidRPr="001B37C0">
        <w:rPr>
          <w:rFonts w:eastAsia="Calibri"/>
          <w:rtl/>
        </w:rPr>
        <w:t>שיוטל</w:t>
      </w:r>
      <w:r w:rsidRPr="001B37C0">
        <w:rPr>
          <w:rFonts w:eastAsia="Calibri" w:hint="cs"/>
          <w:rtl/>
        </w:rPr>
        <w:t xml:space="preserve"> על תש"א בנוגע ליבוא תזקיקים לישראל והולכתם.</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החשכ״ל מסר לצוות הביקורת בדצמבר 2025 כי במהלך שנת 2025 </w:t>
      </w:r>
      <w:r w:rsidRPr="001B37C0">
        <w:rPr>
          <w:rFonts w:eastAsia="Calibri"/>
          <w:rtl/>
        </w:rPr>
        <w:t>התקיימו דיונים מקצועיים רבים בין משרד האוצר (על אגפיו), משרד האנרגיה, רשות התחרות והמ</w:t>
      </w:r>
      <w:r w:rsidRPr="001B37C0">
        <w:rPr>
          <w:rFonts w:eastAsia="Calibri" w:hint="cs"/>
          <w:rtl/>
        </w:rPr>
        <w:t>י</w:t>
      </w:r>
      <w:r w:rsidRPr="001B37C0">
        <w:rPr>
          <w:rFonts w:eastAsia="Calibri"/>
          <w:rtl/>
        </w:rPr>
        <w:t xml:space="preserve">נהלת </w:t>
      </w:r>
      <w:r w:rsidRPr="001B37C0">
        <w:rPr>
          <w:rFonts w:eastAsia="Calibri" w:hint="eastAsia"/>
          <w:rtl/>
        </w:rPr>
        <w:t>לפיתוח</w:t>
      </w:r>
      <w:r w:rsidRPr="001B37C0">
        <w:rPr>
          <w:rFonts w:eastAsia="Calibri" w:hint="cs"/>
          <w:rtl/>
        </w:rPr>
        <w:t xml:space="preserve"> </w:t>
      </w:r>
      <w:r w:rsidRPr="001B37C0">
        <w:rPr>
          <w:rFonts w:eastAsia="Calibri"/>
          <w:rtl/>
        </w:rPr>
        <w:t xml:space="preserve">מפרץ חיפה במשרד ראש הממשלה </w:t>
      </w:r>
      <w:r w:rsidRPr="001B37C0">
        <w:rPr>
          <w:rFonts w:eastAsia="Calibri" w:hint="cs"/>
          <w:rtl/>
        </w:rPr>
        <w:t>כדי</w:t>
      </w:r>
      <w:r w:rsidRPr="001B37C0">
        <w:rPr>
          <w:rFonts w:eastAsia="Calibri"/>
          <w:rtl/>
        </w:rPr>
        <w:t xml:space="preserve"> לבחון את בקשת </w:t>
      </w:r>
      <w:r w:rsidRPr="001B37C0">
        <w:rPr>
          <w:rFonts w:eastAsia="Calibri" w:hint="cs"/>
          <w:rtl/>
        </w:rPr>
        <w:t>חנ״י</w:t>
      </w:r>
      <w:r w:rsidRPr="001B37C0">
        <w:rPr>
          <w:rFonts w:eastAsia="Calibri"/>
          <w:rtl/>
        </w:rPr>
        <w:t xml:space="preserve"> לאשר פטור ממכרז לפי תקנה 3(28) לתקנות חובת המכרזים להקצות את הקמת המקשרים הימיים באשדוד והפעלת</w:t>
      </w:r>
      <w:r w:rsidRPr="001B37C0">
        <w:rPr>
          <w:rFonts w:eastAsia="Calibri" w:hint="cs"/>
          <w:rtl/>
        </w:rPr>
        <w:t>ם</w:t>
      </w:r>
      <w:r w:rsidRPr="001B37C0">
        <w:rPr>
          <w:rFonts w:eastAsia="Calibri"/>
          <w:rtl/>
        </w:rPr>
        <w:t xml:space="preserve"> לחברת תש"א</w:t>
      </w:r>
      <w:r w:rsidRPr="001B37C0">
        <w:rPr>
          <w:rFonts w:eastAsia="Calibri" w:hint="cs"/>
          <w:rtl/>
        </w:rPr>
        <w:t xml:space="preserve">. החשכ"ל ציין כי לנוכח עמדת משרד האנרגיה כי יש עדיפות להפעלת המקשרים על ידי חברה ממשלתית בשל שיקולים לאומיים, </w:t>
      </w:r>
      <w:r w:rsidRPr="001B37C0">
        <w:rPr>
          <w:rFonts w:eastAsia="Calibri"/>
          <w:rtl/>
        </w:rPr>
        <w:t>בחנו גורמי המקצוע במדינה את הבקשה להעניק פטור לתש"א ביחס לחלופה של הענקת הפטור לחברת קצא"א, או לחלופין לעשות ביניהן הליך תחרותי</w:t>
      </w:r>
      <w:r w:rsidRPr="001B37C0">
        <w:rPr>
          <w:rFonts w:eastAsia="Calibri" w:hint="cs"/>
          <w:rtl/>
        </w:rPr>
        <w:t xml:space="preserve">. בבחינה </w:t>
      </w:r>
      <w:r w:rsidRPr="001B37C0">
        <w:rPr>
          <w:rFonts w:eastAsia="Calibri"/>
          <w:rtl/>
        </w:rPr>
        <w:t xml:space="preserve">לא עלה כי לחברה אחת יש ניסיון </w:t>
      </w:r>
      <w:r w:rsidRPr="001B37C0">
        <w:rPr>
          <w:rFonts w:eastAsia="Calibri" w:hint="cs"/>
          <w:rtl/>
        </w:rPr>
        <w:t xml:space="preserve">מקצועי </w:t>
      </w:r>
      <w:r w:rsidRPr="001B37C0">
        <w:rPr>
          <w:rFonts w:eastAsia="Calibri"/>
          <w:rtl/>
        </w:rPr>
        <w:t>או יתרון על פני החברה השנייה, ו</w:t>
      </w:r>
      <w:r w:rsidRPr="001B37C0">
        <w:rPr>
          <w:rFonts w:eastAsia="Calibri" w:hint="cs"/>
          <w:rtl/>
        </w:rPr>
        <w:t xml:space="preserve">נמצא כי </w:t>
      </w:r>
      <w:r w:rsidRPr="001B37C0">
        <w:rPr>
          <w:rFonts w:eastAsia="Calibri"/>
          <w:rtl/>
        </w:rPr>
        <w:t xml:space="preserve">שתי החברות יכולות, באופן עקרוני, </w:t>
      </w:r>
      <w:r w:rsidRPr="001B37C0">
        <w:rPr>
          <w:rFonts w:eastAsia="Calibri" w:hint="cs"/>
          <w:rtl/>
        </w:rPr>
        <w:t>להקים ולהפעיל</w:t>
      </w:r>
      <w:r w:rsidRPr="001B37C0">
        <w:rPr>
          <w:rFonts w:eastAsia="Calibri"/>
          <w:rtl/>
        </w:rPr>
        <w:t xml:space="preserve"> </w:t>
      </w:r>
      <w:r w:rsidRPr="001B37C0">
        <w:rPr>
          <w:rFonts w:eastAsia="Calibri" w:hint="cs"/>
          <w:rtl/>
        </w:rPr>
        <w:t>את</w:t>
      </w:r>
      <w:r w:rsidRPr="001B37C0">
        <w:rPr>
          <w:rFonts w:eastAsia="Calibri"/>
          <w:rtl/>
        </w:rPr>
        <w:t xml:space="preserve"> המקשרים באיכות הנדרשת.</w:t>
      </w:r>
      <w:r w:rsidRPr="001B37C0">
        <w:rPr>
          <w:rFonts w:eastAsia="Calibri" w:hint="cs"/>
          <w:rtl/>
        </w:rPr>
        <w:t xml:space="preserve"> עוד הוסיף החשכ״ל כי גורמי המקצוע מטעמו הציעו למקשר התזקיקים באשדוד </w:t>
      </w:r>
      <w:r w:rsidRPr="001B37C0">
        <w:rPr>
          <w:rFonts w:eastAsia="Calibri"/>
          <w:rtl/>
        </w:rPr>
        <w:t xml:space="preserve">מודל דומה למודל הפעלת נמל אשקלון, </w:t>
      </w:r>
      <w:r w:rsidRPr="001B37C0">
        <w:rPr>
          <w:rFonts w:eastAsia="Calibri" w:hint="cs"/>
          <w:rtl/>
        </w:rPr>
        <w:t>ולפיו</w:t>
      </w:r>
      <w:r w:rsidRPr="001B37C0">
        <w:rPr>
          <w:rFonts w:eastAsia="Calibri"/>
          <w:rtl/>
        </w:rPr>
        <w:t xml:space="preserve"> חברת קצא"א תתפעל את תשתית היבוא ותש"א </w:t>
      </w:r>
      <w:r w:rsidRPr="001B37C0">
        <w:rPr>
          <w:rFonts w:eastAsia="Calibri" w:hint="cs"/>
          <w:rtl/>
        </w:rPr>
        <w:t>תתנהל</w:t>
      </w:r>
      <w:r w:rsidRPr="001B37C0">
        <w:rPr>
          <w:rFonts w:eastAsia="Calibri"/>
          <w:rtl/>
        </w:rPr>
        <w:t xml:space="preserve"> מול הלקוחות ותנהל את הפעילות המסחרית, אך הצעה זו לא התקבלה על ידי רשות התחרות </w:t>
      </w:r>
      <w:r w:rsidRPr="001B37C0">
        <w:rPr>
          <w:rFonts w:eastAsia="Calibri" w:hint="cs"/>
          <w:rtl/>
        </w:rPr>
        <w:t>משום</w:t>
      </w:r>
      <w:r w:rsidRPr="001B37C0">
        <w:rPr>
          <w:rFonts w:eastAsia="Calibri"/>
          <w:rtl/>
        </w:rPr>
        <w:t xml:space="preserve"> </w:t>
      </w:r>
      <w:r w:rsidRPr="001B37C0">
        <w:rPr>
          <w:rFonts w:eastAsia="Calibri" w:hint="cs"/>
          <w:rtl/>
        </w:rPr>
        <w:t>ש</w:t>
      </w:r>
      <w:r w:rsidRPr="001B37C0">
        <w:rPr>
          <w:rFonts w:eastAsia="Calibri"/>
          <w:rtl/>
        </w:rPr>
        <w:t>קצא"א תהא הגורם היחיד שפורק תזקיקים בדרום הארץ.</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rtl/>
        </w:rPr>
        <w:t xml:space="preserve">לסיכום ציין החשכ״ל כי </w:t>
      </w:r>
      <w:r w:rsidRPr="001B37C0">
        <w:rPr>
          <w:rFonts w:eastAsia="Calibri"/>
          <w:rtl/>
        </w:rPr>
        <w:t xml:space="preserve">בימים אלו נבחן בשיתוף כלל הגורמים הרלוונטיים מתווה </w:t>
      </w:r>
      <w:r w:rsidRPr="001B37C0">
        <w:rPr>
          <w:rFonts w:eastAsia="Calibri" w:hint="cs"/>
          <w:rtl/>
        </w:rPr>
        <w:t>שלפיו</w:t>
      </w:r>
      <w:r w:rsidRPr="001B37C0">
        <w:rPr>
          <w:rFonts w:eastAsia="Calibri"/>
          <w:rtl/>
        </w:rPr>
        <w:t xml:space="preserve"> חברת תש"א תפסיק את פעילות פריקת התזקיקים בנמל אשקלון כתנאי להקצאת המקשרים באשדוד. מודל זה נמצא בשלבי בחינה ותיאום מול כלל השותפים.</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b/>
          <w:bCs/>
          <w:rtl/>
        </w:rPr>
        <w:t>עלה כי יישום החלטה לפיתוח תשתיות ליבוא גפ</w:t>
      </w:r>
      <w:r w:rsidRPr="001B37C0">
        <w:rPr>
          <w:rFonts w:eastAsia="Calibri"/>
          <w:b/>
          <w:bCs/>
          <w:rtl/>
        </w:rPr>
        <w:t>"</w:t>
      </w:r>
      <w:r w:rsidRPr="001B37C0">
        <w:rPr>
          <w:rFonts w:eastAsia="Calibri" w:hint="cs"/>
          <w:b/>
          <w:bCs/>
          <w:rtl/>
        </w:rPr>
        <w:t>ם במקשר הימי הקיים באשדוד תלוי בהסדרת מגוון נושאים הקשורים למקשר התזקיקים (ומשפיעים גם על יבוא הגפ</w:t>
      </w:r>
      <w:r w:rsidRPr="001B37C0">
        <w:rPr>
          <w:rFonts w:eastAsia="Calibri"/>
          <w:b/>
          <w:bCs/>
          <w:rtl/>
        </w:rPr>
        <w:t>"</w:t>
      </w:r>
      <w:r w:rsidRPr="001B37C0">
        <w:rPr>
          <w:rFonts w:eastAsia="Calibri" w:hint="cs"/>
          <w:b/>
          <w:bCs/>
          <w:rtl/>
        </w:rPr>
        <w:t>ם) אשר עד למועד סיום הביקורת לא הושלמו: קביעת תעריף לשם בחינת כדאיות עסקית על ידי המפעיל שייבחר;</w:t>
      </w:r>
      <w:r w:rsidRPr="001B37C0">
        <w:rPr>
          <w:rFonts w:eastAsia="Calibri" w:hint="cs"/>
          <w:b/>
          <w:bCs/>
        </w:rPr>
        <w:t xml:space="preserve"> </w:t>
      </w:r>
      <w:r w:rsidRPr="001B37C0">
        <w:rPr>
          <w:rFonts w:eastAsia="Calibri" w:hint="cs"/>
          <w:b/>
          <w:bCs/>
          <w:rtl/>
        </w:rPr>
        <w:t xml:space="preserve">החלטה על זהות המפעיל של המקשר; </w:t>
      </w:r>
      <w:bookmarkStart w:id="35" w:name="OLE_LINK3"/>
      <w:r w:rsidRPr="001B37C0">
        <w:rPr>
          <w:rFonts w:eastAsia="Calibri" w:hint="cs"/>
          <w:b/>
          <w:bCs/>
          <w:rtl/>
        </w:rPr>
        <w:t>חתימה של חנ"י על חוזים עם חח"י</w:t>
      </w:r>
      <w:bookmarkEnd w:id="35"/>
      <w:r w:rsidRPr="001B37C0">
        <w:rPr>
          <w:rFonts w:eastAsia="Calibri" w:hint="cs"/>
          <w:b/>
          <w:bCs/>
          <w:rtl/>
        </w:rPr>
        <w:t xml:space="preserve"> ובד בבד עם המפעיל שייבחר לשם שמירה על רציפות תפקודית</w:t>
      </w:r>
      <w:r>
        <w:rPr>
          <w:rFonts w:eastAsia="Calibri"/>
          <w:b/>
          <w:bCs/>
          <w:vertAlign w:val="superscript"/>
          <w:rtl/>
        </w:rPr>
        <w:footnoteReference w:id="114"/>
      </w:r>
      <w:r w:rsidRPr="001B37C0">
        <w:rPr>
          <w:rFonts w:eastAsia="Calibri" w:hint="cs"/>
          <w:b/>
          <w:bCs/>
          <w:rtl/>
        </w:rPr>
        <w:t>; בחירת קבלן ביצוע וחתימה על חוזה. כמו כן, רק לאחר מועד סיום הביקורת אושרה התוכנית הסטטוטורית למקשר הימי;</w:t>
      </w:r>
      <w:r w:rsidRPr="001B37C0">
        <w:rPr>
          <w:rFonts w:eastAsia="Calibri" w:hint="cs"/>
          <w:b/>
          <w:bCs/>
        </w:rPr>
        <w:t xml:space="preserve"> </w:t>
      </w:r>
      <w:r w:rsidRPr="001B37C0">
        <w:rPr>
          <w:rFonts w:eastAsia="Calibri" w:hint="cs"/>
          <w:b/>
          <w:bCs/>
          <w:rtl/>
        </w:rPr>
        <w:t>רק לאחר ביצוע הפעולות האלה הקשורות לתשתיות התזקיקים, אפשר יהיה להשלים את שרשרת האספקה המלאה ליבוא נוסף של גפ</w:t>
      </w:r>
      <w:r w:rsidRPr="001B37C0">
        <w:rPr>
          <w:rFonts w:eastAsia="Calibri"/>
          <w:b/>
          <w:bCs/>
          <w:rtl/>
        </w:rPr>
        <w:t>"</w:t>
      </w:r>
      <w:r w:rsidRPr="001B37C0">
        <w:rPr>
          <w:rFonts w:eastAsia="Calibri" w:hint="cs"/>
          <w:b/>
          <w:bCs/>
          <w:rtl/>
        </w:rPr>
        <w:t xml:space="preserve">ם באזור </w:t>
      </w:r>
      <w:r w:rsidRPr="001B37C0">
        <w:rPr>
          <w:rFonts w:eastAsia="Calibri" w:hint="eastAsia"/>
          <w:b/>
          <w:bCs/>
          <w:rtl/>
        </w:rPr>
        <w:t>אשדוד</w:t>
      </w:r>
      <w:r w:rsidRPr="001B37C0">
        <w:rPr>
          <w:rFonts w:eastAsia="Calibri"/>
          <w:b/>
          <w:bCs/>
          <w:rtl/>
        </w:rPr>
        <w:t xml:space="preserve"> </w:t>
      </w:r>
      <w:r w:rsidRPr="001B37C0">
        <w:rPr>
          <w:rFonts w:eastAsia="Calibri" w:hint="cs"/>
          <w:b/>
          <w:bCs/>
          <w:rtl/>
        </w:rPr>
        <w:t>ובלבד שתושלם גם הקמת התשתית העורפית הנחוצה ביבשה לאחסון ולניפוק של גפ</w:t>
      </w:r>
      <w:r w:rsidRPr="001B37C0">
        <w:rPr>
          <w:rFonts w:eastAsia="Calibri"/>
          <w:b/>
          <w:bCs/>
          <w:rtl/>
        </w:rPr>
        <w:t>"</w:t>
      </w:r>
      <w:r w:rsidRPr="001B37C0">
        <w:rPr>
          <w:rFonts w:eastAsia="Calibri" w:hint="cs"/>
          <w:b/>
          <w:bCs/>
          <w:rtl/>
        </w:rPr>
        <w:t>ם, וייקבע מודל עסקי כלכלי שיתמוך בכל שרשרת האספקה החדשה המוקמת וייצור תחרות מול מחירי פריקת הגפ</w:t>
      </w:r>
      <w:r w:rsidRPr="001B37C0">
        <w:rPr>
          <w:rFonts w:eastAsia="Calibri"/>
          <w:b/>
          <w:bCs/>
          <w:rtl/>
        </w:rPr>
        <w:t>"</w:t>
      </w:r>
      <w:r w:rsidRPr="001B37C0">
        <w:rPr>
          <w:rFonts w:eastAsia="Calibri" w:hint="cs"/>
          <w:b/>
          <w:bCs/>
          <w:rtl/>
        </w:rPr>
        <w:t>ם בקצא"א</w:t>
      </w:r>
      <w:bookmarkStart w:id="36" w:name="_Hlk222835493"/>
      <w:r w:rsidRPr="001B37C0">
        <w:rPr>
          <w:rFonts w:eastAsia="Calibri" w:hint="cs"/>
          <w:b/>
          <w:bCs/>
          <w:rtl/>
        </w:rPr>
        <w:t xml:space="preserve">. </w:t>
      </w:r>
    </w:p>
    <w:bookmarkEnd w:id="36"/>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b/>
          <w:bCs/>
          <w:rtl/>
        </w:rPr>
        <w:t>ייבוא הגפ"ם באמצעות המקשר הימי תלוי בהסדרת הנושאים הללו, ובהם ההחלטה על זהות המפעיל של המקשר, אשר העיכוב בבחירתו על יד החשכ"ל דוחה</w:t>
      </w:r>
      <w:r w:rsidRPr="001B37C0">
        <w:rPr>
          <w:rFonts w:eastAsia="Calibri" w:hint="cs"/>
          <w:b/>
          <w:bCs/>
          <w:rtl/>
        </w:rPr>
        <w:t xml:space="preserve"> </w:t>
      </w:r>
      <w:r w:rsidRPr="001B37C0">
        <w:rPr>
          <w:rFonts w:eastAsia="Calibri" w:hint="cs"/>
          <w:b/>
          <w:bCs/>
          <w:rtl/>
        </w:rPr>
        <w:t xml:space="preserve">את ביצוע העבודות הנדרשות </w:t>
      </w:r>
      <w:r w:rsidRPr="001B37C0">
        <w:rPr>
          <w:rFonts w:eastAsia="Calibri" w:hint="cs"/>
          <w:b/>
          <w:bCs/>
          <w:rtl/>
        </w:rPr>
        <w:t>להתאמת המקשר ליבוא גפ"ם, ובשל כך מתעכבת הקמת נקודת פריקת גפ</w:t>
      </w:r>
      <w:r w:rsidRPr="001B37C0">
        <w:rPr>
          <w:rFonts w:eastAsia="Calibri"/>
          <w:b/>
          <w:bCs/>
          <w:rtl/>
        </w:rPr>
        <w:t>"</w:t>
      </w:r>
      <w:r w:rsidRPr="001B37C0">
        <w:rPr>
          <w:rFonts w:eastAsia="Calibri" w:hint="cs"/>
          <w:b/>
          <w:bCs/>
          <w:rtl/>
        </w:rPr>
        <w:t>ם נוספת בדרום הארץ.</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חברת תש"א מסרה בתשובתה מאפריל 2026 כי פעילותה בפריקת אוניות בנמל אשקלון מצומצמת ביותר, וכי </w:t>
      </w:r>
      <w:r w:rsidRPr="001B37C0">
        <w:rPr>
          <w:rFonts w:eastAsia="Calibri"/>
          <w:rtl/>
        </w:rPr>
        <w:t>הנמל באשקלון מצוי בבעלות חברת קצא"א, ו</w:t>
      </w:r>
      <w:r w:rsidRPr="001B37C0">
        <w:rPr>
          <w:rFonts w:eastAsia="Calibri" w:hint="cs"/>
          <w:rtl/>
        </w:rPr>
        <w:t>קצא"א היא</w:t>
      </w:r>
      <w:r w:rsidRPr="001B37C0">
        <w:rPr>
          <w:rFonts w:eastAsia="Calibri"/>
          <w:rtl/>
        </w:rPr>
        <w:t xml:space="preserve"> הגורם הבלעדי האחראי על פעילות פריקת האניות והטיפול בהן</w:t>
      </w:r>
      <w:r w:rsidRPr="001B37C0">
        <w:rPr>
          <w:rFonts w:eastAsia="Calibri" w:hint="cs"/>
          <w:rtl/>
        </w:rPr>
        <w:t>. עוד מסרה תש"א כי היא כבר החלה בהיערכות לקליטת המקשרים באשדוד, אולם עדיין לא קיבלה את האישורים להפעלתם, ולנוכח התארכות משך הזמן שיידרש לקבלתם, לא יהיה אפשר לעמוד בלוח הזמנים שנקבע ולסיים את ההקמה עד סוף 2027. עוד הוסיפה תש"א כי נוסף על הפעלת המקשרים יש צורך בהקמת מכליות חוף חדשות לאחסון ביניים של התזקיקים שיוזרמו דרך המקשר, וכי בהיעדר מכליות חוף לאחסון תיווצר תלות בתשתיות מיכול מוגבלות של בז"א שאליהן יוזרמו תזקיקים אלו. לטענת תש"א במצב כזה תוגבל כמות התזקיקים שייפרקו מהאוניות שיתחברו למקשר, ותימנע הזרמה ישירה של התזקיקים</w:t>
      </w:r>
      <w:r>
        <w:rPr>
          <w:rFonts w:ascii="David" w:eastAsia="Calibri" w:hAnsi="David" w:hint="cs"/>
          <w:rtl/>
        </w:rPr>
        <w:t xml:space="preserve"> </w:t>
      </w:r>
      <w:r w:rsidRPr="001B37C0">
        <w:rPr>
          <w:rFonts w:eastAsia="Calibri" w:hint="cs"/>
          <w:rtl/>
        </w:rPr>
        <w:t>לרשת הדלקים הארצית, והדבר מטיל בספק את כדאיות הפעלת המקשרים וחיבורם לרשת הארצית על ידי תש"א.</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קצא"א מסרה בתשובתה מאפריל 2026 כי יש לקבוע את</w:t>
      </w:r>
      <w:r w:rsidRPr="001B37C0">
        <w:rPr>
          <w:rFonts w:eastAsia="Calibri"/>
          <w:rtl/>
        </w:rPr>
        <w:t xml:space="preserve"> זהות מפעיל המקשרים באשדוד</w:t>
      </w:r>
      <w:r w:rsidRPr="001B37C0">
        <w:rPr>
          <w:rFonts w:eastAsia="Calibri" w:hint="cs"/>
          <w:rtl/>
        </w:rPr>
        <w:t xml:space="preserve"> </w:t>
      </w:r>
      <w:r w:rsidRPr="001B37C0">
        <w:rPr>
          <w:rFonts w:eastAsia="Calibri"/>
          <w:rtl/>
        </w:rPr>
        <w:t>על בסיס בחינה מערכתית של כלל שרשרת האספקה בתחום התזקיקים, ולא רק של התחרות במקטע הגפ״ם. במסגרת זו יש להביא בחשבון את הגידול הצפוי בייבוא לנוכח סגירת בז"ן, את מאפייני הביקוש הגיאוגרפיים ואת מעמדם של המפעילים הפוטנציאלי</w:t>
      </w:r>
      <w:r w:rsidRPr="001B37C0">
        <w:rPr>
          <w:rFonts w:eastAsia="Calibri" w:hint="cs"/>
          <w:rtl/>
        </w:rPr>
        <w:t>י</w:t>
      </w:r>
      <w:r w:rsidRPr="001B37C0">
        <w:rPr>
          <w:rFonts w:eastAsia="Calibri"/>
          <w:rtl/>
        </w:rPr>
        <w:t xml:space="preserve">ם בכל אחד ממקטעי שרשרת האספקה של התזקיקים </w:t>
      </w:r>
      <w:r w:rsidRPr="001B37C0">
        <w:rPr>
          <w:rFonts w:eastAsia="Calibri" w:hint="cs"/>
          <w:rtl/>
        </w:rPr>
        <w:t>-</w:t>
      </w:r>
      <w:r w:rsidRPr="001B37C0">
        <w:rPr>
          <w:rFonts w:eastAsia="Calibri"/>
          <w:rtl/>
        </w:rPr>
        <w:t xml:space="preserve"> לרבות במקטע ההזרמה ומקטע האחסון - ואת התמריץ של אותם מפעילים פוטנציאלי</w:t>
      </w:r>
      <w:r w:rsidRPr="001B37C0">
        <w:rPr>
          <w:rFonts w:eastAsia="Calibri" w:hint="cs"/>
          <w:rtl/>
        </w:rPr>
        <w:t>י</w:t>
      </w:r>
      <w:r w:rsidRPr="001B37C0">
        <w:rPr>
          <w:rFonts w:eastAsia="Calibri"/>
          <w:rtl/>
        </w:rPr>
        <w:t>ם להקמה והפעלה של המקשרים, באופן שיבטיח תחרות אפקטיבית בטווח הארוך.</w:t>
      </w:r>
      <w:r w:rsidRPr="001B37C0">
        <w:rPr>
          <w:rFonts w:eastAsia="Calibri" w:hint="cs"/>
          <w:rtl/>
        </w:rPr>
        <w:t xml:space="preserve">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קצא"א הוסיפה כי לפי עמדתה </w:t>
      </w:r>
      <w:r w:rsidRPr="001B37C0">
        <w:rPr>
          <w:rFonts w:eastAsia="Calibri"/>
          <w:rtl/>
        </w:rPr>
        <w:t xml:space="preserve">יש מקום לבחון מחדש את מסקנות הצוות הבין-משרדי משנת </w:t>
      </w:r>
      <w:r w:rsidRPr="001B37C0">
        <w:rPr>
          <w:rFonts w:ascii="David" w:eastAsia="Calibri" w:hAnsi="David"/>
          <w:sz w:val="24"/>
          <w:szCs w:val="32"/>
        </w:rPr>
        <w:t>2020</w:t>
      </w:r>
      <w:r w:rsidRPr="001B37C0">
        <w:rPr>
          <w:rFonts w:eastAsia="Calibri"/>
          <w:rtl/>
        </w:rPr>
        <w:t xml:space="preserve">, בין היתר </w:t>
      </w:r>
      <w:r w:rsidRPr="001B37C0">
        <w:rPr>
          <w:rFonts w:eastAsia="Calibri" w:hint="cs"/>
          <w:rtl/>
        </w:rPr>
        <w:t>לנוכח</w:t>
      </w:r>
      <w:r w:rsidRPr="001B37C0">
        <w:rPr>
          <w:rFonts w:eastAsia="Calibri"/>
          <w:rtl/>
        </w:rPr>
        <w:t xml:space="preserve"> החלטת</w:t>
      </w:r>
      <w:r w:rsidRPr="001B37C0">
        <w:rPr>
          <w:rFonts w:eastAsia="Calibri" w:hint="cs"/>
          <w:rtl/>
        </w:rPr>
        <w:t xml:space="preserve"> </w:t>
      </w:r>
      <w:r w:rsidRPr="001B37C0">
        <w:rPr>
          <w:rFonts w:eastAsia="Calibri"/>
          <w:rtl/>
        </w:rPr>
        <w:t>הממשלה</w:t>
      </w:r>
      <w:r w:rsidRPr="001B37C0">
        <w:rPr>
          <w:rFonts w:eastAsia="Calibri" w:hint="cs"/>
          <w:rtl/>
        </w:rPr>
        <w:t xml:space="preserve"> 1231</w:t>
      </w:r>
      <w:r w:rsidRPr="001B37C0">
        <w:rPr>
          <w:rFonts w:eastAsia="Calibri"/>
          <w:rtl/>
        </w:rPr>
        <w:t xml:space="preserve"> </w:t>
      </w:r>
      <w:r w:rsidRPr="001B37C0">
        <w:rPr>
          <w:rFonts w:eastAsia="Calibri" w:hint="cs"/>
          <w:rtl/>
        </w:rPr>
        <w:t>ע</w:t>
      </w:r>
      <w:r w:rsidRPr="001B37C0">
        <w:rPr>
          <w:rFonts w:eastAsia="Calibri"/>
          <w:rtl/>
        </w:rPr>
        <w:t>ל</w:t>
      </w:r>
      <w:r w:rsidRPr="001B37C0">
        <w:rPr>
          <w:rFonts w:eastAsia="Calibri" w:hint="cs"/>
          <w:rtl/>
        </w:rPr>
        <w:t xml:space="preserve"> </w:t>
      </w:r>
      <w:r w:rsidRPr="001B37C0">
        <w:rPr>
          <w:rFonts w:eastAsia="Calibri"/>
          <w:rtl/>
        </w:rPr>
        <w:t>פינוי בז"ן</w:t>
      </w:r>
      <w:r w:rsidRPr="001B37C0">
        <w:rPr>
          <w:rFonts w:eastAsia="Calibri" w:hint="cs"/>
          <w:rtl/>
        </w:rPr>
        <w:t>,</w:t>
      </w:r>
      <w:r w:rsidRPr="001B37C0">
        <w:rPr>
          <w:rFonts w:eastAsia="Calibri"/>
          <w:rtl/>
        </w:rPr>
        <w:t xml:space="preserve"> שמשמעותה הגדלה דרמטית של ייבוא תזקיקים. </w:t>
      </w:r>
      <w:r w:rsidRPr="001B37C0">
        <w:rPr>
          <w:rFonts w:eastAsia="Calibri" w:hint="cs"/>
          <w:rtl/>
        </w:rPr>
        <w:t xml:space="preserve">וכי </w:t>
      </w:r>
      <w:r w:rsidRPr="001B37C0">
        <w:rPr>
          <w:rFonts w:eastAsia="Calibri"/>
          <w:rtl/>
        </w:rPr>
        <w:t xml:space="preserve">יש </w:t>
      </w:r>
      <w:r w:rsidRPr="001B37C0">
        <w:rPr>
          <w:rFonts w:eastAsia="Calibri" w:hint="cs"/>
          <w:rtl/>
        </w:rPr>
        <w:t xml:space="preserve">לדעתה </w:t>
      </w:r>
      <w:r w:rsidRPr="001B37C0">
        <w:rPr>
          <w:rFonts w:eastAsia="Calibri"/>
          <w:rtl/>
        </w:rPr>
        <w:t>מקום לבחון מחדש</w:t>
      </w:r>
      <w:r w:rsidRPr="001B37C0">
        <w:rPr>
          <w:rFonts w:eastAsia="Calibri" w:hint="cs"/>
          <w:rtl/>
        </w:rPr>
        <w:t xml:space="preserve"> </w:t>
      </w:r>
      <w:r w:rsidRPr="001B37C0">
        <w:rPr>
          <w:rFonts w:eastAsia="Calibri"/>
          <w:rtl/>
        </w:rPr>
        <w:t>אם ההנחות שעמדו בבסיס מסקנות הצוות עודן מתקיימות לנוכח השינויים הצפויים במשק</w:t>
      </w:r>
      <w:r w:rsidRPr="001B37C0">
        <w:rPr>
          <w:rFonts w:eastAsia="Calibri" w:hint="cs"/>
          <w:rtl/>
        </w:rPr>
        <w:t xml:space="preserve"> </w:t>
      </w:r>
      <w:r w:rsidRPr="001B37C0">
        <w:rPr>
          <w:rFonts w:eastAsia="Calibri"/>
          <w:rtl/>
        </w:rPr>
        <w:t xml:space="preserve">התזקיקים, וכן לבחון את </w:t>
      </w:r>
      <w:r w:rsidRPr="001B37C0">
        <w:rPr>
          <w:rFonts w:eastAsia="Calibri" w:hint="cs"/>
          <w:rtl/>
        </w:rPr>
        <w:t>ההשפעות</w:t>
      </w:r>
      <w:r w:rsidRPr="001B37C0">
        <w:rPr>
          <w:rFonts w:eastAsia="Calibri"/>
          <w:rtl/>
        </w:rPr>
        <w:t xml:space="preserve"> הצפויות </w:t>
      </w:r>
      <w:r w:rsidRPr="001B37C0">
        <w:rPr>
          <w:rFonts w:eastAsia="Calibri" w:hint="cs"/>
          <w:rtl/>
        </w:rPr>
        <w:t xml:space="preserve">של הגדלת היבוא </w:t>
      </w:r>
      <w:r w:rsidRPr="001B37C0">
        <w:rPr>
          <w:rFonts w:eastAsia="Calibri"/>
          <w:rtl/>
        </w:rPr>
        <w:t>על רמת הריכוזיות ועל מבנה התמריצים של השחקנים</w:t>
      </w:r>
      <w:r w:rsidRPr="001B37C0">
        <w:rPr>
          <w:rFonts w:eastAsia="Calibri" w:hint="cs"/>
          <w:rtl/>
        </w:rPr>
        <w:t xml:space="preserve"> </w:t>
      </w:r>
      <w:r w:rsidRPr="001B37C0">
        <w:rPr>
          <w:rFonts w:eastAsia="Calibri"/>
          <w:rtl/>
        </w:rPr>
        <w:t>המרכזיים בענף</w:t>
      </w:r>
      <w:r w:rsidRPr="001B37C0">
        <w:rPr>
          <w:rFonts w:eastAsia="Calibri" w:hint="cs"/>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עוד מסרה קצא"א כי לפי עמדתה אין מניעה לאפשר לה להפעיל גם את צינורות הגפ"ם במקשרים באשדוד, וכי </w:t>
      </w:r>
      <w:r w:rsidRPr="001B37C0">
        <w:rPr>
          <w:rFonts w:eastAsia="Calibri"/>
          <w:rtl/>
        </w:rPr>
        <w:t>ההכרעה בדבר אופן הפעלת המקשרים צריכה להיעשות במסגרת הליך מכרזי פתוח, תחרותי ושוויוני</w:t>
      </w:r>
      <w:r w:rsidRPr="001B37C0">
        <w:rPr>
          <w:rFonts w:eastAsia="Calibri" w:hint="cs"/>
          <w:rtl/>
        </w:rPr>
        <w:t xml:space="preserve"> ולא בפטור ממכרז.</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חנ"י מסרה בתשובתה כי </w:t>
      </w:r>
      <w:r w:rsidRPr="001B37C0">
        <w:rPr>
          <w:rFonts w:eastAsia="Calibri"/>
          <w:rtl/>
        </w:rPr>
        <w:t xml:space="preserve">תחילת ביצוע הפרויקט תתאפשר רק לאחר שמשרדי הממשלה </w:t>
      </w:r>
      <w:r w:rsidRPr="001B37C0">
        <w:rPr>
          <w:rFonts w:eastAsia="Calibri" w:hint="cs"/>
          <w:rtl/>
        </w:rPr>
        <w:t>והמאסדרים</w:t>
      </w:r>
      <w:r w:rsidRPr="001B37C0">
        <w:rPr>
          <w:rFonts w:eastAsia="Calibri"/>
          <w:rtl/>
        </w:rPr>
        <w:t xml:space="preserve"> יקבלו החלטות רשמיות, בין היתר בכל הקשור לפטור ממכרז להתקשרות עם תש"א כמפעיל,</w:t>
      </w:r>
      <w:r w:rsidRPr="001B37C0">
        <w:rPr>
          <w:rFonts w:eastAsia="Calibri" w:hint="cs"/>
          <w:rtl/>
        </w:rPr>
        <w:t xml:space="preserve"> </w:t>
      </w:r>
      <w:r w:rsidRPr="001B37C0">
        <w:rPr>
          <w:rFonts w:eastAsia="Calibri"/>
          <w:rtl/>
        </w:rPr>
        <w:t>לקביעת תעריפים מתאימים או לגביית דמי תשתית אשר יכסו את עלויות שיקום</w:t>
      </w:r>
      <w:r w:rsidRPr="001B37C0">
        <w:rPr>
          <w:rFonts w:eastAsia="Calibri" w:hint="cs"/>
          <w:rtl/>
        </w:rPr>
        <w:t xml:space="preserve"> </w:t>
      </w:r>
      <w:r w:rsidRPr="001B37C0">
        <w:rPr>
          <w:rFonts w:eastAsia="Calibri"/>
          <w:rtl/>
        </w:rPr>
        <w:t>המקשרים והוספת אפשרות פריקת הגפ"</w:t>
      </w:r>
      <w:r w:rsidRPr="001B37C0">
        <w:rPr>
          <w:rFonts w:eastAsia="Calibri" w:hint="cs"/>
          <w:rtl/>
        </w:rPr>
        <w:t>ם</w:t>
      </w:r>
      <w:r w:rsidRPr="001B37C0">
        <w:rPr>
          <w:rFonts w:eastAsia="Calibri"/>
          <w:rtl/>
        </w:rPr>
        <w:t xml:space="preserve"> </w:t>
      </w:r>
      <w:r w:rsidRPr="001B37C0">
        <w:rPr>
          <w:rFonts w:eastAsia="Calibri" w:hint="cs"/>
          <w:rtl/>
        </w:rPr>
        <w:t>וכן</w:t>
      </w:r>
      <w:r w:rsidRPr="001B37C0">
        <w:rPr>
          <w:rFonts w:eastAsia="Calibri"/>
          <w:rtl/>
        </w:rPr>
        <w:t xml:space="preserve"> להקמת מתקן האחסון הנוסף.</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בז"א מסרה בתשובתה ממאי 2026 כי סוגיית המפעיל של המקשרים הפכה לקריטית, וכי לצורך חיבור המקטע הימי לצנרת בז"א נדרש להקים מתקן ייעודי וכן תשתית צנרת מתאימה בלוחות זמנים מאתגרים במיוחד נוכח פרק הזמן הקצר שנותר לשיפוץ המקשר.</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b/>
          <w:bCs/>
          <w:rtl/>
        </w:rPr>
        <w:t xml:space="preserve">על מנת לקדם את הקמת פריקת גפ"ם נוספת במרחב נמל אשדוד, בהתאם להנחיית החלטת הממשלה 1231, מומלץ לחשכ״ל </w:t>
      </w:r>
      <w:r w:rsidRPr="001B37C0">
        <w:rPr>
          <w:rFonts w:eastAsia="Calibri" w:hint="eastAsia"/>
          <w:b/>
          <w:bCs/>
          <w:rtl/>
        </w:rPr>
        <w:t>להשלים</w:t>
      </w:r>
      <w:r w:rsidRPr="001B37C0">
        <w:rPr>
          <w:rFonts w:eastAsia="Calibri"/>
          <w:b/>
          <w:bCs/>
          <w:rtl/>
        </w:rPr>
        <w:t xml:space="preserve"> </w:t>
      </w:r>
      <w:r w:rsidRPr="001B37C0">
        <w:rPr>
          <w:rFonts w:eastAsia="Calibri" w:hint="eastAsia"/>
          <w:b/>
          <w:bCs/>
          <w:rtl/>
        </w:rPr>
        <w:t>את</w:t>
      </w:r>
      <w:r w:rsidRPr="001B37C0">
        <w:rPr>
          <w:rFonts w:eastAsia="Calibri" w:hint="cs"/>
          <w:b/>
          <w:bCs/>
          <w:rtl/>
        </w:rPr>
        <w:t xml:space="preserve"> קבלת ההחלטה בעניין בחירת זהות מפעיל המקשרים. </w:t>
      </w:r>
    </w:p>
    <w:p w:rsidR="001B37C0" w:rsidRPr="001B37C0" w:rsidP="002F4530">
      <w:pPr>
        <w:keepNext/>
        <w:keepLines/>
        <w:spacing w:line="269" w:lineRule="auto"/>
        <w:ind w:left="-567"/>
        <w:rPr>
          <w:rFonts w:eastAsia="Calibri"/>
          <w:szCs w:val="20"/>
          <w:rtl/>
        </w:rPr>
      </w:pPr>
    </w:p>
    <w:p w:rsidR="001B37C0" w:rsidRPr="001B37C0" w:rsidP="002F4530">
      <w:pPr>
        <w:keepNext/>
        <w:keepLines/>
        <w:spacing w:line="269" w:lineRule="auto"/>
        <w:outlineLvl w:val="4"/>
        <w:rPr>
          <w:rFonts w:eastAsia="Times New Roman"/>
          <w:bCs/>
          <w:spacing w:val="40"/>
          <w:rtl/>
        </w:rPr>
      </w:pPr>
      <w:r w:rsidRPr="001B37C0">
        <w:rPr>
          <w:rFonts w:eastAsia="Times New Roman" w:hint="eastAsia"/>
          <w:bCs/>
          <w:spacing w:val="40"/>
          <w:rtl/>
        </w:rPr>
        <w:t>אחסון</w:t>
      </w:r>
      <w:r w:rsidRPr="001B37C0">
        <w:rPr>
          <w:rFonts w:eastAsia="Times New Roman"/>
          <w:bCs/>
          <w:spacing w:val="40"/>
          <w:rtl/>
        </w:rPr>
        <w:t xml:space="preserve"> </w:t>
      </w:r>
      <w:r w:rsidRPr="001B37C0">
        <w:rPr>
          <w:rFonts w:eastAsia="Times New Roman" w:hint="cs"/>
          <w:bCs/>
          <w:spacing w:val="40"/>
          <w:rtl/>
        </w:rPr>
        <w:t>גפ</w:t>
      </w:r>
      <w:r w:rsidRPr="001B37C0">
        <w:rPr>
          <w:rFonts w:eastAsia="Times New Roman"/>
          <w:bCs/>
          <w:spacing w:val="40"/>
          <w:rtl/>
        </w:rPr>
        <w:t>"</w:t>
      </w:r>
      <w:r w:rsidRPr="001B37C0">
        <w:rPr>
          <w:rFonts w:eastAsia="Times New Roman" w:hint="cs"/>
          <w:bCs/>
          <w:spacing w:val="40"/>
          <w:rtl/>
        </w:rPr>
        <w:t>ם</w:t>
      </w:r>
      <w:r w:rsidRPr="001B37C0">
        <w:rPr>
          <w:rFonts w:eastAsia="Times New Roman"/>
          <w:bCs/>
          <w:spacing w:val="40"/>
          <w:rtl/>
        </w:rPr>
        <w:t xml:space="preserve"> בדרום</w:t>
      </w:r>
    </w:p>
    <w:p w:rsidR="001B37C0" w:rsidRPr="001B37C0" w:rsidP="002F4530">
      <w:pPr>
        <w:rPr>
          <w:rFonts w:eastAsia="Calibri"/>
          <w:rtl/>
        </w:rPr>
      </w:pPr>
    </w:p>
    <w:p w:rsidR="001B37C0" w:rsidRPr="001B37C0" w:rsidP="002F4530">
      <w:pPr>
        <w:spacing w:line="269" w:lineRule="auto"/>
        <w:rPr>
          <w:rFonts w:ascii="David" w:eastAsia="Calibri" w:hAnsi="David"/>
          <w:rtl/>
        </w:rPr>
      </w:pPr>
      <w:r w:rsidRPr="001B37C0">
        <w:rPr>
          <w:rFonts w:ascii="David" w:eastAsia="Calibri" w:hAnsi="David" w:hint="cs"/>
          <w:rtl/>
        </w:rPr>
        <w:t>לנוכח כמות האחסון המוגבלת של גפ</w:t>
      </w:r>
      <w:r w:rsidRPr="001B37C0">
        <w:rPr>
          <w:rFonts w:ascii="David" w:eastAsia="Calibri" w:hAnsi="David"/>
          <w:rtl/>
        </w:rPr>
        <w:t>"</w:t>
      </w:r>
      <w:r w:rsidRPr="001B37C0">
        <w:rPr>
          <w:rFonts w:ascii="David" w:eastAsia="Calibri" w:hAnsi="David" w:hint="cs"/>
          <w:rtl/>
        </w:rPr>
        <w:t xml:space="preserve">ם כיום </w:t>
      </w:r>
      <w:r w:rsidRPr="001B37C0">
        <w:rPr>
          <w:rFonts w:ascii="David" w:eastAsia="Calibri" w:hAnsi="David"/>
          <w:rtl/>
        </w:rPr>
        <w:t>פרסם</w:t>
      </w:r>
      <w:r w:rsidRPr="001B37C0">
        <w:rPr>
          <w:rFonts w:ascii="David" w:eastAsia="Calibri" w:hAnsi="David" w:hint="cs"/>
          <w:rtl/>
        </w:rPr>
        <w:t xml:space="preserve"> מינהל הדלק</w:t>
      </w:r>
      <w:r w:rsidRPr="001B37C0">
        <w:rPr>
          <w:rFonts w:ascii="David" w:eastAsia="Calibri" w:hAnsi="David"/>
          <w:rtl/>
        </w:rPr>
        <w:t xml:space="preserve"> בשנים האחרונות שני מכרזים להקמת מתקן </w:t>
      </w:r>
      <w:r w:rsidRPr="001B37C0">
        <w:rPr>
          <w:rFonts w:ascii="David" w:eastAsia="Calibri" w:hAnsi="David" w:hint="cs"/>
          <w:rtl/>
        </w:rPr>
        <w:t xml:space="preserve">נוסף </w:t>
      </w:r>
      <w:r w:rsidRPr="001B37C0">
        <w:rPr>
          <w:rFonts w:ascii="David" w:eastAsia="Calibri" w:hAnsi="David"/>
          <w:rtl/>
        </w:rPr>
        <w:t>לאחסון גפ"ם</w:t>
      </w:r>
      <w:r w:rsidRPr="001B37C0">
        <w:rPr>
          <w:rFonts w:ascii="David" w:eastAsia="Calibri" w:hAnsi="David" w:hint="cs"/>
          <w:rtl/>
        </w:rPr>
        <w:t xml:space="preserve"> בהתאם לתמ"א 32/1 המתוארת לעיל באזור אשדוד.</w:t>
      </w:r>
    </w:p>
    <w:p w:rsidR="00A87F40" w:rsidP="002F4530">
      <w:pPr>
        <w:bidi w:val="0"/>
        <w:spacing w:after="200" w:line="276" w:lineRule="auto"/>
        <w:rPr>
          <w:rFonts w:ascii="David" w:eastAsia="Calibri" w:hAnsi="David"/>
          <w:rtl/>
        </w:rPr>
      </w:pPr>
      <w:r>
        <w:rPr>
          <w:rFonts w:ascii="David" w:eastAsia="Calibri" w:hAnsi="David"/>
          <w:rtl/>
        </w:rPr>
        <w:br w:type="page"/>
      </w:r>
    </w:p>
    <w:p w:rsidR="001B37C0" w:rsidRPr="001B37C0" w:rsidP="002F4530">
      <w:pPr>
        <w:spacing w:line="269" w:lineRule="auto"/>
        <w:rPr>
          <w:rFonts w:ascii="David" w:eastAsia="Calibri" w:hAnsi="David"/>
          <w:rtl/>
        </w:rPr>
      </w:pPr>
      <w:r w:rsidRPr="001B37C0">
        <w:rPr>
          <w:rFonts w:ascii="David" w:eastAsia="Calibri" w:hAnsi="David" w:hint="cs"/>
          <w:rtl/>
        </w:rPr>
        <w:t>ה</w:t>
      </w:r>
      <w:r w:rsidRPr="001B37C0">
        <w:rPr>
          <w:rFonts w:ascii="David" w:eastAsia="Calibri" w:hAnsi="David"/>
          <w:rtl/>
        </w:rPr>
        <w:t>מכרז הראשון</w:t>
      </w:r>
      <w:r w:rsidRPr="001B37C0">
        <w:rPr>
          <w:rFonts w:ascii="David" w:eastAsia="Calibri" w:hAnsi="David" w:hint="cs"/>
          <w:rtl/>
        </w:rPr>
        <w:t xml:space="preserve"> להקמת </w:t>
      </w:r>
      <w:r w:rsidRPr="001B37C0">
        <w:rPr>
          <w:rFonts w:ascii="David" w:eastAsia="Calibri" w:hAnsi="David"/>
          <w:rtl/>
        </w:rPr>
        <w:t>מתקן אחסון גפ"ם בכמות של 10,000 טונה</w:t>
      </w:r>
      <w:r w:rsidRPr="001B37C0">
        <w:rPr>
          <w:rFonts w:ascii="David" w:eastAsia="Calibri" w:hAnsi="David" w:hint="cs"/>
          <w:rtl/>
        </w:rPr>
        <w:t xml:space="preserve"> </w:t>
      </w:r>
      <w:r w:rsidRPr="001B37C0">
        <w:rPr>
          <w:rFonts w:ascii="David" w:eastAsia="Calibri" w:hAnsi="David"/>
          <w:rtl/>
        </w:rPr>
        <w:t>פורסם בנובמבר 2019</w:t>
      </w:r>
      <w:r w:rsidRPr="001B37C0">
        <w:rPr>
          <w:rFonts w:ascii="David" w:eastAsia="Calibri" w:hAnsi="David" w:hint="cs"/>
          <w:rtl/>
        </w:rPr>
        <w:t>.</w:t>
      </w:r>
      <w:r w:rsidRPr="001B37C0">
        <w:rPr>
          <w:rFonts w:ascii="David" w:eastAsia="Calibri" w:hAnsi="David"/>
          <w:rtl/>
        </w:rPr>
        <w:t xml:space="preserve"> המכרז </w:t>
      </w:r>
      <w:r w:rsidRPr="001B37C0">
        <w:rPr>
          <w:rFonts w:ascii="David" w:eastAsia="Calibri" w:hAnsi="David" w:hint="cs"/>
          <w:rtl/>
        </w:rPr>
        <w:t xml:space="preserve">אפשר </w:t>
      </w:r>
      <w:r w:rsidRPr="001B37C0">
        <w:rPr>
          <w:rFonts w:ascii="David" w:eastAsia="Calibri" w:hAnsi="David"/>
          <w:rtl/>
        </w:rPr>
        <w:t xml:space="preserve">הקמת מתקן </w:t>
      </w:r>
      <w:r w:rsidRPr="001B37C0">
        <w:rPr>
          <w:rFonts w:ascii="David" w:eastAsia="Calibri" w:hAnsi="David" w:hint="cs"/>
          <w:rtl/>
        </w:rPr>
        <w:t>ל</w:t>
      </w:r>
      <w:r w:rsidRPr="001B37C0">
        <w:rPr>
          <w:rFonts w:ascii="David" w:eastAsia="Calibri" w:hAnsi="David"/>
          <w:rtl/>
        </w:rPr>
        <w:t>אחסון של 10,000 או 11,000 טונה</w:t>
      </w:r>
      <w:r w:rsidRPr="001B37C0">
        <w:rPr>
          <w:rFonts w:ascii="David" w:eastAsia="Calibri" w:hAnsi="David" w:hint="cs"/>
          <w:rtl/>
        </w:rPr>
        <w:t xml:space="preserve"> </w:t>
      </w:r>
      <w:r w:rsidRPr="001B37C0">
        <w:rPr>
          <w:rFonts w:ascii="David" w:eastAsia="Calibri" w:hAnsi="David"/>
          <w:rtl/>
        </w:rPr>
        <w:t xml:space="preserve">גפ"ם, בהתאם להחלטת המציע. </w:t>
      </w:r>
      <w:r w:rsidRPr="001B37C0">
        <w:rPr>
          <w:rFonts w:ascii="David" w:eastAsia="Calibri" w:hAnsi="David" w:hint="cs"/>
          <w:rtl/>
        </w:rPr>
        <w:t xml:space="preserve">אם הייתה מוגשת </w:t>
      </w:r>
      <w:r w:rsidRPr="001B37C0">
        <w:rPr>
          <w:rFonts w:ascii="David" w:eastAsia="Calibri" w:hAnsi="David"/>
          <w:rtl/>
        </w:rPr>
        <w:t xml:space="preserve">הצעה </w:t>
      </w:r>
      <w:r w:rsidRPr="001B37C0">
        <w:rPr>
          <w:rFonts w:ascii="David" w:eastAsia="Calibri" w:hAnsi="David" w:hint="cs"/>
          <w:rtl/>
        </w:rPr>
        <w:t>ל-</w:t>
      </w:r>
      <w:r w:rsidRPr="001B37C0">
        <w:rPr>
          <w:rFonts w:ascii="David" w:eastAsia="Calibri" w:hAnsi="David"/>
          <w:rtl/>
        </w:rPr>
        <w:t>11,000 טונה</w:t>
      </w:r>
      <w:r w:rsidRPr="001B37C0">
        <w:rPr>
          <w:rFonts w:ascii="David" w:eastAsia="Calibri" w:hAnsi="David" w:hint="cs"/>
          <w:rtl/>
        </w:rPr>
        <w:t xml:space="preserve"> </w:t>
      </w:r>
      <w:r w:rsidRPr="001B37C0">
        <w:rPr>
          <w:rFonts w:ascii="David" w:eastAsia="Calibri" w:hAnsi="David"/>
          <w:rtl/>
        </w:rPr>
        <w:t>גפ"ם, כמות של 10,000 טונה</w:t>
      </w:r>
      <w:r w:rsidRPr="001B37C0">
        <w:rPr>
          <w:rFonts w:ascii="David" w:eastAsia="Calibri" w:hAnsi="David" w:hint="cs"/>
          <w:rtl/>
        </w:rPr>
        <w:t xml:space="preserve"> </w:t>
      </w:r>
      <w:r w:rsidRPr="001B37C0">
        <w:rPr>
          <w:rFonts w:ascii="David" w:eastAsia="Calibri" w:hAnsi="David"/>
          <w:rtl/>
        </w:rPr>
        <w:t xml:space="preserve">גפ"ם </w:t>
      </w:r>
      <w:r w:rsidRPr="001B37C0">
        <w:rPr>
          <w:rFonts w:ascii="David" w:eastAsia="Calibri" w:hAnsi="David" w:hint="cs"/>
          <w:rtl/>
        </w:rPr>
        <w:t>אמורה הייתה ל</w:t>
      </w:r>
      <w:r w:rsidRPr="001B37C0">
        <w:rPr>
          <w:rFonts w:ascii="David" w:eastAsia="Calibri" w:hAnsi="David"/>
          <w:rtl/>
        </w:rPr>
        <w:t>שמש מלאי לשעת חירום וכמות של 1,000 טונה</w:t>
      </w:r>
      <w:r w:rsidRPr="001B37C0">
        <w:rPr>
          <w:rFonts w:ascii="David" w:eastAsia="Calibri" w:hAnsi="David" w:hint="cs"/>
          <w:rtl/>
        </w:rPr>
        <w:t xml:space="preserve"> </w:t>
      </w:r>
      <w:r w:rsidRPr="001B37C0">
        <w:rPr>
          <w:rFonts w:ascii="David" w:eastAsia="Calibri" w:hAnsi="David"/>
          <w:rtl/>
        </w:rPr>
        <w:t xml:space="preserve">גפ"ם </w:t>
      </w:r>
      <w:r w:rsidRPr="001B37C0">
        <w:rPr>
          <w:rFonts w:ascii="David" w:eastAsia="Calibri" w:hAnsi="David" w:hint="cs"/>
          <w:rtl/>
        </w:rPr>
        <w:t>אמורה הייתה ל</w:t>
      </w:r>
      <w:r w:rsidRPr="001B37C0">
        <w:rPr>
          <w:rFonts w:ascii="David" w:eastAsia="Calibri" w:hAnsi="David"/>
          <w:rtl/>
        </w:rPr>
        <w:t>שמש את מ</w:t>
      </w:r>
      <w:r w:rsidRPr="001B37C0">
        <w:rPr>
          <w:rFonts w:ascii="David" w:eastAsia="Calibri" w:hAnsi="David" w:hint="cs"/>
          <w:rtl/>
        </w:rPr>
        <w:t>י</w:t>
      </w:r>
      <w:r w:rsidRPr="001B37C0">
        <w:rPr>
          <w:rFonts w:ascii="David" w:eastAsia="Calibri" w:hAnsi="David"/>
          <w:rtl/>
        </w:rPr>
        <w:t>נהל</w:t>
      </w:r>
      <w:r w:rsidRPr="001B37C0">
        <w:rPr>
          <w:rFonts w:ascii="David" w:eastAsia="Calibri" w:hAnsi="David" w:hint="cs"/>
          <w:rtl/>
        </w:rPr>
        <w:t xml:space="preserve"> הדלק</w:t>
      </w:r>
      <w:r w:rsidRPr="001B37C0">
        <w:rPr>
          <w:rFonts w:ascii="David" w:eastAsia="Calibri" w:hAnsi="David"/>
          <w:rtl/>
        </w:rPr>
        <w:t xml:space="preserve"> להשכרת שטחי אחסון</w:t>
      </w:r>
      <w:r w:rsidRPr="001B37C0">
        <w:rPr>
          <w:rFonts w:ascii="David" w:eastAsia="Calibri" w:hAnsi="David" w:hint="cs"/>
          <w:rtl/>
        </w:rPr>
        <w:t>,</w:t>
      </w:r>
      <w:r w:rsidRPr="001B37C0">
        <w:rPr>
          <w:rFonts w:ascii="David" w:eastAsia="Calibri" w:hAnsi="David"/>
          <w:rtl/>
        </w:rPr>
        <w:t xml:space="preserve"> </w:t>
      </w:r>
      <w:r w:rsidRPr="001B37C0">
        <w:rPr>
          <w:rFonts w:ascii="David" w:eastAsia="Calibri" w:hAnsi="David" w:hint="cs"/>
          <w:rtl/>
        </w:rPr>
        <w:t>שבדרך כלל חסרים לספקי</w:t>
      </w:r>
      <w:r w:rsidRPr="001B37C0">
        <w:rPr>
          <w:rFonts w:ascii="David" w:eastAsia="Calibri" w:hAnsi="David"/>
          <w:rtl/>
        </w:rPr>
        <w:t xml:space="preserve"> </w:t>
      </w:r>
      <w:r w:rsidRPr="001B37C0">
        <w:rPr>
          <w:rFonts w:ascii="David" w:eastAsia="Calibri" w:hAnsi="David" w:hint="cs"/>
          <w:rtl/>
        </w:rPr>
        <w:t>גז</w:t>
      </w:r>
      <w:r w:rsidRPr="001B37C0">
        <w:rPr>
          <w:rFonts w:ascii="David" w:eastAsia="Calibri" w:hAnsi="David"/>
          <w:rtl/>
        </w:rPr>
        <w:t xml:space="preserve"> </w:t>
      </w:r>
      <w:r w:rsidRPr="001B37C0">
        <w:rPr>
          <w:rFonts w:ascii="David" w:eastAsia="Calibri" w:hAnsi="David" w:hint="cs"/>
          <w:rtl/>
        </w:rPr>
        <w:t>קטנים ובינוניים</w:t>
      </w:r>
      <w:r w:rsidRPr="001B37C0">
        <w:rPr>
          <w:rFonts w:ascii="David" w:eastAsia="Calibri" w:hAnsi="David"/>
          <w:rtl/>
        </w:rPr>
        <w:t xml:space="preserve">. </w:t>
      </w:r>
      <w:r w:rsidRPr="001B37C0">
        <w:rPr>
          <w:rFonts w:ascii="David" w:eastAsia="Calibri" w:hAnsi="David" w:hint="cs"/>
          <w:rtl/>
        </w:rPr>
        <w:t xml:space="preserve">בדרך זו יועד המכרז </w:t>
      </w:r>
      <w:r w:rsidRPr="001B37C0">
        <w:rPr>
          <w:rFonts w:ascii="David" w:eastAsia="Calibri" w:hAnsi="David"/>
          <w:rtl/>
        </w:rPr>
        <w:t>לפת</w:t>
      </w:r>
      <w:r w:rsidRPr="001B37C0">
        <w:rPr>
          <w:rFonts w:ascii="David" w:eastAsia="Calibri" w:hAnsi="David" w:hint="cs"/>
          <w:rtl/>
        </w:rPr>
        <w:t xml:space="preserve">ור </w:t>
      </w:r>
      <w:r w:rsidRPr="001B37C0">
        <w:rPr>
          <w:rFonts w:ascii="David" w:eastAsia="Calibri" w:hAnsi="David"/>
          <w:rtl/>
        </w:rPr>
        <w:t xml:space="preserve">שתי בעיות: המחסור בגפ"ם בשעת חירום ויצירת תחרות במשק הגפ"ם על ידי </w:t>
      </w:r>
      <w:r w:rsidRPr="001B37C0">
        <w:rPr>
          <w:rFonts w:ascii="David" w:eastAsia="Calibri" w:hAnsi="David" w:hint="cs"/>
          <w:rtl/>
        </w:rPr>
        <w:t>פתרון</w:t>
      </w:r>
      <w:r w:rsidRPr="001B37C0">
        <w:rPr>
          <w:rFonts w:ascii="David" w:eastAsia="Calibri" w:hAnsi="David"/>
          <w:rtl/>
        </w:rPr>
        <w:t xml:space="preserve"> </w:t>
      </w:r>
      <w:r w:rsidRPr="001B37C0">
        <w:rPr>
          <w:rFonts w:ascii="David" w:eastAsia="Calibri" w:hAnsi="David" w:hint="cs"/>
          <w:rtl/>
        </w:rPr>
        <w:t>המחסור</w:t>
      </w:r>
      <w:r w:rsidRPr="001B37C0">
        <w:rPr>
          <w:rFonts w:ascii="David" w:eastAsia="Calibri" w:hAnsi="David"/>
          <w:rtl/>
        </w:rPr>
        <w:t xml:space="preserve"> </w:t>
      </w:r>
      <w:r w:rsidRPr="001B37C0">
        <w:rPr>
          <w:rFonts w:ascii="David" w:eastAsia="Calibri" w:hAnsi="David" w:hint="cs"/>
          <w:rtl/>
        </w:rPr>
        <w:t xml:space="preserve">בשטח </w:t>
      </w:r>
      <w:r w:rsidRPr="001B37C0">
        <w:rPr>
          <w:rFonts w:ascii="David" w:eastAsia="Calibri" w:hAnsi="David"/>
          <w:rtl/>
        </w:rPr>
        <w:t xml:space="preserve">אחסון </w:t>
      </w:r>
      <w:r w:rsidRPr="001B37C0">
        <w:rPr>
          <w:rFonts w:ascii="David" w:eastAsia="Calibri" w:hAnsi="David" w:hint="cs"/>
          <w:rtl/>
        </w:rPr>
        <w:t xml:space="preserve">של </w:t>
      </w:r>
      <w:r w:rsidRPr="001B37C0">
        <w:rPr>
          <w:rFonts w:ascii="David" w:eastAsia="Calibri" w:hAnsi="David"/>
          <w:rtl/>
        </w:rPr>
        <w:t>גפ"ם שיש ל</w:t>
      </w:r>
      <w:r w:rsidRPr="001B37C0">
        <w:rPr>
          <w:rFonts w:ascii="David" w:eastAsia="Calibri" w:hAnsi="David" w:hint="cs"/>
          <w:rtl/>
        </w:rPr>
        <w:t>ספקים</w:t>
      </w:r>
      <w:r w:rsidRPr="001B37C0">
        <w:rPr>
          <w:rFonts w:ascii="David" w:eastAsia="Calibri" w:hAnsi="David"/>
          <w:rtl/>
        </w:rPr>
        <w:t xml:space="preserve"> קטנ</w:t>
      </w:r>
      <w:r w:rsidRPr="001B37C0">
        <w:rPr>
          <w:rFonts w:ascii="David" w:eastAsia="Calibri" w:hAnsi="David" w:hint="cs"/>
          <w:rtl/>
        </w:rPr>
        <w:t>ים</w:t>
      </w:r>
      <w:r w:rsidRPr="001B37C0">
        <w:rPr>
          <w:rFonts w:ascii="David" w:eastAsia="Calibri" w:hAnsi="David"/>
          <w:rtl/>
        </w:rPr>
        <w:t xml:space="preserve"> ובינוני</w:t>
      </w:r>
      <w:r w:rsidRPr="001B37C0">
        <w:rPr>
          <w:rFonts w:ascii="David" w:eastAsia="Calibri" w:hAnsi="David" w:hint="cs"/>
          <w:rtl/>
        </w:rPr>
        <w:t>ים</w:t>
      </w:r>
      <w:r w:rsidRPr="001B37C0">
        <w:rPr>
          <w:rFonts w:ascii="David" w:eastAsia="Calibri" w:hAnsi="David"/>
          <w:rtl/>
        </w:rPr>
        <w:t>.</w:t>
      </w:r>
      <w:r w:rsidRPr="001B37C0">
        <w:rPr>
          <w:rFonts w:ascii="David" w:eastAsia="Calibri" w:hAnsi="David" w:hint="cs"/>
          <w:rtl/>
        </w:rPr>
        <w:t xml:space="preserve"> </w:t>
      </w:r>
    </w:p>
    <w:p w:rsidR="001B37C0" w:rsidRPr="001B37C0" w:rsidP="002F4530">
      <w:pPr>
        <w:keepNext/>
        <w:keepLines/>
        <w:spacing w:line="269" w:lineRule="auto"/>
        <w:ind w:left="-567"/>
        <w:rPr>
          <w:rFonts w:eastAsia="Calibri"/>
          <w:szCs w:val="20"/>
          <w:rtl/>
        </w:rPr>
      </w:pPr>
    </w:p>
    <w:p w:rsidR="001B37C0" w:rsidP="002F4530">
      <w:pPr>
        <w:spacing w:line="269" w:lineRule="auto"/>
        <w:rPr>
          <w:rFonts w:ascii="David" w:eastAsia="Calibri" w:hAnsi="David"/>
          <w:rtl/>
        </w:rPr>
      </w:pPr>
      <w:r w:rsidRPr="001B37C0">
        <w:rPr>
          <w:rFonts w:ascii="David" w:eastAsia="Calibri" w:hAnsi="David" w:hint="cs"/>
          <w:rtl/>
        </w:rPr>
        <w:t xml:space="preserve">למכרז הוגשה </w:t>
      </w:r>
      <w:r w:rsidRPr="001B37C0">
        <w:rPr>
          <w:rFonts w:ascii="David" w:eastAsia="Calibri" w:hAnsi="David"/>
          <w:rtl/>
        </w:rPr>
        <w:t>הצעת מחיר אחת בלבד</w:t>
      </w:r>
      <w:r w:rsidRPr="001B37C0">
        <w:rPr>
          <w:rFonts w:ascii="David" w:eastAsia="Calibri" w:hAnsi="David" w:hint="cs"/>
          <w:rtl/>
        </w:rPr>
        <w:t>,</w:t>
      </w:r>
      <w:r w:rsidRPr="001B37C0">
        <w:rPr>
          <w:rFonts w:ascii="David" w:eastAsia="Calibri" w:hAnsi="David"/>
          <w:rtl/>
        </w:rPr>
        <w:t xml:space="preserve"> שהי</w:t>
      </w:r>
      <w:r w:rsidRPr="001B37C0">
        <w:rPr>
          <w:rFonts w:ascii="David" w:eastAsia="Calibri" w:hAnsi="David" w:hint="cs"/>
          <w:rtl/>
        </w:rPr>
        <w:t>י</w:t>
      </w:r>
      <w:r w:rsidRPr="001B37C0">
        <w:rPr>
          <w:rFonts w:ascii="David" w:eastAsia="Calibri" w:hAnsi="David"/>
          <w:rtl/>
        </w:rPr>
        <w:t>תה גבוהה מהאומדן</w:t>
      </w:r>
      <w:r w:rsidRPr="001B37C0">
        <w:rPr>
          <w:rFonts w:ascii="David" w:eastAsia="Calibri" w:hAnsi="David" w:hint="cs"/>
          <w:rtl/>
        </w:rPr>
        <w:t xml:space="preserve"> שנקבע למציעים, ולפיכך היא נפסלה והמכרז לא צלח.</w:t>
      </w:r>
    </w:p>
    <w:p w:rsidR="001B37C0" w:rsidP="002F4530">
      <w:pPr>
        <w:spacing w:line="269" w:lineRule="auto"/>
        <w:rPr>
          <w:rFonts w:ascii="David" w:eastAsia="Calibri" w:hAnsi="David"/>
          <w:rtl/>
        </w:rPr>
      </w:pPr>
    </w:p>
    <w:p w:rsidR="001B37C0" w:rsidRPr="001B37C0" w:rsidP="002F4530">
      <w:pPr>
        <w:spacing w:line="269" w:lineRule="auto"/>
        <w:rPr>
          <w:rFonts w:ascii="David" w:eastAsia="Calibri" w:hAnsi="David"/>
          <w:rtl/>
        </w:rPr>
      </w:pPr>
      <w:r w:rsidRPr="001B37C0">
        <w:rPr>
          <w:rFonts w:ascii="David" w:eastAsia="Calibri" w:hAnsi="David"/>
          <w:rtl/>
        </w:rPr>
        <w:t>בנובמבר 2021</w:t>
      </w:r>
      <w:r w:rsidRPr="001B37C0">
        <w:rPr>
          <w:rFonts w:ascii="David" w:eastAsia="Calibri" w:hAnsi="David" w:hint="cs"/>
          <w:rtl/>
        </w:rPr>
        <w:t xml:space="preserve"> </w:t>
      </w:r>
      <w:r w:rsidRPr="001B37C0">
        <w:rPr>
          <w:rFonts w:ascii="David" w:eastAsia="Calibri" w:hAnsi="David"/>
          <w:rtl/>
        </w:rPr>
        <w:t xml:space="preserve">פורסם </w:t>
      </w:r>
      <w:r w:rsidRPr="001B37C0">
        <w:rPr>
          <w:rFonts w:ascii="David" w:eastAsia="Calibri" w:hAnsi="David" w:hint="cs"/>
          <w:rtl/>
        </w:rPr>
        <w:t>ה</w:t>
      </w:r>
      <w:r w:rsidRPr="001B37C0">
        <w:rPr>
          <w:rFonts w:ascii="David" w:eastAsia="Calibri" w:hAnsi="David"/>
          <w:rtl/>
        </w:rPr>
        <w:t>מכרז השני</w:t>
      </w:r>
      <w:r w:rsidRPr="001B37C0">
        <w:rPr>
          <w:rFonts w:ascii="David" w:eastAsia="Calibri" w:hAnsi="David" w:hint="cs"/>
          <w:rtl/>
        </w:rPr>
        <w:t xml:space="preserve"> ל</w:t>
      </w:r>
      <w:r w:rsidRPr="001B37C0">
        <w:rPr>
          <w:rFonts w:ascii="David" w:eastAsia="Calibri" w:hAnsi="David"/>
          <w:rtl/>
        </w:rPr>
        <w:t>הקמת מתקן אחסון גפ"ם בכמות של 10,000 טונה</w:t>
      </w:r>
      <w:r w:rsidRPr="001B37C0">
        <w:rPr>
          <w:rFonts w:ascii="David" w:eastAsia="Calibri" w:hAnsi="David" w:hint="cs"/>
          <w:rtl/>
        </w:rPr>
        <w:t xml:space="preserve"> </w:t>
      </w:r>
      <w:r w:rsidRPr="001B37C0">
        <w:rPr>
          <w:rFonts w:ascii="David" w:eastAsia="Calibri" w:hAnsi="David"/>
          <w:rtl/>
        </w:rPr>
        <w:t>גפ"ם</w:t>
      </w:r>
      <w:r w:rsidRPr="001B37C0">
        <w:rPr>
          <w:rFonts w:ascii="David" w:eastAsia="Calibri" w:hAnsi="David" w:hint="cs"/>
          <w:rtl/>
        </w:rPr>
        <w:t>,</w:t>
      </w:r>
      <w:r w:rsidRPr="001B37C0">
        <w:rPr>
          <w:rFonts w:ascii="David" w:eastAsia="Calibri" w:hAnsi="David"/>
          <w:rtl/>
        </w:rPr>
        <w:t xml:space="preserve"> שישמש מלאי לשעת חירום בלבד</w:t>
      </w:r>
      <w:r w:rsidRPr="001B37C0">
        <w:rPr>
          <w:rFonts w:ascii="David" w:eastAsia="Calibri" w:hAnsi="David" w:hint="cs"/>
          <w:rtl/>
        </w:rPr>
        <w:t xml:space="preserve">. בשונה מהמכרז הקודם, </w:t>
      </w:r>
      <w:r w:rsidRPr="001B37C0">
        <w:rPr>
          <w:rFonts w:ascii="David" w:eastAsia="Calibri" w:hAnsi="David"/>
          <w:rtl/>
        </w:rPr>
        <w:t xml:space="preserve">הוחלט </w:t>
      </w:r>
      <w:r w:rsidRPr="001B37C0">
        <w:rPr>
          <w:rFonts w:ascii="David" w:eastAsia="Calibri" w:hAnsi="David" w:hint="cs"/>
          <w:rtl/>
        </w:rPr>
        <w:t>ש</w:t>
      </w:r>
      <w:r w:rsidRPr="001B37C0">
        <w:rPr>
          <w:rFonts w:ascii="David" w:eastAsia="Calibri" w:hAnsi="David"/>
          <w:rtl/>
        </w:rPr>
        <w:t>לא לבקש את הכמות הנוספת של 1,000 טונה</w:t>
      </w:r>
      <w:r w:rsidRPr="001B37C0">
        <w:rPr>
          <w:rFonts w:ascii="David" w:eastAsia="Calibri" w:hAnsi="David" w:hint="cs"/>
          <w:rtl/>
        </w:rPr>
        <w:t xml:space="preserve"> </w:t>
      </w:r>
      <w:r w:rsidRPr="001B37C0">
        <w:rPr>
          <w:rFonts w:ascii="David" w:eastAsia="Calibri" w:hAnsi="David"/>
          <w:rtl/>
        </w:rPr>
        <w:t>גפ"ם להשכרת שטחי אחסון ל</w:t>
      </w:r>
      <w:r w:rsidRPr="001B37C0">
        <w:rPr>
          <w:rFonts w:ascii="David" w:eastAsia="Calibri" w:hAnsi="David" w:hint="cs"/>
          <w:rtl/>
        </w:rPr>
        <w:t>ספקים</w:t>
      </w:r>
      <w:r w:rsidRPr="001B37C0">
        <w:rPr>
          <w:rFonts w:ascii="David" w:eastAsia="Calibri" w:hAnsi="David"/>
          <w:rtl/>
        </w:rPr>
        <w:t xml:space="preserve"> קטנ</w:t>
      </w:r>
      <w:r w:rsidRPr="001B37C0">
        <w:rPr>
          <w:rFonts w:ascii="David" w:eastAsia="Calibri" w:hAnsi="David" w:hint="cs"/>
          <w:rtl/>
        </w:rPr>
        <w:t>ים</w:t>
      </w:r>
      <w:r w:rsidRPr="001B37C0">
        <w:rPr>
          <w:rFonts w:ascii="David" w:eastAsia="Calibri" w:hAnsi="David"/>
          <w:rtl/>
        </w:rPr>
        <w:t xml:space="preserve"> ובינוני</w:t>
      </w:r>
      <w:r w:rsidRPr="001B37C0">
        <w:rPr>
          <w:rFonts w:ascii="David" w:eastAsia="Calibri" w:hAnsi="David" w:hint="cs"/>
          <w:rtl/>
        </w:rPr>
        <w:t>ים</w:t>
      </w:r>
      <w:r w:rsidRPr="001B37C0">
        <w:rPr>
          <w:rFonts w:ascii="David" w:eastAsia="Calibri" w:hAnsi="David"/>
          <w:rtl/>
        </w:rPr>
        <w:t xml:space="preserve">. </w:t>
      </w:r>
      <w:r w:rsidRPr="001B37C0">
        <w:rPr>
          <w:rFonts w:ascii="David" w:eastAsia="Calibri" w:hAnsi="David" w:hint="cs"/>
          <w:rtl/>
        </w:rPr>
        <w:t xml:space="preserve">למכרז זה לא </w:t>
      </w:r>
      <w:r w:rsidRPr="001B37C0">
        <w:rPr>
          <w:rFonts w:ascii="David" w:eastAsia="Calibri" w:hAnsi="David"/>
          <w:rtl/>
        </w:rPr>
        <w:t>הוגשו הצעות</w:t>
      </w:r>
      <w:r w:rsidRPr="001B37C0">
        <w:rPr>
          <w:rFonts w:ascii="David" w:eastAsia="Calibri" w:hAnsi="David" w:hint="cs"/>
          <w:rtl/>
        </w:rPr>
        <w:t xml:space="preserve"> כלל</w:t>
      </w:r>
      <w:r w:rsidRPr="001B37C0">
        <w:rPr>
          <w:rFonts w:ascii="David" w:eastAsia="Calibri" w:hAnsi="David"/>
          <w:rtl/>
        </w:rPr>
        <w:t>.</w:t>
      </w:r>
      <w:r w:rsidRPr="001B37C0">
        <w:rPr>
          <w:rFonts w:ascii="David" w:eastAsia="Calibri" w:hAnsi="David" w:hint="cs"/>
          <w:rtl/>
        </w:rPr>
        <w:t xml:space="preserve">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hint="cs"/>
          <w:rtl/>
        </w:rPr>
        <w:t xml:space="preserve">מאז כישלון המכרז השני נדחה פרסום מכרז נוסף בשל מחלוקות בין משרד האוצר למשרד האנרגיה בנוגע לתקצוב המכרז ולחלוקת נפח האחסון בין מלאי תפעולי מסחרי ובין מלאי חירום. יודגש כי לאופן החלוקה יש השלכות כלכליות מהותיות, שכן מלאי מסחרי מניב הכנסות שוטפות במחירי שוק, ואילו מלאי חירום הוא "מלאי עומד", המניב הכנסות של דמי אחסון בלבד. הכרעה בנושא היחס שבין המלאי המסחרי למלאי החירום צפויה להשליך על הכדאיות הכלכלית של מציעים פוטנציאליים למכרז האחסון.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b/>
          <w:bCs/>
          <w:rtl/>
        </w:rPr>
      </w:pPr>
      <w:bookmarkStart w:id="37" w:name="_Hlk222303518"/>
      <w:r w:rsidRPr="001B37C0">
        <w:rPr>
          <w:rFonts w:ascii="David" w:eastAsia="Calibri" w:hAnsi="David" w:hint="cs"/>
          <w:b/>
          <w:bCs/>
          <w:rtl/>
        </w:rPr>
        <w:t xml:space="preserve">על אף שמלאי הגפ"ם המאוחסן במתקני האחסון של חברת קצא"א הוא מוגבל, ויכול לספק את צורכי המדינה לפרק זמן של שלושה ימים בלבד בחודשי החורף ושישה ימים בחודשי הקיץ, ועל אף שחלפו יותר </w:t>
      </w:r>
      <w:r w:rsidRPr="001B37C0">
        <w:rPr>
          <w:rFonts w:ascii="David" w:eastAsia="Calibri" w:hAnsi="David" w:hint="eastAsia"/>
          <w:b/>
          <w:bCs/>
          <w:rtl/>
        </w:rPr>
        <w:t>משש</w:t>
      </w:r>
      <w:r w:rsidRPr="001B37C0">
        <w:rPr>
          <w:rFonts w:ascii="David" w:eastAsia="Calibri" w:hAnsi="David"/>
          <w:b/>
          <w:bCs/>
          <w:rtl/>
        </w:rPr>
        <w:t xml:space="preserve"> </w:t>
      </w:r>
      <w:r w:rsidRPr="001B37C0">
        <w:rPr>
          <w:rFonts w:ascii="David" w:eastAsia="Calibri" w:hAnsi="David" w:hint="eastAsia"/>
          <w:b/>
          <w:bCs/>
          <w:rtl/>
        </w:rPr>
        <w:t>שנים</w:t>
      </w:r>
      <w:r w:rsidRPr="001B37C0">
        <w:rPr>
          <w:rFonts w:ascii="David" w:eastAsia="Calibri" w:hAnsi="David" w:hint="cs"/>
          <w:b/>
          <w:bCs/>
          <w:rtl/>
        </w:rPr>
        <w:t xml:space="preserve"> מאז יצאה המדינה להליך מכרזי ושני המכרזים שפורסמו עד כה להקמת מתקני אחסון גפ"ם באזור אשדוד נכשלו עד מועד סיום הביקורת לא פרסם משרד האנרגיה מכרז נוסף, ולא נמצא כל פתרון אחר לקידום מיזם הקמת מתקני האחסון בדרום הארץ שיהיה בעל כדאיות כלכלית למקימים שלו, דבר שיביא להצלחת המיזם. </w:t>
      </w:r>
    </w:p>
    <w:bookmarkEnd w:id="37"/>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b/>
          <w:bCs/>
          <w:rtl/>
        </w:rPr>
        <w:t xml:space="preserve">יבוא גפ"ם לישראל מנקודה נוספת בדרום הארץ מחייב השלמה של כל רכיבי </w:t>
      </w:r>
      <w:r w:rsidRPr="001B37C0">
        <w:rPr>
          <w:rFonts w:eastAsia="Calibri"/>
          <w:b/>
          <w:bCs/>
          <w:rtl/>
        </w:rPr>
        <w:t xml:space="preserve">שרשרת </w:t>
      </w:r>
      <w:r w:rsidRPr="001B37C0">
        <w:rPr>
          <w:rFonts w:eastAsia="Calibri" w:hint="cs"/>
          <w:b/>
          <w:bCs/>
          <w:rtl/>
        </w:rPr>
        <w:t>ה</w:t>
      </w:r>
      <w:r w:rsidRPr="001B37C0">
        <w:rPr>
          <w:rFonts w:eastAsia="Calibri"/>
          <w:b/>
          <w:bCs/>
          <w:rtl/>
        </w:rPr>
        <w:t>אספקה</w:t>
      </w:r>
      <w:r w:rsidRPr="001B37C0">
        <w:rPr>
          <w:rFonts w:eastAsia="Calibri" w:hint="cs"/>
          <w:b/>
          <w:bCs/>
          <w:rtl/>
        </w:rPr>
        <w:t xml:space="preserve"> - מתקן ימי או יבשתי לפריקת גפ"ם, </w:t>
      </w:r>
      <w:r w:rsidRPr="001B37C0">
        <w:rPr>
          <w:rFonts w:eastAsia="Calibri"/>
          <w:b/>
          <w:bCs/>
          <w:rtl/>
        </w:rPr>
        <w:t xml:space="preserve">צנרת </w:t>
      </w:r>
      <w:r w:rsidRPr="001B37C0">
        <w:rPr>
          <w:rFonts w:eastAsia="Calibri" w:hint="cs"/>
          <w:b/>
          <w:bCs/>
          <w:rtl/>
        </w:rPr>
        <w:t xml:space="preserve">הולכה </w:t>
      </w:r>
      <w:r w:rsidRPr="001B37C0">
        <w:rPr>
          <w:rFonts w:eastAsia="Calibri"/>
          <w:b/>
          <w:bCs/>
          <w:rtl/>
        </w:rPr>
        <w:t xml:space="preserve">למתקן האחסון </w:t>
      </w:r>
      <w:r w:rsidRPr="001B37C0">
        <w:rPr>
          <w:rFonts w:eastAsia="Calibri" w:hint="eastAsia"/>
          <w:b/>
          <w:bCs/>
          <w:rtl/>
        </w:rPr>
        <w:t>ו</w:t>
      </w:r>
      <w:r w:rsidRPr="001B37C0">
        <w:rPr>
          <w:rFonts w:eastAsia="Calibri"/>
          <w:b/>
          <w:bCs/>
          <w:rtl/>
        </w:rPr>
        <w:t>מתקן אחסון פעיל</w:t>
      </w:r>
      <w:r w:rsidRPr="001B37C0">
        <w:rPr>
          <w:rFonts w:eastAsia="Calibri" w:hint="cs"/>
          <w:b/>
          <w:bCs/>
          <w:rtl/>
        </w:rPr>
        <w:t>. לפיכך על משרד האנרגיה והחשכ״ל להפיק את הלקחים מכישלו</w:t>
      </w:r>
      <w:r w:rsidRPr="001B37C0">
        <w:rPr>
          <w:rFonts w:eastAsia="Calibri" w:hint="eastAsia"/>
          <w:b/>
          <w:bCs/>
          <w:rtl/>
        </w:rPr>
        <w:t>ן</w:t>
      </w:r>
      <w:r w:rsidRPr="001B37C0">
        <w:rPr>
          <w:rFonts w:eastAsia="Calibri" w:hint="cs"/>
          <w:b/>
          <w:bCs/>
          <w:rtl/>
        </w:rPr>
        <w:t xml:space="preserve"> מכרזי האחסון הקודמים, ולנקוט את הפעולות הנדרשות, כדי לייצר יתירות במשק הגפ"ם לשגרה ולחירום, ולהיערך באופן מיטבי ליישום החלטת הממשלה לסגירת בז"ן.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משרד האנרגיה מסר בתשובתו כי </w:t>
      </w:r>
      <w:r w:rsidRPr="001B37C0">
        <w:rPr>
          <w:rFonts w:eastAsia="Calibri"/>
          <w:rtl/>
        </w:rPr>
        <w:t>החשכ״ל בשיתוף מ</w:t>
      </w:r>
      <w:r w:rsidRPr="001B37C0">
        <w:rPr>
          <w:rFonts w:eastAsia="Calibri" w:hint="cs"/>
          <w:rtl/>
        </w:rPr>
        <w:t>י</w:t>
      </w:r>
      <w:r w:rsidRPr="001B37C0">
        <w:rPr>
          <w:rFonts w:eastAsia="Calibri"/>
          <w:rtl/>
        </w:rPr>
        <w:t>נהל הדלק</w:t>
      </w:r>
      <w:r w:rsidRPr="001B37C0">
        <w:rPr>
          <w:rFonts w:eastAsia="Calibri" w:hint="cs"/>
          <w:rtl/>
        </w:rPr>
        <w:t xml:space="preserve"> במשרד האנרגיה</w:t>
      </w:r>
      <w:r w:rsidRPr="001B37C0">
        <w:rPr>
          <w:rFonts w:eastAsia="Calibri"/>
          <w:rtl/>
        </w:rPr>
        <w:t xml:space="preserve"> הפיק לקחים מהמכרזים הקודמים וגיבש מכרז מעודכן להקמת מתקן אחסון בדרום</w:t>
      </w:r>
      <w:r w:rsidRPr="001B37C0">
        <w:rPr>
          <w:rFonts w:eastAsia="Calibri" w:hint="cs"/>
          <w:rtl/>
        </w:rPr>
        <w:t>,</w:t>
      </w:r>
      <w:r w:rsidRPr="001B37C0">
        <w:rPr>
          <w:rFonts w:eastAsia="Calibri"/>
          <w:rtl/>
        </w:rPr>
        <w:t xml:space="preserve"> ו</w:t>
      </w:r>
      <w:r w:rsidRPr="001B37C0">
        <w:rPr>
          <w:rFonts w:eastAsia="Calibri" w:hint="cs"/>
          <w:rtl/>
        </w:rPr>
        <w:t xml:space="preserve">הוא פועל </w:t>
      </w:r>
      <w:r w:rsidRPr="001B37C0">
        <w:rPr>
          <w:rFonts w:eastAsia="Calibri"/>
          <w:rtl/>
        </w:rPr>
        <w:t>כמובן לק</w:t>
      </w:r>
      <w:r w:rsidRPr="001B37C0">
        <w:rPr>
          <w:rFonts w:eastAsia="Calibri" w:hint="cs"/>
          <w:rtl/>
        </w:rPr>
        <w:t>י</w:t>
      </w:r>
      <w:r w:rsidRPr="001B37C0">
        <w:rPr>
          <w:rFonts w:eastAsia="Calibri"/>
          <w:rtl/>
        </w:rPr>
        <w:t>ד</w:t>
      </w:r>
      <w:r w:rsidRPr="001B37C0">
        <w:rPr>
          <w:rFonts w:eastAsia="Calibri" w:hint="cs"/>
          <w:rtl/>
        </w:rPr>
        <w:t>ו</w:t>
      </w:r>
      <w:r w:rsidRPr="001B37C0">
        <w:rPr>
          <w:rFonts w:eastAsia="Calibri"/>
          <w:rtl/>
        </w:rPr>
        <w:t xml:space="preserve">ם </w:t>
      </w:r>
      <w:r w:rsidRPr="001B37C0">
        <w:rPr>
          <w:rFonts w:eastAsia="Calibri" w:hint="cs"/>
          <w:rtl/>
        </w:rPr>
        <w:t xml:space="preserve">הקמת </w:t>
      </w:r>
      <w:r w:rsidRPr="001B37C0">
        <w:rPr>
          <w:rFonts w:eastAsia="Calibri"/>
          <w:rtl/>
        </w:rPr>
        <w:t xml:space="preserve">כלל התשתיות הנדרשות בכפוף להחלטת הממשלה 1231. </w:t>
      </w:r>
      <w:r w:rsidRPr="001B37C0">
        <w:rPr>
          <w:rFonts w:eastAsia="Calibri" w:hint="cs"/>
          <w:rtl/>
        </w:rPr>
        <w:t xml:space="preserve">עוד מסר המשרד כי </w:t>
      </w:r>
      <w:r w:rsidRPr="001B37C0">
        <w:rPr>
          <w:rFonts w:eastAsia="Calibri"/>
          <w:rtl/>
        </w:rPr>
        <w:t>בין היתר בשל אי</w:t>
      </w:r>
      <w:r w:rsidRPr="001B37C0">
        <w:rPr>
          <w:rFonts w:eastAsia="Calibri" w:hint="cs"/>
          <w:rtl/>
        </w:rPr>
        <w:t>-</w:t>
      </w:r>
      <w:r w:rsidRPr="001B37C0">
        <w:rPr>
          <w:rFonts w:eastAsia="Calibri"/>
          <w:rtl/>
        </w:rPr>
        <w:t>הצלחת המכרז קידם מ</w:t>
      </w:r>
      <w:r w:rsidRPr="001B37C0">
        <w:rPr>
          <w:rFonts w:eastAsia="Calibri" w:hint="cs"/>
          <w:rtl/>
        </w:rPr>
        <w:t>י</w:t>
      </w:r>
      <w:r w:rsidRPr="001B37C0">
        <w:rPr>
          <w:rFonts w:eastAsia="Calibri"/>
          <w:rtl/>
        </w:rPr>
        <w:t xml:space="preserve">נהל הדלק </w:t>
      </w:r>
      <w:r w:rsidRPr="001B37C0">
        <w:rPr>
          <w:rFonts w:eastAsia="Calibri" w:hint="cs"/>
          <w:rtl/>
        </w:rPr>
        <w:t xml:space="preserve">התקנת </w:t>
      </w:r>
      <w:r w:rsidRPr="001B37C0">
        <w:rPr>
          <w:rFonts w:eastAsia="Calibri"/>
          <w:rtl/>
        </w:rPr>
        <w:t xml:space="preserve">תקנות להבטחת מלאי תפעולי רציף </w:t>
      </w:r>
      <w:r w:rsidRPr="001B37C0">
        <w:rPr>
          <w:rFonts w:eastAsia="Calibri" w:hint="cs"/>
          <w:rtl/>
        </w:rPr>
        <w:t>ש</w:t>
      </w:r>
      <w:r w:rsidRPr="001B37C0">
        <w:rPr>
          <w:rFonts w:eastAsia="Calibri"/>
          <w:rtl/>
        </w:rPr>
        <w:t>ל</w:t>
      </w:r>
      <w:r w:rsidRPr="001B37C0">
        <w:rPr>
          <w:rFonts w:eastAsia="Calibri" w:hint="cs"/>
          <w:rtl/>
        </w:rPr>
        <w:t xml:space="preserve"> </w:t>
      </w:r>
      <w:r w:rsidRPr="001B37C0">
        <w:rPr>
          <w:rFonts w:eastAsia="Calibri"/>
          <w:rtl/>
        </w:rPr>
        <w:t>גפ״</w:t>
      </w:r>
      <w:r w:rsidRPr="001B37C0">
        <w:rPr>
          <w:rFonts w:eastAsia="Calibri" w:hint="cs"/>
          <w:rtl/>
        </w:rPr>
        <w:t>ם כדי</w:t>
      </w:r>
      <w:r w:rsidRPr="001B37C0">
        <w:rPr>
          <w:rFonts w:eastAsia="Calibri"/>
          <w:rtl/>
        </w:rPr>
        <w:t xml:space="preserve"> להבטיח את </w:t>
      </w:r>
      <w:r w:rsidRPr="001B37C0">
        <w:rPr>
          <w:rFonts w:eastAsia="Calibri" w:hint="cs"/>
          <w:rtl/>
        </w:rPr>
        <w:t xml:space="preserve">אספקת </w:t>
      </w:r>
      <w:r w:rsidRPr="001B37C0">
        <w:rPr>
          <w:rFonts w:eastAsia="Calibri"/>
          <w:rtl/>
        </w:rPr>
        <w:t>צ</w:t>
      </w:r>
      <w:r w:rsidRPr="001B37C0">
        <w:rPr>
          <w:rFonts w:eastAsia="Calibri" w:hint="cs"/>
          <w:rtl/>
        </w:rPr>
        <w:t>ו</w:t>
      </w:r>
      <w:r w:rsidRPr="001B37C0">
        <w:rPr>
          <w:rFonts w:eastAsia="Calibri"/>
          <w:rtl/>
        </w:rPr>
        <w:t>רכי המשק בשגרה ובחירום.</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המועצה הלאומית לכלכלה ואגף התקציבים במשרד האוצר ציינו כי </w:t>
      </w:r>
      <w:r w:rsidRPr="001B37C0">
        <w:rPr>
          <w:rFonts w:eastAsia="Calibri"/>
          <w:rtl/>
        </w:rPr>
        <w:t>משרד האנרגיה פרסם בנובמבר 2025</w:t>
      </w:r>
      <w:r w:rsidRPr="001B37C0">
        <w:rPr>
          <w:rFonts w:eastAsia="Calibri" w:hint="cs"/>
          <w:rtl/>
        </w:rPr>
        <w:t xml:space="preserve"> את </w:t>
      </w:r>
      <w:r w:rsidRPr="001B37C0">
        <w:rPr>
          <w:rFonts w:eastAsia="Calibri"/>
          <w:rtl/>
        </w:rPr>
        <w:t xml:space="preserve">טיוטת </w:t>
      </w:r>
      <w:r w:rsidRPr="001B37C0">
        <w:rPr>
          <w:rFonts w:eastAsia="Calibri" w:hint="cs"/>
          <w:rtl/>
        </w:rPr>
        <w:t>ה</w:t>
      </w:r>
      <w:r w:rsidRPr="001B37C0">
        <w:rPr>
          <w:rFonts w:eastAsia="Calibri"/>
          <w:rtl/>
        </w:rPr>
        <w:t>תקנות לציבור</w:t>
      </w:r>
      <w:r w:rsidRPr="001B37C0">
        <w:rPr>
          <w:rFonts w:eastAsia="Calibri" w:hint="cs"/>
          <w:rtl/>
        </w:rPr>
        <w:t xml:space="preserve">, ומסרו כי מאחר </w:t>
      </w:r>
      <w:r w:rsidRPr="001B37C0">
        <w:rPr>
          <w:rFonts w:eastAsia="Calibri" w:hint="eastAsia"/>
          <w:rtl/>
        </w:rPr>
        <w:t>שלפי</w:t>
      </w:r>
      <w:r w:rsidRPr="001B37C0">
        <w:rPr>
          <w:rFonts w:eastAsia="Calibri"/>
          <w:rtl/>
        </w:rPr>
        <w:t xml:space="preserve"> התקנות </w:t>
      </w:r>
      <w:r w:rsidRPr="001B37C0">
        <w:rPr>
          <w:rFonts w:eastAsia="Calibri" w:hint="eastAsia"/>
          <w:rtl/>
        </w:rPr>
        <w:t>על</w:t>
      </w:r>
      <w:r w:rsidRPr="001B37C0">
        <w:rPr>
          <w:rFonts w:eastAsia="Calibri" w:hint="cs"/>
          <w:rtl/>
        </w:rPr>
        <w:t xml:space="preserve"> </w:t>
      </w:r>
      <w:r w:rsidRPr="001B37C0">
        <w:rPr>
          <w:rFonts w:eastAsia="Calibri"/>
          <w:rtl/>
        </w:rPr>
        <w:t>חברות הגפ"</w:t>
      </w:r>
      <w:r w:rsidRPr="001B37C0">
        <w:rPr>
          <w:rFonts w:eastAsia="Calibri" w:hint="cs"/>
          <w:rtl/>
        </w:rPr>
        <w:t>ם</w:t>
      </w:r>
      <w:r w:rsidRPr="001B37C0">
        <w:rPr>
          <w:rFonts w:eastAsia="Calibri"/>
          <w:rtl/>
        </w:rPr>
        <w:t xml:space="preserve"> להחזיק מלאים תפעוליים לחירום</w:t>
      </w:r>
      <w:r w:rsidRPr="001B37C0">
        <w:rPr>
          <w:rFonts w:eastAsia="Calibri" w:hint="cs"/>
          <w:rtl/>
        </w:rPr>
        <w:t xml:space="preserve">, התקנתן תסייע </w:t>
      </w:r>
      <w:r w:rsidRPr="001B37C0">
        <w:rPr>
          <w:rFonts w:eastAsia="Calibri"/>
          <w:rtl/>
        </w:rPr>
        <w:t xml:space="preserve">באופן עקיף </w:t>
      </w:r>
      <w:r w:rsidRPr="001B37C0">
        <w:rPr>
          <w:rFonts w:eastAsia="Calibri" w:hint="cs"/>
          <w:rtl/>
        </w:rPr>
        <w:t xml:space="preserve">להקמת מתקני </w:t>
      </w:r>
      <w:r w:rsidRPr="001B37C0">
        <w:rPr>
          <w:rFonts w:eastAsia="Calibri"/>
          <w:rtl/>
        </w:rPr>
        <w:t>אחסון הגפ"</w:t>
      </w:r>
      <w:r w:rsidRPr="001B37C0">
        <w:rPr>
          <w:rFonts w:eastAsia="Calibri" w:hint="cs"/>
          <w:rtl/>
        </w:rPr>
        <w:t>ם</w:t>
      </w:r>
      <w:r w:rsidRPr="001B37C0">
        <w:rPr>
          <w:rFonts w:eastAsia="Calibri"/>
          <w:rtl/>
        </w:rPr>
        <w:t xml:space="preserve"> הנדרש</w:t>
      </w:r>
      <w:r w:rsidRPr="001B37C0">
        <w:rPr>
          <w:rFonts w:eastAsia="Calibri" w:hint="cs"/>
          <w:rtl/>
        </w:rPr>
        <w:t>ים.</w:t>
      </w:r>
      <w:r w:rsidRPr="001B37C0">
        <w:rPr>
          <w:rFonts w:eastAsia="Calibri"/>
          <w:rtl/>
        </w:rPr>
        <w:t xml:space="preserve"> </w:t>
      </w:r>
    </w:p>
    <w:p w:rsidR="001B37C0" w:rsidRPr="001B37C0" w:rsidP="002F4530">
      <w:pPr>
        <w:keepNext/>
        <w:keepLines/>
        <w:spacing w:line="269" w:lineRule="auto"/>
        <w:ind w:left="-567"/>
        <w:rPr>
          <w:rFonts w:eastAsia="Calibri"/>
          <w:szCs w:val="20"/>
          <w:rtl/>
        </w:rPr>
      </w:pPr>
    </w:p>
    <w:p w:rsidR="001B37C0" w:rsidRPr="001B37C0" w:rsidP="002F4530">
      <w:pPr>
        <w:keepNext/>
        <w:keepLines/>
        <w:spacing w:line="269" w:lineRule="auto"/>
        <w:outlineLvl w:val="3"/>
        <w:rPr>
          <w:rFonts w:eastAsia="Calibri"/>
          <w:bCs/>
          <w:szCs w:val="26"/>
          <w:rtl/>
        </w:rPr>
      </w:pPr>
      <w:r w:rsidRPr="001B37C0">
        <w:rPr>
          <w:rFonts w:eastAsia="Calibri" w:hint="cs"/>
          <w:bCs/>
          <w:szCs w:val="26"/>
          <w:rtl/>
        </w:rPr>
        <w:t>טיוטת חוק ההסדרים לשנת התקציב 2026</w:t>
      </w:r>
    </w:p>
    <w:p w:rsidR="001B37C0" w:rsidRPr="001B37C0" w:rsidP="002F4530">
      <w:pPr>
        <w:rPr>
          <w:rFonts w:eastAsia="Calibri"/>
          <w:rtl/>
        </w:rPr>
      </w:pPr>
    </w:p>
    <w:p w:rsidR="001B37C0" w:rsidRPr="001B37C0" w:rsidP="002F4530">
      <w:pPr>
        <w:spacing w:line="269" w:lineRule="auto"/>
        <w:rPr>
          <w:rFonts w:eastAsia="Calibri"/>
          <w:rtl/>
        </w:rPr>
      </w:pPr>
      <w:r w:rsidRPr="001B37C0">
        <w:rPr>
          <w:rFonts w:eastAsia="Calibri" w:hint="cs"/>
          <w:rtl/>
        </w:rPr>
        <w:t>בנובמבר 2025 פרסם משרד האוצר את טיוטת התוכנית הכלכלית לשנת 2026 בנושא השינויים המבניים המתוכננים (להלן - הצעת חוק ההסדרים או הצעת החוק). בין יתר נושאי הצעת החוק נמצא נושא ייעול וקידום של התחרות במשק הדלק והגפ</w:t>
      </w:r>
      <w:r w:rsidRPr="001B37C0">
        <w:rPr>
          <w:rFonts w:eastAsia="Calibri"/>
          <w:rtl/>
        </w:rPr>
        <w:t>"</w:t>
      </w:r>
      <w:r w:rsidRPr="001B37C0">
        <w:rPr>
          <w:rFonts w:eastAsia="Calibri" w:hint="cs"/>
          <w:rtl/>
        </w:rPr>
        <w:t xml:space="preserve">ם, ובו התייחסות נרחבת לתוכנית פיתוח </w:t>
      </w:r>
      <w:r w:rsidRPr="001B37C0">
        <w:rPr>
          <w:rFonts w:eastAsia="Calibri" w:hint="cs"/>
          <w:rtl/>
        </w:rPr>
        <w:t>תשתיות האנרגיה. על פי הצעת החוק, שר האנרגיה ושר האוצר יפרסמו בהתאם להמלצת גורמי המקצוע תוכנית פיתוח של תשתיות משק האנרגיה לטווח של חמש שנים לפחות, הכוללת תכנון, הקמה ושדרוג של מתקני תשתית. התוכנית תתבסס על מדיניות ממשלתית; על תחזיות ביקוש והיצע רב-שנתיות; על בחינת חלופות של שימוש בתשתיות קיימות; על ניתוחי עלות - תועלת למשק; ועל הערכת השפעת ההשקעות על התחרות, על היתירות ועל עמידות בחירום.</w:t>
      </w:r>
    </w:p>
    <w:p w:rsidR="001B37C0" w:rsidRPr="001B37C0" w:rsidP="002F4530">
      <w:pPr>
        <w:keepNext/>
        <w:keepLines/>
        <w:spacing w:line="269" w:lineRule="auto"/>
        <w:ind w:left="-567"/>
        <w:rPr>
          <w:rFonts w:eastAsia="Calibri"/>
          <w:szCs w:val="20"/>
          <w:rtl/>
        </w:rPr>
      </w:pPr>
    </w:p>
    <w:p w:rsidR="001B37C0" w:rsidP="002F4530">
      <w:pPr>
        <w:spacing w:line="269" w:lineRule="auto"/>
        <w:rPr>
          <w:rFonts w:ascii="David" w:eastAsia="Calibri" w:hAnsi="David"/>
          <w:rtl/>
        </w:rPr>
      </w:pPr>
      <w:r w:rsidRPr="001B37C0">
        <w:rPr>
          <w:rFonts w:eastAsia="Calibri" w:hint="cs"/>
          <w:rtl/>
        </w:rPr>
        <w:t xml:space="preserve">תוכנית זו תיתמך בתעריפי דמי תשתית שיקבע שר האנרגיה באישור שר האוצר בהתחשב בחוות הדעת של גורמי המקצוע. </w:t>
      </w:r>
      <w:r w:rsidRPr="001B37C0">
        <w:rPr>
          <w:rFonts w:eastAsia="Calibri" w:hint="eastAsia"/>
          <w:rtl/>
        </w:rPr>
        <w:t>דמי</w:t>
      </w:r>
      <w:r w:rsidRPr="001B37C0">
        <w:rPr>
          <w:rFonts w:eastAsia="Calibri"/>
          <w:rtl/>
        </w:rPr>
        <w:t xml:space="preserve"> התשתית</w:t>
      </w:r>
      <w:r w:rsidRPr="001B37C0">
        <w:rPr>
          <w:rFonts w:eastAsia="Calibri" w:hint="cs"/>
          <w:rtl/>
        </w:rPr>
        <w:t xml:space="preserve"> יושתו על השימוש בשירותי פריקה וטעינה, אחסון והזרמה</w:t>
      </w:r>
      <w:r>
        <w:rPr>
          <w:rFonts w:ascii="David" w:eastAsia="Calibri" w:hAnsi="David" w:hint="cs"/>
          <w:rtl/>
        </w:rPr>
        <w:t xml:space="preserve"> </w:t>
      </w:r>
    </w:p>
    <w:p w:rsidR="001B37C0" w:rsidRPr="001B37C0" w:rsidP="002F4530">
      <w:pPr>
        <w:spacing w:line="269" w:lineRule="auto"/>
        <w:rPr>
          <w:rFonts w:eastAsia="Calibri"/>
          <w:rtl/>
        </w:rPr>
      </w:pPr>
      <w:r w:rsidRPr="001B37C0">
        <w:rPr>
          <w:rFonts w:eastAsia="Calibri" w:hint="cs"/>
          <w:rtl/>
        </w:rPr>
        <w:t>של דלקים וגפ</w:t>
      </w:r>
      <w:r w:rsidRPr="001B37C0">
        <w:rPr>
          <w:rFonts w:eastAsia="Calibri"/>
          <w:rtl/>
        </w:rPr>
        <w:t>"</w:t>
      </w:r>
      <w:r w:rsidRPr="001B37C0">
        <w:rPr>
          <w:rFonts w:eastAsia="Calibri" w:hint="cs"/>
          <w:rtl/>
        </w:rPr>
        <w:t>ם, באומדן צריכת שירותים ועלויות מוכרות אשר יעודכנו מפעם לפעם, ולכל הפחות אחת לחמש שנים, או בעת הכרה בעלויות של הקמת מתקן חדש.</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בדברי ההסבר להצעת החוק צוין כי מטרת החוק לאפשר את הפיתוח של התשתיות שיסייעו לשמור על רציפות תפקודית, אספקה ויתירות של משק הדלק והגפ</w:t>
      </w:r>
      <w:r w:rsidRPr="001B37C0">
        <w:rPr>
          <w:rFonts w:eastAsia="Calibri"/>
          <w:rtl/>
        </w:rPr>
        <w:t>"</w:t>
      </w:r>
      <w:r w:rsidRPr="001B37C0">
        <w:rPr>
          <w:rFonts w:eastAsia="Calibri" w:hint="cs"/>
          <w:rtl/>
        </w:rPr>
        <w:t>ם, בדומה למשק הגז הטבעי והחשמל. עוד צוין כי החלטה 1231 קובעת הקמת תשתיות בהיקף נרחב, הדורשת הכרה תעריפית מוקדמת בהשקעות חדשות הנדרשת לעצם ביצוען, ויישומה נתקל בקושי במסגרת התעריפית הקיימת במשק הדלק. עוד קושי שהצעת החוק אמורה לפתור הוא הצורך בהעמדת מימון להקמת תשתיות חדשות המתחרות בתשתיות קיימות אשר כבר החזירו את השקעות ההון, ולכן עלויותיהן נמוכות במידה ניכרת. לפיכך מוצע במסגרת הצעת החוק כי יוקם מנגנון תעריפי שיבטיח החזר הון להקמת מתקני תשתית חדשים או לשדרוג מתקנים קיימים במשק הדלק והגפ</w:t>
      </w:r>
      <w:r w:rsidRPr="001B37C0">
        <w:rPr>
          <w:rFonts w:eastAsia="Calibri"/>
          <w:rtl/>
        </w:rPr>
        <w:t>"</w:t>
      </w:r>
      <w:r w:rsidRPr="001B37C0">
        <w:rPr>
          <w:rFonts w:eastAsia="Calibri" w:hint="cs"/>
          <w:rtl/>
        </w:rPr>
        <w:t>ם במסגרת תוכנית הפיתוח.</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משרד האנרגיה מסר בתשובתו כי הוא פועל בנחישות</w:t>
      </w:r>
      <w:r w:rsidRPr="001B37C0">
        <w:rPr>
          <w:rFonts w:eastAsia="Calibri"/>
          <w:rtl/>
        </w:rPr>
        <w:t xml:space="preserve"> עם המועצה </w:t>
      </w:r>
      <w:r w:rsidRPr="001B37C0">
        <w:rPr>
          <w:rFonts w:eastAsia="Calibri" w:hint="cs"/>
          <w:rtl/>
        </w:rPr>
        <w:t xml:space="preserve">הלאומית </w:t>
      </w:r>
      <w:r w:rsidRPr="001B37C0">
        <w:rPr>
          <w:rFonts w:eastAsia="Calibri"/>
          <w:rtl/>
        </w:rPr>
        <w:t xml:space="preserve">לכלכלה וגורמים נוספים </w:t>
      </w:r>
      <w:r w:rsidRPr="001B37C0">
        <w:rPr>
          <w:rFonts w:eastAsia="Calibri" w:hint="cs"/>
          <w:rtl/>
        </w:rPr>
        <w:t xml:space="preserve">כדי </w:t>
      </w:r>
      <w:r w:rsidRPr="001B37C0">
        <w:rPr>
          <w:rFonts w:eastAsia="Calibri"/>
          <w:rtl/>
        </w:rPr>
        <w:t>לקדם את הקמתם של כלל המתקנים, בהתאם לנספח א להחלטת הממשלה</w:t>
      </w:r>
      <w:r w:rsidRPr="001B37C0">
        <w:rPr>
          <w:rFonts w:eastAsia="Calibri" w:hint="cs"/>
          <w:rtl/>
        </w:rPr>
        <w:t xml:space="preserve"> 1231,</w:t>
      </w:r>
      <w:r w:rsidRPr="001B37C0">
        <w:rPr>
          <w:rFonts w:eastAsia="Calibri"/>
          <w:rtl/>
        </w:rPr>
        <w:t xml:space="preserve"> הגם שמימון הקמתם של המתקנים מורכב</w:t>
      </w:r>
      <w:r w:rsidRPr="001B37C0">
        <w:rPr>
          <w:rFonts w:eastAsia="Calibri" w:hint="cs"/>
          <w:rtl/>
        </w:rPr>
        <w:t>,</w:t>
      </w:r>
      <w:r w:rsidRPr="001B37C0">
        <w:rPr>
          <w:rFonts w:eastAsia="Calibri"/>
          <w:rtl/>
        </w:rPr>
        <w:t xml:space="preserve"> ועד עתה לא ניתן מענה</w:t>
      </w:r>
      <w:r w:rsidRPr="001B37C0">
        <w:rPr>
          <w:rFonts w:eastAsia="Calibri" w:hint="cs"/>
          <w:rtl/>
        </w:rPr>
        <w:t xml:space="preserve"> לסוגיית המימון, וכי</w:t>
      </w:r>
      <w:r w:rsidRPr="001B37C0">
        <w:rPr>
          <w:rFonts w:eastAsia="Calibri"/>
          <w:rtl/>
        </w:rPr>
        <w:t xml:space="preserve"> בימים אלה נבחנות חלופות </w:t>
      </w:r>
      <w:r w:rsidRPr="001B37C0">
        <w:rPr>
          <w:rFonts w:eastAsia="Calibri" w:hint="cs"/>
          <w:rtl/>
        </w:rPr>
        <w:t>עם</w:t>
      </w:r>
      <w:r w:rsidRPr="001B37C0">
        <w:rPr>
          <w:rFonts w:eastAsia="Calibri"/>
          <w:rtl/>
        </w:rPr>
        <w:t xml:space="preserve"> משרד האוצר.</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eastAsia"/>
          <w:b/>
          <w:bCs/>
          <w:rtl/>
        </w:rPr>
        <w:t>בטיוטת</w:t>
      </w:r>
      <w:r w:rsidRPr="001B37C0">
        <w:rPr>
          <w:rFonts w:eastAsia="Calibri"/>
          <w:b/>
          <w:bCs/>
          <w:rtl/>
        </w:rPr>
        <w:t xml:space="preserve"> הצעת חוק ההסדרים לשנת 2026 צוין כי שר האנרגיה ושר האוצר יפרסמו בהתאם להמלצת גורמי המקצוע </w:t>
      </w:r>
      <w:r w:rsidRPr="001B37C0">
        <w:rPr>
          <w:rFonts w:eastAsia="Calibri" w:hint="cs"/>
          <w:b/>
          <w:bCs/>
          <w:rtl/>
        </w:rPr>
        <w:t xml:space="preserve">במינהל הדלק ובאגף התקציבים </w:t>
      </w:r>
      <w:r w:rsidRPr="001B37C0">
        <w:rPr>
          <w:rFonts w:eastAsia="Calibri" w:hint="eastAsia"/>
          <w:b/>
          <w:bCs/>
          <w:rtl/>
        </w:rPr>
        <w:t>תוכנית</w:t>
      </w:r>
      <w:r w:rsidRPr="001B37C0">
        <w:rPr>
          <w:rFonts w:eastAsia="Calibri"/>
          <w:b/>
          <w:bCs/>
          <w:rtl/>
        </w:rPr>
        <w:t xml:space="preserve"> </w:t>
      </w:r>
      <w:r w:rsidRPr="001B37C0">
        <w:rPr>
          <w:rFonts w:eastAsia="Calibri" w:hint="eastAsia"/>
          <w:b/>
          <w:bCs/>
          <w:rtl/>
        </w:rPr>
        <w:t>פיתוח</w:t>
      </w:r>
      <w:r w:rsidRPr="001B37C0">
        <w:rPr>
          <w:rFonts w:eastAsia="Calibri"/>
          <w:b/>
          <w:bCs/>
          <w:rtl/>
        </w:rPr>
        <w:t xml:space="preserve"> </w:t>
      </w:r>
      <w:r w:rsidRPr="001B37C0">
        <w:rPr>
          <w:rFonts w:eastAsia="Calibri" w:hint="eastAsia"/>
          <w:b/>
          <w:bCs/>
          <w:rtl/>
        </w:rPr>
        <w:t>של</w:t>
      </w:r>
      <w:r w:rsidRPr="001B37C0">
        <w:rPr>
          <w:rFonts w:eastAsia="Calibri"/>
          <w:b/>
          <w:bCs/>
          <w:rtl/>
        </w:rPr>
        <w:t xml:space="preserve"> </w:t>
      </w:r>
      <w:r w:rsidRPr="001B37C0">
        <w:rPr>
          <w:rFonts w:eastAsia="Calibri" w:hint="eastAsia"/>
          <w:b/>
          <w:bCs/>
          <w:rtl/>
        </w:rPr>
        <w:t>תשתיות</w:t>
      </w:r>
      <w:r w:rsidRPr="001B37C0">
        <w:rPr>
          <w:rFonts w:eastAsia="Calibri"/>
          <w:b/>
          <w:bCs/>
          <w:rtl/>
        </w:rPr>
        <w:t xml:space="preserve"> </w:t>
      </w:r>
      <w:r w:rsidRPr="001B37C0">
        <w:rPr>
          <w:rFonts w:eastAsia="Calibri" w:hint="eastAsia"/>
          <w:b/>
          <w:bCs/>
          <w:rtl/>
        </w:rPr>
        <w:t>משק</w:t>
      </w:r>
      <w:r w:rsidRPr="001B37C0">
        <w:rPr>
          <w:rFonts w:eastAsia="Calibri"/>
          <w:b/>
          <w:bCs/>
          <w:rtl/>
        </w:rPr>
        <w:t xml:space="preserve"> </w:t>
      </w:r>
      <w:r w:rsidRPr="001B37C0">
        <w:rPr>
          <w:rFonts w:eastAsia="Calibri" w:hint="eastAsia"/>
          <w:b/>
          <w:bCs/>
          <w:rtl/>
        </w:rPr>
        <w:t>האנרגיה</w:t>
      </w:r>
      <w:r w:rsidRPr="001B37C0">
        <w:rPr>
          <w:rFonts w:eastAsia="Calibri"/>
          <w:b/>
          <w:bCs/>
          <w:rtl/>
        </w:rPr>
        <w:t xml:space="preserve"> </w:t>
      </w:r>
      <w:r w:rsidRPr="001B37C0">
        <w:rPr>
          <w:rFonts w:eastAsia="Calibri" w:hint="eastAsia"/>
          <w:b/>
          <w:bCs/>
          <w:rtl/>
        </w:rPr>
        <w:t>לטווח</w:t>
      </w:r>
      <w:r w:rsidRPr="001B37C0">
        <w:rPr>
          <w:rFonts w:eastAsia="Calibri"/>
          <w:b/>
          <w:bCs/>
          <w:rtl/>
        </w:rPr>
        <w:t xml:space="preserve"> </w:t>
      </w:r>
      <w:r w:rsidRPr="001B37C0">
        <w:rPr>
          <w:rFonts w:eastAsia="Calibri" w:hint="eastAsia"/>
          <w:b/>
          <w:bCs/>
          <w:rtl/>
        </w:rPr>
        <w:t>של</w:t>
      </w:r>
      <w:r w:rsidRPr="001B37C0">
        <w:rPr>
          <w:rFonts w:eastAsia="Calibri"/>
          <w:b/>
          <w:bCs/>
          <w:rtl/>
        </w:rPr>
        <w:t xml:space="preserve"> </w:t>
      </w:r>
      <w:r w:rsidRPr="001B37C0">
        <w:rPr>
          <w:rFonts w:eastAsia="Calibri" w:hint="eastAsia"/>
          <w:b/>
          <w:bCs/>
          <w:rtl/>
        </w:rPr>
        <w:t>חמש</w:t>
      </w:r>
      <w:r w:rsidRPr="001B37C0">
        <w:rPr>
          <w:rFonts w:eastAsia="Calibri"/>
          <w:b/>
          <w:bCs/>
          <w:rtl/>
        </w:rPr>
        <w:t xml:space="preserve"> </w:t>
      </w:r>
      <w:r w:rsidRPr="001B37C0">
        <w:rPr>
          <w:rFonts w:eastAsia="Calibri" w:hint="eastAsia"/>
          <w:b/>
          <w:bCs/>
          <w:rtl/>
        </w:rPr>
        <w:t>שנים</w:t>
      </w:r>
      <w:r w:rsidRPr="001B37C0">
        <w:rPr>
          <w:rFonts w:eastAsia="Calibri"/>
          <w:b/>
          <w:bCs/>
          <w:rtl/>
        </w:rPr>
        <w:t xml:space="preserve"> </w:t>
      </w:r>
      <w:r w:rsidRPr="001B37C0">
        <w:rPr>
          <w:rFonts w:eastAsia="Calibri" w:hint="eastAsia"/>
          <w:b/>
          <w:bCs/>
          <w:rtl/>
        </w:rPr>
        <w:t>לפחות</w:t>
      </w:r>
      <w:r w:rsidRPr="001B37C0">
        <w:rPr>
          <w:rFonts w:eastAsia="Calibri"/>
          <w:b/>
          <w:bCs/>
          <w:rtl/>
        </w:rPr>
        <w:t xml:space="preserve">, </w:t>
      </w:r>
      <w:r w:rsidRPr="001B37C0">
        <w:rPr>
          <w:rFonts w:eastAsia="Calibri" w:hint="eastAsia"/>
          <w:b/>
          <w:bCs/>
          <w:rtl/>
        </w:rPr>
        <w:t>הכוללת</w:t>
      </w:r>
      <w:r w:rsidRPr="001B37C0">
        <w:rPr>
          <w:rFonts w:eastAsia="Calibri"/>
          <w:b/>
          <w:bCs/>
          <w:rtl/>
        </w:rPr>
        <w:t xml:space="preserve"> </w:t>
      </w:r>
      <w:r w:rsidRPr="001B37C0">
        <w:rPr>
          <w:rFonts w:eastAsia="Calibri" w:hint="eastAsia"/>
          <w:b/>
          <w:bCs/>
          <w:rtl/>
        </w:rPr>
        <w:t>תכנון</w:t>
      </w:r>
      <w:r w:rsidRPr="001B37C0">
        <w:rPr>
          <w:rFonts w:eastAsia="Calibri"/>
          <w:b/>
          <w:bCs/>
          <w:rtl/>
        </w:rPr>
        <w:t xml:space="preserve">, </w:t>
      </w:r>
      <w:r w:rsidRPr="001B37C0">
        <w:rPr>
          <w:rFonts w:eastAsia="Calibri" w:hint="eastAsia"/>
          <w:b/>
          <w:bCs/>
          <w:rtl/>
        </w:rPr>
        <w:t>הקמה</w:t>
      </w:r>
      <w:r w:rsidRPr="001B37C0">
        <w:rPr>
          <w:rFonts w:eastAsia="Calibri"/>
          <w:b/>
          <w:bCs/>
          <w:rtl/>
        </w:rPr>
        <w:t xml:space="preserve"> </w:t>
      </w:r>
      <w:r w:rsidRPr="001B37C0">
        <w:rPr>
          <w:rFonts w:eastAsia="Calibri" w:hint="eastAsia"/>
          <w:b/>
          <w:bCs/>
          <w:rtl/>
        </w:rPr>
        <w:t>ושדרוג</w:t>
      </w:r>
      <w:r w:rsidRPr="001B37C0">
        <w:rPr>
          <w:rFonts w:eastAsia="Calibri"/>
          <w:b/>
          <w:bCs/>
          <w:rtl/>
        </w:rPr>
        <w:t xml:space="preserve"> </w:t>
      </w:r>
      <w:r w:rsidRPr="001B37C0">
        <w:rPr>
          <w:rFonts w:eastAsia="Calibri" w:hint="eastAsia"/>
          <w:b/>
          <w:bCs/>
          <w:rtl/>
        </w:rPr>
        <w:t>של</w:t>
      </w:r>
      <w:r w:rsidRPr="001B37C0">
        <w:rPr>
          <w:rFonts w:eastAsia="Calibri"/>
          <w:b/>
          <w:bCs/>
          <w:rtl/>
        </w:rPr>
        <w:t xml:space="preserve"> </w:t>
      </w:r>
      <w:r w:rsidRPr="001B37C0">
        <w:rPr>
          <w:rFonts w:eastAsia="Calibri" w:hint="eastAsia"/>
          <w:b/>
          <w:bCs/>
          <w:rtl/>
        </w:rPr>
        <w:t>מתקני</w:t>
      </w:r>
      <w:r w:rsidRPr="001B37C0">
        <w:rPr>
          <w:rFonts w:eastAsia="Calibri"/>
          <w:b/>
          <w:bCs/>
          <w:rtl/>
        </w:rPr>
        <w:t xml:space="preserve"> </w:t>
      </w:r>
      <w:r w:rsidRPr="001B37C0">
        <w:rPr>
          <w:rFonts w:eastAsia="Calibri" w:hint="eastAsia"/>
          <w:b/>
          <w:bCs/>
          <w:rtl/>
        </w:rPr>
        <w:t>תשתית</w:t>
      </w:r>
      <w:r w:rsidRPr="001B37C0">
        <w:rPr>
          <w:rFonts w:eastAsia="Calibri"/>
          <w:b/>
          <w:bCs/>
          <w:rtl/>
        </w:rPr>
        <w:t xml:space="preserve">, </w:t>
      </w:r>
      <w:r w:rsidRPr="001B37C0">
        <w:rPr>
          <w:rFonts w:eastAsia="Calibri" w:hint="eastAsia"/>
          <w:b/>
          <w:bCs/>
          <w:rtl/>
        </w:rPr>
        <w:t>אך</w:t>
      </w:r>
      <w:r w:rsidRPr="001B37C0">
        <w:rPr>
          <w:rFonts w:eastAsia="Calibri"/>
          <w:b/>
          <w:bCs/>
          <w:rtl/>
        </w:rPr>
        <w:t xml:space="preserve"> </w:t>
      </w:r>
      <w:r w:rsidRPr="001B37C0">
        <w:rPr>
          <w:rFonts w:eastAsia="Calibri" w:hint="eastAsia"/>
          <w:b/>
          <w:bCs/>
          <w:rtl/>
        </w:rPr>
        <w:t>לא</w:t>
      </w:r>
      <w:r w:rsidRPr="001B37C0">
        <w:rPr>
          <w:rFonts w:eastAsia="Calibri"/>
          <w:b/>
          <w:bCs/>
          <w:rtl/>
        </w:rPr>
        <w:t xml:space="preserve"> </w:t>
      </w:r>
      <w:r w:rsidRPr="001B37C0">
        <w:rPr>
          <w:rFonts w:eastAsia="Calibri" w:hint="eastAsia"/>
          <w:b/>
          <w:bCs/>
          <w:rtl/>
        </w:rPr>
        <w:t>הוצע</w:t>
      </w:r>
      <w:r w:rsidRPr="001B37C0">
        <w:rPr>
          <w:rFonts w:eastAsia="Calibri"/>
          <w:b/>
          <w:bCs/>
          <w:rtl/>
        </w:rPr>
        <w:t xml:space="preserve"> </w:t>
      </w:r>
      <w:r w:rsidRPr="001B37C0">
        <w:rPr>
          <w:rFonts w:eastAsia="Calibri" w:hint="eastAsia"/>
          <w:b/>
          <w:bCs/>
          <w:rtl/>
        </w:rPr>
        <w:t>פתרון</w:t>
      </w:r>
      <w:r w:rsidRPr="001B37C0">
        <w:rPr>
          <w:rFonts w:eastAsia="Calibri"/>
          <w:b/>
          <w:bCs/>
          <w:rtl/>
        </w:rPr>
        <w:t xml:space="preserve"> לפערים </w:t>
      </w:r>
      <w:r w:rsidRPr="001B37C0">
        <w:rPr>
          <w:rFonts w:eastAsia="Calibri" w:hint="eastAsia"/>
          <w:b/>
          <w:bCs/>
          <w:rtl/>
        </w:rPr>
        <w:t>הקיימים</w:t>
      </w:r>
      <w:r w:rsidRPr="001B37C0">
        <w:rPr>
          <w:rFonts w:eastAsia="Calibri"/>
          <w:b/>
          <w:bCs/>
          <w:rtl/>
        </w:rPr>
        <w:t xml:space="preserve"> </w:t>
      </w:r>
      <w:r w:rsidRPr="001B37C0">
        <w:rPr>
          <w:rFonts w:eastAsia="Calibri" w:hint="eastAsia"/>
          <w:b/>
          <w:bCs/>
          <w:rtl/>
        </w:rPr>
        <w:t>בתשתיות</w:t>
      </w:r>
      <w:r w:rsidRPr="001B37C0">
        <w:rPr>
          <w:rFonts w:eastAsia="Calibri"/>
          <w:b/>
          <w:bCs/>
          <w:rtl/>
        </w:rPr>
        <w:t xml:space="preserve"> משק </w:t>
      </w:r>
      <w:r w:rsidRPr="001B37C0">
        <w:rPr>
          <w:rFonts w:eastAsia="Calibri" w:hint="eastAsia"/>
          <w:b/>
          <w:bCs/>
          <w:rtl/>
        </w:rPr>
        <w:t>הגפ</w:t>
      </w:r>
      <w:r w:rsidRPr="001B37C0">
        <w:rPr>
          <w:rFonts w:eastAsia="Calibri"/>
          <w:b/>
          <w:bCs/>
          <w:rtl/>
        </w:rPr>
        <w:t>"</w:t>
      </w:r>
      <w:r w:rsidRPr="001B37C0">
        <w:rPr>
          <w:rFonts w:eastAsia="Calibri" w:hint="eastAsia"/>
          <w:b/>
          <w:bCs/>
          <w:rtl/>
        </w:rPr>
        <w:t>ם</w:t>
      </w:r>
      <w:r w:rsidRPr="001B37C0">
        <w:rPr>
          <w:rFonts w:eastAsia="Calibri"/>
          <w:b/>
          <w:bCs/>
          <w:rtl/>
        </w:rPr>
        <w:t xml:space="preserve">.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eastAsia"/>
          <w:b/>
          <w:bCs/>
          <w:rtl/>
        </w:rPr>
        <w:t>בפברואר</w:t>
      </w:r>
      <w:r w:rsidRPr="001B37C0">
        <w:rPr>
          <w:rFonts w:eastAsia="Calibri"/>
          <w:b/>
          <w:bCs/>
          <w:rtl/>
        </w:rPr>
        <w:t xml:space="preserve"> 2026 החליטה הכנסת כי נושא פיתוח תשתיות אנרגיה ונושאים נוספים יופרדו מחוק התקציב, ויועברו למסלול חקיקה רגיל בוועדות הכנסת.</w:t>
      </w:r>
    </w:p>
    <w:p w:rsidR="001B37C0" w:rsidRPr="001B37C0" w:rsidP="002F4530">
      <w:pPr>
        <w:spacing w:line="269" w:lineRule="auto"/>
        <w:rPr>
          <w:rFonts w:eastAsia="Calibri"/>
          <w:b/>
          <w:bCs/>
          <w:rtl/>
        </w:rPr>
      </w:pPr>
    </w:p>
    <w:p w:rsidR="001B37C0" w:rsidRPr="001B37C0" w:rsidP="002F4530">
      <w:pPr>
        <w:spacing w:line="269" w:lineRule="auto"/>
        <w:jc w:val="center"/>
        <w:rPr>
          <w:rFonts w:eastAsia="Calibri"/>
          <w:b/>
          <w:bCs/>
          <w:rtl/>
        </w:rPr>
      </w:pPr>
      <w:r w:rsidRPr="001B37C0">
        <w:rPr>
          <w:rFonts w:ascii="Wingdings" w:eastAsia="Calibri" w:hAnsi="Wingdings"/>
          <w:b/>
          <w:bCs/>
        </w:rPr>
        <w:sym w:font="Wingdings" w:char="F0B6"/>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b/>
          <w:bCs/>
          <w:rtl/>
        </w:rPr>
        <w:t>על משרד האנרגיה ומשרד האוצר להאיץ את הטיפול בחוסר במתקני התשתית של יבוא ואחסון של גפ</w:t>
      </w:r>
      <w:r w:rsidRPr="001B37C0">
        <w:rPr>
          <w:rFonts w:eastAsia="Calibri"/>
          <w:b/>
          <w:bCs/>
          <w:rtl/>
        </w:rPr>
        <w:t>"</w:t>
      </w:r>
      <w:r w:rsidRPr="001B37C0">
        <w:rPr>
          <w:rFonts w:eastAsia="Calibri" w:hint="cs"/>
          <w:b/>
          <w:bCs/>
          <w:rtl/>
        </w:rPr>
        <w:t>ם, ולפעול בלוח זמנים קצר למציאת פתרונות לתשתיות החסרות במשק הגפ</w:t>
      </w:r>
      <w:r w:rsidRPr="001B37C0">
        <w:rPr>
          <w:rFonts w:eastAsia="Calibri"/>
          <w:b/>
          <w:bCs/>
          <w:rtl/>
        </w:rPr>
        <w:t>"</w:t>
      </w:r>
      <w:r w:rsidRPr="001B37C0">
        <w:rPr>
          <w:rFonts w:eastAsia="Calibri" w:hint="cs"/>
          <w:b/>
          <w:bCs/>
          <w:rtl/>
        </w:rPr>
        <w:t xml:space="preserve">ם בשגרה ובחירום, בייחוד לנוכח </w:t>
      </w:r>
      <w:r w:rsidRPr="001B37C0">
        <w:rPr>
          <w:rFonts w:eastAsia="Calibri" w:hint="eastAsia"/>
          <w:b/>
          <w:bCs/>
          <w:rtl/>
        </w:rPr>
        <w:t>המחסור</w:t>
      </w:r>
      <w:r w:rsidRPr="001B37C0">
        <w:rPr>
          <w:rFonts w:eastAsia="Calibri"/>
          <w:b/>
          <w:bCs/>
          <w:rtl/>
        </w:rPr>
        <w:t xml:space="preserve"> </w:t>
      </w:r>
      <w:r w:rsidRPr="001B37C0">
        <w:rPr>
          <w:rFonts w:eastAsia="Calibri" w:hint="cs"/>
          <w:b/>
          <w:bCs/>
          <w:rtl/>
        </w:rPr>
        <w:t>הנמשך</w:t>
      </w:r>
      <w:r w:rsidRPr="001B37C0">
        <w:rPr>
          <w:rFonts w:eastAsia="Calibri"/>
          <w:b/>
          <w:bCs/>
          <w:rtl/>
        </w:rPr>
        <w:t xml:space="preserve"> שנים</w:t>
      </w:r>
      <w:r w:rsidRPr="001B37C0">
        <w:rPr>
          <w:rFonts w:eastAsia="Calibri" w:hint="cs"/>
          <w:b/>
          <w:bCs/>
          <w:rtl/>
        </w:rPr>
        <w:t xml:space="preserve"> הנובע מן</w:t>
      </w:r>
      <w:r w:rsidRPr="001B37C0">
        <w:rPr>
          <w:rFonts w:eastAsia="Calibri"/>
          <w:b/>
          <w:bCs/>
          <w:rtl/>
        </w:rPr>
        <w:t xml:space="preserve"> </w:t>
      </w:r>
      <w:r w:rsidRPr="001B37C0">
        <w:rPr>
          <w:rFonts w:eastAsia="Calibri" w:hint="cs"/>
          <w:b/>
          <w:bCs/>
          <w:rtl/>
        </w:rPr>
        <w:t>ה</w:t>
      </w:r>
      <w:r w:rsidRPr="001B37C0">
        <w:rPr>
          <w:rFonts w:eastAsia="Calibri" w:hint="eastAsia"/>
          <w:b/>
          <w:bCs/>
          <w:rtl/>
        </w:rPr>
        <w:t>פערי</w:t>
      </w:r>
      <w:r w:rsidRPr="001B37C0">
        <w:rPr>
          <w:rFonts w:eastAsia="Calibri" w:hint="cs"/>
          <w:b/>
          <w:bCs/>
          <w:rtl/>
        </w:rPr>
        <w:t>ם בין</w:t>
      </w:r>
      <w:r w:rsidRPr="001B37C0">
        <w:rPr>
          <w:rFonts w:eastAsia="Calibri"/>
          <w:b/>
          <w:bCs/>
          <w:rtl/>
        </w:rPr>
        <w:t xml:space="preserve"> </w:t>
      </w:r>
      <w:r w:rsidRPr="001B37C0">
        <w:rPr>
          <w:rFonts w:eastAsia="Calibri" w:hint="eastAsia"/>
          <w:b/>
          <w:bCs/>
          <w:rtl/>
        </w:rPr>
        <w:t>הייצור</w:t>
      </w:r>
      <w:r w:rsidRPr="001B37C0">
        <w:rPr>
          <w:rFonts w:eastAsia="Calibri"/>
          <w:b/>
          <w:bCs/>
          <w:rtl/>
        </w:rPr>
        <w:t xml:space="preserve"> </w:t>
      </w:r>
      <w:r w:rsidRPr="001B37C0">
        <w:rPr>
          <w:rFonts w:eastAsia="Calibri" w:hint="eastAsia"/>
          <w:b/>
          <w:bCs/>
          <w:rtl/>
        </w:rPr>
        <w:t>המקומי</w:t>
      </w:r>
      <w:r w:rsidRPr="001B37C0">
        <w:rPr>
          <w:rFonts w:eastAsia="Calibri"/>
          <w:b/>
          <w:bCs/>
          <w:rtl/>
        </w:rPr>
        <w:t xml:space="preserve"> </w:t>
      </w:r>
      <w:r w:rsidRPr="001B37C0">
        <w:rPr>
          <w:rFonts w:eastAsia="Calibri" w:hint="cs"/>
          <w:b/>
          <w:bCs/>
          <w:rtl/>
        </w:rPr>
        <w:t>ל</w:t>
      </w:r>
      <w:r w:rsidRPr="001B37C0">
        <w:rPr>
          <w:rFonts w:eastAsia="Calibri"/>
          <w:b/>
          <w:bCs/>
          <w:rtl/>
        </w:rPr>
        <w:t>ביקוש; החלט</w:t>
      </w:r>
      <w:r w:rsidRPr="001B37C0">
        <w:rPr>
          <w:rFonts w:eastAsia="Calibri" w:hint="cs"/>
          <w:b/>
          <w:bCs/>
          <w:rtl/>
        </w:rPr>
        <w:t>ת הממשל</w:t>
      </w:r>
      <w:r w:rsidRPr="001B37C0">
        <w:rPr>
          <w:rFonts w:eastAsia="Calibri"/>
          <w:b/>
          <w:bCs/>
          <w:rtl/>
        </w:rPr>
        <w:t>ה 1231 לסגור את בז"ן</w:t>
      </w:r>
      <w:r w:rsidRPr="001B37C0">
        <w:rPr>
          <w:rFonts w:eastAsia="Calibri" w:hint="cs"/>
          <w:b/>
          <w:bCs/>
          <w:rtl/>
        </w:rPr>
        <w:t>,</w:t>
      </w:r>
      <w:r w:rsidRPr="001B37C0">
        <w:rPr>
          <w:rFonts w:eastAsia="Calibri"/>
          <w:b/>
          <w:bCs/>
          <w:rtl/>
        </w:rPr>
        <w:t xml:space="preserve"> </w:t>
      </w:r>
      <w:r w:rsidRPr="001B37C0">
        <w:rPr>
          <w:rFonts w:eastAsia="Calibri" w:hint="cs"/>
          <w:b/>
          <w:bCs/>
          <w:rtl/>
        </w:rPr>
        <w:t>המייצר</w:t>
      </w:r>
      <w:r w:rsidRPr="001B37C0">
        <w:rPr>
          <w:rFonts w:eastAsia="Calibri"/>
          <w:b/>
          <w:bCs/>
          <w:rtl/>
        </w:rPr>
        <w:t xml:space="preserve"> 40% מהביקוש לגפ"ם במשק; </w:t>
      </w:r>
      <w:r w:rsidRPr="001B37C0">
        <w:rPr>
          <w:rFonts w:eastAsia="Calibri" w:hint="cs"/>
          <w:b/>
          <w:bCs/>
          <w:rtl/>
        </w:rPr>
        <w:t>ו</w:t>
      </w:r>
      <w:r w:rsidRPr="001B37C0">
        <w:rPr>
          <w:rFonts w:eastAsia="Calibri" w:hint="eastAsia"/>
          <w:b/>
          <w:bCs/>
          <w:rtl/>
        </w:rPr>
        <w:t>מלחמת</w:t>
      </w:r>
      <w:r w:rsidRPr="001B37C0">
        <w:rPr>
          <w:rFonts w:eastAsia="Calibri"/>
          <w:b/>
          <w:bCs/>
          <w:rtl/>
        </w:rPr>
        <w:t xml:space="preserve"> </w:t>
      </w:r>
      <w:r w:rsidRPr="001B37C0">
        <w:rPr>
          <w:rFonts w:eastAsia="Calibri" w:hint="eastAsia"/>
          <w:b/>
          <w:bCs/>
          <w:rtl/>
        </w:rPr>
        <w:t>חרבות</w:t>
      </w:r>
      <w:r w:rsidRPr="001B37C0">
        <w:rPr>
          <w:rFonts w:eastAsia="Calibri"/>
          <w:b/>
          <w:bCs/>
          <w:rtl/>
        </w:rPr>
        <w:t xml:space="preserve"> </w:t>
      </w:r>
      <w:r w:rsidRPr="001B37C0">
        <w:rPr>
          <w:rFonts w:eastAsia="Calibri" w:hint="eastAsia"/>
          <w:b/>
          <w:bCs/>
          <w:rtl/>
        </w:rPr>
        <w:t>ברזל</w:t>
      </w:r>
      <w:r w:rsidRPr="001B37C0">
        <w:rPr>
          <w:rFonts w:eastAsia="Calibri" w:hint="cs"/>
          <w:b/>
          <w:bCs/>
          <w:rtl/>
        </w:rPr>
        <w:t>,</w:t>
      </w:r>
      <w:r w:rsidRPr="001B37C0">
        <w:rPr>
          <w:rFonts w:eastAsia="Calibri"/>
          <w:b/>
          <w:bCs/>
          <w:rtl/>
        </w:rPr>
        <w:t xml:space="preserve"> </w:t>
      </w:r>
      <w:r w:rsidRPr="001B37C0">
        <w:rPr>
          <w:rFonts w:eastAsia="Calibri" w:hint="eastAsia"/>
          <w:b/>
          <w:bCs/>
          <w:rtl/>
        </w:rPr>
        <w:t>שהמחישה</w:t>
      </w:r>
      <w:r w:rsidRPr="001B37C0">
        <w:rPr>
          <w:rFonts w:eastAsia="Calibri"/>
          <w:b/>
          <w:bCs/>
          <w:rtl/>
        </w:rPr>
        <w:t xml:space="preserve"> </w:t>
      </w:r>
      <w:r w:rsidRPr="001B37C0">
        <w:rPr>
          <w:rFonts w:eastAsia="Calibri" w:hint="eastAsia"/>
          <w:b/>
          <w:bCs/>
          <w:rtl/>
        </w:rPr>
        <w:t>את</w:t>
      </w:r>
      <w:r w:rsidRPr="001B37C0">
        <w:rPr>
          <w:rFonts w:eastAsia="Calibri"/>
          <w:b/>
          <w:bCs/>
          <w:rtl/>
        </w:rPr>
        <w:t xml:space="preserve"> </w:t>
      </w:r>
      <w:r w:rsidRPr="001B37C0">
        <w:rPr>
          <w:rFonts w:eastAsia="Calibri" w:hint="eastAsia"/>
          <w:b/>
          <w:bCs/>
          <w:rtl/>
        </w:rPr>
        <w:t>מצוקת</w:t>
      </w:r>
      <w:r w:rsidRPr="001B37C0">
        <w:rPr>
          <w:rFonts w:eastAsia="Calibri"/>
          <w:b/>
          <w:bCs/>
          <w:rtl/>
        </w:rPr>
        <w:t xml:space="preserve"> </w:t>
      </w:r>
      <w:r w:rsidRPr="001B37C0">
        <w:rPr>
          <w:rFonts w:eastAsia="Calibri" w:hint="eastAsia"/>
          <w:b/>
          <w:bCs/>
          <w:rtl/>
        </w:rPr>
        <w:t>האחסון</w:t>
      </w:r>
      <w:r w:rsidRPr="001B37C0">
        <w:rPr>
          <w:rFonts w:eastAsia="Calibri" w:hint="cs"/>
          <w:b/>
          <w:bCs/>
          <w:rtl/>
        </w:rPr>
        <w:t>,</w:t>
      </w:r>
      <w:r w:rsidRPr="001B37C0">
        <w:rPr>
          <w:rFonts w:eastAsia="Calibri"/>
          <w:b/>
          <w:bCs/>
          <w:rtl/>
        </w:rPr>
        <w:t xml:space="preserve"> </w:t>
      </w:r>
      <w:r w:rsidRPr="001B37C0">
        <w:rPr>
          <w:rFonts w:eastAsia="Calibri" w:hint="eastAsia"/>
          <w:b/>
          <w:bCs/>
          <w:rtl/>
        </w:rPr>
        <w:t>המסתמכת</w:t>
      </w:r>
      <w:r w:rsidRPr="001B37C0">
        <w:rPr>
          <w:rFonts w:eastAsia="Calibri"/>
          <w:b/>
          <w:bCs/>
          <w:rtl/>
        </w:rPr>
        <w:t xml:space="preserve"> על נקודת הפריקה ואתר האחסון היחידים במדינה ב</w:t>
      </w:r>
      <w:r w:rsidRPr="001B37C0">
        <w:rPr>
          <w:rFonts w:eastAsia="Calibri" w:hint="cs"/>
          <w:b/>
          <w:bCs/>
          <w:rtl/>
        </w:rPr>
        <w:t xml:space="preserve">קצא"א </w:t>
      </w:r>
      <w:r w:rsidRPr="001B37C0">
        <w:rPr>
          <w:rFonts w:eastAsia="Calibri"/>
          <w:b/>
          <w:bCs/>
          <w:rtl/>
        </w:rPr>
        <w:t>אשקלון.</w:t>
      </w:r>
      <w:r w:rsidRPr="001B37C0">
        <w:rPr>
          <w:rFonts w:eastAsia="Calibri" w:hint="cs"/>
          <w:b/>
          <w:bCs/>
          <w:rtl/>
        </w:rPr>
        <w:t xml:space="preserve"> </w:t>
      </w:r>
    </w:p>
    <w:p w:rsidR="001B37C0" w:rsidRPr="001B37C0" w:rsidP="002F4530">
      <w:pPr>
        <w:keepNext/>
        <w:keepLines/>
        <w:spacing w:line="269" w:lineRule="auto"/>
        <w:ind w:left="-567"/>
        <w:rPr>
          <w:rFonts w:eastAsia="Calibri"/>
          <w:szCs w:val="20"/>
          <w:rtl/>
        </w:rPr>
      </w:pPr>
    </w:p>
    <w:p w:rsidR="001B37C0" w:rsidRPr="001B37C0" w:rsidP="002F4530">
      <w:pPr>
        <w:keepNext/>
        <w:keepLines/>
        <w:spacing w:line="269" w:lineRule="auto"/>
        <w:outlineLvl w:val="2"/>
        <w:rPr>
          <w:rFonts w:eastAsia="Times New Roman"/>
          <w:bCs/>
          <w:szCs w:val="28"/>
          <w:u w:val="single"/>
          <w:rtl/>
        </w:rPr>
      </w:pPr>
      <w:r w:rsidRPr="001B37C0">
        <w:rPr>
          <w:rFonts w:eastAsia="Times New Roman" w:hint="cs"/>
          <w:bCs/>
          <w:szCs w:val="28"/>
          <w:u w:val="single"/>
          <w:rtl/>
        </w:rPr>
        <w:t xml:space="preserve">תחרותיות במקטע שיווק הגפ"ם </w:t>
      </w:r>
    </w:p>
    <w:p w:rsidR="001B37C0" w:rsidRPr="001B37C0" w:rsidP="002F4530">
      <w:pPr>
        <w:rPr>
          <w:rFonts w:eastAsia="Calibri"/>
          <w:rtl/>
        </w:rPr>
      </w:pPr>
    </w:p>
    <w:p w:rsidR="001B37C0" w:rsidRPr="001B37C0" w:rsidP="002F4530">
      <w:pPr>
        <w:spacing w:line="269" w:lineRule="auto"/>
        <w:rPr>
          <w:rFonts w:eastAsia="Calibri"/>
          <w:rtl/>
        </w:rPr>
      </w:pPr>
      <w:r w:rsidRPr="001B37C0">
        <w:rPr>
          <w:rFonts w:eastAsia="Calibri" w:hint="cs"/>
          <w:rtl/>
        </w:rPr>
        <w:t>בשוק הגפ"ם הביתי פועלים כ-60 ספקי גפ"ם (חברות שיווק), ארבעה מתוכם ספקים גדולים.</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בתרשים שלהלן מתואר נתח השוק של ארבעת הספקים הגדולים לעומת נתח השוק של הספקים הקטנים בשנת 2024.</w:t>
      </w:r>
    </w:p>
    <w:p w:rsidR="001B37C0" w:rsidRPr="001B37C0" w:rsidP="002F4530">
      <w:pPr>
        <w:keepNext/>
        <w:keepLines/>
        <w:spacing w:line="269" w:lineRule="auto"/>
        <w:jc w:val="center"/>
        <w:rPr>
          <w:rFonts w:ascii="David" w:eastAsia="Calibri" w:hAnsi="David"/>
          <w:b/>
          <w:bCs/>
          <w:rtl/>
        </w:rPr>
      </w:pPr>
      <w:r w:rsidRPr="001B37C0">
        <w:rPr>
          <w:rFonts w:eastAsia="Calibri" w:hint="eastAsia"/>
          <w:rtl/>
        </w:rPr>
        <w:t>תרשים</w:t>
      </w:r>
      <w:r w:rsidRPr="001B37C0">
        <w:rPr>
          <w:rFonts w:eastAsia="Calibri"/>
          <w:rtl/>
        </w:rPr>
        <w:t xml:space="preserve"> 10:</w:t>
      </w:r>
      <w:r w:rsidRPr="001B37C0">
        <w:rPr>
          <w:rFonts w:eastAsia="Calibri" w:hint="cs"/>
          <w:b/>
          <w:bCs/>
          <w:rtl/>
        </w:rPr>
        <w:t xml:space="preserve"> נתח השוק של ארבעת הספקים הגדולים</w:t>
      </w:r>
      <w:r w:rsidRPr="001B37C0">
        <w:rPr>
          <w:rFonts w:ascii="David" w:eastAsia="Calibri" w:hAnsi="David" w:hint="cs"/>
          <w:b/>
          <w:bCs/>
          <w:rtl/>
        </w:rPr>
        <w:t>*</w:t>
      </w:r>
      <w:r w:rsidRPr="001B37C0">
        <w:rPr>
          <w:rFonts w:eastAsia="Calibri" w:hint="cs"/>
          <w:b/>
          <w:bCs/>
          <w:rtl/>
        </w:rPr>
        <w:t xml:space="preserve"> ושל הספקים הקטנים </w:t>
      </w:r>
      <w:r w:rsidRPr="001B37C0">
        <w:rPr>
          <w:rFonts w:eastAsia="Calibri" w:hint="eastAsia"/>
          <w:b/>
          <w:bCs/>
          <w:rtl/>
        </w:rPr>
        <w:t>במגזר</w:t>
      </w:r>
      <w:r w:rsidRPr="001B37C0">
        <w:rPr>
          <w:rFonts w:eastAsia="Calibri"/>
          <w:b/>
          <w:bCs/>
          <w:rtl/>
        </w:rPr>
        <w:t xml:space="preserve"> </w:t>
      </w:r>
      <w:r w:rsidRPr="001B37C0">
        <w:rPr>
          <w:rFonts w:eastAsia="Calibri" w:hint="eastAsia"/>
          <w:b/>
          <w:bCs/>
          <w:rtl/>
        </w:rPr>
        <w:t>הביתי</w:t>
      </w:r>
      <w:r w:rsidRPr="001B37C0">
        <w:rPr>
          <w:rFonts w:eastAsia="Calibri" w:hint="cs"/>
          <w:b/>
          <w:bCs/>
          <w:rtl/>
        </w:rPr>
        <w:t>, שנת 2024</w:t>
      </w:r>
    </w:p>
    <w:p w:rsidR="001B37C0" w:rsidRPr="001B37C0" w:rsidP="002F4530">
      <w:pPr>
        <w:spacing w:line="269" w:lineRule="auto"/>
        <w:jc w:val="center"/>
        <w:rPr>
          <w:rFonts w:ascii="David" w:eastAsia="Calibri" w:hAnsi="David"/>
          <w:szCs w:val="20"/>
          <w:rtl/>
        </w:rPr>
      </w:pPr>
      <w:r w:rsidRPr="001B37C0">
        <w:rPr>
          <w:rFonts w:ascii="David" w:eastAsia="Calibri" w:hAnsi="David"/>
          <w:noProof/>
          <w:szCs w:val="20"/>
        </w:rPr>
        <w:drawing>
          <wp:inline distT="0" distB="0" distL="0" distR="0">
            <wp:extent cx="4584700" cy="2755900"/>
            <wp:effectExtent l="0" t="0" r="6350" b="6350"/>
            <wp:docPr id="71" name="תמונה 71" descr="בתרשים מתואר נתח השוק של ארבעת הספקים הגדולים (71%) ושל הספקים הקטנים (29%) במגזר הביתי,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6"/>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001B37C0" w:rsidRPr="001B37C0" w:rsidP="002F4530">
      <w:pPr>
        <w:spacing w:line="269" w:lineRule="auto"/>
        <w:rPr>
          <w:rFonts w:ascii="David" w:eastAsia="Calibri" w:hAnsi="David"/>
          <w:szCs w:val="20"/>
          <w:rtl/>
        </w:rPr>
      </w:pPr>
      <w:r w:rsidRPr="001B37C0">
        <w:rPr>
          <w:rFonts w:ascii="David" w:eastAsia="Calibri" w:hAnsi="David" w:hint="eastAsia"/>
          <w:szCs w:val="20"/>
          <w:rtl/>
        </w:rPr>
        <w:t>המקור</w:t>
      </w:r>
      <w:r w:rsidRPr="001B37C0">
        <w:rPr>
          <w:rFonts w:ascii="David" w:eastAsia="Calibri" w:hAnsi="David"/>
          <w:szCs w:val="20"/>
          <w:rtl/>
        </w:rPr>
        <w:t>: מינהל הדלק.</w:t>
      </w:r>
    </w:p>
    <w:p w:rsidR="001B37C0" w:rsidRPr="001B37C0" w:rsidP="002F4530">
      <w:pPr>
        <w:spacing w:line="269" w:lineRule="auto"/>
        <w:rPr>
          <w:rFonts w:ascii="David" w:eastAsia="Calibri" w:hAnsi="David"/>
          <w:szCs w:val="20"/>
          <w:rtl/>
        </w:rPr>
      </w:pPr>
      <w:r w:rsidRPr="001B37C0">
        <w:rPr>
          <w:rFonts w:ascii="David" w:eastAsia="Calibri" w:hAnsi="David" w:hint="cs"/>
          <w:szCs w:val="20"/>
          <w:rtl/>
        </w:rPr>
        <w:t xml:space="preserve">* כולל סוכנויות של הספקים הגדולים. </w:t>
      </w:r>
      <w:r w:rsidRPr="001B37C0">
        <w:rPr>
          <w:rFonts w:ascii="David" w:eastAsia="Calibri" w:hAnsi="David" w:hint="eastAsia"/>
          <w:szCs w:val="20"/>
          <w:rtl/>
        </w:rPr>
        <w:t>יצוין</w:t>
      </w:r>
      <w:r w:rsidRPr="001B37C0">
        <w:rPr>
          <w:rFonts w:ascii="David" w:eastAsia="Calibri" w:hAnsi="David"/>
          <w:szCs w:val="20"/>
          <w:rtl/>
        </w:rPr>
        <w:t xml:space="preserve"> כי במועד</w:t>
      </w:r>
      <w:r w:rsidRPr="001B37C0">
        <w:rPr>
          <w:rFonts w:ascii="David" w:eastAsia="Calibri" w:hAnsi="David" w:hint="cs"/>
          <w:szCs w:val="20"/>
          <w:rtl/>
        </w:rPr>
        <w:t xml:space="preserve"> סיום</w:t>
      </w:r>
      <w:r w:rsidRPr="001B37C0">
        <w:rPr>
          <w:rFonts w:ascii="David" w:eastAsia="Calibri" w:hAnsi="David"/>
          <w:szCs w:val="20"/>
          <w:rtl/>
        </w:rPr>
        <w:t xml:space="preserve"> הביקורת לא הי</w:t>
      </w:r>
      <w:r w:rsidRPr="001B37C0">
        <w:rPr>
          <w:rFonts w:ascii="David" w:eastAsia="Calibri" w:hAnsi="David" w:hint="cs"/>
          <w:szCs w:val="20"/>
          <w:rtl/>
        </w:rPr>
        <w:t>ו</w:t>
      </w:r>
      <w:r w:rsidRPr="001B37C0">
        <w:rPr>
          <w:rFonts w:ascii="David" w:eastAsia="Calibri" w:hAnsi="David"/>
          <w:szCs w:val="20"/>
          <w:rtl/>
        </w:rPr>
        <w:t xml:space="preserve"> נתונים מלאים לשנת 2025.</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hint="cs"/>
          <w:rtl/>
        </w:rPr>
        <w:t>מהתרשים עולה כי נתח השוק של ארבעת הספקים הגדולים במגזר הביתי (71%) הוא יותר מפי שניים מנתח השוק של הספקים הקטנים (29%)</w:t>
      </w:r>
      <w:r>
        <w:rPr>
          <w:rFonts w:ascii="David" w:eastAsia="Calibri" w:hAnsi="David"/>
          <w:vertAlign w:val="superscript"/>
          <w:rtl/>
        </w:rPr>
        <w:footnoteReference w:id="115"/>
      </w:r>
      <w:r w:rsidRPr="001B37C0">
        <w:rPr>
          <w:rFonts w:ascii="David" w:eastAsia="Calibri" w:hAnsi="David" w:hint="cs"/>
          <w:rtl/>
        </w:rPr>
        <w:t xml:space="preserve">. יצוין כי נתח השוק של ארבעת הספקים הגדולים </w:t>
      </w:r>
      <w:bookmarkStart w:id="38" w:name="_Hlk232403485"/>
      <w:r w:rsidRPr="001B37C0">
        <w:rPr>
          <w:rFonts w:ascii="David" w:eastAsia="Calibri" w:hAnsi="David" w:hint="cs"/>
          <w:rtl/>
        </w:rPr>
        <w:t xml:space="preserve">בכלל המגזרים (מסחר ותעשייה, חקלאות ותחבורה ללא הרש"פ) </w:t>
      </w:r>
      <w:bookmarkEnd w:id="38"/>
      <w:r w:rsidRPr="001B37C0">
        <w:rPr>
          <w:rFonts w:ascii="David" w:eastAsia="Calibri" w:hAnsi="David" w:hint="cs"/>
          <w:rtl/>
        </w:rPr>
        <w:t>עומד על 72%.</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rtl/>
        </w:rPr>
        <w:t>הגפ"ם בישראל מסופק ללקוחות הקצה</w:t>
      </w:r>
      <w:r w:rsidRPr="001B37C0">
        <w:rPr>
          <w:rFonts w:ascii="David" w:eastAsia="Calibri" w:hAnsi="David" w:hint="cs"/>
          <w:rtl/>
        </w:rPr>
        <w:t xml:space="preserve"> בכלל המגזרים</w:t>
      </w:r>
      <w:r w:rsidRPr="001B37C0">
        <w:rPr>
          <w:rFonts w:ascii="David" w:eastAsia="Calibri" w:hAnsi="David"/>
          <w:rtl/>
        </w:rPr>
        <w:t xml:space="preserve"> בשלושה אמצעי אספקה:</w:t>
      </w:r>
    </w:p>
    <w:p w:rsidR="001B37C0" w:rsidRPr="001B37C0" w:rsidP="002F4530">
      <w:pPr>
        <w:keepNext/>
        <w:keepLines/>
        <w:spacing w:line="269" w:lineRule="auto"/>
        <w:ind w:left="-567"/>
        <w:rPr>
          <w:rFonts w:eastAsia="Calibri"/>
          <w:szCs w:val="20"/>
          <w:rtl/>
        </w:rPr>
      </w:pPr>
    </w:p>
    <w:p w:rsidR="001B37C0" w:rsidRPr="001B37C0" w:rsidP="002F4530">
      <w:pPr>
        <w:numPr>
          <w:ilvl w:val="0"/>
          <w:numId w:val="14"/>
        </w:numPr>
        <w:spacing w:line="269" w:lineRule="auto"/>
        <w:ind w:left="312"/>
        <w:contextualSpacing/>
        <w:rPr>
          <w:rFonts w:ascii="David" w:eastAsia="Calibri" w:hAnsi="David"/>
        </w:rPr>
      </w:pPr>
      <w:r w:rsidRPr="001B37C0">
        <w:rPr>
          <w:rFonts w:ascii="David" w:eastAsia="Calibri" w:hAnsi="David"/>
          <w:rtl/>
        </w:rPr>
        <w:t xml:space="preserve">מכלים </w:t>
      </w:r>
      <w:r w:rsidRPr="001B37C0">
        <w:rPr>
          <w:rFonts w:ascii="David" w:eastAsia="Calibri" w:hAnsi="David" w:hint="cs"/>
          <w:rtl/>
        </w:rPr>
        <w:t xml:space="preserve">בודדים </w:t>
      </w:r>
      <w:r w:rsidRPr="001B37C0">
        <w:rPr>
          <w:rFonts w:ascii="David" w:eastAsia="Calibri" w:hAnsi="David"/>
          <w:rtl/>
        </w:rPr>
        <w:t xml:space="preserve">(בלונים): מכלי גפ"ם במשקל 12 או 48 ק"ג, המשרתים הן לקוחות מוסדיים קטנים </w:t>
      </w:r>
      <w:r w:rsidRPr="001B37C0">
        <w:rPr>
          <w:rFonts w:ascii="David" w:eastAsia="Calibri" w:hAnsi="David" w:hint="cs"/>
          <w:rtl/>
        </w:rPr>
        <w:t>ו</w:t>
      </w:r>
      <w:r w:rsidRPr="001B37C0">
        <w:rPr>
          <w:rFonts w:ascii="David" w:eastAsia="Calibri" w:hAnsi="David"/>
          <w:rtl/>
        </w:rPr>
        <w:t xml:space="preserve">הן בתים פרטיים. </w:t>
      </w:r>
      <w:r w:rsidRPr="001B37C0">
        <w:rPr>
          <w:rFonts w:ascii="David" w:eastAsia="Calibri" w:hAnsi="David" w:hint="cs"/>
          <w:rtl/>
        </w:rPr>
        <w:t>כ-45% מכמות הגז לצרכנים הביתיים מסופקת באמצעות מכלים.</w:t>
      </w:r>
    </w:p>
    <w:p w:rsidR="001B37C0" w:rsidRPr="001B37C0" w:rsidP="002F4530">
      <w:pPr>
        <w:keepNext/>
        <w:keepLines/>
        <w:spacing w:line="269" w:lineRule="auto"/>
        <w:ind w:left="-567"/>
        <w:rPr>
          <w:rFonts w:eastAsia="Calibri"/>
          <w:szCs w:val="20"/>
          <w:rtl/>
        </w:rPr>
      </w:pPr>
    </w:p>
    <w:p w:rsidR="001B37C0" w:rsidRPr="001B37C0" w:rsidP="002F4530">
      <w:pPr>
        <w:numPr>
          <w:ilvl w:val="0"/>
          <w:numId w:val="14"/>
        </w:numPr>
        <w:spacing w:line="269" w:lineRule="auto"/>
        <w:ind w:left="312"/>
        <w:contextualSpacing/>
        <w:rPr>
          <w:rFonts w:ascii="David" w:eastAsia="Calibri" w:hAnsi="David"/>
        </w:rPr>
      </w:pPr>
      <w:r w:rsidRPr="001B37C0">
        <w:rPr>
          <w:rFonts w:ascii="David" w:eastAsia="Calibri" w:hAnsi="David"/>
          <w:rtl/>
        </w:rPr>
        <w:t xml:space="preserve">מערכת גז מרכזית: </w:t>
      </w:r>
      <w:r w:rsidRPr="001B37C0">
        <w:rPr>
          <w:rFonts w:ascii="David" w:eastAsia="Calibri" w:hAnsi="David" w:hint="cs"/>
          <w:rtl/>
        </w:rPr>
        <w:t xml:space="preserve">מרכזיית </w:t>
      </w:r>
      <w:r w:rsidRPr="001B37C0">
        <w:rPr>
          <w:rFonts w:ascii="David" w:eastAsia="Calibri" w:hAnsi="David"/>
          <w:rtl/>
        </w:rPr>
        <w:t>צובר</w:t>
      </w:r>
      <w:r w:rsidRPr="001B37C0">
        <w:rPr>
          <w:rFonts w:ascii="David" w:eastAsia="Calibri" w:hAnsi="David" w:hint="cs"/>
          <w:rtl/>
        </w:rPr>
        <w:t xml:space="preserve"> (מכל נייח) (להלן - מרכזיית מכל נייח)</w:t>
      </w:r>
      <w:r w:rsidRPr="001B37C0">
        <w:rPr>
          <w:rFonts w:ascii="David" w:eastAsia="Calibri" w:hAnsi="David"/>
          <w:rtl/>
        </w:rPr>
        <w:t xml:space="preserve"> או מרכזי</w:t>
      </w:r>
      <w:r w:rsidRPr="001B37C0">
        <w:rPr>
          <w:rFonts w:ascii="David" w:eastAsia="Calibri" w:hAnsi="David" w:hint="cs"/>
          <w:rtl/>
        </w:rPr>
        <w:t>ית</w:t>
      </w:r>
      <w:r w:rsidRPr="001B37C0">
        <w:rPr>
          <w:rFonts w:ascii="David" w:eastAsia="Calibri" w:hAnsi="David"/>
          <w:rtl/>
        </w:rPr>
        <w:t xml:space="preserve"> מכלים</w:t>
      </w:r>
      <w:r w:rsidRPr="001B37C0">
        <w:rPr>
          <w:rFonts w:ascii="David" w:eastAsia="Calibri" w:hAnsi="David" w:hint="cs"/>
          <w:rtl/>
        </w:rPr>
        <w:t xml:space="preserve"> </w:t>
      </w:r>
      <w:r w:rsidRPr="001B37C0">
        <w:rPr>
          <w:rFonts w:ascii="David" w:eastAsia="Calibri" w:hAnsi="David"/>
          <w:rtl/>
        </w:rPr>
        <w:t>הממוקמ</w:t>
      </w:r>
      <w:r w:rsidRPr="001B37C0">
        <w:rPr>
          <w:rFonts w:ascii="David" w:eastAsia="Calibri" w:hAnsi="David" w:hint="cs"/>
          <w:rtl/>
        </w:rPr>
        <w:t>ת</w:t>
      </w:r>
      <w:r w:rsidRPr="001B37C0">
        <w:rPr>
          <w:rFonts w:ascii="David" w:eastAsia="Calibri" w:hAnsi="David"/>
          <w:rtl/>
        </w:rPr>
        <w:t xml:space="preserve"> בחצריו של הלקוח - מוסדי</w:t>
      </w:r>
      <w:r>
        <w:rPr>
          <w:rFonts w:ascii="David" w:eastAsia="Calibri" w:hAnsi="David"/>
          <w:vertAlign w:val="superscript"/>
          <w:rtl/>
        </w:rPr>
        <w:footnoteReference w:id="116"/>
      </w:r>
      <w:r w:rsidRPr="001B37C0">
        <w:rPr>
          <w:rFonts w:ascii="David" w:eastAsia="Calibri" w:hAnsi="David"/>
          <w:rtl/>
        </w:rPr>
        <w:t xml:space="preserve"> ופרטי</w:t>
      </w:r>
      <w:r>
        <w:rPr>
          <w:rFonts w:ascii="David" w:eastAsia="Calibri" w:hAnsi="David"/>
          <w:vertAlign w:val="superscript"/>
          <w:rtl/>
        </w:rPr>
        <w:footnoteReference w:id="117"/>
      </w:r>
      <w:r w:rsidRPr="001B37C0">
        <w:rPr>
          <w:rFonts w:ascii="David" w:eastAsia="Calibri" w:hAnsi="David"/>
          <w:rtl/>
        </w:rPr>
        <w:t xml:space="preserve">. </w:t>
      </w:r>
      <w:r w:rsidRPr="001B37C0">
        <w:rPr>
          <w:rFonts w:ascii="David" w:eastAsia="Calibri" w:hAnsi="David" w:hint="cs"/>
          <w:rtl/>
        </w:rPr>
        <w:t>מערכת הגז המרכזית ו</w:t>
      </w:r>
      <w:r w:rsidRPr="001B37C0">
        <w:rPr>
          <w:rFonts w:ascii="David" w:eastAsia="Calibri" w:hAnsi="David"/>
          <w:rtl/>
        </w:rPr>
        <w:t>הגפ"ם שיי</w:t>
      </w:r>
      <w:r w:rsidRPr="001B37C0">
        <w:rPr>
          <w:rFonts w:ascii="David" w:eastAsia="Calibri" w:hAnsi="David" w:hint="cs"/>
          <w:rtl/>
        </w:rPr>
        <w:t>כים</w:t>
      </w:r>
      <w:r w:rsidRPr="001B37C0">
        <w:rPr>
          <w:rFonts w:ascii="David" w:eastAsia="Calibri" w:hAnsi="David"/>
          <w:rtl/>
        </w:rPr>
        <w:t xml:space="preserve"> ל</w:t>
      </w:r>
      <w:r w:rsidRPr="001B37C0">
        <w:rPr>
          <w:rFonts w:ascii="David" w:eastAsia="Calibri" w:hAnsi="David" w:hint="cs"/>
          <w:rtl/>
        </w:rPr>
        <w:t>ספק,</w:t>
      </w:r>
      <w:r w:rsidRPr="001B37C0">
        <w:rPr>
          <w:rFonts w:ascii="David" w:eastAsia="Calibri" w:hAnsi="David"/>
          <w:rtl/>
        </w:rPr>
        <w:t xml:space="preserve"> והלקוח (משק הבית) משלם </w:t>
      </w:r>
      <w:r w:rsidRPr="001B37C0">
        <w:rPr>
          <w:rFonts w:ascii="David" w:eastAsia="Calibri" w:hAnsi="David" w:hint="cs"/>
          <w:rtl/>
        </w:rPr>
        <w:t>על</w:t>
      </w:r>
      <w:r w:rsidRPr="001B37C0">
        <w:rPr>
          <w:rFonts w:ascii="David" w:eastAsia="Calibri" w:hAnsi="David"/>
          <w:rtl/>
        </w:rPr>
        <w:t xml:space="preserve"> הצריכה על פי קריאת מונה. מערכת גז מרכזית היא אמצעי האספקה הנפוץ ביותר ללקוחות המתגוררים בבתים משותפים.</w:t>
      </w:r>
      <w:r w:rsidRPr="001B37C0">
        <w:rPr>
          <w:rFonts w:ascii="David" w:eastAsia="Calibri" w:hAnsi="David" w:hint="cs"/>
          <w:rtl/>
        </w:rPr>
        <w:t xml:space="preserve"> לפי חוק המקרקעין, התשכ"ט-1969, צנרת הגז בבניין משותף היא רכוש משותף של כלל הדיירים. כל החלטה בנוגע למערכת הגז המותקנת בבניין דורשת הסכמה של יותר ממחצית בעלי הדירות המחוברות למערכת. </w:t>
      </w:r>
    </w:p>
    <w:p w:rsidR="001B37C0" w:rsidRPr="001B37C0" w:rsidP="002F4530">
      <w:pPr>
        <w:keepNext/>
        <w:keepLines/>
        <w:spacing w:line="269" w:lineRule="auto"/>
        <w:ind w:left="-567"/>
        <w:rPr>
          <w:rFonts w:eastAsia="Calibri"/>
          <w:szCs w:val="20"/>
          <w:rtl/>
        </w:rPr>
      </w:pPr>
    </w:p>
    <w:p w:rsidR="001B37C0" w:rsidRPr="001B37C0" w:rsidP="002F4530">
      <w:pPr>
        <w:numPr>
          <w:ilvl w:val="0"/>
          <w:numId w:val="14"/>
        </w:numPr>
        <w:spacing w:line="269" w:lineRule="auto"/>
        <w:ind w:left="312"/>
        <w:contextualSpacing/>
        <w:rPr>
          <w:rFonts w:ascii="David" w:eastAsia="Calibri" w:hAnsi="David"/>
          <w:rtl/>
        </w:rPr>
      </w:pPr>
      <w:r w:rsidRPr="001B37C0">
        <w:rPr>
          <w:rFonts w:ascii="David" w:eastAsia="Calibri" w:hAnsi="David" w:hint="cs"/>
          <w:rtl/>
        </w:rPr>
        <w:t>מכל נייח (</w:t>
      </w:r>
      <w:r w:rsidRPr="001B37C0">
        <w:rPr>
          <w:rFonts w:ascii="David" w:eastAsia="Calibri" w:hAnsi="David"/>
          <w:rtl/>
        </w:rPr>
        <w:t>צובר</w:t>
      </w:r>
      <w:r w:rsidRPr="001B37C0">
        <w:rPr>
          <w:rFonts w:ascii="David" w:eastAsia="Calibri" w:hAnsi="David" w:hint="cs"/>
          <w:rtl/>
        </w:rPr>
        <w:t>)</w:t>
      </w:r>
      <w:r w:rsidRPr="001B37C0">
        <w:rPr>
          <w:rFonts w:ascii="David" w:eastAsia="Calibri" w:hAnsi="David"/>
          <w:rtl/>
        </w:rPr>
        <w:t xml:space="preserve"> בלעדי: </w:t>
      </w:r>
      <w:r w:rsidRPr="001B37C0">
        <w:rPr>
          <w:rFonts w:ascii="David" w:eastAsia="Calibri" w:hAnsi="David" w:hint="cs"/>
          <w:rtl/>
        </w:rPr>
        <w:t>מכל נייח</w:t>
      </w:r>
      <w:r w:rsidRPr="001B37C0">
        <w:rPr>
          <w:rFonts w:ascii="David" w:eastAsia="Calibri" w:hAnsi="David"/>
          <w:rtl/>
        </w:rPr>
        <w:t xml:space="preserve"> תפעולי הממוקם ב</w:t>
      </w:r>
      <w:r w:rsidRPr="001B37C0">
        <w:rPr>
          <w:rFonts w:ascii="David" w:eastAsia="Calibri" w:hAnsi="David" w:hint="cs"/>
          <w:rtl/>
        </w:rPr>
        <w:t>דרך כלל ב</w:t>
      </w:r>
      <w:r w:rsidRPr="001B37C0">
        <w:rPr>
          <w:rFonts w:ascii="David" w:eastAsia="Calibri" w:hAnsi="David"/>
          <w:rtl/>
        </w:rPr>
        <w:t>חצריו של לקוח מוסדי גדול (כגון מפעל תעש</w:t>
      </w:r>
      <w:r w:rsidRPr="001B37C0">
        <w:rPr>
          <w:rFonts w:ascii="David" w:eastAsia="Calibri" w:hAnsi="David" w:hint="cs"/>
          <w:rtl/>
        </w:rPr>
        <w:t>י</w:t>
      </w:r>
      <w:r w:rsidRPr="001B37C0">
        <w:rPr>
          <w:rFonts w:ascii="David" w:eastAsia="Calibri" w:hAnsi="David"/>
          <w:rtl/>
        </w:rPr>
        <w:t>יה), בדרך כלל לצורך הפעלת קווי ייצור. ה</w:t>
      </w:r>
      <w:r w:rsidRPr="001B37C0">
        <w:rPr>
          <w:rFonts w:ascii="David" w:eastAsia="Calibri" w:hAnsi="David" w:hint="cs"/>
          <w:rtl/>
        </w:rPr>
        <w:t>מכל הנייח</w:t>
      </w:r>
      <w:r w:rsidRPr="001B37C0">
        <w:rPr>
          <w:rFonts w:ascii="David" w:eastAsia="Calibri" w:hAnsi="David"/>
          <w:rtl/>
        </w:rPr>
        <w:t xml:space="preserve"> והגפ"ם המאוחסן בו שייכים ללקוח, והתשלום הוא מראש ולא על פי מונה. כ-90% מכמות הגפ"ם שנמכר ללקוחות מוסדיים מסופק</w:t>
      </w:r>
      <w:r w:rsidRPr="001B37C0">
        <w:rPr>
          <w:rFonts w:ascii="David" w:eastAsia="Calibri" w:hAnsi="David" w:hint="cs"/>
          <w:rtl/>
        </w:rPr>
        <w:t xml:space="preserve">ים </w:t>
      </w:r>
      <w:r w:rsidRPr="001B37C0">
        <w:rPr>
          <w:rFonts w:ascii="David" w:eastAsia="Calibri" w:hAnsi="David"/>
          <w:rtl/>
        </w:rPr>
        <w:t xml:space="preserve">באמצעות </w:t>
      </w:r>
      <w:r w:rsidRPr="001B37C0">
        <w:rPr>
          <w:rFonts w:ascii="David" w:eastAsia="Calibri" w:hAnsi="David" w:hint="cs"/>
          <w:rtl/>
        </w:rPr>
        <w:t>מכל נייח</w:t>
      </w:r>
      <w:r w:rsidRPr="001B37C0">
        <w:rPr>
          <w:rFonts w:ascii="David" w:eastAsia="Calibri" w:hAnsi="David"/>
          <w:rtl/>
        </w:rPr>
        <w:t xml:space="preserve"> בלעדי.</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hint="cs"/>
          <w:rtl/>
        </w:rPr>
        <w:t>בתרשים שלהלן מפורטים אמצעי אספקת הגפ"ם למגזר הביתי בשנת 2024.</w:t>
      </w:r>
    </w:p>
    <w:p w:rsidR="001B37C0" w:rsidRPr="001B37C0" w:rsidP="002F4530">
      <w:pPr>
        <w:spacing w:line="269" w:lineRule="auto"/>
        <w:rPr>
          <w:rFonts w:ascii="David" w:eastAsia="Calibri" w:hAnsi="David"/>
          <w:rtl/>
        </w:rPr>
      </w:pPr>
    </w:p>
    <w:p w:rsidR="00A87F40" w:rsidP="002F4530">
      <w:pPr>
        <w:bidi w:val="0"/>
        <w:spacing w:after="200" w:line="276" w:lineRule="auto"/>
        <w:rPr>
          <w:rFonts w:ascii="David" w:eastAsia="Calibri" w:hAnsi="David"/>
          <w:rtl/>
        </w:rPr>
      </w:pPr>
      <w:r>
        <w:rPr>
          <w:rFonts w:ascii="David" w:eastAsia="Calibri" w:hAnsi="David"/>
          <w:rtl/>
        </w:rPr>
        <w:br w:type="page"/>
      </w:r>
    </w:p>
    <w:p w:rsidR="001B37C0" w:rsidRPr="001B37C0" w:rsidP="002F4530">
      <w:pPr>
        <w:spacing w:line="269" w:lineRule="auto"/>
        <w:jc w:val="center"/>
        <w:rPr>
          <w:rFonts w:ascii="David" w:eastAsia="Calibri" w:hAnsi="David"/>
          <w:b/>
          <w:bCs/>
          <w:rtl/>
        </w:rPr>
      </w:pPr>
      <w:r w:rsidRPr="001B37C0">
        <w:rPr>
          <w:rFonts w:ascii="David" w:eastAsia="Calibri" w:hAnsi="David" w:hint="eastAsia"/>
          <w:rtl/>
        </w:rPr>
        <w:t>תרשים</w:t>
      </w:r>
      <w:r w:rsidRPr="001B37C0">
        <w:rPr>
          <w:rFonts w:ascii="David" w:eastAsia="Calibri" w:hAnsi="David"/>
          <w:rtl/>
        </w:rPr>
        <w:t xml:space="preserve"> 11:</w:t>
      </w:r>
      <w:r w:rsidRPr="001B37C0">
        <w:rPr>
          <w:rFonts w:ascii="David" w:eastAsia="Calibri" w:hAnsi="David" w:hint="cs"/>
          <w:b/>
          <w:bCs/>
          <w:rtl/>
        </w:rPr>
        <w:t xml:space="preserve"> התפלגות אמצעי אספקת הגפ"ם למגזר הביתי, 2024 </w:t>
      </w:r>
    </w:p>
    <w:p w:rsidR="001B37C0" w:rsidRPr="001B37C0" w:rsidP="002F4530">
      <w:pPr>
        <w:spacing w:line="269" w:lineRule="auto"/>
        <w:rPr>
          <w:rFonts w:ascii="David" w:eastAsia="Calibri" w:hAnsi="David"/>
          <w:sz w:val="22"/>
          <w:szCs w:val="22"/>
          <w:rtl/>
        </w:rPr>
      </w:pPr>
      <w:r w:rsidRPr="001B37C0">
        <w:rPr>
          <w:rFonts w:eastAsia="Calibri"/>
          <w:noProof/>
        </w:rPr>
        <w:drawing>
          <wp:inline distT="0" distB="0" distL="0" distR="0">
            <wp:extent cx="5219410" cy="2536466"/>
            <wp:effectExtent l="0" t="0" r="635" b="0"/>
            <wp:docPr id="68" name="תמונה 68" descr="התרשים מתאר את הפלגות אמצעי אספקת הגפ&quot;ם למגזר הביתי בשנת 2024, כך שאמצעי האספקה הנפוץ ביותר (43%) הוא מרכזיית מכל ניי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
                    <pic:cNvPicPr/>
                  </pic:nvPicPr>
                  <pic:blipFill>
                    <a:blip xmlns:r="http://schemas.openxmlformats.org/officeDocument/2006/relationships" r:embed="rId25"/>
                    <a:srcRect t="3473" b="4175"/>
                    <a:stretch>
                      <a:fillRect/>
                    </a:stretch>
                  </pic:blipFill>
                  <pic:spPr bwMode="auto">
                    <a:xfrm>
                      <a:off x="0" y="0"/>
                      <a:ext cx="5220335" cy="2536916"/>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r w:rsidRPr="001B37C0">
        <w:rPr>
          <w:rFonts w:ascii="David" w:eastAsia="Calibri" w:hAnsi="David" w:hint="cs"/>
          <w:sz w:val="22"/>
          <w:szCs w:val="22"/>
          <w:rtl/>
        </w:rPr>
        <w:t xml:space="preserve"> </w:t>
      </w:r>
    </w:p>
    <w:p w:rsidR="001B37C0" w:rsidRPr="001B37C0" w:rsidP="002F4530">
      <w:pPr>
        <w:spacing w:line="269" w:lineRule="auto"/>
        <w:rPr>
          <w:rFonts w:ascii="David" w:eastAsia="Calibri" w:hAnsi="David"/>
          <w:szCs w:val="20"/>
          <w:rtl/>
        </w:rPr>
      </w:pPr>
      <w:r w:rsidRPr="001B37C0">
        <w:rPr>
          <w:rFonts w:ascii="David" w:eastAsia="Calibri" w:hAnsi="David"/>
          <w:szCs w:val="20"/>
          <w:rtl/>
        </w:rPr>
        <w:t xml:space="preserve"> </w:t>
      </w:r>
      <w:r w:rsidRPr="001B37C0">
        <w:rPr>
          <w:rFonts w:ascii="David" w:eastAsia="Calibri" w:hAnsi="David" w:hint="eastAsia"/>
          <w:szCs w:val="20"/>
          <w:rtl/>
        </w:rPr>
        <w:t>המקור</w:t>
      </w:r>
      <w:r w:rsidRPr="001B37C0">
        <w:rPr>
          <w:rFonts w:ascii="David" w:eastAsia="Calibri" w:hAnsi="David"/>
          <w:szCs w:val="20"/>
          <w:rtl/>
        </w:rPr>
        <w:t>:</w:t>
      </w:r>
      <w:r w:rsidRPr="001B37C0">
        <w:rPr>
          <w:rFonts w:ascii="David" w:eastAsia="Calibri" w:hAnsi="David"/>
          <w:szCs w:val="20"/>
        </w:rPr>
        <w:t xml:space="preserve"> </w:t>
      </w:r>
      <w:r w:rsidRPr="001B37C0">
        <w:rPr>
          <w:rFonts w:ascii="David" w:eastAsia="Calibri" w:hAnsi="David" w:hint="eastAsia"/>
          <w:szCs w:val="20"/>
          <w:rtl/>
        </w:rPr>
        <w:t>מינהל</w:t>
      </w:r>
      <w:r w:rsidRPr="001B37C0">
        <w:rPr>
          <w:rFonts w:ascii="David" w:eastAsia="Calibri" w:hAnsi="David"/>
          <w:szCs w:val="20"/>
          <w:rtl/>
        </w:rPr>
        <w:t xml:space="preserve"> הדלק במשרד ה</w:t>
      </w:r>
      <w:r w:rsidRPr="001B37C0">
        <w:rPr>
          <w:rFonts w:ascii="David" w:eastAsia="Calibri" w:hAnsi="David" w:hint="eastAsia"/>
          <w:szCs w:val="20"/>
          <w:rtl/>
        </w:rPr>
        <w:t>אנרגיה</w:t>
      </w:r>
      <w:r w:rsidRPr="001B37C0">
        <w:rPr>
          <w:rFonts w:ascii="David" w:eastAsia="Calibri" w:hAnsi="David" w:hint="cs"/>
          <w:szCs w:val="20"/>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hint="cs"/>
          <w:rtl/>
        </w:rPr>
        <w:t xml:space="preserve">מהתרשים עולה כי </w:t>
      </w:r>
      <w:r w:rsidRPr="001B37C0">
        <w:rPr>
          <w:rFonts w:ascii="David" w:eastAsia="Calibri" w:hAnsi="David"/>
          <w:rtl/>
        </w:rPr>
        <w:t xml:space="preserve">לפי נתוני </w:t>
      </w:r>
      <w:r w:rsidRPr="001B37C0">
        <w:rPr>
          <w:rFonts w:ascii="David" w:eastAsia="Calibri" w:hAnsi="David" w:hint="cs"/>
          <w:rtl/>
        </w:rPr>
        <w:t xml:space="preserve">מינהל הדלק </w:t>
      </w:r>
      <w:r w:rsidRPr="001B37C0">
        <w:rPr>
          <w:rFonts w:ascii="David" w:eastAsia="Calibri" w:hAnsi="David"/>
          <w:rtl/>
        </w:rPr>
        <w:t>מ-20</w:t>
      </w:r>
      <w:r w:rsidRPr="001B37C0">
        <w:rPr>
          <w:rFonts w:ascii="David" w:eastAsia="Calibri" w:hAnsi="David" w:hint="cs"/>
          <w:rtl/>
        </w:rPr>
        <w:t>24</w:t>
      </w:r>
      <w:r>
        <w:rPr>
          <w:rFonts w:ascii="David" w:eastAsia="Calibri" w:hAnsi="David"/>
          <w:vertAlign w:val="superscript"/>
          <w:rtl/>
        </w:rPr>
        <w:footnoteReference w:id="118"/>
      </w:r>
      <w:r w:rsidRPr="001B37C0">
        <w:rPr>
          <w:rFonts w:ascii="David" w:eastAsia="Calibri" w:hAnsi="David"/>
          <w:rtl/>
        </w:rPr>
        <w:t xml:space="preserve">, </w:t>
      </w:r>
      <w:r w:rsidRPr="001B37C0">
        <w:rPr>
          <w:rFonts w:ascii="David" w:eastAsia="Calibri" w:hAnsi="David" w:hint="eastAsia"/>
          <w:rtl/>
        </w:rPr>
        <w:t>כ</w:t>
      </w:r>
      <w:r w:rsidRPr="001B37C0">
        <w:rPr>
          <w:rFonts w:ascii="David" w:eastAsia="Calibri" w:hAnsi="David"/>
          <w:rtl/>
        </w:rPr>
        <w:t>-5</w:t>
      </w:r>
      <w:r w:rsidRPr="001B37C0">
        <w:rPr>
          <w:rFonts w:ascii="David" w:eastAsia="Calibri" w:hAnsi="David" w:hint="cs"/>
          <w:rtl/>
        </w:rPr>
        <w:t>5</w:t>
      </w:r>
      <w:r w:rsidRPr="001B37C0">
        <w:rPr>
          <w:rFonts w:ascii="David" w:eastAsia="Calibri" w:hAnsi="David"/>
          <w:rtl/>
        </w:rPr>
        <w:t>%</w:t>
      </w:r>
      <w:r w:rsidRPr="001B37C0">
        <w:rPr>
          <w:rFonts w:ascii="David" w:eastAsia="Calibri" w:hAnsi="David" w:hint="cs"/>
          <w:rtl/>
        </w:rPr>
        <w:t xml:space="preserve"> מהצרכנים</w:t>
      </w:r>
      <w:r w:rsidRPr="001B37C0">
        <w:rPr>
          <w:rFonts w:ascii="David" w:eastAsia="Calibri" w:hAnsi="David"/>
          <w:rtl/>
        </w:rPr>
        <w:t xml:space="preserve"> הביתי</w:t>
      </w:r>
      <w:r w:rsidRPr="001B37C0">
        <w:rPr>
          <w:rFonts w:ascii="David" w:eastAsia="Calibri" w:hAnsi="David" w:hint="cs"/>
          <w:rtl/>
        </w:rPr>
        <w:t>ים צורכים גפ"ם</w:t>
      </w:r>
      <w:r w:rsidRPr="001B37C0">
        <w:rPr>
          <w:rFonts w:ascii="David" w:eastAsia="Calibri" w:hAnsi="David"/>
          <w:rtl/>
        </w:rPr>
        <w:t xml:space="preserve"> באמצעות מערכת גז מרכזית</w:t>
      </w:r>
      <w:r w:rsidRPr="001B37C0">
        <w:rPr>
          <w:rFonts w:ascii="David" w:eastAsia="Calibri" w:hAnsi="David" w:hint="cs"/>
          <w:rtl/>
        </w:rPr>
        <w:t xml:space="preserve"> (צריכה באמצעות מונה) המחוברת למרכזיית</w:t>
      </w:r>
      <w:r w:rsidRPr="001B37C0">
        <w:rPr>
          <w:rFonts w:ascii="David" w:eastAsia="Calibri" w:hAnsi="David"/>
          <w:rtl/>
        </w:rPr>
        <w:t xml:space="preserve"> מכלים (1</w:t>
      </w:r>
      <w:r w:rsidRPr="001B37C0">
        <w:rPr>
          <w:rFonts w:ascii="David" w:eastAsia="Calibri" w:hAnsi="David" w:hint="cs"/>
          <w:rtl/>
        </w:rPr>
        <w:t>2</w:t>
      </w:r>
      <w:r w:rsidRPr="001B37C0">
        <w:rPr>
          <w:rFonts w:ascii="David" w:eastAsia="Calibri" w:hAnsi="David"/>
          <w:rtl/>
        </w:rPr>
        <w:t>%) או ל</w:t>
      </w:r>
      <w:r w:rsidRPr="001B37C0">
        <w:rPr>
          <w:rFonts w:ascii="David" w:eastAsia="Calibri" w:hAnsi="David" w:hint="cs"/>
          <w:rtl/>
        </w:rPr>
        <w:t xml:space="preserve">מרכזיית </w:t>
      </w:r>
      <w:r w:rsidRPr="001B37C0">
        <w:rPr>
          <w:rFonts w:ascii="David" w:eastAsia="Calibri" w:hAnsi="David"/>
          <w:rtl/>
        </w:rPr>
        <w:t>מכל נייח (</w:t>
      </w:r>
      <w:r w:rsidRPr="001B37C0">
        <w:rPr>
          <w:rFonts w:ascii="David" w:eastAsia="Calibri" w:hAnsi="David" w:hint="cs"/>
          <w:rtl/>
        </w:rPr>
        <w:t>43</w:t>
      </w:r>
      <w:r w:rsidRPr="001B37C0">
        <w:rPr>
          <w:rFonts w:ascii="David" w:eastAsia="Calibri" w:hAnsi="David"/>
          <w:rtl/>
        </w:rPr>
        <w:t>%)</w:t>
      </w:r>
      <w:r w:rsidRPr="001B37C0">
        <w:rPr>
          <w:rFonts w:ascii="David" w:eastAsia="Calibri" w:hAnsi="David" w:hint="cs"/>
          <w:rtl/>
        </w:rPr>
        <w:t>, ויתר הצרכנים הביתיים (45%) צורכים גפ"ם באמצעות מכלים ניידים - 12 ק"ג (22%) ו-48 ק"ג (23%)</w:t>
      </w:r>
      <w:r w:rsidRPr="001B37C0">
        <w:rPr>
          <w:rFonts w:ascii="David" w:eastAsia="Calibri" w:hAnsi="David"/>
          <w:rtl/>
        </w:rPr>
        <w:t>. הפילוח הוא לפי מאפייני הבנייה</w:t>
      </w:r>
      <w:r w:rsidRPr="001B37C0">
        <w:rPr>
          <w:rFonts w:ascii="David" w:eastAsia="Calibri" w:hAnsi="David" w:hint="cs"/>
          <w:rtl/>
        </w:rPr>
        <w:t xml:space="preserve">: </w:t>
      </w:r>
      <w:r w:rsidRPr="001B37C0">
        <w:rPr>
          <w:rFonts w:ascii="David" w:eastAsia="Calibri" w:hAnsi="David"/>
          <w:rtl/>
        </w:rPr>
        <w:t>בבנייה נמוכה (</w:t>
      </w:r>
      <w:r w:rsidRPr="001B37C0">
        <w:rPr>
          <w:rFonts w:ascii="David" w:eastAsia="Calibri" w:hAnsi="David" w:hint="cs"/>
          <w:rtl/>
        </w:rPr>
        <w:t xml:space="preserve">בתים </w:t>
      </w:r>
      <w:r w:rsidRPr="001B37C0">
        <w:rPr>
          <w:rFonts w:ascii="David" w:eastAsia="Calibri" w:hAnsi="David"/>
          <w:rtl/>
        </w:rPr>
        <w:t xml:space="preserve">צמודי קרקע בעיקר) מסופקים </w:t>
      </w:r>
      <w:r w:rsidRPr="001B37C0">
        <w:rPr>
          <w:rFonts w:ascii="David" w:eastAsia="Calibri" w:hAnsi="David" w:hint="cs"/>
          <w:rtl/>
        </w:rPr>
        <w:t>מכל</w:t>
      </w:r>
      <w:r w:rsidRPr="001B37C0">
        <w:rPr>
          <w:rFonts w:ascii="David" w:eastAsia="Calibri" w:hAnsi="David"/>
          <w:rtl/>
        </w:rPr>
        <w:t>ים</w:t>
      </w:r>
      <w:r w:rsidRPr="001B37C0">
        <w:rPr>
          <w:rFonts w:ascii="David" w:eastAsia="Calibri" w:hAnsi="David" w:hint="cs"/>
          <w:rtl/>
        </w:rPr>
        <w:t xml:space="preserve"> (12 ו-48 ק"ג)</w:t>
      </w:r>
      <w:r w:rsidRPr="001B37C0">
        <w:rPr>
          <w:rFonts w:ascii="David" w:eastAsia="Calibri" w:hAnsi="David"/>
          <w:rtl/>
        </w:rPr>
        <w:t xml:space="preserve">, ובבנייה רוויה וצפופה - מערכות גז מרכזיות. </w:t>
      </w:r>
      <w:r w:rsidRPr="001B37C0">
        <w:rPr>
          <w:rFonts w:ascii="David" w:eastAsia="Calibri" w:hAnsi="David" w:hint="cs"/>
          <w:rtl/>
        </w:rPr>
        <w:t>יצוין כי יש חלופות אנרגטיות לגפ"ם, כגון חשמל וגז טבעי.</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rtl/>
        </w:rPr>
        <w:t xml:space="preserve">בסוף שנות השמונים של המאה </w:t>
      </w:r>
      <w:r w:rsidRPr="001B37C0">
        <w:rPr>
          <w:rFonts w:ascii="David" w:eastAsia="Calibri" w:hAnsi="David" w:hint="cs"/>
          <w:rtl/>
        </w:rPr>
        <w:t>העשרים</w:t>
      </w:r>
      <w:r w:rsidRPr="001B37C0">
        <w:rPr>
          <w:rFonts w:ascii="David" w:eastAsia="Calibri" w:hAnsi="David"/>
          <w:rtl/>
        </w:rPr>
        <w:t xml:space="preserve"> החל</w:t>
      </w:r>
      <w:r w:rsidRPr="001B37C0">
        <w:rPr>
          <w:rFonts w:ascii="David" w:eastAsia="Calibri" w:hAnsi="David" w:hint="cs"/>
          <w:rtl/>
        </w:rPr>
        <w:t>ה</w:t>
      </w:r>
      <w:r w:rsidRPr="001B37C0">
        <w:rPr>
          <w:rFonts w:ascii="David" w:eastAsia="Calibri" w:hAnsi="David"/>
          <w:rtl/>
        </w:rPr>
        <w:t xml:space="preserve"> רפורמה במשק הגפ"ם, שנועדה לפתוח את</w:t>
      </w:r>
      <w:r w:rsidRPr="001B37C0">
        <w:rPr>
          <w:rFonts w:ascii="David" w:eastAsia="Calibri" w:hAnsi="David" w:hint="cs"/>
          <w:rtl/>
        </w:rPr>
        <w:t xml:space="preserve"> המשק</w:t>
      </w:r>
      <w:r w:rsidRPr="001B37C0">
        <w:rPr>
          <w:rFonts w:ascii="David" w:eastAsia="Calibri" w:hAnsi="David"/>
          <w:rtl/>
        </w:rPr>
        <w:t xml:space="preserve"> לתחרות</w:t>
      </w:r>
      <w:r w:rsidRPr="001B37C0">
        <w:rPr>
          <w:rFonts w:ascii="David" w:eastAsia="Calibri" w:hAnsi="David" w:hint="cs"/>
          <w:rtl/>
        </w:rPr>
        <w:t>, בייחוד בתחום המרכזיות במגזר הביתי</w:t>
      </w:r>
      <w:r w:rsidRPr="001B37C0">
        <w:rPr>
          <w:rFonts w:ascii="David" w:eastAsia="Calibri" w:hAnsi="David"/>
          <w:rtl/>
        </w:rPr>
        <w:t>.</w:t>
      </w:r>
      <w:r w:rsidRPr="001B37C0">
        <w:rPr>
          <w:rFonts w:ascii="David" w:eastAsia="Calibri" w:hAnsi="David" w:hint="cs"/>
          <w:rtl/>
        </w:rPr>
        <w:t xml:space="preserve"> זאת, באמצעות חקיקת פרק ד' לחוק ההסדרים במשק המדינה (תיקוני חקיקה), התשמ"ט-1989 (להלן - פרק הרפורמה בגפ"ם)</w:t>
      </w:r>
      <w:r w:rsidRPr="001B37C0">
        <w:rPr>
          <w:rFonts w:ascii="David" w:eastAsia="Calibri" w:hAnsi="David"/>
          <w:rtl/>
        </w:rPr>
        <w:t>.</w:t>
      </w:r>
      <w:r w:rsidRPr="001B37C0">
        <w:rPr>
          <w:rFonts w:ascii="David" w:eastAsia="Calibri" w:hAnsi="David" w:hint="cs"/>
          <w:rtl/>
        </w:rPr>
        <w:t xml:space="preserve"> במהלך השנים לאחר מכן, נעשו מספר להלן תיקוני חקיקה נוספים בתחום:</w:t>
      </w:r>
    </w:p>
    <w:p w:rsidR="001B37C0" w:rsidRPr="001B37C0" w:rsidP="002F4530">
      <w:pPr>
        <w:keepNext/>
        <w:keepLines/>
        <w:spacing w:line="269" w:lineRule="auto"/>
        <w:ind w:left="-567"/>
        <w:rPr>
          <w:rFonts w:eastAsia="Calibri"/>
          <w:szCs w:val="20"/>
          <w:rtl/>
        </w:rPr>
      </w:pPr>
    </w:p>
    <w:p w:rsidR="001B37C0" w:rsidRPr="001B37C0" w:rsidP="002F4530">
      <w:pPr>
        <w:numPr>
          <w:ilvl w:val="0"/>
          <w:numId w:val="15"/>
        </w:numPr>
        <w:spacing w:line="269" w:lineRule="auto"/>
        <w:contextualSpacing/>
        <w:rPr>
          <w:rFonts w:ascii="David" w:eastAsia="Calibri" w:hAnsi="David"/>
        </w:rPr>
      </w:pPr>
      <w:r w:rsidRPr="001B37C0">
        <w:rPr>
          <w:rFonts w:ascii="David" w:eastAsia="Calibri" w:hAnsi="David"/>
          <w:rtl/>
        </w:rPr>
        <w:t xml:space="preserve">איסור התקשרות - מאחר </w:t>
      </w:r>
      <w:r w:rsidRPr="001B37C0">
        <w:rPr>
          <w:rFonts w:ascii="David" w:eastAsia="Calibri" w:hAnsi="David" w:hint="cs"/>
          <w:rtl/>
        </w:rPr>
        <w:t xml:space="preserve">שבמרכזיות </w:t>
      </w:r>
      <w:r w:rsidRPr="001B37C0">
        <w:rPr>
          <w:rFonts w:ascii="David" w:eastAsia="Calibri" w:hAnsi="David"/>
          <w:rtl/>
        </w:rPr>
        <w:t xml:space="preserve">מדובר בהליך החלפה סבוך, ובשל המאפיינים החריגים של השוק, בשנת 2008 </w:t>
      </w:r>
      <w:r w:rsidRPr="001B37C0">
        <w:rPr>
          <w:rFonts w:ascii="David" w:eastAsia="Calibri" w:hAnsi="David" w:hint="cs"/>
          <w:rtl/>
        </w:rPr>
        <w:t xml:space="preserve">תוקן </w:t>
      </w:r>
      <w:r w:rsidRPr="001B37C0">
        <w:rPr>
          <w:rFonts w:ascii="David" w:eastAsia="Calibri" w:hAnsi="David"/>
          <w:rtl/>
        </w:rPr>
        <w:t xml:space="preserve">פרק </w:t>
      </w:r>
      <w:r w:rsidRPr="001B37C0">
        <w:rPr>
          <w:rFonts w:ascii="David" w:eastAsia="Calibri" w:hAnsi="David" w:hint="cs"/>
          <w:rtl/>
        </w:rPr>
        <w:t>הרפורמה בגפ"ם</w:t>
      </w:r>
      <w:r w:rsidRPr="001B37C0">
        <w:rPr>
          <w:rFonts w:ascii="David" w:eastAsia="Calibri" w:hAnsi="David"/>
          <w:rtl/>
        </w:rPr>
        <w:t xml:space="preserve"> </w:t>
      </w:r>
      <w:r w:rsidRPr="001B37C0">
        <w:rPr>
          <w:rFonts w:ascii="David" w:eastAsia="Calibri" w:hAnsi="David" w:hint="cs"/>
          <w:rtl/>
        </w:rPr>
        <w:t xml:space="preserve">ונוספה </w:t>
      </w:r>
      <w:r w:rsidRPr="001B37C0">
        <w:rPr>
          <w:rFonts w:ascii="David" w:eastAsia="Calibri" w:hAnsi="David"/>
          <w:rtl/>
        </w:rPr>
        <w:t>הוראת שעה ולפיה ספק גז יוצא שקיבל הודעה מצרכן גז ביתי על הפסקת ההתקשרות ע</w:t>
      </w:r>
      <w:r w:rsidRPr="001B37C0">
        <w:rPr>
          <w:rFonts w:ascii="David" w:eastAsia="Calibri" w:hAnsi="David" w:hint="cs"/>
          <w:rtl/>
        </w:rPr>
        <w:t>י</w:t>
      </w:r>
      <w:r w:rsidRPr="001B37C0">
        <w:rPr>
          <w:rFonts w:ascii="David" w:eastAsia="Calibri" w:hAnsi="David"/>
          <w:rtl/>
        </w:rPr>
        <w:t>מו לא יתקשר עם הצרכן ולא יציע לו הטבות כלשהן ב</w:t>
      </w:r>
      <w:r w:rsidRPr="001B37C0">
        <w:rPr>
          <w:rFonts w:ascii="David" w:eastAsia="Calibri" w:hAnsi="David" w:hint="cs"/>
          <w:rtl/>
        </w:rPr>
        <w:t>נוגע</w:t>
      </w:r>
      <w:r w:rsidRPr="001B37C0">
        <w:rPr>
          <w:rFonts w:ascii="David" w:eastAsia="Calibri" w:hAnsi="David"/>
          <w:rtl/>
        </w:rPr>
        <w:t xml:space="preserve"> </w:t>
      </w:r>
      <w:r w:rsidRPr="001B37C0">
        <w:rPr>
          <w:rFonts w:ascii="David" w:eastAsia="Calibri" w:hAnsi="David" w:hint="cs"/>
          <w:rtl/>
        </w:rPr>
        <w:t>ל</w:t>
      </w:r>
      <w:r w:rsidRPr="001B37C0">
        <w:rPr>
          <w:rFonts w:ascii="David" w:eastAsia="Calibri" w:hAnsi="David"/>
          <w:rtl/>
        </w:rPr>
        <w:t xml:space="preserve">אספקת גז במשך שישה חודשים מיום מתן ההודעה. הוראה זו הוארכה </w:t>
      </w:r>
      <w:r w:rsidRPr="001B37C0">
        <w:rPr>
          <w:rFonts w:ascii="David" w:eastAsia="Calibri" w:hAnsi="David" w:hint="cs"/>
          <w:rtl/>
        </w:rPr>
        <w:t>מפעם לפעם והפכה להוראה קבועה</w:t>
      </w:r>
      <w:r>
        <w:rPr>
          <w:rFonts w:ascii="David" w:eastAsia="Calibri" w:hAnsi="David"/>
          <w:vertAlign w:val="superscript"/>
          <w:rtl/>
        </w:rPr>
        <w:footnoteReference w:id="119"/>
      </w:r>
      <w:r w:rsidRPr="001B37C0">
        <w:rPr>
          <w:rFonts w:ascii="David" w:eastAsia="Calibri" w:hAnsi="David"/>
          <w:rtl/>
        </w:rPr>
        <w:t>.</w:t>
      </w:r>
    </w:p>
    <w:p w:rsidR="001B37C0" w:rsidRPr="001B37C0" w:rsidP="002F4530">
      <w:pPr>
        <w:keepNext/>
        <w:keepLines/>
        <w:spacing w:line="269" w:lineRule="auto"/>
        <w:ind w:left="-567"/>
        <w:rPr>
          <w:rFonts w:eastAsia="Calibri"/>
          <w:szCs w:val="20"/>
          <w:rtl/>
        </w:rPr>
      </w:pPr>
    </w:p>
    <w:p w:rsidR="001B37C0" w:rsidRPr="001B37C0" w:rsidP="002F4530">
      <w:pPr>
        <w:numPr>
          <w:ilvl w:val="0"/>
          <w:numId w:val="15"/>
        </w:numPr>
        <w:spacing w:line="269" w:lineRule="auto"/>
        <w:contextualSpacing/>
        <w:rPr>
          <w:rFonts w:ascii="David" w:eastAsia="Calibri" w:hAnsi="David"/>
        </w:rPr>
      </w:pPr>
      <w:r w:rsidRPr="001B37C0">
        <w:rPr>
          <w:rFonts w:ascii="David" w:eastAsia="Calibri" w:hAnsi="David"/>
          <w:rtl/>
        </w:rPr>
        <w:t>איסור סיר</w:t>
      </w:r>
      <w:r w:rsidRPr="001B37C0">
        <w:rPr>
          <w:rFonts w:ascii="David" w:eastAsia="Calibri" w:hAnsi="David" w:hint="cs"/>
          <w:rtl/>
        </w:rPr>
        <w:t>ו</w:t>
      </w:r>
      <w:r w:rsidRPr="001B37C0">
        <w:rPr>
          <w:rFonts w:ascii="David" w:eastAsia="Calibri" w:hAnsi="David"/>
          <w:rtl/>
        </w:rPr>
        <w:t>ב בלתי סביר - הוראת שעה נוספת שנ</w:t>
      </w:r>
      <w:r w:rsidRPr="001B37C0">
        <w:rPr>
          <w:rFonts w:ascii="David" w:eastAsia="Calibri" w:hAnsi="David" w:hint="cs"/>
          <w:rtl/>
        </w:rPr>
        <w:t>וספה לפרק הרפורמה בגפ"ם</w:t>
      </w:r>
      <w:r w:rsidRPr="001B37C0">
        <w:rPr>
          <w:rFonts w:ascii="David" w:eastAsia="Calibri" w:hAnsi="David"/>
          <w:rtl/>
        </w:rPr>
        <w:t xml:space="preserve"> בשנת 2008 אוסרת על ספק גז העוסק בשיווק גז בפריסה ארצית לסרב לתת שירות אספקת גז לצרכן גז ביתי שאינו מקבל את שירותיו כאמור ומבקש לקבלם, בתנאים דומים לתנאים שבהם הוא מספק את השירות לצרכן גז ביתי דומה, זולת אם הראה כי </w:t>
      </w:r>
      <w:r w:rsidRPr="001B37C0">
        <w:rPr>
          <w:rFonts w:ascii="David" w:eastAsia="Calibri" w:hAnsi="David" w:hint="cs"/>
          <w:rtl/>
        </w:rPr>
        <w:t>יש</w:t>
      </w:r>
      <w:r w:rsidRPr="001B37C0">
        <w:rPr>
          <w:rFonts w:ascii="David" w:eastAsia="Calibri" w:hAnsi="David"/>
          <w:rtl/>
        </w:rPr>
        <w:t xml:space="preserve"> טעמים המצדיקים את אי</w:t>
      </w:r>
      <w:r w:rsidRPr="001B37C0">
        <w:rPr>
          <w:rFonts w:ascii="David" w:eastAsia="Calibri" w:hAnsi="David" w:hint="cs"/>
          <w:rtl/>
        </w:rPr>
        <w:t>-</w:t>
      </w:r>
      <w:r w:rsidRPr="001B37C0">
        <w:rPr>
          <w:rFonts w:ascii="David" w:eastAsia="Calibri" w:hAnsi="David"/>
          <w:rtl/>
        </w:rPr>
        <w:t xml:space="preserve">מתן השירות בתנאים דומים. גם הוראת שעה זו הוארכה </w:t>
      </w:r>
      <w:r w:rsidRPr="001B37C0">
        <w:rPr>
          <w:rFonts w:ascii="David" w:eastAsia="Calibri" w:hAnsi="David" w:hint="cs"/>
          <w:rtl/>
        </w:rPr>
        <w:t>מפעם לפעם והפכה להוראה קבועה</w:t>
      </w:r>
      <w:r>
        <w:rPr>
          <w:rFonts w:ascii="David" w:eastAsia="Calibri" w:hAnsi="David"/>
          <w:vertAlign w:val="superscript"/>
          <w:rtl/>
        </w:rPr>
        <w:footnoteReference w:id="120"/>
      </w:r>
      <w:r w:rsidRPr="001B37C0">
        <w:rPr>
          <w:rFonts w:ascii="David" w:eastAsia="Calibri" w:hAnsi="David"/>
          <w:rtl/>
        </w:rPr>
        <w:t>.</w:t>
      </w:r>
    </w:p>
    <w:p w:rsidR="001B37C0" w:rsidRPr="001B37C0" w:rsidP="002F4530">
      <w:pPr>
        <w:keepNext/>
        <w:keepLines/>
        <w:spacing w:line="269" w:lineRule="auto"/>
        <w:ind w:left="-567"/>
        <w:rPr>
          <w:rFonts w:eastAsia="Calibri"/>
          <w:szCs w:val="20"/>
          <w:rtl/>
        </w:rPr>
      </w:pPr>
    </w:p>
    <w:p w:rsidR="001B37C0" w:rsidRPr="001B37C0" w:rsidP="002F4530">
      <w:pPr>
        <w:pStyle w:val="ListParagraph"/>
        <w:numPr>
          <w:ilvl w:val="0"/>
          <w:numId w:val="15"/>
        </w:numPr>
        <w:spacing w:line="269" w:lineRule="auto"/>
        <w:rPr>
          <w:rFonts w:ascii="David" w:eastAsia="Calibri" w:hAnsi="David"/>
        </w:rPr>
      </w:pPr>
      <w:r w:rsidRPr="001B37C0">
        <w:rPr>
          <w:rFonts w:ascii="David" w:eastAsia="Calibri" w:hAnsi="David"/>
          <w:rtl/>
        </w:rPr>
        <w:t xml:space="preserve">חובת מכירת מכל נייח - בשנת 2008 </w:t>
      </w:r>
      <w:r w:rsidRPr="001B37C0">
        <w:rPr>
          <w:rFonts w:ascii="David" w:eastAsia="Calibri" w:hAnsi="David" w:hint="cs"/>
          <w:rtl/>
        </w:rPr>
        <w:t>נוספה לפרק הרפורמה בגפ"ם</w:t>
      </w:r>
      <w:r w:rsidRPr="001B37C0">
        <w:rPr>
          <w:rFonts w:ascii="David" w:eastAsia="Calibri" w:hAnsi="David"/>
          <w:rtl/>
        </w:rPr>
        <w:t xml:space="preserve"> הוראה המחייבת את ספק הגז היוצא למכור לספק גז נכנס המעוניין בכך את המכל הנייח. הוראה זו נקבעה כדי למזער</w:t>
      </w:r>
      <w:r>
        <w:rPr>
          <w:rFonts w:eastAsia="Calibri" w:hint="cs"/>
          <w:sz w:val="24"/>
          <w:rtl/>
        </w:rPr>
        <w:t xml:space="preserve"> </w:t>
      </w:r>
      <w:r w:rsidRPr="001B37C0">
        <w:rPr>
          <w:rFonts w:ascii="David" w:eastAsia="Calibri" w:hAnsi="David"/>
          <w:rtl/>
        </w:rPr>
        <w:t xml:space="preserve">ולהוריד חסמי מעבר בשלב החלפת הספק. כך המעבר מתבצע ללא שינוי בתשתיות הבניין, </w:t>
      </w:r>
      <w:r w:rsidRPr="001B37C0">
        <w:rPr>
          <w:rFonts w:ascii="David" w:eastAsia="Calibri" w:hAnsi="David" w:hint="cs"/>
          <w:rtl/>
        </w:rPr>
        <w:t>לצרכנים קל יותר ל</w:t>
      </w:r>
      <w:r w:rsidRPr="001B37C0">
        <w:rPr>
          <w:rFonts w:ascii="David" w:eastAsia="Calibri" w:hAnsi="David"/>
          <w:rtl/>
        </w:rPr>
        <w:t>קבל</w:t>
      </w:r>
      <w:r w:rsidRPr="001B37C0">
        <w:rPr>
          <w:rFonts w:ascii="David" w:eastAsia="Calibri" w:hAnsi="David" w:hint="cs"/>
          <w:rtl/>
        </w:rPr>
        <w:t xml:space="preserve"> את</w:t>
      </w:r>
      <w:r w:rsidRPr="001B37C0">
        <w:rPr>
          <w:rFonts w:ascii="David" w:eastAsia="Calibri" w:hAnsi="David"/>
          <w:rtl/>
        </w:rPr>
        <w:t xml:space="preserve"> ההחלטה</w:t>
      </w:r>
      <w:r w:rsidRPr="001B37C0">
        <w:rPr>
          <w:rFonts w:ascii="David" w:eastAsia="Calibri" w:hAnsi="David" w:hint="cs"/>
          <w:rtl/>
        </w:rPr>
        <w:t>,</w:t>
      </w:r>
      <w:r w:rsidRPr="001B37C0">
        <w:rPr>
          <w:rFonts w:ascii="David" w:eastAsia="Calibri" w:hAnsi="David"/>
          <w:rtl/>
        </w:rPr>
        <w:t xml:space="preserve"> וזמן ההחלפה בין הספקים </w:t>
      </w:r>
      <w:r w:rsidRPr="001B37C0">
        <w:rPr>
          <w:rFonts w:ascii="David" w:eastAsia="Calibri" w:hAnsi="David" w:hint="cs"/>
          <w:rtl/>
        </w:rPr>
        <w:t>מ</w:t>
      </w:r>
      <w:r w:rsidRPr="001B37C0">
        <w:rPr>
          <w:rFonts w:ascii="David" w:eastAsia="Calibri" w:hAnsi="David"/>
          <w:rtl/>
        </w:rPr>
        <w:t>צ</w:t>
      </w:r>
      <w:r w:rsidRPr="001B37C0">
        <w:rPr>
          <w:rFonts w:ascii="David" w:eastAsia="Calibri" w:hAnsi="David" w:hint="cs"/>
          <w:rtl/>
        </w:rPr>
        <w:t>ט</w:t>
      </w:r>
      <w:r w:rsidRPr="001B37C0">
        <w:rPr>
          <w:rFonts w:ascii="David" w:eastAsia="Calibri" w:hAnsi="David"/>
          <w:rtl/>
        </w:rPr>
        <w:t>מצם</w:t>
      </w:r>
      <w:r w:rsidRPr="001B37C0">
        <w:rPr>
          <w:rFonts w:ascii="David" w:eastAsia="Calibri" w:hAnsi="David" w:hint="cs"/>
          <w:rtl/>
        </w:rPr>
        <w:t xml:space="preserve"> ומ</w:t>
      </w:r>
      <w:r w:rsidRPr="001B37C0">
        <w:rPr>
          <w:rFonts w:ascii="David" w:eastAsia="Calibri" w:hAnsi="David"/>
          <w:rtl/>
        </w:rPr>
        <w:t xml:space="preserve">בטיח אספקה רציפה ככל </w:t>
      </w:r>
      <w:r w:rsidRPr="001B37C0">
        <w:rPr>
          <w:rFonts w:ascii="David" w:eastAsia="Calibri" w:hAnsi="David" w:hint="cs"/>
          <w:rtl/>
        </w:rPr>
        <w:t>האפשר</w:t>
      </w:r>
      <w:r w:rsidRPr="001B37C0">
        <w:rPr>
          <w:rFonts w:ascii="David" w:eastAsia="Calibri" w:hAnsi="David"/>
          <w:rtl/>
        </w:rPr>
        <w:t>.</w:t>
      </w:r>
    </w:p>
    <w:p w:rsidR="001B37C0" w:rsidRPr="001B37C0" w:rsidP="002F4530">
      <w:pPr>
        <w:numPr>
          <w:ilvl w:val="0"/>
          <w:numId w:val="15"/>
        </w:numPr>
        <w:spacing w:line="269" w:lineRule="auto"/>
        <w:contextualSpacing/>
        <w:rPr>
          <w:rFonts w:ascii="David" w:eastAsia="Calibri" w:hAnsi="David"/>
        </w:rPr>
      </w:pPr>
      <w:r w:rsidRPr="001B37C0">
        <w:rPr>
          <w:rFonts w:ascii="David" w:eastAsia="Calibri" w:hAnsi="David"/>
          <w:rtl/>
        </w:rPr>
        <w:t>ביטול ההגבלה על החלפת ספק גז בשנה הראשונה של בניין חדש - ב</w:t>
      </w:r>
      <w:r w:rsidRPr="001B37C0">
        <w:rPr>
          <w:rFonts w:ascii="David" w:eastAsia="Calibri" w:hAnsi="David" w:hint="cs"/>
          <w:rtl/>
        </w:rPr>
        <w:t>תיקון פרק הרפורמה בגפ"ם ב</w:t>
      </w:r>
      <w:r w:rsidRPr="001B37C0">
        <w:rPr>
          <w:rFonts w:ascii="David" w:eastAsia="Calibri" w:hAnsi="David"/>
          <w:rtl/>
        </w:rPr>
        <w:t xml:space="preserve">שנת 2008 בוטלה ההוראה שקבעה כי </w:t>
      </w:r>
      <w:r w:rsidRPr="001B37C0">
        <w:rPr>
          <w:rFonts w:ascii="David" w:eastAsia="Calibri" w:hAnsi="David" w:hint="cs"/>
          <w:rtl/>
        </w:rPr>
        <w:t>אפשר</w:t>
      </w:r>
      <w:r w:rsidRPr="001B37C0">
        <w:rPr>
          <w:rFonts w:ascii="David" w:eastAsia="Calibri" w:hAnsi="David"/>
          <w:rtl/>
        </w:rPr>
        <w:t xml:space="preserve"> </w:t>
      </w:r>
      <w:r w:rsidRPr="001B37C0">
        <w:rPr>
          <w:rFonts w:ascii="David" w:eastAsia="Calibri" w:hAnsi="David" w:hint="cs"/>
          <w:rtl/>
        </w:rPr>
        <w:t>להחליף</w:t>
      </w:r>
      <w:r w:rsidRPr="001B37C0">
        <w:rPr>
          <w:rFonts w:ascii="David" w:eastAsia="Calibri" w:hAnsi="David"/>
          <w:rtl/>
        </w:rPr>
        <w:t xml:space="preserve"> ספק גז רק לאחר שנה מהיום שהוחל בהפעלת מערכת הגז המרכזית.</w:t>
      </w:r>
    </w:p>
    <w:p w:rsidR="001B37C0" w:rsidRPr="001B37C0" w:rsidP="002F4530">
      <w:pPr>
        <w:keepNext/>
        <w:keepLines/>
        <w:spacing w:line="269" w:lineRule="auto"/>
        <w:ind w:left="-567"/>
        <w:rPr>
          <w:rFonts w:eastAsia="Calibri"/>
          <w:szCs w:val="20"/>
          <w:rtl/>
        </w:rPr>
      </w:pPr>
    </w:p>
    <w:p w:rsidR="001B37C0" w:rsidRPr="001B37C0" w:rsidP="002F4530">
      <w:pPr>
        <w:numPr>
          <w:ilvl w:val="0"/>
          <w:numId w:val="15"/>
        </w:numPr>
        <w:spacing w:line="269" w:lineRule="auto"/>
        <w:contextualSpacing/>
        <w:rPr>
          <w:rFonts w:ascii="David" w:eastAsia="Calibri" w:hAnsi="David"/>
        </w:rPr>
      </w:pPr>
      <w:r w:rsidRPr="001B37C0">
        <w:rPr>
          <w:rFonts w:ascii="David" w:eastAsia="Calibri" w:hAnsi="David"/>
          <w:rtl/>
        </w:rPr>
        <w:t xml:space="preserve">פרסום מחירים - בתקנות ההסדרים במשק המדינה (תיקוני חקיקה) (מסירת מידע בנוגע להספקת גז), התשע"ה-2015 </w:t>
      </w:r>
      <w:r w:rsidRPr="001B37C0">
        <w:rPr>
          <w:rFonts w:ascii="David" w:eastAsia="Calibri" w:hAnsi="David" w:hint="cs"/>
          <w:rtl/>
        </w:rPr>
        <w:t xml:space="preserve">(להלן - תקנות 2015) </w:t>
      </w:r>
      <w:r w:rsidRPr="001B37C0">
        <w:rPr>
          <w:rFonts w:ascii="David" w:eastAsia="Calibri" w:hAnsi="David"/>
          <w:rtl/>
        </w:rPr>
        <w:t>נקבעה הוראה המחייבת את ספקי הגז לפרסם בכל רשות מקומית מחירים ממוצעים של שירותי התקנה</w:t>
      </w:r>
      <w:r w:rsidRPr="001B37C0">
        <w:rPr>
          <w:rFonts w:ascii="David" w:eastAsia="Calibri" w:hAnsi="David" w:hint="cs"/>
          <w:rtl/>
        </w:rPr>
        <w:t xml:space="preserve"> ושל </w:t>
      </w:r>
      <w:r w:rsidRPr="001B37C0">
        <w:rPr>
          <w:rFonts w:ascii="David" w:eastAsia="Calibri" w:hAnsi="David"/>
          <w:rtl/>
        </w:rPr>
        <w:t>חיבור</w:t>
      </w:r>
      <w:r w:rsidRPr="001B37C0">
        <w:rPr>
          <w:rFonts w:ascii="David" w:eastAsia="Calibri" w:hAnsi="David" w:hint="cs"/>
          <w:rtl/>
        </w:rPr>
        <w:t xml:space="preserve"> לגז</w:t>
      </w:r>
      <w:r w:rsidRPr="001B37C0">
        <w:rPr>
          <w:rFonts w:ascii="David" w:eastAsia="Calibri" w:hAnsi="David"/>
          <w:rtl/>
        </w:rPr>
        <w:t xml:space="preserve"> ואספקת</w:t>
      </w:r>
      <w:r w:rsidRPr="001B37C0">
        <w:rPr>
          <w:rFonts w:ascii="David" w:eastAsia="Calibri" w:hAnsi="David" w:hint="cs"/>
          <w:rtl/>
        </w:rPr>
        <w:t>ו</w:t>
      </w:r>
      <w:r w:rsidRPr="001B37C0">
        <w:rPr>
          <w:rFonts w:ascii="David" w:eastAsia="Calibri" w:hAnsi="David"/>
          <w:rtl/>
        </w:rPr>
        <w:t xml:space="preserve"> (במכלים או במרכזיות). מידע זה מועבר גם למשרד האנרגיה ומתפרסם לציבור </w:t>
      </w:r>
      <w:r w:rsidRPr="001B37C0">
        <w:rPr>
          <w:rFonts w:ascii="David" w:eastAsia="Calibri" w:hAnsi="David" w:hint="cs"/>
          <w:rtl/>
        </w:rPr>
        <w:t>ב</w:t>
      </w:r>
      <w:r w:rsidRPr="001B37C0">
        <w:rPr>
          <w:rFonts w:ascii="David" w:eastAsia="Calibri" w:hAnsi="David"/>
          <w:rtl/>
        </w:rPr>
        <w:t>מחשבון ייעודי באתר המשרד, ולדברי משרד האנרגיה, מאפשר לצרכנים להשוות בין מחירי הגז של החברות ולבחור את ספק הגז המיטבי עבורם.</w:t>
      </w:r>
      <w:r w:rsidRPr="001B37C0">
        <w:rPr>
          <w:rFonts w:ascii="David" w:eastAsia="Calibri" w:hAnsi="David" w:hint="cs"/>
          <w:rtl/>
        </w:rPr>
        <w:t xml:space="preserve"> </w:t>
      </w:r>
      <w:r w:rsidRPr="001B37C0">
        <w:rPr>
          <w:rFonts w:ascii="David" w:eastAsia="Calibri" w:hAnsi="David"/>
          <w:rtl/>
        </w:rPr>
        <w:t xml:space="preserve">ב-2018 תוקנו </w:t>
      </w:r>
      <w:r w:rsidRPr="001B37C0">
        <w:rPr>
          <w:rFonts w:ascii="David" w:eastAsia="Calibri" w:hAnsi="David" w:hint="cs"/>
          <w:rtl/>
        </w:rPr>
        <w:t>ה</w:t>
      </w:r>
      <w:r w:rsidRPr="001B37C0">
        <w:rPr>
          <w:rFonts w:ascii="David" w:eastAsia="Calibri" w:hAnsi="David"/>
          <w:rtl/>
        </w:rPr>
        <w:t xml:space="preserve">תקנות והטילו חובה על ספק גפ"ם להעביר למשרד האנרגיה בתחילת כל חודש דוח </w:t>
      </w:r>
      <w:r w:rsidRPr="001B37C0">
        <w:rPr>
          <w:rFonts w:ascii="David" w:eastAsia="Calibri" w:hAnsi="David" w:hint="cs"/>
          <w:rtl/>
        </w:rPr>
        <w:t>של</w:t>
      </w:r>
      <w:r w:rsidRPr="001B37C0">
        <w:rPr>
          <w:rFonts w:ascii="David" w:eastAsia="Calibri" w:hAnsi="David"/>
          <w:rtl/>
        </w:rPr>
        <w:t xml:space="preserve"> מחיר ממוצע של כל אחד משירותי </w:t>
      </w:r>
      <w:r w:rsidRPr="001B37C0">
        <w:rPr>
          <w:rFonts w:ascii="David" w:eastAsia="Calibri" w:hAnsi="David" w:hint="cs"/>
          <w:rtl/>
        </w:rPr>
        <w:t>א</w:t>
      </w:r>
      <w:r w:rsidRPr="001B37C0">
        <w:rPr>
          <w:rFonts w:ascii="David" w:eastAsia="Calibri" w:hAnsi="David"/>
          <w:rtl/>
        </w:rPr>
        <w:t>ספקת גז שהספק חייב בו את צרכני הגז הביתיים</w:t>
      </w:r>
      <w:r>
        <w:rPr>
          <w:rFonts w:ascii="David" w:eastAsia="Calibri" w:hAnsi="David"/>
          <w:vertAlign w:val="superscript"/>
          <w:rtl/>
        </w:rPr>
        <w:footnoteReference w:id="121"/>
      </w:r>
      <w:r w:rsidRPr="001B37C0">
        <w:rPr>
          <w:rFonts w:ascii="David" w:eastAsia="Calibri" w:hAnsi="David" w:hint="cs"/>
          <w:rtl/>
        </w:rPr>
        <w:t>.</w:t>
      </w:r>
    </w:p>
    <w:p w:rsidR="001B37C0" w:rsidRPr="001B37C0" w:rsidP="002F4530">
      <w:pPr>
        <w:keepNext/>
        <w:keepLines/>
        <w:spacing w:line="269" w:lineRule="auto"/>
        <w:ind w:left="-567"/>
        <w:rPr>
          <w:rFonts w:eastAsia="Calibri"/>
          <w:szCs w:val="20"/>
          <w:rtl/>
        </w:rPr>
      </w:pPr>
    </w:p>
    <w:p w:rsidR="001B37C0" w:rsidRPr="001B37C0" w:rsidP="002F4530">
      <w:pPr>
        <w:numPr>
          <w:ilvl w:val="0"/>
          <w:numId w:val="15"/>
        </w:numPr>
        <w:spacing w:line="269" w:lineRule="auto"/>
        <w:contextualSpacing/>
        <w:rPr>
          <w:rFonts w:ascii="David" w:eastAsia="Calibri" w:hAnsi="David"/>
        </w:rPr>
      </w:pPr>
      <w:r w:rsidRPr="001B37C0">
        <w:rPr>
          <w:rFonts w:ascii="David" w:eastAsia="Calibri" w:hAnsi="David"/>
          <w:rtl/>
        </w:rPr>
        <w:t>פרסום מחוברים - בתקנות 2015 נקבעה הוראה המחייבת את ספק הגז לפרסם בחשבון הגז את רשימת הכתובות המחוברות לאותה מערכת גז מרכזית. הוראה זו מאפשרת לצרכנים לדעת א</w:t>
      </w:r>
      <w:r w:rsidRPr="001B37C0">
        <w:rPr>
          <w:rFonts w:ascii="David" w:eastAsia="Calibri" w:hAnsi="David" w:hint="cs"/>
          <w:rtl/>
        </w:rPr>
        <w:t>י</w:t>
      </w:r>
      <w:r w:rsidRPr="001B37C0">
        <w:rPr>
          <w:rFonts w:ascii="David" w:eastAsia="Calibri" w:hAnsi="David"/>
          <w:rtl/>
        </w:rPr>
        <w:t xml:space="preserve">לו כתובות מחוברות למערכת הגז המרכזית המשרתת אותם, וכך לגייס את הרוב הנדרש לצורך החלפת ספק גז. </w:t>
      </w:r>
    </w:p>
    <w:p w:rsidR="001B37C0" w:rsidRPr="001B37C0" w:rsidP="002F4530">
      <w:pPr>
        <w:keepNext/>
        <w:keepLines/>
        <w:spacing w:line="269" w:lineRule="auto"/>
        <w:ind w:left="-567"/>
        <w:rPr>
          <w:rFonts w:eastAsia="Calibri"/>
          <w:szCs w:val="20"/>
          <w:rtl/>
        </w:rPr>
      </w:pPr>
    </w:p>
    <w:p w:rsidR="001B37C0" w:rsidRPr="001B37C0" w:rsidP="002F4530">
      <w:pPr>
        <w:numPr>
          <w:ilvl w:val="0"/>
          <w:numId w:val="15"/>
        </w:numPr>
        <w:spacing w:line="269" w:lineRule="auto"/>
        <w:contextualSpacing/>
        <w:rPr>
          <w:rFonts w:ascii="David" w:eastAsia="Calibri" w:hAnsi="David"/>
        </w:rPr>
      </w:pPr>
      <w:r w:rsidRPr="001B37C0">
        <w:rPr>
          <w:rFonts w:ascii="David" w:eastAsia="Calibri" w:hAnsi="David"/>
          <w:rtl/>
        </w:rPr>
        <w:t>הוראות בנוגע לרוב הדרוש להחלפת ספק גז - בתיקון חקיקה משנת 2016</w:t>
      </w:r>
      <w:r>
        <w:rPr>
          <w:rFonts w:ascii="David" w:eastAsia="Calibri" w:hAnsi="David"/>
          <w:vertAlign w:val="superscript"/>
          <w:rtl/>
        </w:rPr>
        <w:footnoteReference w:id="122"/>
      </w:r>
      <w:r w:rsidRPr="001B37C0">
        <w:rPr>
          <w:rFonts w:ascii="David" w:eastAsia="Calibri" w:hAnsi="David"/>
          <w:rtl/>
        </w:rPr>
        <w:t xml:space="preserve"> נקבעו הוראות המאפשרות לקבל החלטה על החלפת ספק גז גם באמצעות רוב של בעלי </w:t>
      </w:r>
      <w:r w:rsidRPr="001B37C0">
        <w:rPr>
          <w:rFonts w:ascii="David" w:eastAsia="Calibri" w:hAnsi="David" w:hint="cs"/>
          <w:rtl/>
        </w:rPr>
        <w:t>ה</w:t>
      </w:r>
      <w:r w:rsidRPr="001B37C0">
        <w:rPr>
          <w:rFonts w:ascii="David" w:eastAsia="Calibri" w:hAnsi="David"/>
          <w:rtl/>
        </w:rPr>
        <w:t>דירות המחוברות למערכת המרכזית שנכחו באסיפה הכללית. כמו כן, במסגרת התיקון הובהר כי מי שבעל הדירה י</w:t>
      </w:r>
      <w:r w:rsidRPr="001B37C0">
        <w:rPr>
          <w:rFonts w:ascii="David" w:eastAsia="Calibri" w:hAnsi="David" w:hint="cs"/>
          <w:rtl/>
        </w:rPr>
        <w:t>ְ</w:t>
      </w:r>
      <w:r w:rsidRPr="001B37C0">
        <w:rPr>
          <w:rFonts w:ascii="David" w:eastAsia="Calibri" w:hAnsi="David"/>
          <w:rtl/>
        </w:rPr>
        <w:t>י</w:t>
      </w:r>
      <w:r w:rsidRPr="001B37C0">
        <w:rPr>
          <w:rFonts w:ascii="David" w:eastAsia="Calibri" w:hAnsi="David" w:hint="cs"/>
          <w:rtl/>
        </w:rPr>
        <w:t>ַ</w:t>
      </w:r>
      <w:r w:rsidRPr="001B37C0">
        <w:rPr>
          <w:rFonts w:ascii="David" w:eastAsia="Calibri" w:hAnsi="David"/>
          <w:rtl/>
        </w:rPr>
        <w:t>פה את כוחו בכתב באמצעים אלקטרוניים רשאי לקבל החלטה על החלפת ספק גז, וגם דייר בדירה ציבורית ושוכר דירה לטווח ארוך שזכות השכירות שלו נרשמה בפנקסי המקרקעין רשאים לקבל החלטה כאמור.</w:t>
      </w:r>
    </w:p>
    <w:p w:rsidR="001B37C0" w:rsidRPr="001B37C0" w:rsidP="002F4530">
      <w:pPr>
        <w:keepNext/>
        <w:keepLines/>
        <w:spacing w:line="269" w:lineRule="auto"/>
        <w:ind w:left="-567"/>
        <w:rPr>
          <w:rFonts w:eastAsia="Calibri"/>
          <w:szCs w:val="20"/>
          <w:rtl/>
        </w:rPr>
      </w:pPr>
    </w:p>
    <w:p w:rsidR="001B37C0" w:rsidRPr="001B37C0" w:rsidP="002F4530">
      <w:pPr>
        <w:numPr>
          <w:ilvl w:val="0"/>
          <w:numId w:val="15"/>
        </w:numPr>
        <w:spacing w:line="269" w:lineRule="auto"/>
        <w:contextualSpacing/>
        <w:rPr>
          <w:rFonts w:ascii="David" w:eastAsia="Calibri" w:hAnsi="David"/>
        </w:rPr>
      </w:pPr>
      <w:r w:rsidRPr="001B37C0">
        <w:rPr>
          <w:rFonts w:ascii="David" w:eastAsia="Calibri" w:hAnsi="David" w:hint="cs"/>
          <w:rtl/>
        </w:rPr>
        <w:t>הוראות נוספות מקדמות תחרות - בתיקון משנת 2016 לפרק הרפורמה בגפ"ם נוספו הוראות בנוגע לאיסור על ספק גז להציע תנאי התקשרות שונים לצרכני גז שמחוברים לאותה מערכת גז מרכזית, לחובת גילוי פרטים בחשבון גז הנמסר לצרכן גז, וכן הוראות לעניין העברת פיקדון בעד ציוד גז מושאל בין ספקי הגז במקרה של החלפת ספק גז של צרכן הרוכש גז באמצעות מכלי גז מיטלטלים.</w:t>
      </w:r>
    </w:p>
    <w:p w:rsidR="001B37C0" w:rsidRPr="001B37C0" w:rsidP="002F4530">
      <w:pPr>
        <w:keepNext/>
        <w:keepLines/>
        <w:spacing w:line="269" w:lineRule="auto"/>
        <w:ind w:left="-567"/>
        <w:rPr>
          <w:rFonts w:eastAsia="Calibri"/>
          <w:szCs w:val="20"/>
          <w:rtl/>
        </w:rPr>
      </w:pPr>
    </w:p>
    <w:p w:rsidR="001B37C0" w:rsidRPr="001B37C0" w:rsidP="002F4530">
      <w:pPr>
        <w:numPr>
          <w:ilvl w:val="0"/>
          <w:numId w:val="15"/>
        </w:numPr>
        <w:spacing w:line="269" w:lineRule="auto"/>
        <w:contextualSpacing/>
        <w:rPr>
          <w:rFonts w:ascii="David" w:eastAsia="Calibri" w:hAnsi="David"/>
        </w:rPr>
      </w:pPr>
      <w:r w:rsidRPr="001B37C0">
        <w:rPr>
          <w:rFonts w:ascii="David" w:eastAsia="Calibri" w:hAnsi="David" w:hint="cs"/>
          <w:rtl/>
        </w:rPr>
        <w:t xml:space="preserve">פירוק מכלי הגז על ידי הספק היוצא - </w:t>
      </w:r>
      <w:r w:rsidRPr="001B37C0">
        <w:rPr>
          <w:rFonts w:ascii="David" w:eastAsia="Calibri" w:hAnsi="David"/>
          <w:rtl/>
        </w:rPr>
        <w:t xml:space="preserve">ב-2017 </w:t>
      </w:r>
      <w:r w:rsidRPr="001B37C0">
        <w:rPr>
          <w:rFonts w:ascii="David" w:eastAsia="Calibri" w:hAnsi="David" w:hint="cs"/>
          <w:rtl/>
        </w:rPr>
        <w:t>בוצע תיקון</w:t>
      </w:r>
      <w:r w:rsidRPr="001B37C0">
        <w:rPr>
          <w:rFonts w:ascii="David" w:eastAsia="Calibri" w:hAnsi="David"/>
          <w:rtl/>
        </w:rPr>
        <w:t xml:space="preserve"> </w:t>
      </w:r>
      <w:r w:rsidRPr="001B37C0">
        <w:rPr>
          <w:rFonts w:ascii="David" w:eastAsia="Calibri" w:hAnsi="David" w:hint="cs"/>
          <w:rtl/>
        </w:rPr>
        <w:t>ל</w:t>
      </w:r>
      <w:r w:rsidRPr="001B37C0">
        <w:rPr>
          <w:rFonts w:ascii="David" w:eastAsia="Calibri" w:hAnsi="David"/>
          <w:rtl/>
        </w:rPr>
        <w:t>תקנות ההסדרים במשק המדינה (תיקוני חקיקה) (משק הגז - החלפת ספק גז), התשנ"א-1991, ולפי</w:t>
      </w:r>
      <w:r w:rsidRPr="001B37C0">
        <w:rPr>
          <w:rFonts w:ascii="David" w:eastAsia="Calibri" w:hAnsi="David" w:hint="cs"/>
          <w:rtl/>
        </w:rPr>
        <w:t>ו</w:t>
      </w:r>
      <w:r w:rsidRPr="001B37C0">
        <w:rPr>
          <w:rFonts w:ascii="David" w:eastAsia="Calibri" w:hAnsi="David"/>
          <w:rtl/>
        </w:rPr>
        <w:t>, בין יתר, ספק גז יוצא שקיבל הודעה מצרכן גז על סיום החוזה חייב לפרק ולפנות על חשבונו את מכלי הגז ו</w:t>
      </w:r>
      <w:r w:rsidRPr="001B37C0">
        <w:rPr>
          <w:rFonts w:ascii="David" w:eastAsia="Calibri" w:hAnsi="David" w:hint="cs"/>
          <w:rtl/>
        </w:rPr>
        <w:t xml:space="preserve">את </w:t>
      </w:r>
      <w:r w:rsidRPr="001B37C0">
        <w:rPr>
          <w:rFonts w:ascii="David" w:eastAsia="Calibri" w:hAnsi="David"/>
          <w:rtl/>
        </w:rPr>
        <w:t>הציוד המושאל השייך לו בתוך חמישה ימים ממועד מסירת ההודעה.</w:t>
      </w:r>
      <w:r w:rsidRPr="001B37C0">
        <w:rPr>
          <w:rFonts w:ascii="David" w:eastAsia="Calibri" w:hAnsi="David" w:hint="cs"/>
          <w:rtl/>
        </w:rPr>
        <w:t xml:space="preserve"> </w:t>
      </w:r>
      <w:r w:rsidRPr="001B37C0">
        <w:rPr>
          <w:rFonts w:ascii="David" w:eastAsia="Calibri" w:hAnsi="David"/>
          <w:rtl/>
        </w:rPr>
        <w:t xml:space="preserve">ב-2018 תוקנו תקנות </w:t>
      </w:r>
      <w:r w:rsidRPr="001B37C0">
        <w:rPr>
          <w:rFonts w:ascii="David" w:eastAsia="Calibri" w:hAnsi="David" w:hint="cs"/>
          <w:rtl/>
        </w:rPr>
        <w:t>ש</w:t>
      </w:r>
      <w:r w:rsidRPr="001B37C0">
        <w:rPr>
          <w:rFonts w:ascii="David" w:eastAsia="Calibri" w:hAnsi="David"/>
          <w:rtl/>
        </w:rPr>
        <w:t>לפיהן ספק גז יוצא שקיבל הודעה מספק גז נכנס על פירוק מכלי הגז ולא נטל את מכלי הגז בתוך עשרה ימים ממועד מסירת ההודעה על פירוקם ישלם לספק הגז הנכנס</w:t>
      </w:r>
      <w:r w:rsidRPr="001B37C0">
        <w:rPr>
          <w:rFonts w:ascii="David" w:eastAsia="Calibri" w:hAnsi="David" w:hint="cs"/>
          <w:rtl/>
        </w:rPr>
        <w:t xml:space="preserve"> קנס </w:t>
      </w:r>
      <w:r w:rsidRPr="001B37C0">
        <w:rPr>
          <w:rFonts w:ascii="David" w:eastAsia="Calibri" w:hAnsi="David"/>
          <w:rtl/>
        </w:rPr>
        <w:t>לכל חודש או חלק ממנו בעד אחסון של כל מכל</w:t>
      </w:r>
      <w:r>
        <w:rPr>
          <w:rFonts w:ascii="David" w:eastAsia="Calibri" w:hAnsi="David"/>
          <w:vertAlign w:val="superscript"/>
          <w:rtl/>
        </w:rPr>
        <w:footnoteReference w:id="123"/>
      </w:r>
      <w:r w:rsidRPr="001B37C0">
        <w:rPr>
          <w:rFonts w:ascii="David" w:eastAsia="Calibri" w:hAnsi="David" w:hint="cs"/>
          <w:rtl/>
        </w:rPr>
        <w:t>.</w:t>
      </w:r>
    </w:p>
    <w:p w:rsidR="001B37C0" w:rsidRPr="001B37C0" w:rsidP="002F4530">
      <w:pPr>
        <w:keepNext/>
        <w:keepLines/>
        <w:spacing w:line="269" w:lineRule="auto"/>
        <w:ind w:left="-567"/>
        <w:rPr>
          <w:rFonts w:eastAsia="Calibri"/>
          <w:szCs w:val="20"/>
          <w:rtl/>
        </w:rPr>
      </w:pPr>
    </w:p>
    <w:p w:rsidR="001B37C0" w:rsidP="002F4530">
      <w:pPr>
        <w:numPr>
          <w:ilvl w:val="0"/>
          <w:numId w:val="15"/>
        </w:numPr>
        <w:spacing w:line="269" w:lineRule="auto"/>
        <w:contextualSpacing/>
        <w:rPr>
          <w:rFonts w:ascii="David" w:eastAsia="Calibri" w:hAnsi="David"/>
        </w:rPr>
      </w:pPr>
      <w:r w:rsidRPr="001B37C0">
        <w:rPr>
          <w:rFonts w:ascii="David" w:eastAsia="Calibri" w:hAnsi="David"/>
          <w:rtl/>
        </w:rPr>
        <w:t xml:space="preserve">הסמכת מנהל מינהל הדלק להטיל עיצומים כספיים על הפרות בתחום קידום התחרות - בתיקון משנת 2017 </w:t>
      </w:r>
      <w:r w:rsidRPr="001B37C0">
        <w:rPr>
          <w:rFonts w:ascii="David" w:eastAsia="Calibri" w:hAnsi="David" w:hint="cs"/>
          <w:rtl/>
        </w:rPr>
        <w:t xml:space="preserve">של פרק הרפורמה בגפ"ם </w:t>
      </w:r>
      <w:r w:rsidRPr="001B37C0">
        <w:rPr>
          <w:rFonts w:ascii="David" w:eastAsia="Calibri" w:hAnsi="David"/>
          <w:rtl/>
        </w:rPr>
        <w:t xml:space="preserve">הוסמך מנהל מינהל הדלק להטיל עיצום כספי על הפרת הוראות שונות בתחום קידום התחרות בגפ"ם </w:t>
      </w:r>
      <w:r w:rsidRPr="001B37C0">
        <w:rPr>
          <w:rFonts w:ascii="David" w:eastAsia="Calibri" w:hAnsi="David" w:hint="cs"/>
          <w:rtl/>
        </w:rPr>
        <w:t>כדי</w:t>
      </w:r>
      <w:r w:rsidRPr="001B37C0">
        <w:rPr>
          <w:rFonts w:ascii="David" w:eastAsia="Calibri" w:hAnsi="David"/>
          <w:rtl/>
        </w:rPr>
        <w:t xml:space="preserve"> לאפשר אכיפה יעילה של הוראות החוק.</w:t>
      </w:r>
    </w:p>
    <w:p w:rsidR="001B37C0" w:rsidP="002F4530">
      <w:pPr>
        <w:pStyle w:val="ListParagraph"/>
        <w:rPr>
          <w:rFonts w:ascii="David" w:eastAsia="Calibri" w:hAnsi="David"/>
          <w:rtl/>
        </w:rPr>
      </w:pPr>
    </w:p>
    <w:p w:rsidR="001B37C0" w:rsidRPr="001A11E0" w:rsidP="002F4530">
      <w:pPr>
        <w:pStyle w:val="ListParagraph"/>
        <w:numPr>
          <w:ilvl w:val="0"/>
          <w:numId w:val="15"/>
        </w:numPr>
        <w:spacing w:line="269" w:lineRule="auto"/>
        <w:rPr>
          <w:rFonts w:ascii="David" w:hAnsi="David"/>
        </w:rPr>
      </w:pPr>
      <w:r w:rsidRPr="001A11E0">
        <w:rPr>
          <w:rFonts w:ascii="David" w:hAnsi="David"/>
          <w:rtl/>
        </w:rPr>
        <w:t xml:space="preserve">תוספת גפ"ם לספקים קטנים - תיקון משנת 2018 של תקנות </w:t>
      </w:r>
      <w:r w:rsidRPr="001A11E0">
        <w:rPr>
          <w:rFonts w:ascii="David" w:hAnsi="David" w:hint="cs"/>
          <w:rtl/>
        </w:rPr>
        <w:t xml:space="preserve">ההקצאות, </w:t>
      </w:r>
      <w:r w:rsidRPr="001A11E0">
        <w:rPr>
          <w:rFonts w:ascii="David" w:hAnsi="David"/>
          <w:rtl/>
        </w:rPr>
        <w:t>המסדירות את חלוקת הגז בין ספקי הגז בחודשי מחסור</w:t>
      </w:r>
      <w:r w:rsidRPr="001A11E0">
        <w:rPr>
          <w:rFonts w:ascii="David" w:hAnsi="David" w:hint="cs"/>
          <w:rtl/>
        </w:rPr>
        <w:t xml:space="preserve"> קובע</w:t>
      </w:r>
      <w:r w:rsidRPr="001A11E0">
        <w:rPr>
          <w:rFonts w:ascii="David" w:hAnsi="David"/>
          <w:rtl/>
        </w:rPr>
        <w:t xml:space="preserve"> </w:t>
      </w:r>
      <w:r w:rsidRPr="001A11E0">
        <w:rPr>
          <w:rFonts w:ascii="David" w:hAnsi="David" w:hint="cs"/>
          <w:rtl/>
        </w:rPr>
        <w:t>ש</w:t>
      </w:r>
      <w:r w:rsidRPr="001A11E0">
        <w:rPr>
          <w:rFonts w:ascii="David" w:hAnsi="David"/>
          <w:rtl/>
        </w:rPr>
        <w:t xml:space="preserve">תינתן תוספת של 50% לספקי גז קטנים שהוכיחו למנהל כי ממוצע מחירי הגז שלהם נמוך מ-8% מממוצע מחירי הגז של ספקי הגז הגדולים. התיקון התייחס גם לאספקת גז לספקים קטנים בחודשי מחסור קיצוניים, </w:t>
      </w:r>
      <w:r w:rsidRPr="001A11E0">
        <w:rPr>
          <w:rFonts w:ascii="David" w:hAnsi="David" w:hint="cs"/>
          <w:rtl/>
        </w:rPr>
        <w:t>ל</w:t>
      </w:r>
      <w:r w:rsidRPr="001A11E0">
        <w:rPr>
          <w:rFonts w:ascii="David" w:hAnsi="David"/>
          <w:rtl/>
        </w:rPr>
        <w:t xml:space="preserve">אספקת </w:t>
      </w:r>
      <w:r w:rsidRPr="001A11E0">
        <w:rPr>
          <w:rFonts w:ascii="David" w:hAnsi="David"/>
          <w:rtl/>
        </w:rPr>
        <w:t>כמות גז בשל ייצור נוסף ו</w:t>
      </w:r>
      <w:r w:rsidRPr="001A11E0">
        <w:rPr>
          <w:rFonts w:ascii="David" w:hAnsi="David" w:hint="cs"/>
          <w:rtl/>
        </w:rPr>
        <w:t>ל</w:t>
      </w:r>
      <w:r w:rsidRPr="001A11E0">
        <w:rPr>
          <w:rFonts w:ascii="David" w:hAnsi="David"/>
          <w:rtl/>
        </w:rPr>
        <w:t>העברת גז בין ספקים במקרה של מעבר של צרכנים גדולים וצבר צרכנים ביתיים.</w:t>
      </w:r>
    </w:p>
    <w:p w:rsidR="001B37C0" w:rsidP="002F4530">
      <w:pPr>
        <w:pStyle w:val="a"/>
        <w:spacing w:line="269" w:lineRule="auto"/>
        <w:rPr>
          <w:rtl/>
        </w:rPr>
      </w:pPr>
    </w:p>
    <w:p w:rsidR="001B37C0" w:rsidRPr="001A11E0" w:rsidP="002F4530">
      <w:pPr>
        <w:pStyle w:val="ListParagraph"/>
        <w:numPr>
          <w:ilvl w:val="0"/>
          <w:numId w:val="15"/>
        </w:numPr>
        <w:spacing w:line="269" w:lineRule="auto"/>
        <w:rPr>
          <w:rFonts w:ascii="David" w:hAnsi="David"/>
        </w:rPr>
      </w:pPr>
      <w:r w:rsidRPr="001A11E0">
        <w:rPr>
          <w:rFonts w:ascii="David" w:hAnsi="David"/>
          <w:rtl/>
        </w:rPr>
        <w:t>אמות מידה לשירות - ב-2023 נכנסו לתוקפן תקנות הגז הפחמימני המעובה (אמות מידה לשירות), התשפ"ד-2023</w:t>
      </w:r>
      <w:r w:rsidRPr="001A11E0">
        <w:rPr>
          <w:rFonts w:ascii="David" w:hAnsi="David" w:hint="cs"/>
          <w:rtl/>
        </w:rPr>
        <w:t>,</w:t>
      </w:r>
      <w:r w:rsidRPr="001A11E0">
        <w:rPr>
          <w:rFonts w:ascii="David" w:hAnsi="David"/>
          <w:rtl/>
        </w:rPr>
        <w:t xml:space="preserve"> </w:t>
      </w:r>
      <w:r w:rsidRPr="001A11E0">
        <w:rPr>
          <w:rFonts w:ascii="David" w:hAnsi="David" w:hint="cs"/>
          <w:rtl/>
        </w:rPr>
        <w:t>ה</w:t>
      </w:r>
      <w:r w:rsidRPr="001A11E0">
        <w:rPr>
          <w:rFonts w:ascii="David" w:hAnsi="David"/>
          <w:rtl/>
        </w:rPr>
        <w:t>מטילות על ספק</w:t>
      </w:r>
      <w:r w:rsidRPr="001A11E0">
        <w:rPr>
          <w:rFonts w:ascii="David" w:hAnsi="David" w:hint="cs"/>
          <w:rtl/>
        </w:rPr>
        <w:t>י</w:t>
      </w:r>
      <w:r w:rsidRPr="001A11E0">
        <w:rPr>
          <w:rFonts w:ascii="David" w:hAnsi="David"/>
          <w:rtl/>
        </w:rPr>
        <w:t xml:space="preserve"> הגז</w:t>
      </w:r>
      <w:r w:rsidRPr="001A11E0">
        <w:rPr>
          <w:rFonts w:ascii="David" w:hAnsi="David" w:hint="cs"/>
          <w:rtl/>
        </w:rPr>
        <w:t xml:space="preserve"> </w:t>
      </w:r>
      <w:r w:rsidRPr="001A11E0">
        <w:rPr>
          <w:rFonts w:ascii="David" w:hAnsi="David"/>
          <w:rtl/>
        </w:rPr>
        <w:t>הוראות בעניין מידע ש</w:t>
      </w:r>
      <w:r w:rsidRPr="001A11E0">
        <w:rPr>
          <w:rFonts w:ascii="David" w:hAnsi="David" w:hint="cs"/>
          <w:rtl/>
        </w:rPr>
        <w:t>הם</w:t>
      </w:r>
      <w:r w:rsidRPr="001A11E0">
        <w:rPr>
          <w:rFonts w:ascii="David" w:hAnsi="David"/>
          <w:rtl/>
        </w:rPr>
        <w:t xml:space="preserve"> צריכים לכלול בחשבונות הגז</w:t>
      </w:r>
      <w:r w:rsidRPr="001A11E0">
        <w:rPr>
          <w:rFonts w:ascii="David" w:hAnsi="David" w:hint="cs"/>
          <w:rtl/>
        </w:rPr>
        <w:t>,</w:t>
      </w:r>
      <w:r w:rsidRPr="001A11E0">
        <w:rPr>
          <w:rFonts w:ascii="David" w:hAnsi="David"/>
          <w:rtl/>
        </w:rPr>
        <w:t xml:space="preserve"> וכן שירותים </w:t>
      </w:r>
      <w:r w:rsidRPr="001A11E0">
        <w:rPr>
          <w:rFonts w:ascii="David" w:hAnsi="David" w:hint="cs"/>
          <w:rtl/>
        </w:rPr>
        <w:t>ה</w:t>
      </w:r>
      <w:r w:rsidRPr="001A11E0">
        <w:rPr>
          <w:rFonts w:ascii="David" w:hAnsi="David"/>
          <w:rtl/>
        </w:rPr>
        <w:t>כלולים במחיר הגז</w:t>
      </w:r>
      <w:r w:rsidRPr="001A11E0">
        <w:rPr>
          <w:rFonts w:ascii="David" w:hAnsi="David" w:hint="cs"/>
          <w:rtl/>
        </w:rPr>
        <w:t>,</w:t>
      </w:r>
      <w:r w:rsidRPr="001A11E0">
        <w:rPr>
          <w:rFonts w:ascii="David" w:hAnsi="David"/>
          <w:rtl/>
        </w:rPr>
        <w:t xml:space="preserve"> שנועדו בין היתר לאפשר לצרכני גז להשוות מחירי</w:t>
      </w:r>
      <w:r w:rsidRPr="001A11E0">
        <w:rPr>
          <w:rFonts w:ascii="David" w:hAnsi="David" w:hint="cs"/>
          <w:rtl/>
        </w:rPr>
        <w:t>ם בין</w:t>
      </w:r>
      <w:r w:rsidRPr="001A11E0">
        <w:rPr>
          <w:rFonts w:ascii="David" w:hAnsi="David"/>
          <w:rtl/>
        </w:rPr>
        <w:t xml:space="preserve"> הספקים.</w:t>
      </w:r>
    </w:p>
    <w:p w:rsidR="001B37C0" w:rsidP="002F4530">
      <w:pPr>
        <w:pStyle w:val="a"/>
        <w:spacing w:line="269" w:lineRule="auto"/>
        <w:rPr>
          <w:rtl/>
        </w:rPr>
      </w:pPr>
    </w:p>
    <w:p w:rsidR="001B37C0" w:rsidP="002F4530">
      <w:pPr>
        <w:spacing w:line="269" w:lineRule="auto"/>
        <w:rPr>
          <w:rFonts w:ascii="David" w:hAnsi="David"/>
          <w:rtl/>
        </w:rPr>
      </w:pPr>
      <w:bookmarkStart w:id="39" w:name="נעה"/>
      <w:bookmarkEnd w:id="39"/>
      <w:r>
        <w:rPr>
          <w:rFonts w:ascii="David" w:hAnsi="David" w:hint="cs"/>
          <w:rtl/>
        </w:rPr>
        <w:t>כמו כן, בשנת 2023 פרסם מינהל הדלק גילוי דעת לעניין הסכמה על החלפת ספק גז בבית משותף ואיסור התקשרות לאחר קבלת הודעה על החלפת ספק גז, כדי להבהיר לספקי הגז את עמדתו בסוגיות שהתעוררו במהלך השנים במסגרת אכיפת הוראת סעיף 17א לפרק הרפורמה בגפ"ם.</w:t>
      </w:r>
    </w:p>
    <w:p w:rsidR="001B37C0" w:rsidP="002F4530">
      <w:pPr>
        <w:pStyle w:val="a"/>
        <w:spacing w:line="269" w:lineRule="auto"/>
        <w:rPr>
          <w:rtl/>
        </w:rPr>
      </w:pPr>
    </w:p>
    <w:p w:rsidR="001B37C0" w:rsidRPr="00D27E94" w:rsidP="002F4530">
      <w:pPr>
        <w:spacing w:line="269" w:lineRule="auto"/>
        <w:rPr>
          <w:rtl/>
        </w:rPr>
      </w:pPr>
      <w:r>
        <w:rPr>
          <w:rFonts w:hint="cs"/>
          <w:rtl/>
        </w:rPr>
        <w:t>על אף תיקוני החקיקה הרבים שנעשו ו</w:t>
      </w:r>
      <w:r w:rsidRPr="00627184">
        <w:rPr>
          <w:rFonts w:hint="cs"/>
          <w:rtl/>
        </w:rPr>
        <w:t>למרות הריבוי היחסי של השחקנים בענף</w:t>
      </w:r>
      <w:r>
        <w:rPr>
          <w:rFonts w:hint="cs"/>
          <w:rtl/>
        </w:rPr>
        <w:t xml:space="preserve">, </w:t>
      </w:r>
      <w:r w:rsidRPr="00627184">
        <w:rPr>
          <w:rFonts w:hint="cs"/>
          <w:rtl/>
        </w:rPr>
        <w:t xml:space="preserve">ממסמך של משרד האנרגיה </w:t>
      </w:r>
      <w:r w:rsidRPr="00D27E94">
        <w:rPr>
          <w:rFonts w:hint="cs"/>
          <w:rtl/>
        </w:rPr>
        <w:t>מ-2024 עולה כי רמת תחרותיות בשוק הגפ"ם הביתי עדיין נמוכה</w:t>
      </w:r>
      <w:r>
        <w:rPr>
          <w:rStyle w:val="FootnoteReference1"/>
          <w:rFonts w:ascii="David" w:hAnsi="David"/>
          <w:rtl/>
        </w:rPr>
        <w:footnoteReference w:id="124"/>
      </w:r>
      <w:r w:rsidRPr="00D27E94">
        <w:rPr>
          <w:rFonts w:hint="cs"/>
          <w:rtl/>
        </w:rPr>
        <w:t xml:space="preserve">. </w:t>
      </w:r>
      <w:r w:rsidRPr="00D27E94">
        <w:rPr>
          <w:rFonts w:ascii="David" w:hAnsi="David" w:hint="cs"/>
          <w:rtl/>
        </w:rPr>
        <w:t>אומנם פלח השוק של הספקים הקטנים במשק הגז הביתי נמצא במגמת עלייה בשנים האחרונות, נתון שתרם לעלייה ברמת התחרות</w:t>
      </w:r>
      <w:r>
        <w:rPr>
          <w:rStyle w:val="FootnoteReference1"/>
          <w:rFonts w:ascii="David" w:hAnsi="David"/>
          <w:rtl/>
        </w:rPr>
        <w:footnoteReference w:id="125"/>
      </w:r>
      <w:r w:rsidRPr="00D27E94">
        <w:rPr>
          <w:rFonts w:ascii="David" w:hAnsi="David" w:hint="cs"/>
          <w:rtl/>
        </w:rPr>
        <w:t>,</w:t>
      </w:r>
      <w:r w:rsidRPr="00D27E94">
        <w:rPr>
          <w:rFonts w:hint="cs"/>
          <w:rtl/>
        </w:rPr>
        <w:t xml:space="preserve"> אבל מרבית האספקה עודנה מבוצעת על ידי ספקי הגז הגדולים.</w:t>
      </w:r>
    </w:p>
    <w:p w:rsidR="001B37C0" w:rsidP="002F4530">
      <w:pPr>
        <w:pStyle w:val="a"/>
        <w:spacing w:line="269" w:lineRule="auto"/>
        <w:rPr>
          <w:rtl/>
        </w:rPr>
      </w:pPr>
    </w:p>
    <w:p w:rsidR="001B37C0" w:rsidP="002F4530">
      <w:pPr>
        <w:spacing w:line="269" w:lineRule="auto"/>
        <w:rPr>
          <w:rFonts w:ascii="David" w:hAnsi="David"/>
          <w:rtl/>
        </w:rPr>
      </w:pPr>
      <w:r w:rsidRPr="00D27E94">
        <w:rPr>
          <w:rFonts w:ascii="David" w:hAnsi="David" w:hint="cs"/>
          <w:rtl/>
        </w:rPr>
        <w:t xml:space="preserve">בתרשים </w:t>
      </w:r>
      <w:r>
        <w:rPr>
          <w:rFonts w:ascii="David" w:hAnsi="David" w:hint="cs"/>
          <w:rtl/>
        </w:rPr>
        <w:t>שלהלן</w:t>
      </w:r>
      <w:r w:rsidRPr="00D27E94">
        <w:rPr>
          <w:rFonts w:ascii="David" w:hAnsi="David" w:hint="cs"/>
          <w:rtl/>
        </w:rPr>
        <w:t xml:space="preserve"> מוצג נתח השוק של הספקים הקטנים לעומת נתח השוק של ארבעת הספקים הגדולים במגזר הביתי בין 2016 ל-2024.</w:t>
      </w:r>
    </w:p>
    <w:p w:rsidR="001B37C0" w:rsidP="002F4530">
      <w:pPr>
        <w:pStyle w:val="a"/>
        <w:spacing w:line="269" w:lineRule="auto"/>
        <w:rPr>
          <w:rtl/>
        </w:rPr>
      </w:pPr>
    </w:p>
    <w:p w:rsidR="001B37C0" w:rsidP="002F4530">
      <w:pPr>
        <w:keepNext/>
        <w:keepLines/>
        <w:spacing w:line="269" w:lineRule="auto"/>
        <w:jc w:val="center"/>
        <w:rPr>
          <w:rFonts w:ascii="David" w:hAnsi="David"/>
          <w:b/>
          <w:bCs/>
          <w:rtl/>
        </w:rPr>
      </w:pPr>
      <w:r w:rsidRPr="00625E9B">
        <w:rPr>
          <w:rFonts w:ascii="David" w:hAnsi="David" w:hint="eastAsia"/>
          <w:rtl/>
        </w:rPr>
        <w:t>תרשים</w:t>
      </w:r>
      <w:r w:rsidRPr="00625E9B">
        <w:rPr>
          <w:rFonts w:ascii="David" w:hAnsi="David"/>
          <w:rtl/>
        </w:rPr>
        <w:t xml:space="preserve"> 12: </w:t>
      </w:r>
      <w:r>
        <w:rPr>
          <w:rFonts w:ascii="David" w:hAnsi="David" w:hint="cs"/>
          <w:b/>
          <w:bCs/>
          <w:rtl/>
        </w:rPr>
        <w:t>נתח</w:t>
      </w:r>
      <w:r w:rsidRPr="000F1845">
        <w:rPr>
          <w:rFonts w:ascii="David" w:hAnsi="David" w:hint="cs"/>
          <w:b/>
          <w:bCs/>
          <w:rtl/>
        </w:rPr>
        <w:t xml:space="preserve"> השוק</w:t>
      </w:r>
      <w:r>
        <w:rPr>
          <w:rFonts w:ascii="David" w:hAnsi="David" w:hint="cs"/>
          <w:b/>
          <w:bCs/>
          <w:rtl/>
        </w:rPr>
        <w:t xml:space="preserve"> של </w:t>
      </w:r>
      <w:r w:rsidRPr="000F1845">
        <w:rPr>
          <w:rFonts w:ascii="David" w:hAnsi="David" w:hint="cs"/>
          <w:b/>
          <w:bCs/>
          <w:rtl/>
        </w:rPr>
        <w:t xml:space="preserve">הספקים הקטנים </w:t>
      </w:r>
      <w:r w:rsidRPr="00D27E94">
        <w:rPr>
          <w:rFonts w:ascii="David" w:hAnsi="David" w:hint="cs"/>
          <w:b/>
          <w:bCs/>
          <w:rtl/>
        </w:rPr>
        <w:t>והספקים הגדולים במגזר הביתי*, 2016 - 2024</w:t>
      </w:r>
    </w:p>
    <w:p w:rsidR="001B37C0" w:rsidP="002F4530">
      <w:pPr>
        <w:spacing w:line="269" w:lineRule="auto"/>
        <w:jc w:val="center"/>
        <w:rPr>
          <w:rFonts w:ascii="David" w:hAnsi="David"/>
          <w:szCs w:val="20"/>
          <w:rtl/>
        </w:rPr>
      </w:pPr>
      <w:r>
        <w:rPr>
          <w:rFonts w:ascii="David" w:hAnsi="David"/>
          <w:noProof/>
          <w:szCs w:val="20"/>
        </w:rPr>
        <w:drawing>
          <wp:inline distT="0" distB="0" distL="0" distR="0">
            <wp:extent cx="4584700" cy="2755900"/>
            <wp:effectExtent l="0" t="0" r="6350" b="6350"/>
            <wp:docPr id="69" name="תמונה 69" descr="התרשים מתאר את נתח השוק של הספקים הקטנים והספקים גדולים במגזר הביתי בשנים 2016 - 2024, כך שנתח השוק של הספקים הקטנים גדל בשנים אלה מ-15% ל-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4"/>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001B37C0" w:rsidRPr="00D27E94" w:rsidP="002F4530">
      <w:pPr>
        <w:spacing w:line="269" w:lineRule="auto"/>
        <w:rPr>
          <w:rFonts w:ascii="David" w:hAnsi="David"/>
          <w:szCs w:val="20"/>
          <w:rtl/>
        </w:rPr>
      </w:pPr>
      <w:r>
        <w:rPr>
          <w:rFonts w:ascii="David" w:hAnsi="David" w:hint="cs"/>
          <w:szCs w:val="20"/>
          <w:rtl/>
        </w:rPr>
        <w:t xml:space="preserve">* כולל </w:t>
      </w:r>
      <w:r w:rsidRPr="00D27E94">
        <w:rPr>
          <w:rFonts w:ascii="David" w:hAnsi="David" w:hint="cs"/>
          <w:szCs w:val="20"/>
          <w:rtl/>
        </w:rPr>
        <w:t xml:space="preserve">סוכנויות של הספקים הגדולים. </w:t>
      </w:r>
      <w:r w:rsidRPr="00D27E94">
        <w:rPr>
          <w:rFonts w:ascii="David" w:hAnsi="David" w:hint="eastAsia"/>
          <w:szCs w:val="20"/>
          <w:rtl/>
        </w:rPr>
        <w:t>יצוין</w:t>
      </w:r>
      <w:r w:rsidRPr="00D27E94">
        <w:rPr>
          <w:rFonts w:ascii="David" w:hAnsi="David"/>
          <w:szCs w:val="20"/>
          <w:rtl/>
        </w:rPr>
        <w:t xml:space="preserve"> כי במועד</w:t>
      </w:r>
      <w:r w:rsidRPr="00D27E94">
        <w:rPr>
          <w:rFonts w:ascii="David" w:hAnsi="David" w:hint="cs"/>
          <w:szCs w:val="20"/>
          <w:rtl/>
        </w:rPr>
        <w:t xml:space="preserve"> סיום</w:t>
      </w:r>
      <w:r w:rsidRPr="00D27E94">
        <w:rPr>
          <w:rFonts w:ascii="David" w:hAnsi="David"/>
          <w:szCs w:val="20"/>
          <w:rtl/>
        </w:rPr>
        <w:t xml:space="preserve"> הביקורת לא הי</w:t>
      </w:r>
      <w:r w:rsidRPr="00D27E94">
        <w:rPr>
          <w:rFonts w:ascii="David" w:hAnsi="David" w:hint="cs"/>
          <w:szCs w:val="20"/>
          <w:rtl/>
        </w:rPr>
        <w:t>ו</w:t>
      </w:r>
      <w:r w:rsidRPr="00D27E94">
        <w:rPr>
          <w:rFonts w:ascii="David" w:hAnsi="David"/>
          <w:szCs w:val="20"/>
          <w:rtl/>
        </w:rPr>
        <w:t xml:space="preserve"> נתונים מלאים לשנת 2025.</w:t>
      </w:r>
    </w:p>
    <w:p w:rsidR="001B37C0" w:rsidRPr="00D27E94" w:rsidP="002F4530">
      <w:pPr>
        <w:spacing w:line="269" w:lineRule="auto"/>
        <w:rPr>
          <w:rFonts w:ascii="David" w:hAnsi="David"/>
          <w:szCs w:val="20"/>
          <w:rtl/>
        </w:rPr>
      </w:pPr>
      <w:r w:rsidRPr="00D27E94">
        <w:rPr>
          <w:rFonts w:ascii="David" w:hAnsi="David" w:hint="eastAsia"/>
          <w:szCs w:val="20"/>
          <w:rtl/>
        </w:rPr>
        <w:t>על</w:t>
      </w:r>
      <w:r w:rsidRPr="00D27E94">
        <w:rPr>
          <w:rFonts w:ascii="David" w:hAnsi="David"/>
          <w:szCs w:val="20"/>
          <w:rtl/>
        </w:rPr>
        <w:t xml:space="preserve"> פי </w:t>
      </w:r>
      <w:r w:rsidRPr="00D27E94">
        <w:rPr>
          <w:rFonts w:ascii="David" w:hAnsi="David" w:hint="eastAsia"/>
          <w:szCs w:val="20"/>
          <w:rtl/>
        </w:rPr>
        <w:t>נתוני</w:t>
      </w:r>
      <w:r w:rsidRPr="00D27E94">
        <w:rPr>
          <w:rFonts w:ascii="David" w:hAnsi="David"/>
          <w:szCs w:val="20"/>
          <w:rtl/>
        </w:rPr>
        <w:t xml:space="preserve"> משרד ה</w:t>
      </w:r>
      <w:r w:rsidRPr="00D27E94">
        <w:rPr>
          <w:rFonts w:ascii="David" w:hAnsi="David" w:hint="eastAsia"/>
          <w:szCs w:val="20"/>
          <w:rtl/>
        </w:rPr>
        <w:t>אנרגיה</w:t>
      </w:r>
      <w:r w:rsidRPr="00D27E94">
        <w:rPr>
          <w:rFonts w:ascii="David" w:hAnsi="David"/>
          <w:szCs w:val="20"/>
          <w:rtl/>
        </w:rPr>
        <w:t xml:space="preserve"> בעיבוד משרד מבקר המדינה.</w:t>
      </w:r>
      <w:r w:rsidRPr="00D27E94">
        <w:rPr>
          <w:rFonts w:ascii="David" w:hAnsi="David" w:hint="cs"/>
          <w:szCs w:val="20"/>
          <w:rtl/>
        </w:rPr>
        <w:t xml:space="preserve"> </w:t>
      </w:r>
    </w:p>
    <w:p w:rsidR="001B37C0" w:rsidP="002F4530">
      <w:pPr>
        <w:pStyle w:val="a"/>
        <w:spacing w:line="269" w:lineRule="auto"/>
        <w:rPr>
          <w:rtl/>
        </w:rPr>
      </w:pPr>
    </w:p>
    <w:p w:rsidR="001B37C0" w:rsidRPr="00D27E94" w:rsidP="002F4530">
      <w:pPr>
        <w:spacing w:line="269" w:lineRule="auto"/>
        <w:rPr>
          <w:rFonts w:ascii="David" w:hAnsi="David"/>
          <w:rtl/>
        </w:rPr>
      </w:pPr>
      <w:r w:rsidRPr="00D27E94">
        <w:rPr>
          <w:rFonts w:ascii="David" w:hAnsi="David" w:hint="cs"/>
          <w:rtl/>
        </w:rPr>
        <w:t>מהתרשים עולה כי בשנים 2016 - 2024 עלה נתח הספקים הקטנים במגזר הביתי מ-15% ל-29%, ונתח הספקים הגדולים ירד בשנים אלו מ-85% ל-71%. יצוין כי נתח השוק של הספקים הגדולים בכלל המגזרים (ללא הרש"פ) ירד מ-86% ל-72%.</w:t>
      </w:r>
    </w:p>
    <w:p w:rsidR="001B37C0" w:rsidP="002F4530">
      <w:pPr>
        <w:spacing w:line="269" w:lineRule="auto"/>
        <w:contextualSpacing/>
        <w:rPr>
          <w:rFonts w:ascii="David" w:eastAsia="Calibri" w:hAnsi="David"/>
          <w:rtl/>
        </w:rPr>
      </w:pPr>
    </w:p>
    <w:p w:rsidR="001B37C0" w:rsidRPr="001B37C0" w:rsidP="002F4530">
      <w:pPr>
        <w:spacing w:line="269" w:lineRule="auto"/>
        <w:rPr>
          <w:rFonts w:ascii="David" w:eastAsia="Calibri" w:hAnsi="David"/>
          <w:rtl/>
        </w:rPr>
      </w:pPr>
      <w:r w:rsidRPr="001B37C0">
        <w:rPr>
          <w:rFonts w:ascii="David" w:eastAsia="Calibri" w:hAnsi="David" w:hint="cs"/>
          <w:rtl/>
        </w:rPr>
        <w:t>בתרשימים שלהלן מוצגים נתח השוק של הספקים הקטנים לעומת נתח השוק של הספקים הגדולים (כולל סוכנויות שלהם) במגזר הביתי באספקה באמצעות מכלים מיטלטלים (12 ו-48 ק"ג) ובאמצעות מרכזיית מכל נייח, בשנים 2016, 2020 ו-2024.</w:t>
      </w:r>
    </w:p>
    <w:p w:rsidR="001B37C0" w:rsidRPr="001B37C0" w:rsidP="002F4530">
      <w:pPr>
        <w:keepNext/>
        <w:keepLines/>
        <w:spacing w:line="269" w:lineRule="auto"/>
        <w:jc w:val="center"/>
        <w:rPr>
          <w:rFonts w:ascii="David" w:eastAsia="Calibri" w:hAnsi="David"/>
          <w:b/>
          <w:bCs/>
          <w:rtl/>
        </w:rPr>
      </w:pPr>
      <w:r w:rsidRPr="001B37C0">
        <w:rPr>
          <w:rFonts w:ascii="David" w:eastAsia="Calibri" w:hAnsi="David" w:hint="eastAsia"/>
          <w:rtl/>
        </w:rPr>
        <w:t>תרשים</w:t>
      </w:r>
      <w:r w:rsidRPr="001B37C0">
        <w:rPr>
          <w:rFonts w:ascii="David" w:eastAsia="Calibri" w:hAnsi="David"/>
          <w:rtl/>
        </w:rPr>
        <w:t xml:space="preserve"> 13:</w:t>
      </w:r>
      <w:r w:rsidRPr="001B37C0">
        <w:rPr>
          <w:rFonts w:ascii="David" w:eastAsia="Calibri" w:hAnsi="David" w:hint="cs"/>
          <w:b/>
          <w:bCs/>
          <w:rtl/>
        </w:rPr>
        <w:t xml:space="preserve"> נתח השוק של הספקים הקטנים והספקים הגדולים (כולל סוכנויות) במגזר הביתי באספקה באמצעות מכלים </w:t>
      </w:r>
      <w:r w:rsidRPr="001B37C0">
        <w:rPr>
          <w:rFonts w:ascii="David" w:eastAsia="Calibri" w:hAnsi="David" w:hint="eastAsia"/>
          <w:b/>
          <w:bCs/>
          <w:rtl/>
        </w:rPr>
        <w:t>מיטלטלים</w:t>
      </w:r>
      <w:r w:rsidRPr="001B37C0">
        <w:rPr>
          <w:rFonts w:ascii="David" w:eastAsia="Calibri" w:hAnsi="David" w:hint="cs"/>
          <w:b/>
          <w:bCs/>
          <w:rtl/>
        </w:rPr>
        <w:t xml:space="preserve">, 2016, 2020, 2024 </w:t>
      </w:r>
    </w:p>
    <w:p w:rsidR="001B37C0" w:rsidRPr="001B37C0" w:rsidP="002F4530">
      <w:pPr>
        <w:spacing w:line="269" w:lineRule="auto"/>
        <w:jc w:val="center"/>
        <w:rPr>
          <w:rFonts w:ascii="David" w:eastAsia="Calibri" w:hAnsi="David"/>
          <w:rtl/>
        </w:rPr>
      </w:pPr>
      <w:r w:rsidRPr="001B37C0">
        <w:rPr>
          <w:rFonts w:eastAsia="Calibri"/>
          <w:noProof/>
        </w:rPr>
        <w:drawing>
          <wp:inline distT="0" distB="0" distL="0" distR="0">
            <wp:extent cx="4903811" cy="2670175"/>
            <wp:effectExtent l="0" t="0" r="0" b="0"/>
            <wp:docPr id="977917235" name="תמונה 61" descr="התרשים מתאר את נתח השוק של הספקים הקטנים והספקים הגדולים (כולל סוכנויות) במגזר הביתי באספקה באמצעות מכלים מטלטלים, בשנים 2016, 2020, 2024. נתח השוק של הספקים הקטנים גדל מ-21% ל-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917235" name=""/>
                    <pic:cNvPicPr/>
                  </pic:nvPicPr>
                  <pic:blipFill>
                    <a:blip xmlns:r="http://schemas.openxmlformats.org/officeDocument/2006/relationships" r:embed="rId27"/>
                    <a:srcRect l="6063"/>
                    <a:stretch>
                      <a:fillRect/>
                    </a:stretch>
                  </pic:blipFill>
                  <pic:spPr bwMode="auto">
                    <a:xfrm>
                      <a:off x="0" y="0"/>
                      <a:ext cx="4903811" cy="267017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B37C0" w:rsidRPr="001B37C0" w:rsidP="002F4530">
      <w:pPr>
        <w:spacing w:line="269" w:lineRule="auto"/>
        <w:rPr>
          <w:rFonts w:ascii="David" w:eastAsia="Calibri" w:hAnsi="David"/>
          <w:szCs w:val="20"/>
          <w:rtl/>
        </w:rPr>
      </w:pPr>
      <w:r w:rsidRPr="001B37C0">
        <w:rPr>
          <w:rFonts w:ascii="David" w:eastAsia="Calibri" w:hAnsi="David" w:hint="cs"/>
          <w:szCs w:val="20"/>
          <w:rtl/>
        </w:rPr>
        <w:t>המקור:</w:t>
      </w:r>
      <w:r w:rsidRPr="001B37C0">
        <w:rPr>
          <w:rFonts w:ascii="David" w:eastAsia="Calibri" w:hAnsi="David" w:hint="cs"/>
          <w:szCs w:val="20"/>
        </w:rPr>
        <w:t xml:space="preserve"> </w:t>
      </w:r>
      <w:r w:rsidRPr="001B37C0">
        <w:rPr>
          <w:rFonts w:ascii="David" w:eastAsia="Calibri" w:hAnsi="David" w:hint="cs"/>
          <w:szCs w:val="20"/>
          <w:rtl/>
        </w:rPr>
        <w:t xml:space="preserve">מינהל הדלק. </w:t>
      </w:r>
    </w:p>
    <w:p w:rsidR="001B37C0" w:rsidRPr="001B37C0" w:rsidP="002F4530">
      <w:pPr>
        <w:keepNext/>
        <w:keepLines/>
        <w:spacing w:line="269" w:lineRule="auto"/>
        <w:ind w:left="-567"/>
        <w:rPr>
          <w:rFonts w:eastAsia="Calibri"/>
          <w:szCs w:val="20"/>
          <w:rtl/>
        </w:rPr>
      </w:pPr>
    </w:p>
    <w:p w:rsidR="001B37C0" w:rsidRPr="001B37C0" w:rsidP="002F4530">
      <w:pPr>
        <w:keepNext/>
        <w:keepLines/>
        <w:spacing w:line="269" w:lineRule="auto"/>
        <w:jc w:val="center"/>
        <w:rPr>
          <w:rFonts w:ascii="David" w:eastAsia="Calibri" w:hAnsi="David"/>
          <w:b/>
          <w:bCs/>
          <w:rtl/>
        </w:rPr>
      </w:pPr>
      <w:r w:rsidRPr="001B37C0">
        <w:rPr>
          <w:rFonts w:ascii="David" w:eastAsia="Calibri" w:hAnsi="David" w:hint="eastAsia"/>
          <w:rtl/>
        </w:rPr>
        <w:t>תרשים</w:t>
      </w:r>
      <w:r w:rsidRPr="001B37C0">
        <w:rPr>
          <w:rFonts w:ascii="David" w:eastAsia="Calibri" w:hAnsi="David"/>
          <w:rtl/>
        </w:rPr>
        <w:t xml:space="preserve"> 14:</w:t>
      </w:r>
      <w:r w:rsidRPr="001B37C0">
        <w:rPr>
          <w:rFonts w:ascii="David" w:eastAsia="Calibri" w:hAnsi="David" w:hint="cs"/>
          <w:b/>
          <w:bCs/>
          <w:rtl/>
        </w:rPr>
        <w:t xml:space="preserve"> נתח השוק של הספקים הקטנים והספקים הגדולים (כולל סוכנויות) במגזר הביתי באספקה באמצעות מרכזיית מכל נייח, 2016, 2020, 2024</w:t>
      </w:r>
    </w:p>
    <w:p w:rsidR="001B37C0" w:rsidRPr="001B37C0" w:rsidP="002F4530">
      <w:pPr>
        <w:spacing w:line="269" w:lineRule="auto"/>
        <w:rPr>
          <w:rFonts w:ascii="David" w:eastAsia="Calibri" w:hAnsi="David"/>
          <w:rtl/>
        </w:rPr>
      </w:pPr>
      <w:r w:rsidRPr="001B37C0">
        <w:rPr>
          <w:rFonts w:eastAsia="Calibri"/>
          <w:noProof/>
        </w:rPr>
        <w:drawing>
          <wp:inline distT="0" distB="0" distL="0" distR="0">
            <wp:extent cx="5220335" cy="2780665"/>
            <wp:effectExtent l="0" t="0" r="0" b="635"/>
            <wp:docPr id="45" name="תמונה 45" descr="התרשים מתאר את נתח השוק של הספקים הקטנים והספקים הגדולים (כולל סוכנויות) במגזר הביתי באספקה באמצעות מרכזיית מכל נייח  בשנים 2016, 2020, 2024. נתח השוק של הספקים הקטנים גדל מ-10% ל-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xmlns:r="http://schemas.openxmlformats.org/officeDocument/2006/relationships" r:embed="rId28"/>
                    <a:stretch>
                      <a:fillRect/>
                    </a:stretch>
                  </pic:blipFill>
                  <pic:spPr>
                    <a:xfrm>
                      <a:off x="0" y="0"/>
                      <a:ext cx="5220335" cy="2780665"/>
                    </a:xfrm>
                    <a:prstGeom prst="rect">
                      <a:avLst/>
                    </a:prstGeom>
                  </pic:spPr>
                </pic:pic>
              </a:graphicData>
            </a:graphic>
          </wp:inline>
        </w:drawing>
      </w:r>
    </w:p>
    <w:p w:rsidR="001B37C0" w:rsidRPr="001B37C0" w:rsidP="002F4530">
      <w:pPr>
        <w:spacing w:line="269" w:lineRule="auto"/>
        <w:rPr>
          <w:rFonts w:ascii="David" w:eastAsia="Calibri" w:hAnsi="David"/>
          <w:szCs w:val="20"/>
          <w:rtl/>
        </w:rPr>
      </w:pPr>
      <w:r w:rsidRPr="001B37C0">
        <w:rPr>
          <w:rFonts w:ascii="David" w:eastAsia="Calibri" w:hAnsi="David" w:hint="cs"/>
          <w:szCs w:val="20"/>
          <w:rtl/>
        </w:rPr>
        <w:t>המקור:</w:t>
      </w:r>
      <w:r w:rsidRPr="001B37C0">
        <w:rPr>
          <w:rFonts w:ascii="David" w:eastAsia="Calibri" w:hAnsi="David" w:hint="cs"/>
          <w:szCs w:val="20"/>
        </w:rPr>
        <w:t xml:space="preserve"> </w:t>
      </w:r>
      <w:r w:rsidRPr="001B37C0">
        <w:rPr>
          <w:rFonts w:ascii="David" w:eastAsia="Calibri" w:hAnsi="David" w:hint="cs"/>
          <w:szCs w:val="20"/>
          <w:rtl/>
        </w:rPr>
        <w:t xml:space="preserve">מינהל הדלק.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מהתרשימים עולה כי נתח השוק של הספקים הקטנים גדל בשנים 2016 - 2024 מ-21% ל-37% באספקה באמצעות מכלים מיטלטלים, ומ-10% ל-23% באספקה באמצעות מרכזיית מכל נייח. נתח השוק של הספקים הגדולים עודנו גדול, בייחוד באספקה באמצעות מרכזיית מכל נייח, שהיא אמצעי האספקה הנפוץ ביותר למגזר הביתי בישראל (43% בשנת 2024). </w:t>
      </w:r>
    </w:p>
    <w:p w:rsidR="001B37C0" w:rsidP="002F4530">
      <w:pPr>
        <w:spacing w:line="269" w:lineRule="auto"/>
        <w:contextualSpacing/>
        <w:rPr>
          <w:rFonts w:ascii="David" w:eastAsia="Calibri" w:hAnsi="David"/>
          <w:rtl/>
        </w:rPr>
      </w:pPr>
    </w:p>
    <w:p w:rsidR="001B37C0" w:rsidRPr="001B37C0" w:rsidP="002F4530">
      <w:pPr>
        <w:spacing w:line="269" w:lineRule="auto"/>
        <w:rPr>
          <w:rFonts w:ascii="David" w:eastAsia="Calibri" w:hAnsi="David"/>
          <w:b/>
          <w:bCs/>
          <w:rtl/>
        </w:rPr>
      </w:pPr>
      <w:r w:rsidRPr="001B37C0">
        <w:rPr>
          <w:rFonts w:ascii="David" w:eastAsia="Calibri" w:hAnsi="David"/>
          <w:b/>
          <w:bCs/>
          <w:rtl/>
        </w:rPr>
        <w:t xml:space="preserve">על אף תיקוני החקיקה </w:t>
      </w:r>
      <w:r w:rsidRPr="001B37C0">
        <w:rPr>
          <w:rFonts w:ascii="David" w:eastAsia="Calibri" w:hAnsi="David" w:hint="cs"/>
          <w:b/>
          <w:bCs/>
          <w:rtl/>
        </w:rPr>
        <w:t xml:space="preserve">הרבים </w:t>
      </w:r>
      <w:r w:rsidRPr="001B37C0">
        <w:rPr>
          <w:rFonts w:ascii="David" w:eastAsia="Calibri" w:hAnsi="David"/>
          <w:b/>
          <w:bCs/>
          <w:rtl/>
        </w:rPr>
        <w:t xml:space="preserve">שנעשו, </w:t>
      </w:r>
      <w:r w:rsidRPr="001B37C0">
        <w:rPr>
          <w:rFonts w:ascii="David" w:eastAsia="Calibri" w:hAnsi="David" w:hint="cs"/>
          <w:b/>
          <w:bCs/>
          <w:rtl/>
        </w:rPr>
        <w:t xml:space="preserve">במשך כעשור גדל נתח השוק של הספקים הקטנים </w:t>
      </w:r>
      <w:r w:rsidR="00A87F40">
        <w:rPr>
          <w:rFonts w:ascii="David" w:eastAsia="Calibri" w:hAnsi="David"/>
          <w:b/>
          <w:bCs/>
          <w:rtl/>
        </w:rPr>
        <w:br/>
      </w:r>
      <w:r w:rsidRPr="001B37C0">
        <w:rPr>
          <w:rFonts w:ascii="David" w:eastAsia="Calibri" w:hAnsi="David" w:hint="cs"/>
          <w:b/>
          <w:bCs/>
          <w:rtl/>
        </w:rPr>
        <w:t xml:space="preserve">מ-21% ל-37% באספקה באמצעות מכלים מיטלטלים, ומ-10% ל-23% באספקה באמצעות מרכזיית מכל נייח. </w:t>
      </w:r>
      <w:r w:rsidRPr="001B37C0">
        <w:rPr>
          <w:rFonts w:ascii="David" w:eastAsia="Calibri" w:hAnsi="David"/>
          <w:b/>
          <w:bCs/>
          <w:rtl/>
        </w:rPr>
        <w:t>מסתמן כי מקטע שיווק הגפ"ם</w:t>
      </w:r>
      <w:r w:rsidRPr="001B37C0">
        <w:rPr>
          <w:rFonts w:ascii="David" w:eastAsia="Calibri" w:hAnsi="David" w:hint="cs"/>
          <w:b/>
          <w:bCs/>
          <w:rtl/>
        </w:rPr>
        <w:t xml:space="preserve"> במגזר הביתי</w:t>
      </w:r>
      <w:r w:rsidRPr="001B37C0">
        <w:rPr>
          <w:rFonts w:ascii="David" w:eastAsia="Calibri" w:hAnsi="David"/>
          <w:b/>
          <w:bCs/>
          <w:rtl/>
        </w:rPr>
        <w:t xml:space="preserve"> עודנו ריכוזי ורובו (</w:t>
      </w:r>
      <w:r w:rsidRPr="001B37C0">
        <w:rPr>
          <w:rFonts w:ascii="David" w:eastAsia="Calibri" w:hAnsi="David" w:hint="cs"/>
          <w:b/>
          <w:bCs/>
          <w:rtl/>
        </w:rPr>
        <w:t>63% במכלים מיטלטלים ו</w:t>
      </w:r>
      <w:r w:rsidRPr="001B37C0">
        <w:rPr>
          <w:rFonts w:ascii="David" w:eastAsia="Calibri" w:hAnsi="David"/>
          <w:b/>
          <w:bCs/>
          <w:rtl/>
        </w:rPr>
        <w:t>-</w:t>
      </w:r>
      <w:r w:rsidRPr="001B37C0">
        <w:rPr>
          <w:rFonts w:ascii="David" w:eastAsia="Calibri" w:hAnsi="David" w:hint="cs"/>
          <w:b/>
          <w:bCs/>
          <w:rtl/>
        </w:rPr>
        <w:t>77</w:t>
      </w:r>
      <w:r w:rsidRPr="001B37C0">
        <w:rPr>
          <w:rFonts w:ascii="David" w:eastAsia="Calibri" w:hAnsi="David"/>
          <w:b/>
          <w:bCs/>
          <w:rtl/>
        </w:rPr>
        <w:t>%</w:t>
      </w:r>
      <w:r w:rsidRPr="001B37C0">
        <w:rPr>
          <w:rFonts w:ascii="David" w:eastAsia="Calibri" w:hAnsi="David" w:hint="cs"/>
          <w:b/>
          <w:bCs/>
          <w:rtl/>
        </w:rPr>
        <w:t xml:space="preserve"> במרכזיית מכל נייח בשנת 2024</w:t>
      </w:r>
      <w:r w:rsidRPr="001B37C0">
        <w:rPr>
          <w:rFonts w:ascii="David" w:eastAsia="Calibri" w:hAnsi="David"/>
          <w:b/>
          <w:bCs/>
          <w:rtl/>
        </w:rPr>
        <w:t xml:space="preserve">) נשלט על ידי </w:t>
      </w:r>
      <w:r w:rsidRPr="001B37C0">
        <w:rPr>
          <w:rFonts w:ascii="David" w:eastAsia="Calibri" w:hAnsi="David" w:hint="cs"/>
          <w:b/>
          <w:bCs/>
          <w:rtl/>
        </w:rPr>
        <w:t>ארבעת</w:t>
      </w:r>
      <w:r w:rsidRPr="001B37C0">
        <w:rPr>
          <w:rFonts w:ascii="David" w:eastAsia="Calibri" w:hAnsi="David"/>
          <w:b/>
          <w:bCs/>
          <w:rtl/>
        </w:rPr>
        <w:t xml:space="preserve"> </w:t>
      </w:r>
      <w:r w:rsidRPr="001B37C0">
        <w:rPr>
          <w:rFonts w:ascii="David" w:eastAsia="Calibri" w:hAnsi="David" w:hint="cs"/>
          <w:b/>
          <w:bCs/>
          <w:rtl/>
        </w:rPr>
        <w:t>הספקים הגדולים</w:t>
      </w:r>
      <w:r w:rsidRPr="001B37C0">
        <w:rPr>
          <w:rFonts w:ascii="David" w:eastAsia="Calibri" w:hAnsi="David"/>
          <w:b/>
          <w:bCs/>
          <w:rtl/>
        </w:rPr>
        <w:t>.</w:t>
      </w:r>
      <w:r w:rsidRPr="001B37C0">
        <w:rPr>
          <w:rFonts w:ascii="David" w:eastAsia="Calibri" w:hAnsi="David" w:hint="cs"/>
          <w:b/>
          <w:bCs/>
          <w:rtl/>
        </w:rPr>
        <w:t xml:space="preserve"> הדבר משפיע על מחירי הגפ"ם לצרכן הביתי ועל יכולת המעבר מספק גז אחד למשנהו. </w:t>
      </w:r>
      <w:r w:rsidRPr="001B37C0">
        <w:rPr>
          <w:rFonts w:ascii="David" w:eastAsia="Calibri" w:hAnsi="David" w:hint="cs"/>
          <w:b/>
          <w:bCs/>
          <w:rtl/>
        </w:rPr>
        <w:t>נמצא כי על אף האמור, רשות התחרות לא ביצעה מחקרי שוק מקיפים מ-2017 לצורך קידום התחרות ואיתור חסמים להתפתחותה.</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בתשובתו מאפריל 2026 למשרד מבקר המדינה מסר ספק גדול ב' כי ככלל, יש תחרות משמעותית בשוק הגפ"ם: 60 מתחרים בשוק המכלים ולפחות 13 מתחרים בשוק המכלים הנייחים. לעומת ענפים אחרים בישראל (כגון כרטיסי אשראי, פארם, בנקים וסלולר) מדובר בשוק מרובה מתחרים, ונתח השוק של הספקים הגדולים קטן משמעותית מנתח השוק של הספקים הגדולים בענפים אחרים.</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 xml:space="preserve">בתשובתה למשרד מבקר המדינה מסרה רשות התחרות כי מאז פרסום המחקר המקיף שעשתה </w:t>
      </w:r>
      <w:r w:rsidR="001E604F">
        <w:rPr>
          <w:rFonts w:eastAsia="Calibri"/>
          <w:sz w:val="22"/>
          <w:szCs w:val="22"/>
          <w:rtl/>
        </w:rPr>
        <w:br/>
      </w:r>
      <w:r w:rsidRPr="001B37C0">
        <w:rPr>
          <w:rFonts w:eastAsia="Calibri" w:hint="cs"/>
          <w:rtl/>
        </w:rPr>
        <w:t>ב-2017 היא ממשיכה לעדכן ולהעמיק את היכרותה עם תחום הגפ"ם באופן שוטף אגב בחינת מיזוגים, מתן ייעוץ, השתתפות בוועדות מקצועיות ומענה לפניות הציבור. במסגרת פעילות זו מקיימת הרשות שיח שוטף ומעמיק עם גורמים ציבוריים ופרטיים הפעילים בתחום הגפ"ם ופועלת בהתאם לידע זה. זאת ועוד, הרשות עומדת בקשר יומיומי עם הגורמים הרלוונטיים במינהל הדלק, באגף החשכ"ל ובאג"ת כדי לבחון דרכים מגוונות לקידום התחרות בתחום שיווק הגפ"ם ללקוחות הקצה ובמתן מענה נקודתי לשאלות העולות מהשטח בתחום זה. לצד ממשקי עבודה אלה הרשות שותפה עם מינהל הדלק והחשכ"ל בקול קורא שפורסם בדצמבר 2025 בנושא "ניתוח התחרות בשוק אספקת הגפ"ם למשקי בית לחלופות לפתרון הבעיה התחרותית". הרשות שותפה בניתוח התגובות לקול הקורא ובגיבוש צעדים להמשך. לאור הפעילות המגוונת של הרשות בתחום הגפ"ם והמשאבים הרבים שהיא משקיעה בה, הרשות סבורה כי השקעת המשאבים הדרושה לעריכת מחקר עדכני בתחום אינה מוצדקת. הרשות מבצעת פעולות אכיפה נגד הפרות של חוק התחרות כלפי חברות המחזיקות בכוח שוק משמעותי בלי תלות במחקרי שוק.</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b/>
          <w:bCs/>
          <w:rtl/>
        </w:rPr>
      </w:pPr>
      <w:r w:rsidRPr="001B37C0">
        <w:rPr>
          <w:rFonts w:ascii="David" w:eastAsia="Calibri" w:hAnsi="David" w:hint="cs"/>
          <w:b/>
          <w:bCs/>
          <w:rtl/>
        </w:rPr>
        <w:t>ל</w:t>
      </w:r>
      <w:r w:rsidRPr="001B37C0">
        <w:rPr>
          <w:rFonts w:ascii="David" w:eastAsia="Calibri" w:hAnsi="David"/>
          <w:b/>
          <w:bCs/>
          <w:rtl/>
        </w:rPr>
        <w:t xml:space="preserve">נוכח </w:t>
      </w:r>
      <w:r w:rsidRPr="001B37C0">
        <w:rPr>
          <w:rFonts w:ascii="David" w:eastAsia="Calibri" w:hAnsi="David" w:hint="cs"/>
          <w:b/>
          <w:bCs/>
          <w:rtl/>
        </w:rPr>
        <w:t>ה</w:t>
      </w:r>
      <w:r w:rsidRPr="001B37C0">
        <w:rPr>
          <w:rFonts w:ascii="David" w:eastAsia="Calibri" w:hAnsi="David"/>
          <w:b/>
          <w:bCs/>
          <w:rtl/>
        </w:rPr>
        <w:t xml:space="preserve">התפתחות האיטית </w:t>
      </w:r>
      <w:r w:rsidRPr="001B37C0">
        <w:rPr>
          <w:rFonts w:ascii="David" w:eastAsia="Calibri" w:hAnsi="David" w:hint="cs"/>
          <w:b/>
          <w:bCs/>
          <w:rtl/>
        </w:rPr>
        <w:t>של ה</w:t>
      </w:r>
      <w:r w:rsidRPr="001B37C0">
        <w:rPr>
          <w:rFonts w:ascii="David" w:eastAsia="Calibri" w:hAnsi="David"/>
          <w:b/>
          <w:bCs/>
          <w:rtl/>
        </w:rPr>
        <w:t>תחרות</w:t>
      </w:r>
      <w:r w:rsidRPr="001B37C0">
        <w:rPr>
          <w:rFonts w:ascii="David" w:eastAsia="Calibri" w:hAnsi="David" w:hint="cs"/>
          <w:b/>
          <w:bCs/>
          <w:rtl/>
        </w:rPr>
        <w:t xml:space="preserve"> בשוק הגפ"ם</w:t>
      </w:r>
      <w:r w:rsidRPr="001B37C0">
        <w:rPr>
          <w:rFonts w:ascii="David" w:eastAsia="Calibri" w:hAnsi="David"/>
          <w:b/>
          <w:bCs/>
          <w:rtl/>
        </w:rPr>
        <w:t xml:space="preserve"> מומלץ כי רשות התחרות </w:t>
      </w:r>
      <w:r w:rsidRPr="001B37C0">
        <w:rPr>
          <w:rFonts w:ascii="David" w:eastAsia="Calibri" w:hAnsi="David" w:hint="cs"/>
          <w:b/>
          <w:bCs/>
          <w:rtl/>
        </w:rPr>
        <w:t xml:space="preserve">תבצע </w:t>
      </w:r>
      <w:r w:rsidRPr="001B37C0">
        <w:rPr>
          <w:rFonts w:ascii="David" w:eastAsia="Calibri" w:hAnsi="David"/>
          <w:b/>
          <w:bCs/>
          <w:rtl/>
        </w:rPr>
        <w:t xml:space="preserve">מפעם לפעם מחקרי שוק לפי סעיף 44א לחוק התחרות </w:t>
      </w:r>
      <w:r w:rsidRPr="001B37C0">
        <w:rPr>
          <w:rFonts w:ascii="David" w:eastAsia="Calibri" w:hAnsi="David" w:hint="cs"/>
          <w:b/>
          <w:bCs/>
          <w:rtl/>
        </w:rPr>
        <w:t xml:space="preserve">הכלכלית, התשמ"ח-1988, </w:t>
      </w:r>
      <w:r w:rsidRPr="001B37C0">
        <w:rPr>
          <w:rFonts w:ascii="David" w:eastAsia="Calibri" w:hAnsi="David"/>
          <w:b/>
          <w:bCs/>
          <w:rtl/>
        </w:rPr>
        <w:t>לצורך קידום התחרות ואיתור חסמים להתפתחותה.</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hint="cs"/>
          <w:b/>
          <w:bCs/>
          <w:rtl/>
        </w:rPr>
        <w:t>מומלץ למשרד האנרגיה, בשיתוף משרד האוצר ורשות התחרות, לבחון את נושא הריכוזיות במגזר הביתי, לאתר את החסמים של הספקים הקטנים להגדלת נתח השוק ולקבוע דרכים נוספות לעידוד התחרות במגזר הביתי.</w:t>
      </w:r>
    </w:p>
    <w:p w:rsidR="001B37C0" w:rsidRPr="001B37C0" w:rsidP="002F4530">
      <w:pPr>
        <w:keepNext/>
        <w:keepLines/>
        <w:spacing w:line="269" w:lineRule="auto"/>
        <w:ind w:left="-567"/>
        <w:rPr>
          <w:rFonts w:eastAsia="Calibri"/>
          <w:szCs w:val="20"/>
          <w:rtl/>
        </w:rPr>
      </w:pPr>
    </w:p>
    <w:p w:rsidR="001B37C0" w:rsidRPr="001B37C0" w:rsidP="002F4530">
      <w:pPr>
        <w:keepNext/>
        <w:keepLines/>
        <w:spacing w:line="269" w:lineRule="auto"/>
        <w:outlineLvl w:val="3"/>
        <w:rPr>
          <w:rFonts w:eastAsia="Times New Roman"/>
          <w:bCs/>
          <w:szCs w:val="26"/>
          <w:rtl/>
        </w:rPr>
      </w:pPr>
      <w:r w:rsidRPr="001B37C0">
        <w:rPr>
          <w:rFonts w:eastAsia="Times New Roman" w:hint="cs"/>
          <w:bCs/>
          <w:szCs w:val="26"/>
          <w:rtl/>
        </w:rPr>
        <w:t>הפריסה הגיאוגרפית של הספקים הגדולים</w:t>
      </w:r>
    </w:p>
    <w:p w:rsidR="001B37C0" w:rsidRPr="001B37C0" w:rsidP="002F4530">
      <w:pPr>
        <w:spacing w:line="269" w:lineRule="auto"/>
        <w:rPr>
          <w:rFonts w:eastAsia="Calibri"/>
          <w:rtl/>
        </w:rPr>
      </w:pPr>
      <w:r w:rsidRPr="001B37C0">
        <w:rPr>
          <w:rFonts w:eastAsia="Calibri" w:hint="cs"/>
          <w:rtl/>
        </w:rPr>
        <w:t>כאמור, ארבעת ספקי הגז הגדולים סיפקו נכון לשנת 2024 כ-63% מהצריכה באמצעות מכלים מיטלטלים (12 ו-48 ק"ג) וכ-77% מהצריכה באמצעות מכל נייח. משרד מבקר המדינה בדק באלו אזורים בארץ נתח השוק של הספקים הגדולים היה למעלה מ-30% באספקה באמצעות מכלי 48 ק"ג ובאספקה באמצעות מכלים נייחים בשנת 2024</w:t>
      </w:r>
      <w:r>
        <w:rPr>
          <w:rFonts w:eastAsia="Calibri"/>
          <w:vertAlign w:val="superscript"/>
          <w:rtl/>
        </w:rPr>
        <w:footnoteReference w:id="126"/>
      </w:r>
      <w:r w:rsidRPr="001B37C0">
        <w:rPr>
          <w:rFonts w:eastAsia="Calibri" w:hint="cs"/>
          <w:rtl/>
        </w:rPr>
        <w:t xml:space="preserve">.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rtl/>
        </w:rPr>
      </w:pPr>
      <w:r w:rsidRPr="001B37C0">
        <w:rPr>
          <w:rFonts w:eastAsia="Calibri" w:hint="cs"/>
          <w:rtl/>
        </w:rPr>
        <w:t>במפה שלהלן מפורטת הפריסה הגיאוגרפית של הספקים הגדולים שנתח השוק שלהם היה למעלה מ-30%, באספקה באמצעות מכלי 48 ק"ג בשנת 2024.</w:t>
      </w:r>
    </w:p>
    <w:p w:rsidR="001B37C0" w:rsidP="002F4530">
      <w:pPr>
        <w:spacing w:line="269" w:lineRule="auto"/>
        <w:contextualSpacing/>
        <w:rPr>
          <w:rFonts w:ascii="David" w:eastAsia="Calibri" w:hAnsi="David"/>
          <w:rtl/>
        </w:rPr>
      </w:pPr>
    </w:p>
    <w:p w:rsidR="001B37C0" w:rsidRPr="001B37C0" w:rsidP="002F4530">
      <w:pPr>
        <w:keepNext/>
        <w:keepLines/>
        <w:spacing w:line="269" w:lineRule="auto"/>
        <w:jc w:val="center"/>
        <w:rPr>
          <w:rFonts w:ascii="David" w:eastAsia="Calibri" w:hAnsi="David"/>
          <w:rtl/>
        </w:rPr>
      </w:pPr>
      <w:r w:rsidRPr="001B37C0">
        <w:rPr>
          <w:rFonts w:eastAsia="Calibri" w:hint="cs"/>
          <w:rtl/>
        </w:rPr>
        <w:t>מפה 1:</w:t>
      </w:r>
      <w:r w:rsidRPr="001B37C0">
        <w:rPr>
          <w:rFonts w:eastAsia="Calibri" w:hint="cs"/>
          <w:b/>
          <w:bCs/>
          <w:rtl/>
        </w:rPr>
        <w:t xml:space="preserve"> הפריסה הגיאוגרפית של הספקים הגדולים שנתח השוק שלהם באזור גדול מ-30%, באספקה באמצעות מכלי 48 ק"ג, 2024</w:t>
      </w:r>
    </w:p>
    <w:p w:rsidR="001B37C0" w:rsidRPr="001B37C0" w:rsidP="002F4530">
      <w:pPr>
        <w:spacing w:line="269" w:lineRule="auto"/>
        <w:rPr>
          <w:rFonts w:eastAsia="Calibri"/>
          <w:szCs w:val="20"/>
          <w:rtl/>
        </w:rPr>
      </w:pPr>
      <w:r w:rsidRPr="001B37C0">
        <w:rPr>
          <w:rFonts w:eastAsia="Calibri"/>
          <w:noProof/>
        </w:rPr>
        <w:drawing>
          <wp:inline distT="0" distB="0" distL="0" distR="0">
            <wp:extent cx="5220335" cy="7796530"/>
            <wp:effectExtent l="0" t="0" r="0" b="0"/>
            <wp:docPr id="17" name="תמונה 17" descr="המפה מתארת את הפריסה הגאוגרפית של הספקים הגדולים שנתח השוק שלהם באזור גדל מ-30% באספקה באמצעות מכלי 48 ק&quot;ג,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9"/>
                    <a:stretch>
                      <a:fillRect/>
                    </a:stretch>
                  </pic:blipFill>
                  <pic:spPr>
                    <a:xfrm>
                      <a:off x="0" y="0"/>
                      <a:ext cx="5220335" cy="7796530"/>
                    </a:xfrm>
                    <a:prstGeom prst="rect">
                      <a:avLst/>
                    </a:prstGeom>
                  </pic:spPr>
                </pic:pic>
              </a:graphicData>
            </a:graphic>
          </wp:inline>
        </w:drawing>
      </w:r>
    </w:p>
    <w:p w:rsidR="001B37C0" w:rsidRPr="001B37C0" w:rsidP="002F4530">
      <w:pPr>
        <w:spacing w:line="269" w:lineRule="auto"/>
        <w:rPr>
          <w:rFonts w:eastAsia="Calibri"/>
          <w:szCs w:val="20"/>
          <w:rtl/>
        </w:rPr>
      </w:pPr>
      <w:r w:rsidRPr="001B37C0">
        <w:rPr>
          <w:rFonts w:eastAsia="Calibri" w:hint="cs"/>
          <w:szCs w:val="20"/>
          <w:rtl/>
        </w:rPr>
        <w:t>המקור: נתוני מינהל הדלק, בעיבוד משרד מבקר המדינה</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sz w:val="24"/>
          <w:rtl/>
        </w:rPr>
      </w:pPr>
      <w:r w:rsidRPr="001B37C0">
        <w:rPr>
          <w:rFonts w:eastAsia="Calibri" w:hint="cs"/>
          <w:sz w:val="24"/>
          <w:rtl/>
        </w:rPr>
        <w:t xml:space="preserve">מהמפה ובה הפריסה הגיאוגרפית של הספקים הגדולים, עולה כי באזורים שונים בארץ ישנה שליטה של חלק מהספקים באזורים שונים בארץ באמצעי האספקה של מכל 48 ק"ג כמפורט להלן: ברמת הגולן יש שליטה לספק גדול </w:t>
      </w:r>
      <w:r w:rsidRPr="001B37C0">
        <w:rPr>
          <w:rFonts w:eastAsia="Calibri" w:hint="cs"/>
          <w:sz w:val="24"/>
        </w:rPr>
        <w:t>III</w:t>
      </w:r>
      <w:r w:rsidRPr="001B37C0">
        <w:rPr>
          <w:rFonts w:eastAsia="Calibri" w:hint="cs"/>
          <w:sz w:val="24"/>
          <w:rtl/>
        </w:rPr>
        <w:t xml:space="preserve"> (כ-62%); במערב הגליל העליון ספק גדול </w:t>
      </w:r>
      <w:r w:rsidRPr="001B37C0">
        <w:rPr>
          <w:rFonts w:eastAsia="Calibri" w:hint="cs"/>
          <w:sz w:val="24"/>
        </w:rPr>
        <w:t>I</w:t>
      </w:r>
      <w:r w:rsidRPr="001B37C0">
        <w:rPr>
          <w:rFonts w:eastAsia="Calibri" w:hint="cs"/>
          <w:sz w:val="24"/>
          <w:rtl/>
        </w:rPr>
        <w:t xml:space="preserve"> דומיננטי (31% עד 70%); באזור בית שאן ובאיו"ש יש שליטה לספק גדול </w:t>
      </w:r>
      <w:r w:rsidRPr="001B37C0">
        <w:rPr>
          <w:rFonts w:eastAsia="Calibri" w:hint="cs"/>
          <w:sz w:val="24"/>
        </w:rPr>
        <w:t>III</w:t>
      </w:r>
      <w:r w:rsidRPr="001B37C0">
        <w:rPr>
          <w:rFonts w:eastAsia="Calibri" w:hint="cs"/>
          <w:sz w:val="24"/>
          <w:rtl/>
        </w:rPr>
        <w:t xml:space="preserve"> (כ-33% ו-52% עד 88%, בהתאמה).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sz w:val="24"/>
          <w:rtl/>
        </w:rPr>
      </w:pPr>
      <w:r w:rsidRPr="001B37C0">
        <w:rPr>
          <w:rFonts w:eastAsia="Calibri" w:hint="cs"/>
          <w:sz w:val="24"/>
          <w:rtl/>
        </w:rPr>
        <w:t xml:space="preserve">באזור השרון בעיקר ספק גדול </w:t>
      </w:r>
      <w:r w:rsidRPr="001B37C0">
        <w:rPr>
          <w:rFonts w:eastAsia="Calibri" w:hint="cs"/>
          <w:sz w:val="24"/>
        </w:rPr>
        <w:t>I</w:t>
      </w:r>
      <w:r w:rsidRPr="001B37C0">
        <w:rPr>
          <w:rFonts w:eastAsia="Calibri" w:hint="cs"/>
          <w:sz w:val="24"/>
          <w:rtl/>
        </w:rPr>
        <w:t xml:space="preserve"> דומיננטי (כ-30% עד 40%).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sz w:val="24"/>
          <w:rtl/>
        </w:rPr>
      </w:pPr>
      <w:r w:rsidRPr="001B37C0">
        <w:rPr>
          <w:rFonts w:eastAsia="Calibri" w:hint="cs"/>
          <w:sz w:val="24"/>
          <w:rtl/>
        </w:rPr>
        <w:t xml:space="preserve">ממודיעין ודרומה בעיקר ספק גדול </w:t>
      </w:r>
      <w:r w:rsidRPr="001B37C0">
        <w:rPr>
          <w:rFonts w:eastAsia="Calibri" w:hint="cs"/>
          <w:sz w:val="24"/>
        </w:rPr>
        <w:t>I</w:t>
      </w:r>
      <w:r w:rsidRPr="001B37C0">
        <w:rPr>
          <w:rFonts w:eastAsia="Calibri" w:hint="cs"/>
          <w:sz w:val="24"/>
          <w:rtl/>
        </w:rPr>
        <w:t xml:space="preserve"> דומיננטי (31% עד 77%); באזור קריית גת, לכיש ודימונה ספק גדול </w:t>
      </w:r>
      <w:r w:rsidRPr="001B37C0">
        <w:rPr>
          <w:rFonts w:eastAsia="Calibri" w:hint="cs"/>
          <w:sz w:val="24"/>
        </w:rPr>
        <w:t>III</w:t>
      </w:r>
      <w:r w:rsidRPr="001B37C0">
        <w:rPr>
          <w:rFonts w:eastAsia="Calibri" w:hint="cs"/>
          <w:sz w:val="24"/>
          <w:rtl/>
        </w:rPr>
        <w:t xml:space="preserve"> דומיננטי (כ-31%, כ-51% וכ-42% בהתאמה). </w:t>
      </w:r>
    </w:p>
    <w:p w:rsidR="001B37C0" w:rsidRPr="001B37C0" w:rsidP="002F4530">
      <w:pPr>
        <w:keepNext/>
        <w:keepLines/>
        <w:spacing w:line="269" w:lineRule="auto"/>
        <w:ind w:left="-567"/>
        <w:rPr>
          <w:rFonts w:eastAsia="Calibri"/>
          <w:szCs w:val="20"/>
          <w:rtl/>
        </w:rPr>
      </w:pPr>
    </w:p>
    <w:p w:rsidR="001B37C0" w:rsidP="002F4530">
      <w:pPr>
        <w:spacing w:line="269" w:lineRule="auto"/>
        <w:rPr>
          <w:rFonts w:eastAsia="Calibri"/>
          <w:rtl/>
        </w:rPr>
      </w:pPr>
      <w:r w:rsidRPr="001B37C0">
        <w:rPr>
          <w:rFonts w:eastAsia="Calibri" w:hint="cs"/>
          <w:rtl/>
        </w:rPr>
        <w:t xml:space="preserve">במפה שלהלן מפורטת הפריסה הגיאוגרפית של הספקים הגדולים שנתח השוק שלהם היה למעלה מ-30%, באספקה באמצעות מכלים נייחים בשנת 2024. </w:t>
      </w:r>
    </w:p>
    <w:p w:rsidR="001B37C0" w:rsidP="002F4530">
      <w:pPr>
        <w:spacing w:line="269" w:lineRule="auto"/>
        <w:rPr>
          <w:rFonts w:eastAsia="Calibri"/>
          <w:rtl/>
        </w:rPr>
      </w:pPr>
    </w:p>
    <w:p w:rsidR="001B37C0" w:rsidRPr="001B37C0" w:rsidP="002F4530">
      <w:pPr>
        <w:keepNext/>
        <w:keepLines/>
        <w:spacing w:line="269" w:lineRule="auto"/>
        <w:jc w:val="center"/>
        <w:rPr>
          <w:rFonts w:ascii="David" w:eastAsia="Calibri" w:hAnsi="David"/>
          <w:rtl/>
        </w:rPr>
      </w:pPr>
      <w:r w:rsidRPr="001B37C0">
        <w:rPr>
          <w:rFonts w:eastAsia="Calibri" w:hint="cs"/>
          <w:rtl/>
        </w:rPr>
        <w:t>מפה 2:</w:t>
      </w:r>
      <w:r w:rsidRPr="001B37C0">
        <w:rPr>
          <w:rFonts w:eastAsia="Calibri" w:hint="cs"/>
          <w:b/>
          <w:bCs/>
          <w:rtl/>
        </w:rPr>
        <w:t xml:space="preserve"> הפריסה הגיאוגרפית של הספקים הגדולים שנתח השוק שלהם הוא למעלה מ-30%, באספקה באמצעות מכלים נייחים, 2024</w:t>
      </w:r>
    </w:p>
    <w:p w:rsidR="001B37C0" w:rsidRPr="001B37C0" w:rsidP="002F4530">
      <w:pPr>
        <w:spacing w:line="269" w:lineRule="auto"/>
        <w:rPr>
          <w:rFonts w:eastAsia="Calibri"/>
          <w:szCs w:val="20"/>
          <w:rtl/>
        </w:rPr>
      </w:pPr>
      <w:r w:rsidRPr="001B37C0">
        <w:rPr>
          <w:rFonts w:eastAsia="Calibri"/>
          <w:noProof/>
        </w:rPr>
        <w:drawing>
          <wp:inline distT="0" distB="0" distL="0" distR="0">
            <wp:extent cx="5220335" cy="7761605"/>
            <wp:effectExtent l="0" t="0" r="0" b="0"/>
            <wp:docPr id="38" name="תמונה 38" descr="המפה מתארת את הפריסה הגאוגרפית של הספקים הגדולים שנתח השוק שלהם באזור גדל מ-30% באספקה באמצעות מכלים נייחים,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xmlns:r="http://schemas.openxmlformats.org/officeDocument/2006/relationships" r:embed="rId30"/>
                    <a:stretch>
                      <a:fillRect/>
                    </a:stretch>
                  </pic:blipFill>
                  <pic:spPr>
                    <a:xfrm>
                      <a:off x="0" y="0"/>
                      <a:ext cx="5220335" cy="7761605"/>
                    </a:xfrm>
                    <a:prstGeom prst="rect">
                      <a:avLst/>
                    </a:prstGeom>
                  </pic:spPr>
                </pic:pic>
              </a:graphicData>
            </a:graphic>
          </wp:inline>
        </w:drawing>
      </w:r>
    </w:p>
    <w:p w:rsidR="001B37C0" w:rsidRPr="001B37C0" w:rsidP="002F4530">
      <w:pPr>
        <w:spacing w:line="269" w:lineRule="auto"/>
        <w:rPr>
          <w:rFonts w:eastAsia="Calibri"/>
          <w:szCs w:val="20"/>
          <w:rtl/>
        </w:rPr>
      </w:pPr>
      <w:r w:rsidRPr="001B37C0">
        <w:rPr>
          <w:rFonts w:eastAsia="Calibri" w:hint="cs"/>
          <w:szCs w:val="20"/>
          <w:rtl/>
        </w:rPr>
        <w:t>המקור: נתוני מינהל הדלק, בעיבוד משרד מבקר המדינה</w:t>
      </w:r>
    </w:p>
    <w:p w:rsidR="00A87F40" w:rsidP="002F4530">
      <w:pPr>
        <w:spacing w:line="269" w:lineRule="auto"/>
        <w:rPr>
          <w:rFonts w:eastAsia="Calibri"/>
          <w:sz w:val="24"/>
          <w:rtl/>
        </w:rPr>
      </w:pPr>
    </w:p>
    <w:p w:rsidR="001B37C0" w:rsidRPr="001B37C0" w:rsidP="002F4530">
      <w:pPr>
        <w:spacing w:line="269" w:lineRule="auto"/>
        <w:rPr>
          <w:rFonts w:eastAsia="Calibri"/>
          <w:sz w:val="24"/>
          <w:rtl/>
        </w:rPr>
      </w:pPr>
      <w:r w:rsidRPr="001B37C0">
        <w:rPr>
          <w:rFonts w:eastAsia="Calibri" w:hint="cs"/>
          <w:sz w:val="24"/>
          <w:rtl/>
        </w:rPr>
        <w:t xml:space="preserve">מהמפה ובה הפריסה הגיאוגרפית של הספקים הגדולים, עולה כי באזורים שונים בארץ ישנה שליטה של חלק מהספקים באזורים שונים בארץ באמצעי האספקה של מכלים נייחים כמפורט להלן: במזרח הגליל העליון ומסביב לכנרת יש שליטה לספק גדול </w:t>
      </w:r>
      <w:r w:rsidRPr="001B37C0">
        <w:rPr>
          <w:rFonts w:eastAsia="Calibri" w:hint="cs"/>
          <w:sz w:val="24"/>
        </w:rPr>
        <w:t>IV</w:t>
      </w:r>
      <w:r w:rsidRPr="001B37C0">
        <w:rPr>
          <w:rFonts w:eastAsia="Calibri" w:hint="cs"/>
          <w:sz w:val="24"/>
          <w:rtl/>
        </w:rPr>
        <w:t xml:space="preserve"> (100%); במערב הגליל העליון ובקריות ספק גדול </w:t>
      </w:r>
      <w:r w:rsidRPr="001B37C0">
        <w:rPr>
          <w:rFonts w:eastAsia="Calibri" w:hint="cs"/>
          <w:sz w:val="24"/>
        </w:rPr>
        <w:t>I</w:t>
      </w:r>
      <w:r w:rsidRPr="001B37C0">
        <w:rPr>
          <w:rFonts w:eastAsia="Calibri" w:hint="cs"/>
          <w:sz w:val="24"/>
          <w:rtl/>
        </w:rPr>
        <w:t xml:space="preserve"> דומיננטי (34%-51% ו-30%-70%, בהתאמה).</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sz w:val="24"/>
          <w:rtl/>
        </w:rPr>
      </w:pPr>
      <w:r w:rsidRPr="001B37C0">
        <w:rPr>
          <w:rFonts w:eastAsia="Calibri" w:hint="cs"/>
          <w:sz w:val="24"/>
          <w:rtl/>
        </w:rPr>
        <w:t xml:space="preserve">באזור השרון יש שליטה ל ספק גדול </w:t>
      </w:r>
      <w:r w:rsidRPr="001B37C0">
        <w:rPr>
          <w:rFonts w:eastAsia="Calibri" w:hint="cs"/>
          <w:sz w:val="24"/>
        </w:rPr>
        <w:t>I</w:t>
      </w:r>
      <w:r w:rsidRPr="001B37C0">
        <w:rPr>
          <w:rFonts w:eastAsia="Calibri" w:hint="cs"/>
          <w:sz w:val="24"/>
          <w:rtl/>
        </w:rPr>
        <w:t xml:space="preserve"> (45%-100%); באזור מטה יהודה ובאזור אשדוד ספק גדול </w:t>
      </w:r>
      <w:r w:rsidRPr="001B37C0">
        <w:rPr>
          <w:rFonts w:eastAsia="Calibri" w:hint="cs"/>
          <w:sz w:val="24"/>
        </w:rPr>
        <w:t>I</w:t>
      </w:r>
      <w:r w:rsidRPr="001B37C0">
        <w:rPr>
          <w:rFonts w:eastAsia="Calibri" w:hint="cs"/>
          <w:sz w:val="24"/>
          <w:rtl/>
        </w:rPr>
        <w:t xml:space="preserve"> דומיננטי (כ-31% וכ-40%, בהתאמה).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sz w:val="24"/>
          <w:rtl/>
        </w:rPr>
      </w:pPr>
      <w:r w:rsidRPr="001B37C0">
        <w:rPr>
          <w:rFonts w:eastAsia="Calibri" w:hint="cs"/>
          <w:sz w:val="24"/>
          <w:rtl/>
        </w:rPr>
        <w:t xml:space="preserve">באזור באר טוביה ואשקלון יש שליטה לספק גדול </w:t>
      </w:r>
      <w:r w:rsidRPr="001B37C0">
        <w:rPr>
          <w:rFonts w:eastAsia="Calibri" w:hint="cs"/>
          <w:sz w:val="24"/>
        </w:rPr>
        <w:t>IV</w:t>
      </w:r>
      <w:r w:rsidRPr="001B37C0">
        <w:rPr>
          <w:rFonts w:eastAsia="Calibri" w:hint="cs"/>
          <w:sz w:val="24"/>
          <w:rtl/>
        </w:rPr>
        <w:t xml:space="preserve"> (100%); באזור שפיר יש שליטה לספק גדול </w:t>
      </w:r>
      <w:r w:rsidRPr="001B37C0">
        <w:rPr>
          <w:rFonts w:eastAsia="Calibri" w:hint="cs"/>
          <w:sz w:val="24"/>
        </w:rPr>
        <w:t>II</w:t>
      </w:r>
      <w:r w:rsidRPr="001B37C0">
        <w:rPr>
          <w:rFonts w:eastAsia="Calibri" w:hint="cs"/>
          <w:sz w:val="24"/>
          <w:rtl/>
        </w:rPr>
        <w:t xml:space="preserve"> (100%). משדרות ודרומה ובאיו"ש אין שליטה לאף אחד מהספקים הגדולים.</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b/>
          <w:bCs/>
          <w:rtl/>
        </w:rPr>
        <w:t xml:space="preserve">עולה מהמקובץ כי בסקטור מכלי 48 ק"ג לספק גדול </w:t>
      </w:r>
      <w:r w:rsidRPr="001B37C0">
        <w:rPr>
          <w:rFonts w:eastAsia="Calibri" w:hint="cs"/>
          <w:b/>
          <w:bCs/>
        </w:rPr>
        <w:t>I</w:t>
      </w:r>
      <w:r w:rsidRPr="001B37C0">
        <w:rPr>
          <w:rFonts w:eastAsia="Calibri" w:hint="cs"/>
          <w:b/>
          <w:bCs/>
          <w:rtl/>
        </w:rPr>
        <w:t xml:space="preserve"> ולספק גדול </w:t>
      </w:r>
      <w:r w:rsidRPr="001B37C0">
        <w:rPr>
          <w:rFonts w:eastAsia="Calibri" w:hint="cs"/>
          <w:b/>
          <w:bCs/>
        </w:rPr>
        <w:t>III</w:t>
      </w:r>
      <w:r w:rsidRPr="001B37C0">
        <w:rPr>
          <w:rFonts w:eastAsia="Calibri" w:hint="cs"/>
          <w:b/>
          <w:bCs/>
          <w:rtl/>
        </w:rPr>
        <w:t xml:space="preserve"> יש שליטה באזורים נרחבים בארץ - רמת הגולן, מערב הגליל העליון, הגליל התחתון, בית שאן, איו"ש, אזור השרון, מודיעין ודרומה, אזור קריית גת, לכיש ודימונה; בסקטור המכלים הנייחים יש לספק גדול </w:t>
      </w:r>
      <w:r w:rsidRPr="001B37C0">
        <w:rPr>
          <w:rFonts w:eastAsia="Calibri" w:hint="cs"/>
          <w:b/>
          <w:bCs/>
        </w:rPr>
        <w:t>I</w:t>
      </w:r>
      <w:r w:rsidRPr="001B37C0">
        <w:rPr>
          <w:rFonts w:eastAsia="Calibri" w:hint="cs"/>
          <w:b/>
          <w:bCs/>
          <w:rtl/>
        </w:rPr>
        <w:t xml:space="preserve"> ולספק גדול </w:t>
      </w:r>
      <w:r w:rsidRPr="001B37C0">
        <w:rPr>
          <w:rFonts w:eastAsia="Calibri" w:hint="cs"/>
          <w:b/>
          <w:bCs/>
        </w:rPr>
        <w:t>IV</w:t>
      </w:r>
      <w:r w:rsidRPr="001B37C0">
        <w:rPr>
          <w:rFonts w:eastAsia="Calibri" w:hint="cs"/>
          <w:b/>
          <w:bCs/>
          <w:rtl/>
        </w:rPr>
        <w:t xml:space="preserve"> שליטה בכמה אזורים בארץ - </w:t>
      </w:r>
      <w:r w:rsidRPr="001B37C0">
        <w:rPr>
          <w:rFonts w:eastAsia="Calibri" w:hint="eastAsia"/>
          <w:b/>
          <w:bCs/>
          <w:sz w:val="24"/>
          <w:rtl/>
        </w:rPr>
        <w:t>מזרח</w:t>
      </w:r>
      <w:r w:rsidRPr="001B37C0">
        <w:rPr>
          <w:rFonts w:eastAsia="Calibri"/>
          <w:b/>
          <w:bCs/>
          <w:sz w:val="24"/>
          <w:rtl/>
        </w:rPr>
        <w:t xml:space="preserve"> </w:t>
      </w:r>
      <w:r w:rsidRPr="001B37C0">
        <w:rPr>
          <w:rFonts w:eastAsia="Calibri" w:hint="eastAsia"/>
          <w:b/>
          <w:bCs/>
          <w:sz w:val="24"/>
          <w:rtl/>
        </w:rPr>
        <w:t>הגליל</w:t>
      </w:r>
      <w:r w:rsidRPr="001B37C0">
        <w:rPr>
          <w:rFonts w:eastAsia="Calibri"/>
          <w:b/>
          <w:bCs/>
          <w:sz w:val="24"/>
          <w:rtl/>
        </w:rPr>
        <w:t xml:space="preserve"> </w:t>
      </w:r>
      <w:r w:rsidRPr="001B37C0">
        <w:rPr>
          <w:rFonts w:eastAsia="Calibri" w:hint="eastAsia"/>
          <w:b/>
          <w:bCs/>
          <w:sz w:val="24"/>
          <w:rtl/>
        </w:rPr>
        <w:t>העליון</w:t>
      </w:r>
      <w:r w:rsidRPr="001B37C0">
        <w:rPr>
          <w:rFonts w:eastAsia="Calibri" w:hint="cs"/>
          <w:b/>
          <w:bCs/>
          <w:sz w:val="24"/>
          <w:rtl/>
        </w:rPr>
        <w:t xml:space="preserve"> ומסביב לכנרת</w:t>
      </w:r>
      <w:r w:rsidRPr="001B37C0">
        <w:rPr>
          <w:rFonts w:eastAsia="Calibri" w:hint="cs"/>
          <w:b/>
          <w:bCs/>
          <w:rtl/>
        </w:rPr>
        <w:t xml:space="preserve">, מערב הגליל העליון והקריות, </w:t>
      </w:r>
      <w:r w:rsidRPr="001B37C0">
        <w:rPr>
          <w:rFonts w:eastAsia="Calibri" w:hint="eastAsia"/>
          <w:b/>
          <w:bCs/>
          <w:sz w:val="24"/>
          <w:rtl/>
        </w:rPr>
        <w:t>אזור</w:t>
      </w:r>
      <w:r w:rsidRPr="001B37C0">
        <w:rPr>
          <w:rFonts w:eastAsia="Calibri"/>
          <w:b/>
          <w:bCs/>
          <w:sz w:val="24"/>
          <w:rtl/>
        </w:rPr>
        <w:t xml:space="preserve"> </w:t>
      </w:r>
      <w:r w:rsidRPr="001B37C0">
        <w:rPr>
          <w:rFonts w:eastAsia="Calibri" w:hint="eastAsia"/>
          <w:b/>
          <w:bCs/>
          <w:sz w:val="24"/>
          <w:rtl/>
        </w:rPr>
        <w:t>השרון</w:t>
      </w:r>
      <w:r w:rsidRPr="001B37C0">
        <w:rPr>
          <w:rFonts w:eastAsia="Calibri"/>
          <w:b/>
          <w:bCs/>
          <w:sz w:val="24"/>
          <w:rtl/>
        </w:rPr>
        <w:t xml:space="preserve">, אזור </w:t>
      </w:r>
      <w:r w:rsidRPr="001B37C0">
        <w:rPr>
          <w:rFonts w:eastAsia="Calibri" w:hint="eastAsia"/>
          <w:b/>
          <w:bCs/>
          <w:sz w:val="24"/>
          <w:rtl/>
        </w:rPr>
        <w:t>מטה</w:t>
      </w:r>
      <w:r w:rsidRPr="001B37C0">
        <w:rPr>
          <w:rFonts w:eastAsia="Calibri"/>
          <w:b/>
          <w:bCs/>
          <w:sz w:val="24"/>
          <w:rtl/>
        </w:rPr>
        <w:t xml:space="preserve"> </w:t>
      </w:r>
      <w:r w:rsidRPr="001B37C0">
        <w:rPr>
          <w:rFonts w:eastAsia="Calibri" w:hint="eastAsia"/>
          <w:b/>
          <w:bCs/>
          <w:sz w:val="24"/>
          <w:rtl/>
        </w:rPr>
        <w:t>יהודה</w:t>
      </w:r>
      <w:r w:rsidRPr="001B37C0">
        <w:rPr>
          <w:rFonts w:eastAsia="Calibri" w:hint="cs"/>
          <w:b/>
          <w:bCs/>
          <w:sz w:val="24"/>
          <w:rtl/>
        </w:rPr>
        <w:t>, אזור אשדוד</w:t>
      </w:r>
      <w:r w:rsidRPr="001B37C0">
        <w:rPr>
          <w:rFonts w:eastAsia="Calibri"/>
          <w:b/>
          <w:bCs/>
          <w:sz w:val="24"/>
          <w:rtl/>
        </w:rPr>
        <w:t xml:space="preserve"> ו</w:t>
      </w:r>
      <w:r w:rsidRPr="001B37C0">
        <w:rPr>
          <w:rFonts w:eastAsia="Calibri" w:hint="eastAsia"/>
          <w:b/>
          <w:bCs/>
          <w:sz w:val="24"/>
          <w:rtl/>
        </w:rPr>
        <w:t>אזור</w:t>
      </w:r>
      <w:r w:rsidRPr="001B37C0">
        <w:rPr>
          <w:rFonts w:eastAsia="Calibri"/>
          <w:b/>
          <w:bCs/>
          <w:sz w:val="24"/>
          <w:rtl/>
        </w:rPr>
        <w:t xml:space="preserve"> </w:t>
      </w:r>
      <w:r w:rsidRPr="001B37C0">
        <w:rPr>
          <w:rFonts w:eastAsia="Calibri" w:hint="cs"/>
          <w:b/>
          <w:bCs/>
          <w:sz w:val="24"/>
          <w:rtl/>
        </w:rPr>
        <w:t>באר טוביה ואשקלון</w:t>
      </w:r>
      <w:r w:rsidRPr="001B37C0">
        <w:rPr>
          <w:rFonts w:eastAsia="Calibri" w:hint="cs"/>
          <w:b/>
          <w:bCs/>
          <w:rtl/>
        </w:rPr>
        <w:t>. המשמעות היא שבאזורים רבים קיימת ריכוזיות אזורית, שיש בה כדי להשפיע על רמת התחרותיות. נמצא כי מינהל הדלק ורשות התחרות לא בחנו את הריכוזיות האזורית של ספקי הגז, ובכלל זאת את האזורים שבהם שולט ספק גדול אחד.</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sz w:val="24"/>
          <w:rtl/>
        </w:rPr>
      </w:pPr>
      <w:r w:rsidRPr="001B37C0">
        <w:rPr>
          <w:rFonts w:eastAsia="Calibri" w:hint="cs"/>
          <w:sz w:val="24"/>
          <w:rtl/>
        </w:rPr>
        <w:t xml:space="preserve">בתשובתו למשרד מבקר המדינה ממאי 2026 מסר ספק גדול </w:t>
      </w:r>
      <w:r w:rsidRPr="001B37C0">
        <w:rPr>
          <w:rFonts w:eastAsia="Calibri"/>
          <w:sz w:val="24"/>
        </w:rPr>
        <w:t>II</w:t>
      </w:r>
      <w:r w:rsidRPr="001B37C0">
        <w:rPr>
          <w:rFonts w:eastAsia="Calibri" w:hint="cs"/>
          <w:sz w:val="24"/>
          <w:rtl/>
        </w:rPr>
        <w:t xml:space="preserve"> כי הפריסה הגיאוגרפית הנוכחית של ספקי הגז הגדולים אינה תוצאה של פעילות אנטי-תחרותית אלא תוצאה של השקעות מצטברות ולגיטימיות שבוצעו לאורך עשרות שנים. השקעות אלו כללו, בין היתר, הקמת מתקני אחסון, הקמת מערכי הפצה לוגיסטיים ובניית מוניטין מקצועי. עוד מסר ספק גדול </w:t>
      </w:r>
      <w:r w:rsidRPr="001B37C0">
        <w:rPr>
          <w:rFonts w:eastAsia="Calibri"/>
          <w:sz w:val="24"/>
        </w:rPr>
        <w:t>II</w:t>
      </w:r>
      <w:r w:rsidRPr="001B37C0">
        <w:rPr>
          <w:rFonts w:eastAsia="Calibri" w:hint="cs"/>
          <w:sz w:val="24"/>
          <w:rtl/>
        </w:rPr>
        <w:t xml:space="preserve"> כי היעדר ההתייחסות לפריסה הגיאוגרפית של עשרות ספקי הגז הקטנים יוצר תמונה עובדתית חלקית של המציאות התחרותית בשטח. קצב חדירתם המואץ של הספקים הקטנים אינו מאפיין שוק ריכוזי.</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eastAsia="Calibri"/>
          <w:b/>
          <w:bCs/>
          <w:rtl/>
        </w:rPr>
      </w:pPr>
      <w:r w:rsidRPr="001B37C0">
        <w:rPr>
          <w:rFonts w:eastAsia="Calibri" w:hint="cs"/>
          <w:b/>
          <w:bCs/>
          <w:rtl/>
        </w:rPr>
        <w:t>מוצע כי מינהל הדלק ורשות התחרות יבחנו את הריכוזיות האזורית ובכלל זאת את האזורים שבהם שולט ספק גדול אחד, שגורמים לתחרותיות מועטה בין הספקים הגדולים.</w:t>
      </w:r>
    </w:p>
    <w:p w:rsidR="001B37C0" w:rsidRPr="001B37C0" w:rsidP="002F4530">
      <w:pPr>
        <w:keepNext/>
        <w:keepLines/>
        <w:spacing w:line="269" w:lineRule="auto"/>
        <w:ind w:left="-567"/>
        <w:rPr>
          <w:rFonts w:eastAsia="Calibri"/>
          <w:szCs w:val="20"/>
          <w:rtl/>
        </w:rPr>
      </w:pPr>
    </w:p>
    <w:p w:rsidR="001B37C0" w:rsidRPr="001B37C0" w:rsidP="002F4530">
      <w:pPr>
        <w:keepNext/>
        <w:keepLines/>
        <w:spacing w:line="269" w:lineRule="auto"/>
        <w:outlineLvl w:val="3"/>
        <w:rPr>
          <w:rFonts w:eastAsia="Times New Roman"/>
          <w:bCs/>
          <w:szCs w:val="26"/>
          <w:rtl/>
        </w:rPr>
      </w:pPr>
      <w:r w:rsidRPr="001B37C0">
        <w:rPr>
          <w:rFonts w:eastAsia="Times New Roman" w:hint="cs"/>
          <w:bCs/>
          <w:szCs w:val="26"/>
          <w:rtl/>
        </w:rPr>
        <w:t>מחירי הגפ"ם לצרכנים</w:t>
      </w:r>
    </w:p>
    <w:p w:rsidR="001B37C0" w:rsidRPr="001B37C0" w:rsidP="002F4530">
      <w:pPr>
        <w:rPr>
          <w:rFonts w:eastAsia="Calibri"/>
          <w:rtl/>
        </w:rPr>
      </w:pPr>
    </w:p>
    <w:p w:rsidR="001B37C0" w:rsidRPr="001B37C0" w:rsidP="002F4530">
      <w:pPr>
        <w:tabs>
          <w:tab w:val="left" w:pos="8286"/>
        </w:tabs>
        <w:spacing w:line="269" w:lineRule="auto"/>
        <w:ind w:right="34"/>
        <w:rPr>
          <w:rFonts w:ascii="David" w:eastAsia="Calibri" w:hAnsi="David"/>
          <w:rtl/>
        </w:rPr>
      </w:pPr>
      <w:r w:rsidRPr="001B37C0">
        <w:rPr>
          <w:rFonts w:ascii="David" w:eastAsia="Calibri" w:hAnsi="David"/>
          <w:rtl/>
        </w:rPr>
        <w:t>במחקר של בנק ישראל מ-2020</w:t>
      </w:r>
      <w:r>
        <w:rPr>
          <w:rFonts w:ascii="David" w:eastAsia="Calibri" w:hAnsi="David"/>
          <w:vertAlign w:val="superscript"/>
          <w:rtl/>
        </w:rPr>
        <w:footnoteReference w:id="127"/>
      </w:r>
      <w:r w:rsidRPr="001B37C0">
        <w:rPr>
          <w:rFonts w:ascii="David" w:eastAsia="Calibri" w:hAnsi="David"/>
          <w:rtl/>
        </w:rPr>
        <w:t xml:space="preserve"> נמצא כי המחירים הממוצעים </w:t>
      </w:r>
      <w:r w:rsidRPr="001B37C0">
        <w:rPr>
          <w:rFonts w:ascii="David" w:eastAsia="Calibri" w:hAnsi="David" w:hint="cs"/>
          <w:rtl/>
        </w:rPr>
        <w:t xml:space="preserve">של </w:t>
      </w:r>
      <w:r w:rsidRPr="001B37C0">
        <w:rPr>
          <w:rFonts w:ascii="David" w:eastAsia="Calibri" w:hAnsi="David" w:hint="eastAsia"/>
          <w:rtl/>
        </w:rPr>
        <w:t>אספקת</w:t>
      </w:r>
      <w:r w:rsidRPr="001B37C0">
        <w:rPr>
          <w:rFonts w:ascii="David" w:eastAsia="Calibri" w:hAnsi="David"/>
          <w:rtl/>
        </w:rPr>
        <w:t xml:space="preserve"> </w:t>
      </w:r>
      <w:r w:rsidRPr="001B37C0">
        <w:rPr>
          <w:rFonts w:ascii="David" w:eastAsia="Calibri" w:hAnsi="David" w:hint="cs"/>
          <w:rtl/>
        </w:rPr>
        <w:t xml:space="preserve">גז </w:t>
      </w:r>
      <w:r w:rsidRPr="001B37C0">
        <w:rPr>
          <w:rFonts w:ascii="David" w:eastAsia="Calibri" w:hAnsi="David"/>
          <w:rtl/>
        </w:rPr>
        <w:t>במרכזיית</w:t>
      </w:r>
      <w:r w:rsidRPr="001B37C0">
        <w:rPr>
          <w:rFonts w:ascii="David" w:eastAsia="Calibri" w:hAnsi="David" w:hint="cs"/>
          <w:rtl/>
        </w:rPr>
        <w:t xml:space="preserve"> מכל נייח</w:t>
      </w:r>
      <w:r w:rsidRPr="001B37C0">
        <w:rPr>
          <w:rFonts w:ascii="David" w:eastAsia="Calibri" w:hAnsi="David"/>
          <w:rtl/>
        </w:rPr>
        <w:t xml:space="preserve"> גבוהים הרבה יותר מאשר במכל מיטלטל, המחיר שגובים הספקים הוותיקים גבוה מזה של הספקים החדשים, וכן </w:t>
      </w:r>
      <w:r w:rsidRPr="001B37C0">
        <w:rPr>
          <w:rFonts w:ascii="David" w:eastAsia="Calibri" w:hAnsi="David" w:hint="cs"/>
          <w:rtl/>
        </w:rPr>
        <w:t>ש</w:t>
      </w:r>
      <w:r w:rsidRPr="001B37C0">
        <w:rPr>
          <w:rFonts w:ascii="David" w:eastAsia="Calibri" w:hAnsi="David"/>
          <w:rtl/>
        </w:rPr>
        <w:t xml:space="preserve">הפער בין המחיר שגובים הוותיקים </w:t>
      </w:r>
      <w:r w:rsidRPr="001B37C0">
        <w:rPr>
          <w:rFonts w:ascii="David" w:eastAsia="Calibri" w:hAnsi="David" w:hint="cs"/>
          <w:rtl/>
        </w:rPr>
        <w:t>ובין המחיר שגובים</w:t>
      </w:r>
      <w:r w:rsidRPr="001B37C0">
        <w:rPr>
          <w:rFonts w:ascii="David" w:eastAsia="Calibri" w:hAnsi="David"/>
          <w:rtl/>
        </w:rPr>
        <w:t xml:space="preserve"> </w:t>
      </w:r>
      <w:r w:rsidRPr="001B37C0">
        <w:rPr>
          <w:rFonts w:ascii="David" w:eastAsia="Calibri" w:hAnsi="David" w:hint="cs"/>
          <w:rtl/>
        </w:rPr>
        <w:t>ה</w:t>
      </w:r>
      <w:r w:rsidRPr="001B37C0">
        <w:rPr>
          <w:rFonts w:ascii="David" w:eastAsia="Calibri" w:hAnsi="David"/>
          <w:rtl/>
        </w:rPr>
        <w:t>חדשים גבוה יותר במרכזיית</w:t>
      </w:r>
      <w:r w:rsidRPr="001B37C0">
        <w:rPr>
          <w:rFonts w:ascii="David" w:eastAsia="Calibri" w:hAnsi="David" w:hint="cs"/>
          <w:rtl/>
        </w:rPr>
        <w:t xml:space="preserve"> מכל נייח</w:t>
      </w:r>
      <w:r w:rsidRPr="001B37C0">
        <w:rPr>
          <w:rFonts w:ascii="David" w:eastAsia="Calibri" w:hAnsi="David"/>
          <w:rtl/>
        </w:rPr>
        <w:t xml:space="preserve"> (41%) מאשר במכל </w:t>
      </w:r>
      <w:r w:rsidRPr="001B37C0">
        <w:rPr>
          <w:rFonts w:ascii="David" w:eastAsia="Calibri" w:hAnsi="David" w:hint="cs"/>
          <w:rtl/>
        </w:rPr>
        <w:t>מיטלטל</w:t>
      </w:r>
      <w:r w:rsidRPr="001B37C0">
        <w:rPr>
          <w:rFonts w:ascii="David" w:eastAsia="Calibri" w:hAnsi="David"/>
          <w:rtl/>
        </w:rPr>
        <w:t xml:space="preserve"> (7%).</w:t>
      </w:r>
      <w:r w:rsidRPr="001B37C0">
        <w:rPr>
          <w:rFonts w:ascii="David" w:eastAsia="Calibri" w:hAnsi="David" w:hint="cs"/>
          <w:rtl/>
        </w:rPr>
        <w:t xml:space="preserve">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hint="cs"/>
          <w:rtl/>
        </w:rPr>
        <w:t>במחקר של בנק ישראל מ-2023</w:t>
      </w:r>
      <w:r>
        <w:rPr>
          <w:rFonts w:ascii="David" w:eastAsia="Calibri" w:hAnsi="David"/>
          <w:vertAlign w:val="superscript"/>
          <w:rtl/>
        </w:rPr>
        <w:footnoteReference w:id="128"/>
      </w:r>
      <w:r w:rsidRPr="001B37C0">
        <w:rPr>
          <w:rFonts w:ascii="David" w:eastAsia="Calibri" w:hAnsi="David" w:hint="cs"/>
          <w:rtl/>
        </w:rPr>
        <w:t xml:space="preserve"> נמצא כי חברה שנתח השוק ההתחלתי שלה גדול תגבה מחיר גבוה יותר מחברה שנתח השוק ההתחלתי שלה קטן ויהיה מעבר הדרגתי של צרכנים לחברה הקטנה. </w:t>
      </w:r>
      <w:r w:rsidRPr="001B37C0">
        <w:rPr>
          <w:rFonts w:ascii="David" w:eastAsia="Calibri" w:hAnsi="David" w:hint="cs"/>
          <w:sz w:val="24"/>
          <w:rtl/>
        </w:rPr>
        <w:t xml:space="preserve">בשיטת חיבור </w:t>
      </w:r>
      <w:r w:rsidRPr="001B37C0">
        <w:rPr>
          <w:rFonts w:ascii="David" w:eastAsia="Calibri" w:hAnsi="David" w:hint="eastAsia"/>
          <w:sz w:val="24"/>
          <w:rtl/>
        </w:rPr>
        <w:t>ב</w:t>
      </w:r>
      <w:r w:rsidRPr="001B37C0">
        <w:rPr>
          <w:rFonts w:ascii="David" w:eastAsia="Calibri" w:hAnsi="David" w:hint="cs"/>
          <w:sz w:val="24"/>
          <w:rtl/>
        </w:rPr>
        <w:t>מרכזיית מכל נייח ביישובים שבהם נכחו רק חברות גדולות נמצאו בדרך כלל מחירים גבוהים.</w:t>
      </w:r>
      <w:r w:rsidRPr="001B37C0">
        <w:rPr>
          <w:rFonts w:ascii="David" w:eastAsia="Calibri" w:hAnsi="David" w:hint="cs"/>
          <w:rtl/>
        </w:rPr>
        <w:t xml:space="preserve"> כאשר מספר הנפשות למשק הבית גדול עלויות המעבר של הצרכנים יורדות בסכום קבוע. </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rPr>
          <w:rFonts w:ascii="David" w:eastAsia="Calibri" w:hAnsi="David"/>
          <w:rtl/>
        </w:rPr>
      </w:pPr>
      <w:r w:rsidRPr="001B37C0">
        <w:rPr>
          <w:rFonts w:ascii="David" w:eastAsia="Calibri" w:hAnsi="David" w:hint="cs"/>
          <w:rtl/>
        </w:rPr>
        <w:t xml:space="preserve">ממצאי המחקר מצביעים על הפרש ניכר במחירי הגז שגובות החברות הגדולות לעומת הקטנות בין אספקת גז </w:t>
      </w:r>
      <w:r w:rsidRPr="001B37C0">
        <w:rPr>
          <w:rFonts w:ascii="David" w:eastAsia="Calibri" w:hAnsi="David" w:hint="cs"/>
          <w:sz w:val="24"/>
          <w:rtl/>
        </w:rPr>
        <w:t>במרכזיית</w:t>
      </w:r>
      <w:r w:rsidRPr="001B37C0">
        <w:rPr>
          <w:rFonts w:ascii="David" w:eastAsia="Calibri" w:hAnsi="David" w:hint="cs"/>
          <w:rtl/>
        </w:rPr>
        <w:t xml:space="preserve"> מכל נייח - תחום שבו עלויות המעבר הן גבוהות בגלל הצורך בפעולה משותפת</w:t>
      </w:r>
      <w:r>
        <w:rPr>
          <w:rFonts w:eastAsia="Calibri" w:hint="cs"/>
          <w:rtl/>
        </w:rPr>
        <w:t xml:space="preserve"> </w:t>
      </w:r>
      <w:r w:rsidRPr="001B37C0">
        <w:rPr>
          <w:rFonts w:ascii="David" w:eastAsia="Calibri" w:hAnsi="David" w:hint="cs"/>
          <w:rtl/>
        </w:rPr>
        <w:t xml:space="preserve">של רוב הדיירים בבניין - ובין אספקת גז </w:t>
      </w:r>
      <w:r w:rsidRPr="001B37C0">
        <w:rPr>
          <w:rFonts w:ascii="David" w:eastAsia="Calibri" w:hAnsi="David" w:hint="eastAsia"/>
          <w:rtl/>
        </w:rPr>
        <w:t>במכל</w:t>
      </w:r>
      <w:r w:rsidRPr="001B37C0">
        <w:rPr>
          <w:rFonts w:ascii="David" w:eastAsia="Calibri" w:hAnsi="David"/>
          <w:rtl/>
        </w:rPr>
        <w:t xml:space="preserve"> [</w:t>
      </w:r>
      <w:r w:rsidRPr="001B37C0">
        <w:rPr>
          <w:rFonts w:ascii="David" w:eastAsia="Calibri" w:hAnsi="David" w:hint="cs"/>
          <w:rtl/>
        </w:rPr>
        <w:t>במכלים מיטלטלים</w:t>
      </w:r>
      <w:r w:rsidRPr="001B37C0">
        <w:rPr>
          <w:rFonts w:ascii="David" w:eastAsia="Calibri" w:hAnsi="David"/>
          <w:rtl/>
        </w:rPr>
        <w:t>]</w:t>
      </w:r>
      <w:r w:rsidRPr="001B37C0">
        <w:rPr>
          <w:rFonts w:ascii="David" w:eastAsia="Calibri" w:hAnsi="David" w:hint="cs"/>
          <w:rtl/>
        </w:rPr>
        <w:t>, שיטת חיבור שבה כל צרכן יכול לפעול לבדו והמעבר בין ספקים הוא פשוט.</w:t>
      </w:r>
    </w:p>
    <w:p w:rsidR="001B37C0" w:rsidRPr="001B37C0" w:rsidP="002F4530">
      <w:pPr>
        <w:spacing w:line="269" w:lineRule="auto"/>
        <w:rPr>
          <w:rFonts w:ascii="David" w:eastAsia="Calibri" w:hAnsi="David"/>
          <w:rtl/>
        </w:rPr>
      </w:pPr>
      <w:r w:rsidRPr="001B37C0">
        <w:rPr>
          <w:rFonts w:ascii="David" w:eastAsia="Calibri" w:hAnsi="David" w:hint="cs"/>
          <w:rtl/>
        </w:rPr>
        <w:t>ממסמך של משרד האנרגיה מ-2024 עולה כי מרבית הצרכנים אינם מממשים את זכותם להתמקח על המחיר ו/או להחליף לספק המציע מחיר נמוך יותר, בשל הקושי הכרוך בהחלפה, מחוסר ידיעה, מחוסר תשומת לב, ועוד</w:t>
      </w:r>
      <w:r>
        <w:rPr>
          <w:rFonts w:ascii="David" w:eastAsia="Calibri" w:hAnsi="David"/>
          <w:vertAlign w:val="superscript"/>
          <w:rtl/>
        </w:rPr>
        <w:footnoteReference w:id="129"/>
      </w:r>
      <w:r w:rsidRPr="001B37C0">
        <w:rPr>
          <w:rFonts w:ascii="David" w:eastAsia="Calibri" w:hAnsi="David" w:hint="cs"/>
          <w:rtl/>
        </w:rPr>
        <w:t>.</w:t>
      </w:r>
    </w:p>
    <w:p w:rsidR="001B37C0" w:rsidRPr="001B37C0" w:rsidP="002F4530">
      <w:pPr>
        <w:keepNext/>
        <w:keepLines/>
        <w:spacing w:line="269" w:lineRule="auto"/>
        <w:ind w:left="-567"/>
        <w:rPr>
          <w:rFonts w:eastAsia="Calibri"/>
          <w:szCs w:val="20"/>
          <w:rtl/>
        </w:rPr>
      </w:pPr>
    </w:p>
    <w:p w:rsidR="001B37C0" w:rsidRPr="001B37C0" w:rsidP="002F4530">
      <w:pPr>
        <w:tabs>
          <w:tab w:val="left" w:pos="8286"/>
        </w:tabs>
        <w:spacing w:line="269" w:lineRule="auto"/>
        <w:ind w:right="34"/>
        <w:rPr>
          <w:rFonts w:ascii="David" w:eastAsia="Calibri" w:hAnsi="David"/>
          <w:rtl/>
        </w:rPr>
      </w:pPr>
      <w:r w:rsidRPr="001B37C0">
        <w:rPr>
          <w:rFonts w:ascii="David" w:eastAsia="Calibri" w:hAnsi="David" w:hint="cs"/>
          <w:rtl/>
        </w:rPr>
        <w:t xml:space="preserve">בתרשים שלהלן מוצגים מחירי גז המסופק במרכזיות מכלים מול מחירי </w:t>
      </w:r>
      <w:r w:rsidRPr="001B37C0">
        <w:rPr>
          <w:rFonts w:ascii="David" w:eastAsia="Calibri" w:hAnsi="David" w:hint="eastAsia"/>
          <w:rtl/>
        </w:rPr>
        <w:t>מכלים</w:t>
      </w:r>
      <w:r w:rsidRPr="001B37C0">
        <w:rPr>
          <w:rFonts w:ascii="David" w:eastAsia="Calibri" w:hAnsi="David"/>
          <w:rtl/>
        </w:rPr>
        <w:t xml:space="preserve"> מיטלטלים</w:t>
      </w:r>
      <w:r w:rsidRPr="001B37C0">
        <w:rPr>
          <w:rFonts w:ascii="David" w:eastAsia="Calibri" w:hAnsi="David" w:hint="cs"/>
          <w:rtl/>
        </w:rPr>
        <w:t xml:space="preserve"> בשנת 2024, כפי שפורסם בקול קורא של מינהל הדלק מדצמבר 2025</w:t>
      </w:r>
      <w:r>
        <w:rPr>
          <w:rFonts w:ascii="David" w:eastAsia="Calibri" w:hAnsi="David"/>
          <w:vertAlign w:val="superscript"/>
          <w:rtl/>
        </w:rPr>
        <w:footnoteReference w:id="130"/>
      </w:r>
      <w:r w:rsidRPr="001B37C0">
        <w:rPr>
          <w:rFonts w:ascii="David" w:eastAsia="Calibri" w:hAnsi="David" w:hint="cs"/>
          <w:rtl/>
        </w:rPr>
        <w:t>.</w:t>
      </w:r>
    </w:p>
    <w:p w:rsidR="001B37C0" w:rsidRPr="001B37C0" w:rsidP="002F4530">
      <w:pPr>
        <w:keepNext/>
        <w:keepLines/>
        <w:spacing w:line="269" w:lineRule="auto"/>
        <w:ind w:left="-567"/>
        <w:rPr>
          <w:rFonts w:eastAsia="Calibri"/>
          <w:szCs w:val="20"/>
          <w:rtl/>
        </w:rPr>
      </w:pPr>
    </w:p>
    <w:p w:rsidR="001B37C0" w:rsidRPr="001B37C0" w:rsidP="002F4530">
      <w:pPr>
        <w:keepNext/>
        <w:keepLines/>
        <w:tabs>
          <w:tab w:val="left" w:pos="8286"/>
        </w:tabs>
        <w:spacing w:line="269" w:lineRule="auto"/>
        <w:jc w:val="center"/>
        <w:rPr>
          <w:rFonts w:ascii="David" w:eastAsia="Calibri" w:hAnsi="David"/>
          <w:b/>
          <w:bCs/>
          <w:rtl/>
        </w:rPr>
      </w:pPr>
      <w:r w:rsidRPr="001B37C0">
        <w:rPr>
          <w:rFonts w:ascii="David" w:eastAsia="Calibri" w:hAnsi="David" w:hint="eastAsia"/>
          <w:rtl/>
        </w:rPr>
        <w:t>תרשים</w:t>
      </w:r>
      <w:r w:rsidRPr="001B37C0">
        <w:rPr>
          <w:rFonts w:ascii="David" w:eastAsia="Calibri" w:hAnsi="David"/>
          <w:rtl/>
        </w:rPr>
        <w:t xml:space="preserve"> 15:</w:t>
      </w:r>
      <w:r w:rsidRPr="001B37C0">
        <w:rPr>
          <w:rFonts w:ascii="David" w:eastAsia="Calibri" w:hAnsi="David" w:hint="cs"/>
          <w:b/>
          <w:bCs/>
          <w:rtl/>
        </w:rPr>
        <w:t xml:space="preserve"> </w:t>
      </w:r>
      <w:r w:rsidRPr="001B37C0">
        <w:rPr>
          <w:rFonts w:ascii="David" w:eastAsia="Calibri" w:hAnsi="David" w:hint="eastAsia"/>
          <w:b/>
          <w:bCs/>
          <w:rtl/>
        </w:rPr>
        <w:t>מחירי</w:t>
      </w:r>
      <w:r w:rsidRPr="001B37C0">
        <w:rPr>
          <w:rFonts w:ascii="David" w:eastAsia="Calibri" w:hAnsi="David"/>
          <w:b/>
          <w:bCs/>
          <w:rtl/>
        </w:rPr>
        <w:t xml:space="preserve"> מרכזיות </w:t>
      </w:r>
      <w:r w:rsidRPr="001B37C0">
        <w:rPr>
          <w:rFonts w:ascii="David" w:eastAsia="Calibri" w:hAnsi="David" w:hint="cs"/>
          <w:b/>
          <w:bCs/>
          <w:rtl/>
        </w:rPr>
        <w:t xml:space="preserve">מכלים </w:t>
      </w:r>
      <w:r w:rsidRPr="001B37C0">
        <w:rPr>
          <w:rFonts w:ascii="David" w:eastAsia="Calibri" w:hAnsi="David"/>
          <w:b/>
          <w:bCs/>
          <w:rtl/>
        </w:rPr>
        <w:t>מול מחירי מכלים מ</w:t>
      </w:r>
      <w:r w:rsidRPr="001B37C0">
        <w:rPr>
          <w:rFonts w:ascii="David" w:eastAsia="Calibri" w:hAnsi="David" w:hint="eastAsia"/>
          <w:b/>
          <w:bCs/>
          <w:rtl/>
        </w:rPr>
        <w:t>יטלטלים</w:t>
      </w:r>
      <w:r w:rsidRPr="001B37C0">
        <w:rPr>
          <w:rFonts w:ascii="David" w:eastAsia="Calibri" w:hAnsi="David"/>
          <w:b/>
          <w:bCs/>
          <w:rtl/>
        </w:rPr>
        <w:t>, 2024</w:t>
      </w:r>
      <w:r w:rsidRPr="001B37C0">
        <w:rPr>
          <w:rFonts w:ascii="David" w:eastAsia="Calibri" w:hAnsi="David" w:hint="cs"/>
          <w:b/>
          <w:bCs/>
          <w:rtl/>
        </w:rPr>
        <w:t xml:space="preserve"> </w:t>
      </w:r>
      <w:r w:rsidRPr="001B37C0">
        <w:rPr>
          <w:rFonts w:ascii="David" w:eastAsia="Calibri" w:hAnsi="David"/>
          <w:b/>
          <w:bCs/>
          <w:rtl/>
        </w:rPr>
        <w:t>(בש"ח</w:t>
      </w:r>
      <w:r w:rsidRPr="001B37C0">
        <w:rPr>
          <w:rFonts w:ascii="David" w:eastAsia="Calibri" w:hAnsi="David" w:hint="cs"/>
          <w:b/>
          <w:bCs/>
          <w:rtl/>
        </w:rPr>
        <w:t xml:space="preserve"> למ"ק,</w:t>
      </w:r>
      <w:r w:rsidRPr="001B37C0">
        <w:rPr>
          <w:rFonts w:ascii="David" w:eastAsia="Calibri" w:hAnsi="David"/>
          <w:b/>
          <w:bCs/>
          <w:rtl/>
        </w:rPr>
        <w:t xml:space="preserve"> כולל מע"ם)</w:t>
      </w:r>
    </w:p>
    <w:p w:rsidR="001B37C0" w:rsidRPr="001B37C0" w:rsidP="002F4530">
      <w:pPr>
        <w:tabs>
          <w:tab w:val="left" w:pos="8286"/>
        </w:tabs>
        <w:spacing w:line="269" w:lineRule="auto"/>
        <w:ind w:right="34"/>
        <w:jc w:val="center"/>
        <w:rPr>
          <w:rFonts w:ascii="David" w:eastAsia="Calibri" w:hAnsi="David"/>
          <w:rtl/>
        </w:rPr>
      </w:pPr>
      <w:r w:rsidRPr="001B37C0">
        <w:rPr>
          <w:rFonts w:eastAsia="Calibri"/>
          <w:noProof/>
        </w:rPr>
        <w:drawing>
          <wp:inline distT="0" distB="0" distL="0" distR="0">
            <wp:extent cx="5220335" cy="2617802"/>
            <wp:effectExtent l="0" t="0" r="0" b="0"/>
            <wp:docPr id="1130674121" name="תמונה 60" descr="התרשים מתאר את מחירי מרכזיות מכלים מול מחירי מכלים מטלטלים בשנת 2024, כך שמחיר מ&quot;ק גפ&quot;ם כולל מע&quot;ם במרכזיית מכלים גבוה ב-6.6 ש&quot;ח (כ-30%) מהמחיר של מ&quot;ק גפ&quot;ם במכל מיטלט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674121" name=""/>
                    <pic:cNvPicPr/>
                  </pic:nvPicPr>
                  <pic:blipFill>
                    <a:blip xmlns:r="http://schemas.openxmlformats.org/officeDocument/2006/relationships" r:embed="rId31"/>
                    <a:srcRect t="6263"/>
                    <a:stretch>
                      <a:fillRect/>
                    </a:stretch>
                  </pic:blipFill>
                  <pic:spPr bwMode="auto">
                    <a:xfrm>
                      <a:off x="0" y="0"/>
                      <a:ext cx="5220335" cy="261780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1B37C0" w:rsidRPr="001B37C0" w:rsidP="002F4530">
      <w:pPr>
        <w:tabs>
          <w:tab w:val="left" w:pos="8286"/>
        </w:tabs>
        <w:spacing w:line="269" w:lineRule="auto"/>
        <w:ind w:right="34"/>
        <w:rPr>
          <w:rFonts w:ascii="David" w:eastAsia="Calibri" w:hAnsi="David"/>
          <w:szCs w:val="20"/>
          <w:rtl/>
        </w:rPr>
      </w:pPr>
      <w:r w:rsidRPr="001B37C0">
        <w:rPr>
          <w:rFonts w:ascii="David" w:eastAsia="Calibri" w:hAnsi="David" w:hint="eastAsia"/>
          <w:szCs w:val="20"/>
          <w:rtl/>
        </w:rPr>
        <w:t>המקור</w:t>
      </w:r>
      <w:r w:rsidRPr="001B37C0">
        <w:rPr>
          <w:rFonts w:ascii="David" w:eastAsia="Calibri" w:hAnsi="David"/>
          <w:szCs w:val="20"/>
          <w:rtl/>
        </w:rPr>
        <w:t xml:space="preserve">: </w:t>
      </w:r>
      <w:r w:rsidRPr="001B37C0">
        <w:rPr>
          <w:rFonts w:ascii="David" w:eastAsia="Calibri" w:hAnsi="David" w:hint="eastAsia"/>
          <w:szCs w:val="20"/>
          <w:rtl/>
        </w:rPr>
        <w:t>מינהל</w:t>
      </w:r>
      <w:r w:rsidRPr="001B37C0">
        <w:rPr>
          <w:rFonts w:ascii="David" w:eastAsia="Calibri" w:hAnsi="David"/>
          <w:szCs w:val="20"/>
          <w:rtl/>
        </w:rPr>
        <w:t xml:space="preserve"> הדלק</w:t>
      </w:r>
      <w:r w:rsidRPr="001B37C0">
        <w:rPr>
          <w:rFonts w:ascii="David" w:eastAsia="Calibri" w:hAnsi="David" w:hint="cs"/>
          <w:szCs w:val="20"/>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ind w:right="34"/>
        <w:rPr>
          <w:rFonts w:ascii="David" w:eastAsia="Calibri" w:hAnsi="David"/>
          <w:rtl/>
        </w:rPr>
      </w:pPr>
      <w:r w:rsidRPr="001B37C0">
        <w:rPr>
          <w:rFonts w:ascii="David" w:eastAsia="Calibri" w:hAnsi="David" w:hint="cs"/>
          <w:rtl/>
        </w:rPr>
        <w:t xml:space="preserve">מהתרשים עולה כי המחיר של מ"ק גפ"ם כולל מע"ם במרכזיית מכלים גבוה ב-6.6 ש״ח (כ-30%) מהמחיר של מ"ק גפ"ם </w:t>
      </w:r>
      <w:r w:rsidRPr="001B37C0">
        <w:rPr>
          <w:rFonts w:ascii="David" w:eastAsia="Calibri" w:hAnsi="David" w:hint="eastAsia"/>
          <w:rtl/>
        </w:rPr>
        <w:t>במכל</w:t>
      </w:r>
      <w:r w:rsidRPr="001B37C0">
        <w:rPr>
          <w:rFonts w:ascii="David" w:eastAsia="Calibri" w:hAnsi="David"/>
          <w:rtl/>
        </w:rPr>
        <w:t xml:space="preserve"> מ</w:t>
      </w:r>
      <w:r w:rsidRPr="001B37C0">
        <w:rPr>
          <w:rFonts w:ascii="David" w:eastAsia="Calibri" w:hAnsi="David" w:hint="eastAsia"/>
          <w:rtl/>
        </w:rPr>
        <w:t>יטלטל</w:t>
      </w:r>
      <w:r w:rsidRPr="001B37C0">
        <w:rPr>
          <w:rFonts w:ascii="David" w:eastAsia="Calibri" w:hAnsi="David" w:hint="cs"/>
          <w:rtl/>
        </w:rPr>
        <w:t>.</w:t>
      </w:r>
    </w:p>
    <w:p w:rsidR="001B37C0" w:rsidRPr="001B37C0" w:rsidP="002F4530">
      <w:pPr>
        <w:keepNext/>
        <w:keepLines/>
        <w:spacing w:line="269" w:lineRule="auto"/>
        <w:ind w:left="-567"/>
        <w:rPr>
          <w:rFonts w:eastAsia="Calibri"/>
          <w:szCs w:val="20"/>
          <w:rtl/>
        </w:rPr>
      </w:pPr>
    </w:p>
    <w:p w:rsidR="001B37C0" w:rsidRPr="001B37C0" w:rsidP="002F4530">
      <w:pPr>
        <w:spacing w:line="269" w:lineRule="auto"/>
        <w:ind w:right="34"/>
        <w:rPr>
          <w:rFonts w:ascii="David" w:eastAsia="Calibri" w:hAnsi="David"/>
          <w:rtl/>
        </w:rPr>
      </w:pPr>
      <w:r w:rsidRPr="001B37C0">
        <w:rPr>
          <w:rFonts w:ascii="David" w:eastAsia="Calibri" w:hAnsi="David" w:hint="cs"/>
          <w:rtl/>
        </w:rPr>
        <w:t>לפי הקול הקורא של מינהל הדלק</w:t>
      </w:r>
      <w:r>
        <w:rPr>
          <w:rFonts w:ascii="David" w:eastAsia="Calibri" w:hAnsi="David"/>
          <w:vertAlign w:val="superscript"/>
          <w:rtl/>
        </w:rPr>
        <w:footnoteReference w:id="131"/>
      </w:r>
      <w:r w:rsidRPr="001B37C0">
        <w:rPr>
          <w:rFonts w:ascii="David" w:eastAsia="Calibri" w:hAnsi="David" w:hint="cs"/>
          <w:rtl/>
        </w:rPr>
        <w:t xml:space="preserve">, בעשור האחרון נבחן לעומק נושא התחרות באספקת גפ"ם לבניינים משותפים וננקטו מהלכי אסדרה מהותיים בתחום. צעדים אלה הורידו במידה מסוימת את המחירים והגבירו את המעבר בין ספקים. ואולם על אף השיפור נותר פער מהותי: מחיר הגפ"ם למ"ק ללקוחות בבניינים משותפים גבוה בכ-30% מהמחיר למ"ק ללקוחות פרטיים של </w:t>
      </w:r>
      <w:r w:rsidRPr="001B37C0">
        <w:rPr>
          <w:rFonts w:ascii="David" w:eastAsia="Calibri" w:hAnsi="David" w:hint="eastAsia"/>
          <w:rtl/>
        </w:rPr>
        <w:t>מכלים</w:t>
      </w:r>
      <w:r w:rsidRPr="001B37C0">
        <w:rPr>
          <w:rFonts w:ascii="David" w:eastAsia="Calibri" w:hAnsi="David"/>
          <w:rtl/>
        </w:rPr>
        <w:t xml:space="preserve"> מ</w:t>
      </w:r>
      <w:r w:rsidRPr="001B37C0">
        <w:rPr>
          <w:rFonts w:ascii="David" w:eastAsia="Calibri" w:hAnsi="David" w:hint="eastAsia"/>
          <w:rtl/>
        </w:rPr>
        <w:t>יטלטלים</w:t>
      </w:r>
      <w:r w:rsidRPr="001B37C0">
        <w:rPr>
          <w:rFonts w:ascii="David" w:eastAsia="Calibri" w:hAnsi="David" w:hint="cs"/>
          <w:rtl/>
        </w:rPr>
        <w:t xml:space="preserve">. על פי בדיקות של משרד האנרגיה ושל רשות התחרות, פער זה עלול לנבוע בין היתר מכשלים תחרותיים בשוק זה, בשל חסמי מעבר בין ספקי הגז. </w:t>
      </w:r>
    </w:p>
    <w:p w:rsidR="001B37C0" w:rsidRPr="001B37C0" w:rsidP="002F4530">
      <w:pPr>
        <w:keepNext/>
        <w:keepLines/>
        <w:spacing w:line="269" w:lineRule="auto"/>
        <w:ind w:left="-567"/>
        <w:rPr>
          <w:rFonts w:eastAsia="Calibri"/>
          <w:szCs w:val="20"/>
          <w:rtl/>
        </w:rPr>
      </w:pPr>
    </w:p>
    <w:p w:rsidR="001B37C0" w:rsidP="002F4530">
      <w:pPr>
        <w:spacing w:line="269" w:lineRule="auto"/>
        <w:ind w:right="34"/>
        <w:rPr>
          <w:rFonts w:ascii="David" w:eastAsia="Calibri" w:hAnsi="David"/>
          <w:rtl/>
        </w:rPr>
      </w:pPr>
      <w:r w:rsidRPr="001B37C0">
        <w:rPr>
          <w:rFonts w:ascii="David" w:eastAsia="Calibri" w:hAnsi="David" w:hint="cs"/>
          <w:rtl/>
        </w:rPr>
        <w:t>משרד מבקר המדינה בדק את השינויים שחלו במחירים הממוצעים של הגפ"ם בשנים 2021 - 2024 באמצעי האספקה השונים</w:t>
      </w:r>
      <w:r>
        <w:rPr>
          <w:rFonts w:ascii="David" w:eastAsia="Calibri" w:hAnsi="David"/>
          <w:vertAlign w:val="superscript"/>
          <w:rtl/>
        </w:rPr>
        <w:footnoteReference w:id="132"/>
      </w:r>
      <w:r w:rsidRPr="001B37C0">
        <w:rPr>
          <w:rFonts w:ascii="David" w:eastAsia="Calibri" w:hAnsi="David" w:hint="cs"/>
          <w:rtl/>
        </w:rPr>
        <w:t xml:space="preserve">. בתרשימים להלן מפורטות תוצאות הבדיקה. </w:t>
      </w:r>
    </w:p>
    <w:p w:rsidR="00427065" w:rsidP="002F4530">
      <w:pPr>
        <w:spacing w:line="269" w:lineRule="auto"/>
        <w:ind w:right="34"/>
        <w:rPr>
          <w:rFonts w:ascii="David" w:eastAsia="Calibri" w:hAnsi="David"/>
          <w:rtl/>
        </w:rPr>
      </w:pPr>
    </w:p>
    <w:p w:rsidR="004753CF" w:rsidP="002F4530">
      <w:pPr>
        <w:bidi w:val="0"/>
        <w:spacing w:after="200" w:line="276" w:lineRule="auto"/>
        <w:rPr>
          <w:rFonts w:ascii="David" w:eastAsia="Calibri" w:hAnsi="David"/>
          <w:rtl/>
        </w:rPr>
      </w:pPr>
      <w:r>
        <w:rPr>
          <w:rFonts w:ascii="David" w:eastAsia="Calibri" w:hAnsi="David"/>
          <w:rtl/>
        </w:rPr>
        <w:br w:type="page"/>
      </w:r>
    </w:p>
    <w:p w:rsidR="004753CF" w:rsidRPr="004753CF" w:rsidP="002F4530">
      <w:pPr>
        <w:keepNext/>
        <w:keepLines/>
        <w:spacing w:line="269" w:lineRule="auto"/>
        <w:jc w:val="center"/>
        <w:rPr>
          <w:rFonts w:ascii="David" w:eastAsia="Calibri" w:hAnsi="David"/>
          <w:b/>
          <w:bCs/>
          <w:rtl/>
        </w:rPr>
      </w:pPr>
      <w:r w:rsidRPr="004753CF">
        <w:rPr>
          <w:rFonts w:ascii="David" w:eastAsia="Calibri" w:hAnsi="David" w:hint="cs"/>
          <w:rtl/>
        </w:rPr>
        <w:t>תרשים 16:</w:t>
      </w:r>
      <w:r w:rsidRPr="004753CF">
        <w:rPr>
          <w:rFonts w:ascii="David" w:eastAsia="Calibri" w:hAnsi="David" w:hint="cs"/>
          <w:b/>
          <w:bCs/>
          <w:rtl/>
        </w:rPr>
        <w:t xml:space="preserve"> </w:t>
      </w:r>
      <w:r w:rsidRPr="004753CF">
        <w:rPr>
          <w:rFonts w:ascii="David" w:eastAsia="Calibri" w:hAnsi="David"/>
          <w:b/>
          <w:bCs/>
          <w:rtl/>
        </w:rPr>
        <w:t>מחיר ממוצע</w:t>
      </w:r>
      <w:r w:rsidRPr="004753CF">
        <w:rPr>
          <w:rFonts w:ascii="David" w:eastAsia="Calibri" w:hAnsi="David" w:hint="cs"/>
          <w:b/>
          <w:bCs/>
          <w:rtl/>
        </w:rPr>
        <w:t xml:space="preserve"> משוקלל (בש"ח למ"ק, כולל מע"ם) ל</w:t>
      </w:r>
      <w:r w:rsidRPr="004753CF">
        <w:rPr>
          <w:rFonts w:ascii="David" w:eastAsia="Calibri" w:hAnsi="David"/>
          <w:b/>
          <w:bCs/>
          <w:rtl/>
        </w:rPr>
        <w:t xml:space="preserve">אספקת </w:t>
      </w:r>
      <w:r w:rsidRPr="004753CF">
        <w:rPr>
          <w:rFonts w:ascii="David" w:eastAsia="Calibri" w:hAnsi="David" w:hint="cs"/>
          <w:b/>
          <w:bCs/>
          <w:rtl/>
        </w:rPr>
        <w:t>גפ"ם</w:t>
      </w:r>
      <w:r w:rsidRPr="004753CF">
        <w:rPr>
          <w:rFonts w:ascii="David" w:eastAsia="Calibri" w:hAnsi="David"/>
          <w:b/>
          <w:bCs/>
          <w:rtl/>
        </w:rPr>
        <w:t xml:space="preserve"> </w:t>
      </w:r>
    </w:p>
    <w:p w:rsidR="004753CF" w:rsidRPr="004753CF" w:rsidP="002F4530">
      <w:pPr>
        <w:spacing w:line="269" w:lineRule="auto"/>
        <w:ind w:right="34"/>
        <w:jc w:val="center"/>
        <w:rPr>
          <w:rFonts w:ascii="David" w:eastAsia="Calibri" w:hAnsi="David"/>
        </w:rPr>
      </w:pPr>
      <w:r w:rsidRPr="004753CF">
        <w:rPr>
          <w:rFonts w:ascii="David" w:eastAsia="Calibri" w:hAnsi="David"/>
          <w:b/>
          <w:bCs/>
          <w:rtl/>
        </w:rPr>
        <w:t>במכל 12 ק"ג</w:t>
      </w:r>
      <w:r w:rsidRPr="004753CF">
        <w:rPr>
          <w:rFonts w:ascii="David" w:eastAsia="Calibri" w:hAnsi="David" w:hint="cs"/>
          <w:b/>
          <w:bCs/>
          <w:rtl/>
        </w:rPr>
        <w:t>, 2021 - 2024</w:t>
      </w:r>
    </w:p>
    <w:p w:rsidR="00427065" w:rsidRPr="001B37C0" w:rsidP="002F4530">
      <w:pPr>
        <w:spacing w:line="269" w:lineRule="auto"/>
        <w:ind w:right="34"/>
        <w:jc w:val="center"/>
        <w:rPr>
          <w:rFonts w:ascii="David" w:eastAsia="Calibri" w:hAnsi="David"/>
          <w:rtl/>
        </w:rPr>
      </w:pPr>
      <w:r w:rsidRPr="004753CF">
        <w:rPr>
          <w:rFonts w:ascii="David" w:eastAsia="Calibri" w:hAnsi="David"/>
          <w:noProof/>
        </w:rPr>
        <w:drawing>
          <wp:inline distT="0" distB="0" distL="0" distR="0">
            <wp:extent cx="4352544" cy="2749426"/>
            <wp:effectExtent l="0" t="0" r="0" b="0"/>
            <wp:docPr id="23" name="תמונה 23" descr="התרשים מתאר את המחיר המשוקלל (בש&quot;ח למ&quot;ק כולל מע&quot;ם) לאספקת גפ&quot;ם במכל 12 ק&quot;ג, בשנים 2021 - 2024. המחיר הממוצע עלה בשנים א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xmlns:r="http://schemas.openxmlformats.org/officeDocument/2006/relationships" r:embed="rId32">
                      <a:extLst>
                        <a:ext xmlns:a="http://schemas.openxmlformats.org/drawingml/2006/main" uri="{28A0092B-C50C-407E-A947-70E740481C1C}">
                          <a14:useLocalDpi xmlns:a14="http://schemas.microsoft.com/office/drawing/2010/main" val="0"/>
                        </a:ext>
                      </a:extLst>
                    </a:blip>
                    <a:stretch>
                      <a:fillRect/>
                    </a:stretch>
                  </pic:blipFill>
                  <pic:spPr bwMode="auto">
                    <a:xfrm>
                      <a:off x="0" y="0"/>
                      <a:ext cx="4364329" cy="2756870"/>
                    </a:xfrm>
                    <a:prstGeom prst="rect">
                      <a:avLst/>
                    </a:prstGeom>
                    <a:noFill/>
                  </pic:spPr>
                </pic:pic>
              </a:graphicData>
            </a:graphic>
          </wp:inline>
        </w:drawing>
      </w:r>
    </w:p>
    <w:p w:rsidR="004753CF" w:rsidP="002F4530">
      <w:pPr>
        <w:spacing w:line="269" w:lineRule="auto"/>
        <w:ind w:right="34"/>
        <w:jc w:val="left"/>
        <w:rPr>
          <w:szCs w:val="20"/>
          <w:rtl/>
        </w:rPr>
      </w:pPr>
      <w:r w:rsidRPr="00011FD8">
        <w:rPr>
          <w:rFonts w:hint="cs"/>
          <w:szCs w:val="20"/>
          <w:rtl/>
        </w:rPr>
        <w:t>על פי נתוני מינהל הדלק, בעיבוד משרד מבקר</w:t>
      </w:r>
      <w:r>
        <w:rPr>
          <w:rFonts w:hint="cs"/>
          <w:szCs w:val="20"/>
          <w:rtl/>
        </w:rPr>
        <w:t xml:space="preserve"> המדינה.</w:t>
      </w:r>
      <w:r w:rsidRPr="00011FD8">
        <w:rPr>
          <w:rFonts w:hint="cs"/>
          <w:szCs w:val="20"/>
          <w:rtl/>
        </w:rPr>
        <w:t xml:space="preserve"> </w:t>
      </w:r>
    </w:p>
    <w:p w:rsidR="001B37C0" w:rsidRPr="001B37C0" w:rsidP="002F4530">
      <w:pPr>
        <w:spacing w:line="269" w:lineRule="auto"/>
        <w:rPr>
          <w:rFonts w:eastAsia="Calibri"/>
          <w:rtl/>
        </w:rPr>
      </w:pPr>
    </w:p>
    <w:p w:rsidR="004753CF" w:rsidRPr="004753CF" w:rsidP="002F4530">
      <w:pPr>
        <w:keepNext/>
        <w:keepLines/>
        <w:spacing w:line="269" w:lineRule="auto"/>
        <w:jc w:val="center"/>
        <w:rPr>
          <w:rFonts w:ascii="David" w:eastAsia="Calibri" w:hAnsi="David"/>
          <w:b/>
          <w:bCs/>
          <w:rtl/>
        </w:rPr>
      </w:pPr>
      <w:r w:rsidRPr="004753CF">
        <w:rPr>
          <w:rFonts w:ascii="David" w:eastAsia="Calibri" w:hAnsi="David" w:hint="cs"/>
          <w:rtl/>
        </w:rPr>
        <w:t>תרשים 17:</w:t>
      </w:r>
      <w:r w:rsidRPr="004753CF">
        <w:rPr>
          <w:rFonts w:ascii="David" w:eastAsia="Calibri" w:hAnsi="David" w:hint="cs"/>
          <w:b/>
          <w:bCs/>
          <w:rtl/>
        </w:rPr>
        <w:t xml:space="preserve"> </w:t>
      </w:r>
      <w:r w:rsidRPr="004753CF">
        <w:rPr>
          <w:rFonts w:ascii="David" w:eastAsia="Calibri" w:hAnsi="David"/>
          <w:b/>
          <w:bCs/>
          <w:rtl/>
        </w:rPr>
        <w:t>מחיר ממוצע</w:t>
      </w:r>
      <w:r w:rsidRPr="004753CF">
        <w:rPr>
          <w:rFonts w:ascii="David" w:eastAsia="Calibri" w:hAnsi="David" w:hint="cs"/>
          <w:b/>
          <w:bCs/>
          <w:rtl/>
        </w:rPr>
        <w:t xml:space="preserve"> משוקלל (בש"ח למ"ק, כולל מע"ם) ל</w:t>
      </w:r>
      <w:r w:rsidRPr="004753CF">
        <w:rPr>
          <w:rFonts w:ascii="David" w:eastAsia="Calibri" w:hAnsi="David"/>
          <w:b/>
          <w:bCs/>
          <w:rtl/>
        </w:rPr>
        <w:t xml:space="preserve">אספקת </w:t>
      </w:r>
      <w:r w:rsidRPr="004753CF">
        <w:rPr>
          <w:rFonts w:ascii="David" w:eastAsia="Calibri" w:hAnsi="David" w:hint="cs"/>
          <w:b/>
          <w:bCs/>
          <w:rtl/>
        </w:rPr>
        <w:t>גפ"ם</w:t>
      </w:r>
      <w:r w:rsidRPr="004753CF">
        <w:rPr>
          <w:rFonts w:ascii="David" w:eastAsia="Calibri" w:hAnsi="David"/>
          <w:b/>
          <w:bCs/>
          <w:rtl/>
        </w:rPr>
        <w:t xml:space="preserve"> </w:t>
      </w:r>
    </w:p>
    <w:p w:rsidR="004753CF" w:rsidRPr="004753CF" w:rsidP="002F4530">
      <w:pPr>
        <w:keepNext/>
        <w:keepLines/>
        <w:spacing w:line="269" w:lineRule="auto"/>
        <w:jc w:val="center"/>
        <w:rPr>
          <w:rFonts w:eastAsia="Calibri"/>
          <w:sz w:val="16"/>
          <w:szCs w:val="20"/>
          <w:rtl/>
        </w:rPr>
      </w:pPr>
      <w:r w:rsidRPr="004753CF">
        <w:rPr>
          <w:rFonts w:ascii="David" w:eastAsia="Calibri" w:hAnsi="David"/>
          <w:b/>
          <w:bCs/>
          <w:rtl/>
        </w:rPr>
        <w:t xml:space="preserve">במכל </w:t>
      </w:r>
      <w:r w:rsidRPr="004753CF">
        <w:rPr>
          <w:rFonts w:ascii="David" w:eastAsia="Calibri" w:hAnsi="David" w:hint="cs"/>
          <w:b/>
          <w:bCs/>
          <w:rtl/>
        </w:rPr>
        <w:t>48</w:t>
      </w:r>
      <w:r w:rsidRPr="004753CF">
        <w:rPr>
          <w:rFonts w:ascii="David" w:eastAsia="Calibri" w:hAnsi="David"/>
          <w:b/>
          <w:bCs/>
          <w:rtl/>
        </w:rPr>
        <w:t xml:space="preserve"> ק"ג</w:t>
      </w:r>
      <w:r w:rsidRPr="004753CF">
        <w:rPr>
          <w:rFonts w:ascii="David" w:eastAsia="Calibri" w:hAnsi="David" w:hint="cs"/>
          <w:b/>
          <w:bCs/>
          <w:rtl/>
        </w:rPr>
        <w:t xml:space="preserve">, </w:t>
      </w:r>
      <w:r w:rsidRPr="004753CF">
        <w:rPr>
          <w:rFonts w:ascii="David" w:eastAsia="Calibri" w:hAnsi="David"/>
          <w:b/>
          <w:bCs/>
          <w:sz w:val="24"/>
        </w:rPr>
        <w:t>2021 - 2024</w:t>
      </w:r>
    </w:p>
    <w:p w:rsidR="001B37C0" w:rsidRPr="001B37C0" w:rsidP="002F4530">
      <w:pPr>
        <w:spacing w:line="269" w:lineRule="auto"/>
        <w:contextualSpacing/>
        <w:jc w:val="center"/>
        <w:rPr>
          <w:rFonts w:ascii="David" w:eastAsia="Calibri" w:hAnsi="David"/>
        </w:rPr>
      </w:pPr>
      <w:r w:rsidRPr="004753CF">
        <w:rPr>
          <w:rFonts w:eastAsia="Calibri"/>
          <w:noProof/>
          <w:sz w:val="16"/>
          <w:szCs w:val="20"/>
        </w:rPr>
        <w:drawing>
          <wp:inline distT="0" distB="0" distL="0" distR="0">
            <wp:extent cx="4584700" cy="2755900"/>
            <wp:effectExtent l="0" t="0" r="6350" b="6350"/>
            <wp:docPr id="20" name="תמונה 20" descr="התרשים מתאר את המחיר המשוקלל (בש&quot;ח למ&quot;ק כולל מע&quot;ם) לאספקת גפ&quot;ם במכל 48 ק&quot;ג, בשנים 2021 - 2024. המחיר הממוצע עלה בשנים א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00F954E4" w:rsidP="002F4530">
      <w:pPr>
        <w:spacing w:line="269" w:lineRule="auto"/>
        <w:rPr>
          <w:rFonts w:eastAsia="Calibri"/>
          <w:sz w:val="16"/>
          <w:szCs w:val="20"/>
        </w:rPr>
      </w:pPr>
      <w:r w:rsidRPr="004753CF">
        <w:rPr>
          <w:rFonts w:eastAsia="Calibri" w:hint="cs"/>
          <w:sz w:val="16"/>
          <w:szCs w:val="20"/>
          <w:rtl/>
        </w:rPr>
        <w:t xml:space="preserve">על פי נתוני מינהל הדלק, בעיבוד משרד מבקר המדינה. </w:t>
      </w:r>
    </w:p>
    <w:p w:rsidR="004753CF" w:rsidP="002F4530">
      <w:pPr>
        <w:spacing w:line="269" w:lineRule="auto"/>
        <w:rPr>
          <w:rFonts w:eastAsia="Calibri"/>
          <w:sz w:val="16"/>
          <w:szCs w:val="20"/>
        </w:rPr>
      </w:pPr>
    </w:p>
    <w:p w:rsidR="004753CF" w:rsidRPr="00694789" w:rsidP="002F4530">
      <w:pPr>
        <w:keepNext/>
        <w:keepLines/>
        <w:spacing w:line="269" w:lineRule="auto"/>
        <w:jc w:val="center"/>
        <w:rPr>
          <w:rFonts w:ascii="David" w:hAnsi="David"/>
          <w:b/>
          <w:bCs/>
          <w:rtl/>
        </w:rPr>
      </w:pPr>
      <w:r w:rsidRPr="00694789">
        <w:rPr>
          <w:rFonts w:ascii="David" w:hAnsi="David" w:hint="cs"/>
          <w:rtl/>
        </w:rPr>
        <w:t>תרשים 18:</w:t>
      </w:r>
      <w:r w:rsidRPr="006614A6">
        <w:rPr>
          <w:rFonts w:ascii="David" w:hAnsi="David" w:hint="cs"/>
          <w:b/>
          <w:bCs/>
          <w:rtl/>
        </w:rPr>
        <w:t xml:space="preserve"> </w:t>
      </w:r>
      <w:r w:rsidRPr="006614A6">
        <w:rPr>
          <w:rFonts w:ascii="David" w:hAnsi="David"/>
          <w:b/>
          <w:bCs/>
          <w:rtl/>
        </w:rPr>
        <w:t>מחיר ממוצע</w:t>
      </w:r>
      <w:r>
        <w:rPr>
          <w:rFonts w:ascii="David" w:hAnsi="David" w:hint="cs"/>
          <w:b/>
          <w:bCs/>
          <w:rtl/>
        </w:rPr>
        <w:t xml:space="preserve"> משוקלל (בש"ח למ"ק, כולל מע"ם) ל</w:t>
      </w:r>
      <w:r w:rsidRPr="006614A6">
        <w:rPr>
          <w:rFonts w:ascii="David" w:hAnsi="David"/>
          <w:b/>
          <w:bCs/>
          <w:rtl/>
        </w:rPr>
        <w:t xml:space="preserve">אספקת </w:t>
      </w:r>
      <w:r>
        <w:rPr>
          <w:rFonts w:ascii="David" w:hAnsi="David" w:hint="cs"/>
          <w:b/>
          <w:bCs/>
          <w:rtl/>
        </w:rPr>
        <w:t>גפ"</w:t>
      </w:r>
      <w:r w:rsidRPr="00465A0F">
        <w:rPr>
          <w:rFonts w:ascii="David" w:hAnsi="David" w:hint="cs"/>
          <w:b/>
          <w:bCs/>
          <w:rtl/>
        </w:rPr>
        <w:t>ם</w:t>
      </w:r>
      <w:r>
        <w:rPr>
          <w:rFonts w:ascii="David" w:hAnsi="David" w:hint="cs"/>
          <w:rtl/>
        </w:rPr>
        <w:t xml:space="preserve"> </w:t>
      </w:r>
      <w:r w:rsidRPr="00465A0F">
        <w:rPr>
          <w:rFonts w:ascii="David" w:hAnsi="David" w:hint="cs"/>
          <w:b/>
          <w:bCs/>
          <w:rtl/>
        </w:rPr>
        <w:t>במרכזיית מכלים</w:t>
      </w:r>
      <w:r>
        <w:rPr>
          <w:rFonts w:ascii="David" w:hAnsi="David" w:hint="cs"/>
          <w:b/>
          <w:bCs/>
          <w:rtl/>
        </w:rPr>
        <w:t>, 2021 - 2024</w:t>
      </w:r>
    </w:p>
    <w:p w:rsidR="004753CF" w:rsidRPr="004753CF" w:rsidP="002F4530">
      <w:pPr>
        <w:spacing w:line="269" w:lineRule="auto"/>
        <w:jc w:val="center"/>
        <w:rPr>
          <w:rFonts w:eastAsia="Calibri"/>
          <w:sz w:val="16"/>
          <w:szCs w:val="20"/>
          <w:rtl/>
        </w:rPr>
      </w:pPr>
      <w:r w:rsidRPr="004753CF">
        <w:rPr>
          <w:rFonts w:ascii="David" w:eastAsia="Calibri" w:hAnsi="David"/>
          <w:noProof/>
        </w:rPr>
        <w:drawing>
          <wp:inline distT="0" distB="0" distL="0" distR="0">
            <wp:extent cx="4584700" cy="2573020"/>
            <wp:effectExtent l="0" t="0" r="6350" b="0"/>
            <wp:docPr id="40" name="תמונה 40" descr="התרשים מתאר את המחיר המשוקלל (בש&quot;ח למ&quot;ק כולל מע&quot;ם) לאספקת גפ&quot;ם במרכזיית מכלים, בשנים 2021 - 2024. המחיר הממוצע עלה בשנים אל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
                    <pic:cNvPicPr>
                      <a:picLocks noChangeAspect="1" noChangeArrowheads="1"/>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4700" cy="2573020"/>
                    </a:xfrm>
                    <a:prstGeom prst="rect">
                      <a:avLst/>
                    </a:prstGeom>
                    <a:noFill/>
                  </pic:spPr>
                </pic:pic>
              </a:graphicData>
            </a:graphic>
          </wp:inline>
        </w:drawing>
      </w:r>
    </w:p>
    <w:p w:rsidR="004753CF" w:rsidP="002F4530">
      <w:pPr>
        <w:spacing w:line="269" w:lineRule="auto"/>
        <w:rPr>
          <w:rFonts w:eastAsia="Calibri"/>
          <w:sz w:val="16"/>
          <w:szCs w:val="20"/>
          <w:rtl/>
        </w:rPr>
      </w:pPr>
      <w:r w:rsidRPr="004753CF">
        <w:rPr>
          <w:rFonts w:eastAsia="Calibri" w:hint="cs"/>
          <w:sz w:val="16"/>
          <w:szCs w:val="20"/>
          <w:rtl/>
        </w:rPr>
        <w:t xml:space="preserve">על פי נתוני מינהל הדלק, בעיבוד משרד מבקר המדינה. </w:t>
      </w:r>
    </w:p>
    <w:p w:rsidR="004753CF" w:rsidP="002F4530">
      <w:pPr>
        <w:spacing w:line="269" w:lineRule="auto"/>
        <w:rPr>
          <w:rFonts w:eastAsia="Calibri"/>
          <w:sz w:val="16"/>
          <w:szCs w:val="20"/>
          <w:rtl/>
        </w:rPr>
      </w:pPr>
    </w:p>
    <w:p w:rsidR="004753CF" w:rsidRPr="004753CF" w:rsidP="002F4530">
      <w:pPr>
        <w:keepNext/>
        <w:keepLines/>
        <w:spacing w:line="269" w:lineRule="auto"/>
        <w:jc w:val="center"/>
        <w:rPr>
          <w:rFonts w:ascii="David" w:eastAsia="Calibri" w:hAnsi="David"/>
          <w:b/>
          <w:bCs/>
          <w:rtl/>
        </w:rPr>
      </w:pPr>
      <w:r w:rsidRPr="004753CF">
        <w:rPr>
          <w:rFonts w:ascii="David" w:eastAsia="Calibri" w:hAnsi="David" w:hint="cs"/>
          <w:rtl/>
        </w:rPr>
        <w:t>תרשים 19:</w:t>
      </w:r>
      <w:r w:rsidRPr="004753CF">
        <w:rPr>
          <w:rFonts w:ascii="David" w:eastAsia="Calibri" w:hAnsi="David" w:hint="cs"/>
          <w:b/>
          <w:bCs/>
          <w:rtl/>
        </w:rPr>
        <w:t xml:space="preserve"> </w:t>
      </w:r>
      <w:r w:rsidRPr="004753CF">
        <w:rPr>
          <w:rFonts w:ascii="David" w:eastAsia="Calibri" w:hAnsi="David"/>
          <w:b/>
          <w:bCs/>
          <w:rtl/>
        </w:rPr>
        <w:t>מחיר ממוצע</w:t>
      </w:r>
      <w:r w:rsidRPr="004753CF">
        <w:rPr>
          <w:rFonts w:ascii="David" w:eastAsia="Calibri" w:hAnsi="David" w:hint="cs"/>
          <w:b/>
          <w:bCs/>
          <w:rtl/>
        </w:rPr>
        <w:t xml:space="preserve"> משוקלל (בש"ח למ"ק, כולל מע"ם) ל</w:t>
      </w:r>
      <w:r w:rsidRPr="004753CF">
        <w:rPr>
          <w:rFonts w:ascii="David" w:eastAsia="Calibri" w:hAnsi="David"/>
          <w:b/>
          <w:bCs/>
          <w:rtl/>
        </w:rPr>
        <w:t xml:space="preserve">אספקת </w:t>
      </w:r>
      <w:r w:rsidRPr="004753CF">
        <w:rPr>
          <w:rFonts w:ascii="David" w:eastAsia="Calibri" w:hAnsi="David" w:hint="cs"/>
          <w:b/>
          <w:bCs/>
          <w:rtl/>
        </w:rPr>
        <w:t>גפ"ם</w:t>
      </w:r>
      <w:r w:rsidRPr="004753CF">
        <w:rPr>
          <w:rFonts w:ascii="David" w:eastAsia="Calibri" w:hAnsi="David" w:hint="cs"/>
          <w:rtl/>
        </w:rPr>
        <w:t xml:space="preserve"> </w:t>
      </w:r>
    </w:p>
    <w:p w:rsidR="004753CF" w:rsidRPr="004753CF" w:rsidP="002F4530">
      <w:pPr>
        <w:keepNext/>
        <w:keepLines/>
        <w:spacing w:line="269" w:lineRule="auto"/>
        <w:jc w:val="center"/>
        <w:rPr>
          <w:rFonts w:ascii="David" w:eastAsia="Calibri" w:hAnsi="David"/>
        </w:rPr>
      </w:pPr>
      <w:r w:rsidRPr="004753CF">
        <w:rPr>
          <w:rFonts w:ascii="David" w:eastAsia="Calibri" w:hAnsi="David" w:hint="cs"/>
          <w:b/>
          <w:bCs/>
          <w:rtl/>
        </w:rPr>
        <w:t>במרכזיית מכל נייח, 2021 - 2024</w:t>
      </w:r>
    </w:p>
    <w:p w:rsidR="004753CF" w:rsidRPr="004753CF" w:rsidP="002F4530">
      <w:pPr>
        <w:spacing w:line="269" w:lineRule="auto"/>
        <w:jc w:val="center"/>
        <w:rPr>
          <w:rFonts w:eastAsia="Calibri"/>
          <w:sz w:val="16"/>
          <w:szCs w:val="20"/>
          <w:rtl/>
        </w:rPr>
      </w:pPr>
      <w:r w:rsidRPr="004753CF">
        <w:rPr>
          <w:rFonts w:eastAsia="Calibri"/>
          <w:noProof/>
        </w:rPr>
        <w:drawing>
          <wp:inline distT="0" distB="0" distL="0" distR="0">
            <wp:extent cx="4584700" cy="2755900"/>
            <wp:effectExtent l="0" t="0" r="6350" b="6350"/>
            <wp:docPr id="46" name="תמונה 46" descr="התרשים מתאר את המחיר המשוקלל (בש&quot;ח למ&quot;ק כולל מע&quot;ם) לאספקת גפ&quot;ם במרכזיית מכל נייח, בשנים 2021 - 2024. היתה יציבות במחיר הממוצע וירידה קלה בקרב כלל הספ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6"/>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00457C29" w:rsidP="002F4530">
      <w:pPr>
        <w:spacing w:line="269" w:lineRule="auto"/>
        <w:rPr>
          <w:rFonts w:eastAsia="Calibri"/>
          <w:sz w:val="16"/>
          <w:szCs w:val="20"/>
        </w:rPr>
      </w:pPr>
      <w:r w:rsidRPr="004753CF">
        <w:rPr>
          <w:rFonts w:eastAsia="Calibri" w:hint="cs"/>
          <w:sz w:val="16"/>
          <w:szCs w:val="20"/>
          <w:rtl/>
        </w:rPr>
        <w:t xml:space="preserve">על פי נתוני מינהל הדלק, בעיבוד משרד מבקר המדינה. </w:t>
      </w:r>
    </w:p>
    <w:p w:rsidR="004753CF" w:rsidRPr="00457C29" w:rsidP="002F4530">
      <w:pPr>
        <w:spacing w:line="269" w:lineRule="auto"/>
        <w:ind w:right="34"/>
        <w:rPr>
          <w:rFonts w:ascii="David" w:eastAsia="Calibri" w:hAnsi="David"/>
          <w:b/>
          <w:bCs/>
          <w:rtl/>
        </w:rPr>
      </w:pPr>
    </w:p>
    <w:p w:rsidR="004753CF" w:rsidP="002F4530">
      <w:pPr>
        <w:spacing w:line="269" w:lineRule="auto"/>
        <w:ind w:right="34"/>
        <w:rPr>
          <w:rFonts w:ascii="David" w:eastAsia="Calibri" w:hAnsi="David"/>
          <w:b/>
          <w:bCs/>
          <w:rtl/>
        </w:rPr>
      </w:pPr>
      <w:r w:rsidRPr="004753CF">
        <w:rPr>
          <w:rFonts w:ascii="David" w:eastAsia="Calibri" w:hAnsi="David" w:hint="cs"/>
          <w:b/>
          <w:bCs/>
          <w:rtl/>
        </w:rPr>
        <w:t>מהתרשימים עולה כי המחירים הממוצעים של ארבעת הספקים הגדולים בשנים 2021 - 2024 גבוהים מהמחירים הממוצעים של הספקים הקטנים בכל אחד מאמצעי האספקה. עוד עולה מהתרשימים כי המחיר הממוצע של מ"ק גפ"ם במכל 12 ק"ג עלה בין 2021 ל-2024 מ-23.45 ש"ח ל-24.93 ש"ח (בכ-6%) בקרב כלל הספקים. המחיר הממוצע של מ"ק גפ"ם במכל 48 ק"ג עלה בין 2021 ל-2024 מ-19.59 ש"ח ל-20.16 ש"ח (בכ-3%) בקרב כלל הספקים. המחיר הממוצע של מ"ק גפ"ם במרכזיית מכלים עלה בין 2021 ל-2024 מ-42.44 ש"ח ל-45.39 ש"ח (בכ-7%) בקרב כלל הספקים. לעומת זאת, הייתה יציבות במחיר הממוצע של מ"ק גפ"ם ב</w:t>
      </w:r>
      <w:r w:rsidRPr="004753CF">
        <w:rPr>
          <w:rFonts w:ascii="David" w:eastAsia="Calibri" w:hAnsi="David"/>
          <w:b/>
          <w:bCs/>
          <w:rtl/>
        </w:rPr>
        <w:t>מרכזיית</w:t>
      </w:r>
      <w:r w:rsidRPr="004753CF">
        <w:rPr>
          <w:rFonts w:ascii="David" w:eastAsia="Calibri" w:hAnsi="David" w:hint="cs"/>
          <w:b/>
          <w:bCs/>
          <w:rtl/>
        </w:rPr>
        <w:t xml:space="preserve"> מכל נייח (ירידה קלה בין 2021 ל-2024 בקרב כלל הספקים, מ-25.06 ש"ח ל-25.01 ש"ח - כ-0.19%). </w:t>
      </w:r>
    </w:p>
    <w:p w:rsidR="004753CF" w:rsidP="002F4530">
      <w:pPr>
        <w:spacing w:line="269" w:lineRule="auto"/>
        <w:ind w:right="34"/>
        <w:rPr>
          <w:rFonts w:ascii="David" w:eastAsia="Calibri" w:hAnsi="David"/>
          <w:b/>
          <w:bCs/>
          <w:rtl/>
        </w:rPr>
      </w:pPr>
    </w:p>
    <w:p w:rsidR="004753CF" w:rsidRPr="004753CF" w:rsidP="002F4530">
      <w:pPr>
        <w:spacing w:line="269" w:lineRule="auto"/>
        <w:ind w:right="34"/>
        <w:rPr>
          <w:rFonts w:ascii="David" w:eastAsia="Calibri" w:hAnsi="David"/>
          <w:b/>
          <w:bCs/>
          <w:rtl/>
        </w:rPr>
      </w:pPr>
      <w:r w:rsidRPr="004753CF">
        <w:rPr>
          <w:rFonts w:ascii="David" w:eastAsia="Calibri" w:hAnsi="David" w:hint="cs"/>
          <w:b/>
          <w:bCs/>
          <w:rtl/>
        </w:rPr>
        <w:t>כן עולה כי המחיר הממוצע למ"ק גפ"ם במרכזיית מכלים של כלל הספקים גבוה בכ-81% - 125% ממחיר מ"ק גפ"ם באמצעי האספקה האחרים. להערכת מינהל הדלק, רמת התחרות הנמוכה באמצעי אספקה זה עשויה לנבוע, בין היתר, מכך שהמרכזיות מצויות בדרך כלל בבניינים ישנים שבהם תשתיות מיושנות ומהיקפי צריכה נמוכים יחסים לעומת אמצעי האספקה האחרים. נתונים אלו משפיעים על כדאיות האספקה לבניינים אלו וממילא גם על המחירים הנגבים</w:t>
      </w:r>
      <w:r>
        <w:rPr>
          <w:rFonts w:ascii="David" w:eastAsia="Calibri" w:hAnsi="David"/>
          <w:b/>
          <w:bCs/>
          <w:vertAlign w:val="superscript"/>
          <w:rtl/>
        </w:rPr>
        <w:footnoteReference w:id="133"/>
      </w:r>
      <w:r w:rsidRPr="004753CF">
        <w:rPr>
          <w:rFonts w:ascii="David" w:eastAsia="Calibri" w:hAnsi="David" w:hint="cs"/>
          <w:b/>
          <w:bCs/>
          <w:rtl/>
        </w:rPr>
        <w:t xml:space="preserve">. </w:t>
      </w:r>
    </w:p>
    <w:p w:rsidR="004753CF" w:rsidRPr="004753CF" w:rsidP="002F4530">
      <w:pPr>
        <w:keepNext/>
        <w:keepLines/>
        <w:spacing w:line="269" w:lineRule="auto"/>
        <w:ind w:left="-567"/>
        <w:rPr>
          <w:rFonts w:eastAsia="Calibri"/>
          <w:szCs w:val="20"/>
          <w:rtl/>
        </w:rPr>
      </w:pPr>
    </w:p>
    <w:p w:rsidR="004753CF" w:rsidRPr="004753CF" w:rsidP="002F4530">
      <w:pPr>
        <w:spacing w:line="269" w:lineRule="auto"/>
        <w:ind w:right="34"/>
        <w:rPr>
          <w:rFonts w:ascii="David" w:eastAsia="Calibri" w:hAnsi="David"/>
          <w:rtl/>
        </w:rPr>
      </w:pPr>
      <w:r w:rsidRPr="004753CF">
        <w:rPr>
          <w:rFonts w:ascii="David" w:eastAsia="Calibri" w:hAnsi="David" w:hint="cs"/>
          <w:rtl/>
        </w:rPr>
        <w:t>בתשובתו למשרד מבקר המדינה מסר ספק גדול ב' כי הפער בין מחיר גפ"ם ללקוחות מרכזייה למחיר גפ"ם ללקוחות מכלים הולך ומצטמצם בשל התחרות העזה בשנים האחרונות. הפער נובע מהבדלים גדולים בעלויות שבהן כרוך כל שירות. אספקה באמצעות מרכזייה כרוכה בהוצאות רבות וניכרות שאינן נדרשות באספקה באמצעות מכלים (כגון עלות קריאת מונים ובדיקת תקינות המרכזייה). מחירי הגפ"ם היו בפיקוח במשך שנים רבות, וגם בהם היה פער של עשרות אחוזים בין מחיר מ"ק המסופק באמצעות במונה לעומת מחיר ק"ג המסופק במכל.</w:t>
      </w:r>
    </w:p>
    <w:p w:rsidR="004753CF" w:rsidRPr="004753CF" w:rsidP="002F4530">
      <w:pPr>
        <w:keepNext/>
        <w:keepLines/>
        <w:spacing w:line="269" w:lineRule="auto"/>
        <w:ind w:left="-567"/>
        <w:rPr>
          <w:rFonts w:eastAsia="Calibri"/>
          <w:szCs w:val="20"/>
          <w:rtl/>
        </w:rPr>
      </w:pPr>
    </w:p>
    <w:p w:rsidR="004753CF" w:rsidRPr="004753CF" w:rsidP="002F4530">
      <w:pPr>
        <w:spacing w:line="269" w:lineRule="auto"/>
        <w:ind w:right="34"/>
        <w:rPr>
          <w:rFonts w:ascii="David" w:eastAsia="Calibri" w:hAnsi="David"/>
          <w:rtl/>
        </w:rPr>
      </w:pPr>
      <w:r w:rsidRPr="004753CF">
        <w:rPr>
          <w:rFonts w:ascii="David" w:eastAsia="Calibri" w:hAnsi="David" w:hint="cs"/>
          <w:rtl/>
        </w:rPr>
        <w:t>בתשובתו למשרד מבקר המדינה ממאי 2026 מסר ספק גדול ג' כי הפער בין מחיר הגפ"ם במרכזיית מכלים למחיר גפ"ם במכלים מיטלטלים אינו כשל תחרותי אלא ביטוי ישיר לעלויות התפעול העודפות במרכזיות מכלים, הכוללות תחזוקת תשתיות, בדיקות בטיחות תקופתיות, ביטוחים, קריאות מונה וניהול מערך גבייה פרטני לכל דייר.</w:t>
      </w:r>
    </w:p>
    <w:p w:rsidR="004753CF" w:rsidRPr="004753CF" w:rsidP="002F4530">
      <w:pPr>
        <w:keepNext/>
        <w:keepLines/>
        <w:spacing w:line="269" w:lineRule="auto"/>
        <w:ind w:left="-567"/>
        <w:rPr>
          <w:rFonts w:eastAsia="Calibri"/>
          <w:szCs w:val="20"/>
          <w:rtl/>
        </w:rPr>
      </w:pPr>
    </w:p>
    <w:p w:rsidR="004753CF" w:rsidRPr="004753CF" w:rsidP="002F4530">
      <w:pPr>
        <w:spacing w:line="269" w:lineRule="auto"/>
        <w:ind w:right="34"/>
        <w:rPr>
          <w:rFonts w:ascii="David" w:eastAsia="Calibri" w:hAnsi="David"/>
          <w:rtl/>
        </w:rPr>
      </w:pPr>
      <w:r w:rsidRPr="004753CF">
        <w:rPr>
          <w:rFonts w:ascii="David" w:eastAsia="Calibri" w:hAnsi="David" w:hint="cs"/>
          <w:rtl/>
        </w:rPr>
        <w:t>בתשובתו למשרד מבקר המדינה מסר ספק גדול א' כי פער המחירים בין מכלים מיטלטלים למרכזיית מכלים עשוי לנבוע לא רק מחסמי מעבר או מהשפעת כוח שוק אלא גם מהבדלים מובנים ממבנה העלויות ובסיכונים הכרוכים בכל אחד מאמצעי האספקה: תחזוקת מערכת הגז המשותפת, טיפול בתשתיות, קריאת מונים, עלויות שירות ומורכבות הגבייה.</w:t>
      </w:r>
    </w:p>
    <w:p w:rsidR="004753CF" w:rsidRPr="004753CF" w:rsidP="002F4530">
      <w:pPr>
        <w:keepNext/>
        <w:keepLines/>
        <w:spacing w:line="269" w:lineRule="auto"/>
        <w:ind w:left="-567"/>
        <w:rPr>
          <w:rFonts w:eastAsia="Calibri"/>
          <w:szCs w:val="20"/>
          <w:rtl/>
        </w:rPr>
      </w:pPr>
    </w:p>
    <w:p w:rsidR="004753CF" w:rsidRPr="004753CF" w:rsidP="002F4530">
      <w:pPr>
        <w:keepNext/>
        <w:keepLines/>
        <w:spacing w:line="269" w:lineRule="auto"/>
        <w:outlineLvl w:val="4"/>
        <w:rPr>
          <w:rFonts w:eastAsia="Times New Roman"/>
          <w:bCs/>
          <w:spacing w:val="40"/>
          <w:rtl/>
        </w:rPr>
      </w:pPr>
      <w:r w:rsidRPr="004753CF">
        <w:rPr>
          <w:rFonts w:eastAsia="Times New Roman" w:hint="cs"/>
          <w:bCs/>
          <w:spacing w:val="40"/>
          <w:rtl/>
        </w:rPr>
        <w:t>מקרה בוחן - פערי מחירים בגוש דן</w:t>
      </w:r>
    </w:p>
    <w:p w:rsidR="004753CF" w:rsidRPr="004753CF" w:rsidP="002F4530">
      <w:pPr>
        <w:rPr>
          <w:rFonts w:eastAsia="Calibri"/>
          <w:rtl/>
        </w:rPr>
      </w:pPr>
    </w:p>
    <w:p w:rsidR="004753CF" w:rsidRPr="004753CF" w:rsidP="002F4530">
      <w:pPr>
        <w:spacing w:line="269" w:lineRule="auto"/>
        <w:rPr>
          <w:rFonts w:ascii="David" w:eastAsia="Calibri" w:hAnsi="David"/>
          <w:rtl/>
        </w:rPr>
      </w:pPr>
      <w:r w:rsidRPr="004753CF">
        <w:rPr>
          <w:rFonts w:ascii="David" w:eastAsia="Calibri" w:hAnsi="David" w:hint="cs"/>
          <w:rtl/>
        </w:rPr>
        <w:t>משרד מבקר המדינה בדק את</w:t>
      </w:r>
      <w:r w:rsidRPr="004753CF">
        <w:rPr>
          <w:rFonts w:eastAsia="Calibri" w:hint="cs"/>
          <w:rtl/>
        </w:rPr>
        <w:t xml:space="preserve"> המחירים הממוצעים המשוקללים של מכל 12 ק"ג, מכל 48 ק"ג, מרכזיית מכלים ומרכזיית מכל נייח בכמה ערים בגוש דן</w:t>
      </w:r>
      <w:r>
        <w:rPr>
          <w:rFonts w:eastAsia="Calibri"/>
          <w:vertAlign w:val="superscript"/>
          <w:rtl/>
        </w:rPr>
        <w:footnoteReference w:id="134"/>
      </w:r>
      <w:r w:rsidRPr="004753CF">
        <w:rPr>
          <w:rFonts w:eastAsia="Calibri" w:hint="cs"/>
          <w:rtl/>
        </w:rPr>
        <w:t xml:space="preserve"> </w:t>
      </w:r>
      <w:r w:rsidRPr="004753CF">
        <w:rPr>
          <w:rFonts w:ascii="David" w:eastAsia="Calibri" w:hAnsi="David" w:hint="cs"/>
          <w:rtl/>
        </w:rPr>
        <w:t>בשנים 2021 - 2024</w:t>
      </w:r>
      <w:r w:rsidRPr="004753CF">
        <w:rPr>
          <w:rFonts w:eastAsia="Calibri" w:hint="cs"/>
          <w:rtl/>
        </w:rPr>
        <w:t xml:space="preserve"> </w:t>
      </w:r>
      <w:r w:rsidRPr="004753CF">
        <w:rPr>
          <w:rFonts w:ascii="David" w:eastAsia="Calibri" w:hAnsi="David" w:hint="cs"/>
          <w:rtl/>
        </w:rPr>
        <w:t>בחלוקה לפי גודל ספק הגז</w:t>
      </w:r>
      <w:r w:rsidRPr="004753CF">
        <w:rPr>
          <w:rFonts w:eastAsia="Calibri" w:hint="cs"/>
          <w:rtl/>
        </w:rPr>
        <w:t xml:space="preserve">. </w:t>
      </w:r>
      <w:r w:rsidRPr="004753CF">
        <w:rPr>
          <w:rFonts w:ascii="David" w:eastAsia="Calibri" w:hAnsi="David" w:hint="cs"/>
          <w:rtl/>
        </w:rPr>
        <w:t>סרגל הצבעים בלוחות מסמן את גובה המחיר: ירוק הוא הקצה התחתון ואדום הוא הקצה העליון (באמצע - ירוקים, צהובים וכתומים). להלן ממצאי הבדיקה.</w:t>
      </w:r>
    </w:p>
    <w:p w:rsidR="004753CF" w:rsidP="002F4530">
      <w:pPr>
        <w:spacing w:line="269" w:lineRule="auto"/>
        <w:ind w:right="34"/>
        <w:rPr>
          <w:rFonts w:ascii="David" w:eastAsia="Calibri" w:hAnsi="David"/>
          <w:b/>
          <w:bCs/>
          <w:rtl/>
        </w:rPr>
      </w:pPr>
    </w:p>
    <w:p w:rsidR="004753CF" w:rsidRPr="004753CF" w:rsidP="002F4530">
      <w:pPr>
        <w:keepNext/>
        <w:keepLines/>
        <w:numPr>
          <w:ilvl w:val="0"/>
          <w:numId w:val="16"/>
        </w:numPr>
        <w:spacing w:line="269" w:lineRule="auto"/>
        <w:ind w:left="312"/>
        <w:outlineLvl w:val="5"/>
        <w:rPr>
          <w:rFonts w:eastAsia="Times New Roman"/>
          <w:spacing w:val="40"/>
          <w:rtl/>
        </w:rPr>
      </w:pPr>
      <w:r w:rsidRPr="004753CF">
        <w:rPr>
          <w:rFonts w:eastAsia="Times New Roman" w:hint="cs"/>
          <w:spacing w:val="40"/>
          <w:rtl/>
        </w:rPr>
        <w:t>מכל 12 ק"ג</w:t>
      </w:r>
    </w:p>
    <w:p w:rsidR="004753CF" w:rsidRPr="004753CF" w:rsidP="002F4530">
      <w:pPr>
        <w:rPr>
          <w:rFonts w:eastAsia="Calibri"/>
          <w:rtl/>
        </w:rPr>
      </w:pPr>
    </w:p>
    <w:p w:rsidR="004753CF" w:rsidRPr="004753CF" w:rsidP="002F4530">
      <w:pPr>
        <w:spacing w:line="269" w:lineRule="auto"/>
        <w:ind w:right="34"/>
        <w:rPr>
          <w:rFonts w:ascii="David" w:eastAsia="Calibri" w:hAnsi="David"/>
          <w:b/>
          <w:bCs/>
          <w:rtl/>
        </w:rPr>
      </w:pPr>
      <w:r w:rsidRPr="004753CF">
        <w:rPr>
          <w:rFonts w:ascii="David" w:eastAsia="Calibri" w:hAnsi="David" w:hint="cs"/>
          <w:rtl/>
        </w:rPr>
        <w:t>בלוח ובתרשים שלהלן מפורטים המחירים הממוצעים המשוקללים של מכל 12 ק"ג בכמה ערים בגוש דן בשנים 2021 - 2024.</w:t>
      </w:r>
    </w:p>
    <w:p w:rsidR="004753CF" w:rsidP="002F4530">
      <w:pPr>
        <w:spacing w:after="200" w:line="276" w:lineRule="auto"/>
        <w:rPr>
          <w:rFonts w:ascii="David" w:hAnsi="David"/>
          <w:b/>
          <w:bCs/>
          <w:color w:val="002060"/>
          <w:sz w:val="24"/>
          <w:rtl/>
        </w:rPr>
      </w:pPr>
    </w:p>
    <w:p w:rsidR="004753CF" w:rsidRPr="004753CF" w:rsidP="002F4530">
      <w:pPr>
        <w:keepNext/>
        <w:keepLines/>
        <w:spacing w:line="269" w:lineRule="auto"/>
        <w:ind w:left="312"/>
        <w:jc w:val="center"/>
        <w:rPr>
          <w:rFonts w:eastAsia="Calibri"/>
          <w:b/>
          <w:bCs/>
          <w:rtl/>
        </w:rPr>
      </w:pPr>
      <w:r w:rsidRPr="004753CF">
        <w:rPr>
          <w:rFonts w:eastAsia="Calibri" w:hint="eastAsia"/>
          <w:rtl/>
        </w:rPr>
        <w:t>לוח</w:t>
      </w:r>
      <w:r w:rsidRPr="004753CF">
        <w:rPr>
          <w:rFonts w:eastAsia="Calibri"/>
          <w:rtl/>
        </w:rPr>
        <w:t xml:space="preserve"> 4:</w:t>
      </w:r>
      <w:r w:rsidRPr="004753CF">
        <w:rPr>
          <w:rFonts w:eastAsia="Calibri" w:hint="cs"/>
          <w:b/>
          <w:bCs/>
          <w:rtl/>
        </w:rPr>
        <w:t xml:space="preserve"> המחירים הממוצעים המשוקללים של מכל 12 ק"ג בכמה ערים בגוש דן, </w:t>
      </w:r>
    </w:p>
    <w:p w:rsidR="004753CF" w:rsidRPr="004753CF" w:rsidP="002F4530">
      <w:pPr>
        <w:keepNext/>
        <w:keepLines/>
        <w:spacing w:line="269" w:lineRule="auto"/>
        <w:jc w:val="center"/>
        <w:rPr>
          <w:rFonts w:eastAsia="Calibri"/>
          <w:b/>
          <w:bCs/>
          <w:rtl/>
        </w:rPr>
      </w:pPr>
      <w:r w:rsidRPr="004753CF">
        <w:rPr>
          <w:rFonts w:eastAsia="Calibri" w:hint="cs"/>
          <w:b/>
          <w:bCs/>
          <w:rtl/>
        </w:rPr>
        <w:t>2021 - 2024 (בש"ח)</w:t>
      </w:r>
    </w:p>
    <w:p w:rsidR="004753CF" w:rsidRPr="004753CF" w:rsidP="002F4530">
      <w:pPr>
        <w:spacing w:line="269" w:lineRule="auto"/>
        <w:ind w:left="312"/>
        <w:jc w:val="center"/>
        <w:rPr>
          <w:rFonts w:eastAsia="Calibri"/>
          <w:szCs w:val="20"/>
          <w:rtl/>
        </w:rPr>
      </w:pPr>
      <w:r w:rsidRPr="004753CF">
        <w:rPr>
          <w:rFonts w:eastAsia="Calibri"/>
          <w:noProof/>
        </w:rPr>
        <w:drawing>
          <wp:inline distT="0" distB="0" distL="0" distR="0">
            <wp:extent cx="4521396" cy="3572678"/>
            <wp:effectExtent l="0" t="0" r="0" b="8890"/>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36"/>
                    <a:stretch>
                      <a:fillRect/>
                    </a:stretch>
                  </pic:blipFill>
                  <pic:spPr>
                    <a:xfrm>
                      <a:off x="0" y="0"/>
                      <a:ext cx="4530803" cy="3580111"/>
                    </a:xfrm>
                    <a:prstGeom prst="rect">
                      <a:avLst/>
                    </a:prstGeom>
                  </pic:spPr>
                </pic:pic>
              </a:graphicData>
            </a:graphic>
          </wp:inline>
        </w:drawing>
      </w:r>
    </w:p>
    <w:p w:rsidR="004753CF" w:rsidRPr="004753CF" w:rsidP="002F4530">
      <w:pPr>
        <w:spacing w:line="269" w:lineRule="auto"/>
        <w:ind w:left="312"/>
        <w:rPr>
          <w:rFonts w:eastAsia="Calibri"/>
          <w:szCs w:val="20"/>
          <w:rtl/>
        </w:rPr>
      </w:pPr>
      <w:r w:rsidRPr="004753CF">
        <w:rPr>
          <w:rFonts w:eastAsia="Calibri" w:hint="eastAsia"/>
          <w:szCs w:val="20"/>
          <w:rtl/>
        </w:rPr>
        <w:t>על</w:t>
      </w:r>
      <w:r w:rsidRPr="004753CF">
        <w:rPr>
          <w:rFonts w:eastAsia="Calibri"/>
          <w:szCs w:val="20"/>
          <w:rtl/>
        </w:rPr>
        <w:t xml:space="preserve"> פי </w:t>
      </w:r>
      <w:r w:rsidRPr="004753CF">
        <w:rPr>
          <w:rFonts w:eastAsia="Calibri" w:hint="eastAsia"/>
          <w:szCs w:val="20"/>
          <w:rtl/>
        </w:rPr>
        <w:t>נתוני</w:t>
      </w:r>
      <w:r w:rsidRPr="004753CF">
        <w:rPr>
          <w:rFonts w:eastAsia="Calibri"/>
          <w:szCs w:val="20"/>
          <w:rtl/>
        </w:rPr>
        <w:t xml:space="preserve"> מינהל הדלק, בעיבוד משרד מבקר המדינה. </w:t>
      </w:r>
    </w:p>
    <w:p w:rsidR="004753CF" w:rsidRPr="004753CF" w:rsidP="002F4530">
      <w:pPr>
        <w:keepNext/>
        <w:keepLines/>
        <w:spacing w:line="269" w:lineRule="auto"/>
        <w:ind w:left="-567"/>
        <w:rPr>
          <w:rFonts w:eastAsia="Calibri"/>
          <w:szCs w:val="20"/>
          <w:rtl/>
        </w:rPr>
      </w:pPr>
    </w:p>
    <w:p w:rsidR="004753CF" w:rsidRPr="004753CF" w:rsidP="002F4530">
      <w:pPr>
        <w:keepNext/>
        <w:keepLines/>
        <w:spacing w:line="269" w:lineRule="auto"/>
        <w:ind w:left="312"/>
        <w:jc w:val="center"/>
        <w:rPr>
          <w:rFonts w:eastAsia="Calibri"/>
          <w:b/>
          <w:bCs/>
          <w:rtl/>
        </w:rPr>
      </w:pPr>
      <w:r w:rsidRPr="004753CF">
        <w:rPr>
          <w:rFonts w:eastAsia="Calibri" w:hint="eastAsia"/>
          <w:rtl/>
        </w:rPr>
        <w:t>תרשים</w:t>
      </w:r>
      <w:r w:rsidRPr="004753CF">
        <w:rPr>
          <w:rFonts w:eastAsia="Calibri"/>
          <w:rtl/>
        </w:rPr>
        <w:t xml:space="preserve"> 20:</w:t>
      </w:r>
      <w:r w:rsidRPr="004753CF">
        <w:rPr>
          <w:rFonts w:eastAsia="Calibri" w:hint="cs"/>
          <w:b/>
          <w:bCs/>
          <w:rtl/>
        </w:rPr>
        <w:t xml:space="preserve"> המחירים הממוצעים המשוקללים של מכל 12 ק"ג בכמה ערים בגוש דן,</w:t>
      </w:r>
    </w:p>
    <w:p w:rsidR="004753CF" w:rsidRPr="004753CF" w:rsidP="002F4530">
      <w:pPr>
        <w:keepNext/>
        <w:keepLines/>
        <w:spacing w:line="269" w:lineRule="auto"/>
        <w:jc w:val="center"/>
        <w:rPr>
          <w:rFonts w:eastAsia="Calibri"/>
          <w:b/>
          <w:bCs/>
          <w:rtl/>
        </w:rPr>
      </w:pPr>
      <w:r w:rsidRPr="004753CF">
        <w:rPr>
          <w:rFonts w:eastAsia="Calibri" w:hint="cs"/>
          <w:b/>
          <w:bCs/>
          <w:rtl/>
        </w:rPr>
        <w:t xml:space="preserve"> 2021 - 2024 (בש"ח)</w:t>
      </w:r>
    </w:p>
    <w:p w:rsidR="004753CF" w:rsidRPr="004753CF" w:rsidP="002F4530">
      <w:pPr>
        <w:spacing w:line="269" w:lineRule="auto"/>
        <w:ind w:left="312"/>
        <w:jc w:val="center"/>
        <w:rPr>
          <w:rFonts w:eastAsia="Calibri"/>
          <w:szCs w:val="20"/>
          <w:rtl/>
        </w:rPr>
      </w:pPr>
      <w:r w:rsidRPr="004753CF">
        <w:rPr>
          <w:rFonts w:eastAsia="Calibri"/>
          <w:noProof/>
          <w:szCs w:val="20"/>
        </w:rPr>
        <w:drawing>
          <wp:inline distT="0" distB="0" distL="0" distR="0">
            <wp:extent cx="5011420" cy="3091180"/>
            <wp:effectExtent l="0" t="0" r="0" b="0"/>
            <wp:docPr id="31" name="תמונה 31" descr="התרשים מתאר את המחירים הממוצעים המשוקללים של מכל 12 ק&quot;ג בכמה ערים בגוש דן, בשנים 2021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011420" cy="3091180"/>
                    </a:xfrm>
                    <a:prstGeom prst="rect">
                      <a:avLst/>
                    </a:prstGeom>
                    <a:noFill/>
                  </pic:spPr>
                </pic:pic>
              </a:graphicData>
            </a:graphic>
          </wp:inline>
        </w:drawing>
      </w:r>
    </w:p>
    <w:p w:rsidR="004753CF" w:rsidRPr="004753CF" w:rsidP="002F4530">
      <w:pPr>
        <w:spacing w:line="269" w:lineRule="auto"/>
        <w:ind w:left="312"/>
        <w:rPr>
          <w:rFonts w:eastAsia="Calibri"/>
          <w:szCs w:val="20"/>
          <w:rtl/>
        </w:rPr>
      </w:pPr>
      <w:r w:rsidRPr="004753CF">
        <w:rPr>
          <w:rFonts w:eastAsia="Calibri" w:hint="eastAsia"/>
          <w:szCs w:val="20"/>
          <w:rtl/>
        </w:rPr>
        <w:t>על</w:t>
      </w:r>
      <w:r w:rsidRPr="004753CF">
        <w:rPr>
          <w:rFonts w:eastAsia="Calibri"/>
          <w:szCs w:val="20"/>
          <w:rtl/>
        </w:rPr>
        <w:t xml:space="preserve"> פי </w:t>
      </w:r>
      <w:r w:rsidRPr="004753CF">
        <w:rPr>
          <w:rFonts w:eastAsia="Calibri" w:hint="eastAsia"/>
          <w:szCs w:val="20"/>
          <w:rtl/>
        </w:rPr>
        <w:t>נתוני</w:t>
      </w:r>
      <w:r w:rsidRPr="004753CF">
        <w:rPr>
          <w:rFonts w:eastAsia="Calibri"/>
          <w:szCs w:val="20"/>
          <w:rtl/>
        </w:rPr>
        <w:t xml:space="preserve"> מינהל הדלק, בעיבוד משרד מבקר המדינה.</w:t>
      </w:r>
    </w:p>
    <w:p w:rsidR="002667BB" w:rsidP="002F4530">
      <w:pPr>
        <w:spacing w:line="269" w:lineRule="auto"/>
        <w:ind w:left="312"/>
        <w:rPr>
          <w:rFonts w:eastAsia="Calibri"/>
          <w:b/>
          <w:bCs/>
          <w:rtl/>
        </w:rPr>
      </w:pPr>
    </w:p>
    <w:p w:rsidR="004753CF" w:rsidRPr="004753CF" w:rsidP="002F4530">
      <w:pPr>
        <w:spacing w:line="269" w:lineRule="auto"/>
        <w:ind w:left="312"/>
        <w:rPr>
          <w:rFonts w:eastAsia="Calibri"/>
          <w:b/>
          <w:bCs/>
          <w:rtl/>
        </w:rPr>
      </w:pPr>
      <w:r w:rsidRPr="004753CF">
        <w:rPr>
          <w:rFonts w:eastAsia="Calibri" w:hint="cs"/>
          <w:b/>
          <w:bCs/>
          <w:rtl/>
        </w:rPr>
        <w:t xml:space="preserve">מהלוח ומהתרשים עולה כי בשנים 2021 - 2024 היו מחירי הגפ"ם של ארבעת הספקים הגדולים במכל 12 ק"ג גבוהים ממחירי הספקים הקטנים בכל אחת מהערים, ופערי המחירים נעו בין 7.42% ל-53.29%. המחיר הממוצע הנמוך ביותר בגוש דן בקרב כלל </w:t>
      </w:r>
      <w:r w:rsidRPr="004753CF">
        <w:rPr>
          <w:rFonts w:eastAsia="Calibri" w:hint="cs"/>
          <w:b/>
          <w:bCs/>
          <w:rtl/>
        </w:rPr>
        <w:t>הספקים ואצל הספקים הגדולים היה בבני ברק (155.29 ש"ח ו-156.82 ש"ח) ובאור יהודה (142.39 ש"ח ו-156.66 ש״ח), ובקרב הספקים הקטנים המחיר הנמוך ביותר היה בבת ים. כן עולה כי המחיר הממוצע הגבוה ביותר היה בגבעתיים (אצל כלל הספקים). הפער בין המחיר הממוצע הנמוך ביותר למחיר הממוצע הגבוה ביותר היה כ-20% בקרב הספקים הגדולים וכ-31% בקרב כלל הספקים ובקרב הספקים הקטנים.</w:t>
      </w:r>
    </w:p>
    <w:p w:rsidR="004753CF" w:rsidRPr="004753CF" w:rsidP="002F4530">
      <w:pPr>
        <w:keepNext/>
        <w:keepLines/>
        <w:spacing w:line="269" w:lineRule="auto"/>
        <w:ind w:left="-567"/>
        <w:rPr>
          <w:rFonts w:eastAsia="Calibri"/>
          <w:szCs w:val="20"/>
          <w:rtl/>
        </w:rPr>
      </w:pPr>
    </w:p>
    <w:p w:rsidR="004753CF" w:rsidRPr="004753CF" w:rsidP="002F4530">
      <w:pPr>
        <w:spacing w:line="269" w:lineRule="auto"/>
        <w:ind w:left="312"/>
        <w:rPr>
          <w:rFonts w:eastAsia="Calibri"/>
          <w:rtl/>
        </w:rPr>
      </w:pPr>
      <w:r w:rsidRPr="004753CF">
        <w:rPr>
          <w:rFonts w:eastAsia="Calibri" w:hint="cs"/>
          <w:b/>
          <w:bCs/>
          <w:rtl/>
        </w:rPr>
        <w:t>פערי המחירים הגבוהים ביותר בין הספקים הגדולים לקטנים נמצאו בבת ים (177.23 ש"ח לעומת 115.62 ש"ח, פער של כ-53%); פער המחירים הקטן ביותר בין הספקים הגדולים לקטנים נמצא בבני ברק (156.82 ש"ח לעומת 146 ש"ח, פער של כ-7%). זאת ועוד, המחיר הממוצע של הספקים הגדולים היה גבוה בכ-7% מהמחיר הממוצע של כלל הספקים המספקים מכלים של 12 ק"ג בגוש דן; המחיר הממוצע של הספקים הקטנים היה נמוך בכ-16% מהמחיר הממוצע של כלל הספקים המספקים מכלים של 12 ק"ג בגוש דן.</w:t>
      </w:r>
    </w:p>
    <w:p w:rsidR="007E5741" w:rsidRPr="007E5741" w:rsidP="002F4530">
      <w:pPr>
        <w:keepNext/>
        <w:keepLines/>
        <w:spacing w:line="269" w:lineRule="auto"/>
        <w:ind w:left="-567"/>
        <w:rPr>
          <w:rFonts w:eastAsia="Calibri"/>
          <w:szCs w:val="20"/>
          <w:rtl/>
        </w:rPr>
      </w:pPr>
    </w:p>
    <w:p w:rsidR="007E5741" w:rsidRPr="007E5741" w:rsidP="002F4530">
      <w:pPr>
        <w:keepNext/>
        <w:keepLines/>
        <w:numPr>
          <w:ilvl w:val="0"/>
          <w:numId w:val="16"/>
        </w:numPr>
        <w:spacing w:line="269" w:lineRule="auto"/>
        <w:ind w:left="312"/>
        <w:outlineLvl w:val="5"/>
        <w:rPr>
          <w:rFonts w:eastAsia="Times New Roman"/>
          <w:spacing w:val="40"/>
          <w:rtl/>
        </w:rPr>
      </w:pPr>
      <w:r w:rsidRPr="007E5741">
        <w:rPr>
          <w:rFonts w:eastAsia="Times New Roman" w:hint="cs"/>
          <w:spacing w:val="40"/>
          <w:rtl/>
        </w:rPr>
        <w:t>מכל 48 ק"ג</w:t>
      </w:r>
    </w:p>
    <w:p w:rsidR="007E5741" w:rsidRPr="007E5741" w:rsidP="002F4530">
      <w:pPr>
        <w:rPr>
          <w:rFonts w:eastAsia="Calibri"/>
          <w:rtl/>
        </w:rPr>
      </w:pPr>
    </w:p>
    <w:p w:rsidR="007E5741" w:rsidRPr="007E5741" w:rsidP="002F4530">
      <w:pPr>
        <w:spacing w:line="269" w:lineRule="auto"/>
        <w:ind w:left="312"/>
        <w:rPr>
          <w:rFonts w:eastAsia="Calibri"/>
          <w:rtl/>
        </w:rPr>
      </w:pPr>
      <w:bookmarkStart w:id="40" w:name="OLE_LINK6"/>
      <w:r w:rsidRPr="007E5741">
        <w:rPr>
          <w:rFonts w:ascii="David" w:eastAsia="Calibri" w:hAnsi="David" w:hint="cs"/>
          <w:rtl/>
        </w:rPr>
        <w:t xml:space="preserve">בלוח ובתרשים שלהלן מפורטים המחירים הממוצעים המשוקללים </w:t>
      </w:r>
      <w:bookmarkEnd w:id="40"/>
      <w:r w:rsidRPr="007E5741">
        <w:rPr>
          <w:rFonts w:ascii="David" w:eastAsia="Calibri" w:hAnsi="David" w:hint="cs"/>
          <w:rtl/>
        </w:rPr>
        <w:t xml:space="preserve">של מכל 48 ק"ג בגוש דן בשנים 2021 - 2024. </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ind w:left="312"/>
        <w:jc w:val="center"/>
        <w:rPr>
          <w:rFonts w:eastAsia="Calibri"/>
          <w:b/>
          <w:bCs/>
          <w:rtl/>
        </w:rPr>
      </w:pPr>
      <w:r w:rsidRPr="007E5741">
        <w:rPr>
          <w:rFonts w:eastAsia="Calibri" w:hint="eastAsia"/>
          <w:rtl/>
        </w:rPr>
        <w:t>לוח</w:t>
      </w:r>
      <w:r w:rsidRPr="007E5741">
        <w:rPr>
          <w:rFonts w:eastAsia="Calibri"/>
          <w:rtl/>
        </w:rPr>
        <w:t xml:space="preserve"> 5: </w:t>
      </w:r>
      <w:r w:rsidRPr="007E5741">
        <w:rPr>
          <w:rFonts w:eastAsia="Calibri" w:hint="cs"/>
          <w:b/>
          <w:bCs/>
          <w:rtl/>
        </w:rPr>
        <w:t xml:space="preserve">המחירים הממוצעים המשוקללים של מכל 48 ק"ג בכמה ערים בגוש דן, </w:t>
      </w:r>
    </w:p>
    <w:p w:rsidR="007E5741" w:rsidRPr="007E5741" w:rsidP="002F4530">
      <w:pPr>
        <w:keepNext/>
        <w:keepLines/>
        <w:spacing w:line="269" w:lineRule="auto"/>
        <w:jc w:val="center"/>
        <w:rPr>
          <w:rFonts w:eastAsia="Calibri"/>
          <w:b/>
          <w:bCs/>
          <w:rtl/>
        </w:rPr>
      </w:pPr>
      <w:r w:rsidRPr="007E5741">
        <w:rPr>
          <w:rFonts w:eastAsia="Calibri" w:hint="cs"/>
          <w:b/>
          <w:bCs/>
          <w:rtl/>
        </w:rPr>
        <w:t>2021 - 2024 (בש"ח)</w:t>
      </w:r>
    </w:p>
    <w:p w:rsidR="007E5741" w:rsidRPr="007E5741" w:rsidP="002F4530">
      <w:pPr>
        <w:spacing w:line="269" w:lineRule="auto"/>
        <w:ind w:left="312"/>
        <w:jc w:val="center"/>
        <w:rPr>
          <w:rFonts w:eastAsia="Calibri"/>
          <w:szCs w:val="20"/>
          <w:rtl/>
        </w:rPr>
      </w:pPr>
      <w:r w:rsidRPr="007E5741">
        <w:rPr>
          <w:rFonts w:eastAsia="Calibri"/>
          <w:noProof/>
        </w:rPr>
        <w:drawing>
          <wp:inline distT="0" distB="0" distL="0" distR="0">
            <wp:extent cx="5220335" cy="4033520"/>
            <wp:effectExtent l="0" t="0" r="0" b="5080"/>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xmlns:r="http://schemas.openxmlformats.org/officeDocument/2006/relationships" r:embed="rId38"/>
                    <a:stretch>
                      <a:fillRect/>
                    </a:stretch>
                  </pic:blipFill>
                  <pic:spPr>
                    <a:xfrm>
                      <a:off x="0" y="0"/>
                      <a:ext cx="5220335" cy="4033520"/>
                    </a:xfrm>
                    <a:prstGeom prst="rect">
                      <a:avLst/>
                    </a:prstGeom>
                  </pic:spPr>
                </pic:pic>
              </a:graphicData>
            </a:graphic>
          </wp:inline>
        </w:drawing>
      </w:r>
    </w:p>
    <w:p w:rsidR="007E5741" w:rsidRPr="007E5741" w:rsidP="002F4530">
      <w:pPr>
        <w:spacing w:line="269" w:lineRule="auto"/>
        <w:ind w:left="312"/>
        <w:rPr>
          <w:rFonts w:eastAsia="Calibri"/>
          <w:szCs w:val="20"/>
          <w:rtl/>
        </w:rPr>
      </w:pPr>
      <w:r w:rsidRPr="007E5741">
        <w:rPr>
          <w:rFonts w:eastAsia="Calibri" w:hint="eastAsia"/>
          <w:szCs w:val="20"/>
          <w:rtl/>
        </w:rPr>
        <w:t>על</w:t>
      </w:r>
      <w:r w:rsidRPr="007E5741">
        <w:rPr>
          <w:rFonts w:eastAsia="Calibri"/>
          <w:szCs w:val="20"/>
          <w:rtl/>
        </w:rPr>
        <w:t xml:space="preserve"> פי </w:t>
      </w:r>
      <w:r w:rsidRPr="007E5741">
        <w:rPr>
          <w:rFonts w:eastAsia="Calibri" w:hint="eastAsia"/>
          <w:szCs w:val="20"/>
          <w:rtl/>
        </w:rPr>
        <w:t>נתוני</w:t>
      </w:r>
      <w:r w:rsidRPr="007E5741">
        <w:rPr>
          <w:rFonts w:eastAsia="Calibri"/>
          <w:szCs w:val="20"/>
          <w:rtl/>
        </w:rPr>
        <w:t xml:space="preserve"> מינהל הדלק, בעיבוד משרד מבקר המדינה.</w:t>
      </w:r>
    </w:p>
    <w:p w:rsidR="007E5741" w:rsidRPr="007E5741" w:rsidP="002F4530">
      <w:pPr>
        <w:keepNext/>
        <w:keepLines/>
        <w:spacing w:line="269" w:lineRule="auto"/>
        <w:ind w:left="312"/>
        <w:jc w:val="center"/>
        <w:rPr>
          <w:rFonts w:eastAsia="Calibri"/>
          <w:b/>
          <w:bCs/>
          <w:rtl/>
        </w:rPr>
      </w:pPr>
      <w:r w:rsidRPr="007E5741">
        <w:rPr>
          <w:rFonts w:eastAsia="Calibri" w:hint="eastAsia"/>
          <w:rtl/>
        </w:rPr>
        <w:t>תרשים</w:t>
      </w:r>
      <w:r w:rsidRPr="007E5741">
        <w:rPr>
          <w:rFonts w:eastAsia="Calibri"/>
          <w:rtl/>
        </w:rPr>
        <w:t xml:space="preserve"> 21: </w:t>
      </w:r>
      <w:r w:rsidRPr="007E5741">
        <w:rPr>
          <w:rFonts w:eastAsia="Calibri" w:hint="cs"/>
          <w:b/>
          <w:bCs/>
          <w:rtl/>
        </w:rPr>
        <w:t xml:space="preserve">המחירים הממוצעים המשוקללים של מכל 48 ק"ג בכמה ערים בגוש דן, </w:t>
      </w:r>
    </w:p>
    <w:p w:rsidR="007E5741" w:rsidRPr="007E5741" w:rsidP="002F4530">
      <w:pPr>
        <w:keepNext/>
        <w:keepLines/>
        <w:spacing w:line="269" w:lineRule="auto"/>
        <w:jc w:val="center"/>
        <w:rPr>
          <w:rFonts w:eastAsia="Calibri"/>
          <w:b/>
          <w:bCs/>
          <w:rtl/>
        </w:rPr>
      </w:pPr>
      <w:r w:rsidRPr="007E5741">
        <w:rPr>
          <w:rFonts w:eastAsia="Calibri" w:hint="cs"/>
          <w:b/>
          <w:bCs/>
          <w:rtl/>
        </w:rPr>
        <w:t>2021 - 2024 (בש"ח)</w:t>
      </w:r>
    </w:p>
    <w:p w:rsidR="007E5741" w:rsidRPr="007E5741" w:rsidP="002F4530">
      <w:pPr>
        <w:spacing w:line="269" w:lineRule="auto"/>
        <w:ind w:left="-2"/>
        <w:jc w:val="center"/>
        <w:rPr>
          <w:rFonts w:eastAsia="Calibri"/>
          <w:b/>
          <w:bCs/>
          <w:rtl/>
        </w:rPr>
      </w:pPr>
      <w:r w:rsidRPr="007E5741">
        <w:rPr>
          <w:rFonts w:eastAsia="Calibri"/>
          <w:b/>
          <w:bCs/>
          <w:noProof/>
        </w:rPr>
        <w:drawing>
          <wp:inline distT="0" distB="0" distL="0" distR="0">
            <wp:extent cx="5365115" cy="3566160"/>
            <wp:effectExtent l="0" t="0" r="6985" b="0"/>
            <wp:docPr id="34" name="תמונה 34" descr="התרשים מתאר את המחירים הממוצעים המשוקללים של מכל 48 ק&quot;ג בכמה ערים בגוש דן, בשנים 2021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
                    <pic:cNvPicPr>
                      <a:picLocks noChangeAspect="1" noChangeArrowheads="1"/>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bwMode="auto">
                    <a:xfrm>
                      <a:off x="0" y="0"/>
                      <a:ext cx="5365115" cy="3566160"/>
                    </a:xfrm>
                    <a:prstGeom prst="rect">
                      <a:avLst/>
                    </a:prstGeom>
                    <a:noFill/>
                  </pic:spPr>
                </pic:pic>
              </a:graphicData>
            </a:graphic>
          </wp:inline>
        </w:drawing>
      </w:r>
    </w:p>
    <w:p w:rsidR="007E5741" w:rsidRPr="007E5741" w:rsidP="002F4530">
      <w:pPr>
        <w:spacing w:line="269" w:lineRule="auto"/>
        <w:ind w:left="312"/>
        <w:rPr>
          <w:rFonts w:eastAsia="Calibri"/>
          <w:szCs w:val="20"/>
          <w:rtl/>
        </w:rPr>
      </w:pPr>
      <w:r w:rsidRPr="007E5741">
        <w:rPr>
          <w:rFonts w:eastAsia="Calibri" w:hint="eastAsia"/>
          <w:szCs w:val="20"/>
          <w:rtl/>
        </w:rPr>
        <w:t>על</w:t>
      </w:r>
      <w:r w:rsidRPr="007E5741">
        <w:rPr>
          <w:rFonts w:eastAsia="Calibri"/>
          <w:szCs w:val="20"/>
          <w:rtl/>
        </w:rPr>
        <w:t xml:space="preserve"> פי נתוני מינהל הדלק,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מהלוח ומהתרשים עולה כי בשנים 2021 - 2024 היו מחירי הספקים הגדולים במכל 48 ק"ג גבוהים ממחירי הספקים הקטנים בכל אחת מהערים, למעט באור יהודה, ופערי המחירים נעו בין 3.77% ל-33.86%. המחיר הממוצע באור יהודה (אצל כלל הספקים - 443.68 ש"ח, ואצל הספקים הגדולים - 424.3 ש"ח) ובבת ים (אצל הספקים הקטנים - 395.89 ש"ח) היה הנמוך ביותר בגוש דן, והמחיר הממוצע בגבעתיים (אצל כלל הספקים - 460.66 ש"ח - 553.69 ש"ח) היה הגבוה ביותר. הפער בין המחיר הממוצע הנמוך ביותר למחיר הממוצע הגבוה ביותר בגוש דן היה כ-17% אצל הספקים הקטנים, כ-22% אצל כלל הספקים וכ-30% אצל הספקים הגדולים.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עוד עולה כי פער המחירים הגבוה ביותר בין הספקים הגדולים לקטנים נמצא בבת ים (529.92 ש"ח לעומת 395.89 ש"ח, פער של כ-34%); פער המחירים הנמוך ביותר בין הגדולים לקטנים נמצא בפתח תקווה (463.42 ש"ח לעומת 446.58 ש"ח, פער של כ-4%). זאת ועוד, המחיר הממוצע של הספקים הגדולים היה גבוה בכ-5% מהמחיר הממוצע של כלל הספקים המספקים מכלים של 48 ק"ג בגוש דן; המחיר הממוצע של הספקים הקטנים היה נמוך בכ-10% מהמחיר הממוצע של כלל הספקים המספקים מכלים של 48 ק"ג בגוש דן.</w:t>
      </w:r>
    </w:p>
    <w:p w:rsidR="007E5741" w:rsidRPr="007E5741" w:rsidP="002F4530">
      <w:pPr>
        <w:keepNext/>
        <w:keepLines/>
        <w:spacing w:line="269" w:lineRule="auto"/>
        <w:ind w:left="-567"/>
        <w:rPr>
          <w:rFonts w:eastAsia="Calibri"/>
          <w:szCs w:val="20"/>
          <w:rtl/>
        </w:rPr>
      </w:pPr>
    </w:p>
    <w:p w:rsidR="007E5741" w:rsidRPr="007E5741" w:rsidP="002F4530">
      <w:pPr>
        <w:keepNext/>
        <w:keepLines/>
        <w:numPr>
          <w:ilvl w:val="0"/>
          <w:numId w:val="16"/>
        </w:numPr>
        <w:spacing w:line="269" w:lineRule="auto"/>
        <w:ind w:left="312"/>
        <w:outlineLvl w:val="5"/>
        <w:rPr>
          <w:rFonts w:eastAsia="Times New Roman"/>
          <w:spacing w:val="40"/>
          <w:rtl/>
        </w:rPr>
      </w:pPr>
      <w:r w:rsidRPr="007E5741">
        <w:rPr>
          <w:rFonts w:eastAsia="Times New Roman" w:hint="cs"/>
          <w:spacing w:val="40"/>
          <w:rtl/>
        </w:rPr>
        <w:t>מרכזיית מכלים</w:t>
      </w:r>
    </w:p>
    <w:p w:rsidR="007E5741" w:rsidRPr="007E5741" w:rsidP="002F4530">
      <w:pPr>
        <w:rPr>
          <w:rFonts w:eastAsia="Calibri"/>
          <w:rtl/>
        </w:rPr>
      </w:pPr>
    </w:p>
    <w:p w:rsidR="007E5741" w:rsidRPr="007E5741" w:rsidP="002F4530">
      <w:pPr>
        <w:spacing w:line="269" w:lineRule="auto"/>
        <w:ind w:left="312"/>
        <w:rPr>
          <w:rFonts w:eastAsia="Calibri"/>
          <w:rtl/>
        </w:rPr>
      </w:pPr>
      <w:r w:rsidRPr="007E5741">
        <w:rPr>
          <w:rFonts w:ascii="David" w:eastAsia="Calibri" w:hAnsi="David" w:hint="cs"/>
          <w:rtl/>
        </w:rPr>
        <w:t>בלוח ובתרשים שלהלן מפורטים המחירים הממוצעים המשוקללים</w:t>
      </w:r>
      <w:r>
        <w:rPr>
          <w:rFonts w:ascii="David" w:eastAsia="Calibri" w:hAnsi="David"/>
          <w:vertAlign w:val="superscript"/>
          <w:rtl/>
        </w:rPr>
        <w:footnoteReference w:id="135"/>
      </w:r>
      <w:r w:rsidRPr="007E5741">
        <w:rPr>
          <w:rFonts w:ascii="David" w:eastAsia="Calibri" w:hAnsi="David" w:hint="cs"/>
          <w:rtl/>
        </w:rPr>
        <w:t xml:space="preserve"> של מרכזיית מכלים בגוש דן בשנים 2021 - 2024. </w:t>
      </w:r>
    </w:p>
    <w:p w:rsidR="007E5741" w:rsidRPr="007E5741" w:rsidP="002F4530">
      <w:pPr>
        <w:keepNext/>
        <w:keepLines/>
        <w:spacing w:line="269" w:lineRule="auto"/>
        <w:ind w:left="-567"/>
        <w:rPr>
          <w:rFonts w:eastAsia="Calibri"/>
          <w:szCs w:val="20"/>
          <w:rtl/>
        </w:rPr>
      </w:pPr>
    </w:p>
    <w:p w:rsidR="00A87F40" w:rsidP="002F4530">
      <w:pPr>
        <w:bidi w:val="0"/>
        <w:spacing w:after="200" w:line="276" w:lineRule="auto"/>
        <w:rPr>
          <w:rFonts w:eastAsia="Calibri"/>
          <w:rtl/>
        </w:rPr>
      </w:pPr>
      <w:r>
        <w:rPr>
          <w:rFonts w:eastAsia="Calibri"/>
          <w:rtl/>
        </w:rPr>
        <w:br w:type="page"/>
      </w:r>
    </w:p>
    <w:p w:rsidR="007E5741" w:rsidRPr="007E5741" w:rsidP="002F4530">
      <w:pPr>
        <w:spacing w:line="269" w:lineRule="auto"/>
        <w:ind w:left="312"/>
        <w:jc w:val="center"/>
        <w:rPr>
          <w:rFonts w:eastAsia="Calibri"/>
          <w:b/>
          <w:bCs/>
          <w:rtl/>
        </w:rPr>
      </w:pPr>
      <w:r w:rsidRPr="007E5741">
        <w:rPr>
          <w:rFonts w:eastAsia="Calibri" w:hint="eastAsia"/>
          <w:rtl/>
        </w:rPr>
        <w:t>לוח</w:t>
      </w:r>
      <w:r w:rsidRPr="007E5741">
        <w:rPr>
          <w:rFonts w:eastAsia="Calibri"/>
          <w:rtl/>
        </w:rPr>
        <w:t xml:space="preserve"> 6:</w:t>
      </w:r>
      <w:r w:rsidRPr="007E5741">
        <w:rPr>
          <w:rFonts w:eastAsia="Calibri" w:hint="cs"/>
          <w:b/>
          <w:bCs/>
          <w:rtl/>
        </w:rPr>
        <w:t xml:space="preserve"> המחירים הממוצעים המשוקללים למ"ק גז </w:t>
      </w:r>
      <w:r w:rsidRPr="007E5741">
        <w:rPr>
          <w:rFonts w:eastAsia="Calibri" w:hint="eastAsia"/>
          <w:b/>
          <w:bCs/>
          <w:rtl/>
        </w:rPr>
        <w:t>במרכזיית</w:t>
      </w:r>
      <w:r w:rsidRPr="007E5741">
        <w:rPr>
          <w:rFonts w:eastAsia="Calibri"/>
          <w:b/>
          <w:bCs/>
          <w:rtl/>
        </w:rPr>
        <w:t xml:space="preserve"> מכלים</w:t>
      </w:r>
      <w:r w:rsidRPr="007E5741">
        <w:rPr>
          <w:rFonts w:eastAsia="Calibri" w:hint="cs"/>
          <w:b/>
          <w:bCs/>
          <w:rtl/>
        </w:rPr>
        <w:t xml:space="preserve"> בכמה ערים בגוש דן, 2021 - 2024 (בש"ח)</w:t>
      </w:r>
    </w:p>
    <w:p w:rsidR="007E5741" w:rsidRPr="007E5741" w:rsidP="002F4530">
      <w:pPr>
        <w:spacing w:line="269" w:lineRule="auto"/>
        <w:ind w:left="312"/>
        <w:jc w:val="center"/>
        <w:rPr>
          <w:rFonts w:eastAsia="Calibri"/>
          <w:b/>
          <w:bCs/>
          <w:rtl/>
        </w:rPr>
      </w:pPr>
      <w:r w:rsidRPr="007E5741">
        <w:rPr>
          <w:rFonts w:eastAsia="Calibri"/>
          <w:noProof/>
        </w:rPr>
        <w:drawing>
          <wp:inline distT="0" distB="0" distL="0" distR="0">
            <wp:extent cx="5220335" cy="4174490"/>
            <wp:effectExtent l="0" t="0" r="0" b="0"/>
            <wp:docPr id="36" name="תמונה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xmlns:r="http://schemas.openxmlformats.org/officeDocument/2006/relationships" r:embed="rId40"/>
                    <a:stretch>
                      <a:fillRect/>
                    </a:stretch>
                  </pic:blipFill>
                  <pic:spPr>
                    <a:xfrm>
                      <a:off x="0" y="0"/>
                      <a:ext cx="5220335" cy="4174490"/>
                    </a:xfrm>
                    <a:prstGeom prst="rect">
                      <a:avLst/>
                    </a:prstGeom>
                  </pic:spPr>
                </pic:pic>
              </a:graphicData>
            </a:graphic>
          </wp:inline>
        </w:drawing>
      </w:r>
    </w:p>
    <w:p w:rsidR="007E5741" w:rsidRPr="007E5741" w:rsidP="002F4530">
      <w:pPr>
        <w:spacing w:line="269" w:lineRule="auto"/>
        <w:ind w:left="312"/>
        <w:rPr>
          <w:rFonts w:eastAsia="Calibri"/>
          <w:szCs w:val="20"/>
          <w:rtl/>
        </w:rPr>
      </w:pPr>
      <w:r w:rsidRPr="007E5741">
        <w:rPr>
          <w:rFonts w:eastAsia="Calibri" w:hint="eastAsia"/>
          <w:szCs w:val="20"/>
          <w:rtl/>
        </w:rPr>
        <w:t>על</w:t>
      </w:r>
      <w:r w:rsidRPr="007E5741">
        <w:rPr>
          <w:rFonts w:eastAsia="Calibri"/>
          <w:szCs w:val="20"/>
          <w:rtl/>
        </w:rPr>
        <w:t xml:space="preserve"> פי נתוני מינהל הדלק,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ind w:left="312"/>
        <w:jc w:val="center"/>
        <w:rPr>
          <w:rFonts w:eastAsia="Calibri"/>
          <w:b/>
          <w:bCs/>
          <w:rtl/>
        </w:rPr>
      </w:pPr>
      <w:r w:rsidRPr="007E5741">
        <w:rPr>
          <w:rFonts w:eastAsia="Calibri" w:hint="eastAsia"/>
          <w:rtl/>
        </w:rPr>
        <w:t>תרשים</w:t>
      </w:r>
      <w:r w:rsidRPr="007E5741">
        <w:rPr>
          <w:rFonts w:eastAsia="Calibri"/>
          <w:rtl/>
        </w:rPr>
        <w:t xml:space="preserve"> 22:</w:t>
      </w:r>
      <w:r w:rsidRPr="007E5741">
        <w:rPr>
          <w:rFonts w:eastAsia="Calibri" w:hint="cs"/>
          <w:b/>
          <w:bCs/>
          <w:rtl/>
        </w:rPr>
        <w:t xml:space="preserve"> המחירים הממוצעים המשוקללים למ"ק גז במרכזיית מכלים </w:t>
      </w:r>
    </w:p>
    <w:p w:rsidR="007E5741" w:rsidRPr="007E5741" w:rsidP="002F4530">
      <w:pPr>
        <w:keepNext/>
        <w:keepLines/>
        <w:spacing w:line="269" w:lineRule="auto"/>
        <w:jc w:val="center"/>
        <w:rPr>
          <w:rFonts w:eastAsia="Calibri"/>
          <w:b/>
          <w:bCs/>
          <w:rtl/>
        </w:rPr>
      </w:pPr>
      <w:r w:rsidRPr="007E5741">
        <w:rPr>
          <w:rFonts w:eastAsia="Calibri" w:hint="cs"/>
          <w:b/>
          <w:bCs/>
          <w:rtl/>
        </w:rPr>
        <w:t>בכמה ערים בגוש דן, 2021 - 2024 (בש"ח)</w:t>
      </w:r>
    </w:p>
    <w:p w:rsidR="007E5741" w:rsidRPr="007E5741" w:rsidP="002F4530">
      <w:pPr>
        <w:spacing w:line="269" w:lineRule="auto"/>
        <w:ind w:left="312"/>
        <w:jc w:val="center"/>
        <w:rPr>
          <w:rFonts w:eastAsia="Calibri"/>
          <w:b/>
          <w:bCs/>
          <w:rtl/>
        </w:rPr>
      </w:pPr>
      <w:r w:rsidRPr="007E5741">
        <w:rPr>
          <w:rFonts w:eastAsia="Calibri"/>
          <w:b/>
          <w:bCs/>
          <w:noProof/>
        </w:rPr>
        <w:drawing>
          <wp:inline distT="0" distB="0" distL="0" distR="0">
            <wp:extent cx="4901565" cy="3267710"/>
            <wp:effectExtent l="0" t="0" r="0" b="8890"/>
            <wp:docPr id="39" name="תמונה 39" descr="התרשים מתאר את המחירים הממוצעים המשוקללים של מרכזיית מכלים בכמה ערים בגוש דן, בשנים 2021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4901565" cy="3267710"/>
                    </a:xfrm>
                    <a:prstGeom prst="rect">
                      <a:avLst/>
                    </a:prstGeom>
                    <a:noFill/>
                  </pic:spPr>
                </pic:pic>
              </a:graphicData>
            </a:graphic>
          </wp:inline>
        </w:drawing>
      </w:r>
    </w:p>
    <w:p w:rsidR="007E5741" w:rsidRPr="007E5741" w:rsidP="002F4530">
      <w:pPr>
        <w:spacing w:line="269" w:lineRule="auto"/>
        <w:ind w:left="312"/>
        <w:rPr>
          <w:rFonts w:eastAsia="Calibri"/>
          <w:szCs w:val="20"/>
          <w:rtl/>
        </w:rPr>
      </w:pPr>
      <w:r w:rsidRPr="007E5741">
        <w:rPr>
          <w:rFonts w:eastAsia="Calibri" w:hint="eastAsia"/>
          <w:szCs w:val="20"/>
          <w:rtl/>
        </w:rPr>
        <w:t>על</w:t>
      </w:r>
      <w:r w:rsidRPr="007E5741">
        <w:rPr>
          <w:rFonts w:eastAsia="Calibri"/>
          <w:szCs w:val="20"/>
          <w:rtl/>
        </w:rPr>
        <w:t xml:space="preserve"> פי נתוני מינהל הדלק, בעיבוד משרד מבקר המדינה.</w:t>
      </w:r>
    </w:p>
    <w:p w:rsidR="007E5741" w:rsidRPr="007E5741" w:rsidP="002F4530">
      <w:pPr>
        <w:spacing w:line="269" w:lineRule="auto"/>
        <w:ind w:left="312"/>
        <w:rPr>
          <w:rFonts w:eastAsia="Calibri"/>
          <w:b/>
          <w:bCs/>
          <w:rtl/>
        </w:rPr>
      </w:pPr>
      <w:r w:rsidRPr="007E5741">
        <w:rPr>
          <w:rFonts w:eastAsia="Calibri" w:hint="cs"/>
          <w:b/>
          <w:bCs/>
          <w:rtl/>
        </w:rPr>
        <w:t>מהלוח ומהתרשים עולה כי בשנים 2021 - 2024 היו מחירי הספקים הגדולים במרכזיית מכלים גבוהים ממחירי הספקים הקטנים בכל אחת מהערים ופערי המחירים נעו בין 6.05% ל-97.77%. המחיר הממוצע בבני ברק (אצל כלל הספקים ואצל הספקים הגדולים) ובקריית אונו (אצל הספקים הקטנים) היה הנמוך ביותר בגוש דן, והמחיר הממוצע בתל אביב-יפו (אצל כלל הספקים) וברמת גן (אצל הספקים הקטנים) היה הגבוה ביותר. הפער בין המחיר הממוצע הנמוך ביותר למחיר הממוצע הגבוה ביותר היה 111% אצל כלל הספקים, 106% אצל הספקים הגדולים ו-65% אצל הספקים הקטנים.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עוד עולה כי פער המחירים הגבוה ביותר בין הספקים הגדולים לקטנים נמצא בתל אביב-יפו (65.36 ש"ח לעומת 33.05 ש"ח, פער של כ-98%); פער המחירים הנמוך ביותר בין הגדולים לקטנים נמצא באור יהודה (32.52 ש"ח לעומת 30.66 ש"ח, פער של כ-3%). זאת ועוד, המחיר הממוצע של הספקים הגדולים היה גבוה בכ-6% מהמחיר הממוצע של כלל הספקים המספקים גפ"ם במרכזיית מכלים בגוש דן; המחיר הממוצע של הספקים הקטנים היה נמוך בכ-40% מהמחיר הממוצע של כלל הספקים המספקים גפ"ם במרכזיית מכלים בגוש דן.</w:t>
      </w:r>
    </w:p>
    <w:p w:rsidR="007E5741" w:rsidRPr="007E5741" w:rsidP="002F4530">
      <w:pPr>
        <w:keepNext/>
        <w:keepLines/>
        <w:spacing w:line="269" w:lineRule="auto"/>
        <w:ind w:left="-567"/>
        <w:rPr>
          <w:rFonts w:eastAsia="Calibri"/>
          <w:szCs w:val="20"/>
          <w:rtl/>
        </w:rPr>
      </w:pPr>
    </w:p>
    <w:p w:rsidR="007E5741" w:rsidRPr="007E5741" w:rsidP="002F4530">
      <w:pPr>
        <w:keepNext/>
        <w:keepLines/>
        <w:numPr>
          <w:ilvl w:val="0"/>
          <w:numId w:val="16"/>
        </w:numPr>
        <w:spacing w:line="269" w:lineRule="auto"/>
        <w:ind w:left="312"/>
        <w:outlineLvl w:val="5"/>
        <w:rPr>
          <w:rFonts w:eastAsia="Times New Roman"/>
          <w:spacing w:val="40"/>
          <w:rtl/>
        </w:rPr>
      </w:pPr>
      <w:r w:rsidRPr="007E5741">
        <w:rPr>
          <w:rFonts w:eastAsia="Times New Roman" w:hint="cs"/>
          <w:spacing w:val="40"/>
          <w:rtl/>
        </w:rPr>
        <w:t>מרכזיית מכל נייח</w:t>
      </w:r>
      <w:r w:rsidRPr="007E5741">
        <w:rPr>
          <w:rFonts w:eastAsia="Times New Roman" w:hint="cs"/>
          <w:color w:val="FF0000"/>
          <w:spacing w:val="40"/>
          <w:rtl/>
        </w:rPr>
        <w:t xml:space="preserve"> </w:t>
      </w:r>
    </w:p>
    <w:p w:rsidR="007E5741" w:rsidRPr="007E5741" w:rsidP="002F4530">
      <w:pPr>
        <w:rPr>
          <w:rFonts w:eastAsia="Calibri"/>
          <w:rtl/>
        </w:rPr>
      </w:pPr>
    </w:p>
    <w:p w:rsidR="007E5741" w:rsidRPr="007E5741" w:rsidP="002F4530">
      <w:pPr>
        <w:spacing w:line="269" w:lineRule="auto"/>
        <w:ind w:left="312"/>
        <w:rPr>
          <w:rFonts w:eastAsia="Calibri"/>
          <w:rtl/>
        </w:rPr>
      </w:pPr>
      <w:r w:rsidRPr="007E5741">
        <w:rPr>
          <w:rFonts w:ascii="David" w:eastAsia="Calibri" w:hAnsi="David" w:hint="cs"/>
          <w:rtl/>
        </w:rPr>
        <w:t>בלוח ובתרשים שלהלן מפורטים המחירים הממוצעים המשוקללים</w:t>
      </w:r>
      <w:r>
        <w:rPr>
          <w:rFonts w:ascii="David" w:eastAsia="Calibri" w:hAnsi="David"/>
          <w:vertAlign w:val="superscript"/>
          <w:rtl/>
        </w:rPr>
        <w:footnoteReference w:id="136"/>
      </w:r>
      <w:r w:rsidRPr="007E5741">
        <w:rPr>
          <w:rFonts w:ascii="David" w:eastAsia="Calibri" w:hAnsi="David" w:hint="cs"/>
          <w:rtl/>
        </w:rPr>
        <w:t xml:space="preserve"> של מרכזיית מכל נייח בכמה ערים בגוש דן בשנים 2021 - 2024. </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ind w:left="312"/>
        <w:jc w:val="center"/>
        <w:rPr>
          <w:rFonts w:eastAsia="Calibri"/>
          <w:b/>
          <w:bCs/>
          <w:rtl/>
        </w:rPr>
      </w:pPr>
      <w:r w:rsidRPr="007E5741">
        <w:rPr>
          <w:rFonts w:eastAsia="Calibri" w:hint="eastAsia"/>
          <w:rtl/>
        </w:rPr>
        <w:t>לוח</w:t>
      </w:r>
      <w:r w:rsidRPr="007E5741">
        <w:rPr>
          <w:rFonts w:eastAsia="Calibri"/>
          <w:rtl/>
        </w:rPr>
        <w:t xml:space="preserve"> 7: </w:t>
      </w:r>
      <w:r w:rsidRPr="007E5741">
        <w:rPr>
          <w:rFonts w:eastAsia="Calibri" w:hint="cs"/>
          <w:b/>
          <w:bCs/>
          <w:rtl/>
        </w:rPr>
        <w:t xml:space="preserve">המחירים הממוצעים המשוקללים למ"ק גז </w:t>
      </w:r>
      <w:r w:rsidRPr="007E5741">
        <w:rPr>
          <w:rFonts w:eastAsia="Calibri" w:hint="eastAsia"/>
          <w:b/>
          <w:bCs/>
          <w:rtl/>
        </w:rPr>
        <w:t>במרכזיית</w:t>
      </w:r>
      <w:r w:rsidRPr="007E5741">
        <w:rPr>
          <w:rFonts w:eastAsia="Calibri"/>
          <w:b/>
          <w:bCs/>
          <w:rtl/>
        </w:rPr>
        <w:t xml:space="preserve"> מכל נייח</w:t>
      </w:r>
      <w:r w:rsidRPr="007E5741">
        <w:rPr>
          <w:rFonts w:eastAsia="Calibri" w:hint="cs"/>
          <w:b/>
          <w:bCs/>
          <w:rtl/>
        </w:rPr>
        <w:t xml:space="preserve"> </w:t>
      </w:r>
    </w:p>
    <w:p w:rsidR="007E5741" w:rsidRPr="007E5741" w:rsidP="002F4530">
      <w:pPr>
        <w:keepNext/>
        <w:keepLines/>
        <w:spacing w:line="269" w:lineRule="auto"/>
        <w:jc w:val="center"/>
        <w:rPr>
          <w:rFonts w:eastAsia="Calibri"/>
          <w:b/>
          <w:bCs/>
          <w:rtl/>
        </w:rPr>
      </w:pPr>
      <w:r w:rsidRPr="007E5741">
        <w:rPr>
          <w:rFonts w:eastAsia="Calibri" w:hint="cs"/>
          <w:b/>
          <w:bCs/>
          <w:rtl/>
        </w:rPr>
        <w:t>בכמה ערים בגוש דן, 2021 - 2024 (בש"ח)</w:t>
      </w:r>
    </w:p>
    <w:p w:rsidR="007E5741" w:rsidRPr="007E5741" w:rsidP="002F4530">
      <w:pPr>
        <w:spacing w:line="269" w:lineRule="auto"/>
        <w:ind w:left="312"/>
        <w:jc w:val="center"/>
        <w:rPr>
          <w:rFonts w:eastAsia="Calibri"/>
          <w:b/>
          <w:bCs/>
          <w:rtl/>
        </w:rPr>
      </w:pPr>
      <w:r w:rsidRPr="007E5741">
        <w:rPr>
          <w:rFonts w:eastAsia="Calibri"/>
          <w:noProof/>
        </w:rPr>
        <w:drawing>
          <wp:inline distT="0" distB="0" distL="0" distR="0">
            <wp:extent cx="5220335" cy="4243705"/>
            <wp:effectExtent l="0" t="0" r="0" b="4445"/>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xmlns:r="http://schemas.openxmlformats.org/officeDocument/2006/relationships" r:embed="rId42"/>
                    <a:stretch>
                      <a:fillRect/>
                    </a:stretch>
                  </pic:blipFill>
                  <pic:spPr>
                    <a:xfrm>
                      <a:off x="0" y="0"/>
                      <a:ext cx="5220335" cy="4243705"/>
                    </a:xfrm>
                    <a:prstGeom prst="rect">
                      <a:avLst/>
                    </a:prstGeom>
                  </pic:spPr>
                </pic:pic>
              </a:graphicData>
            </a:graphic>
          </wp:inline>
        </w:drawing>
      </w:r>
    </w:p>
    <w:p w:rsidR="007E5741" w:rsidRPr="007E5741" w:rsidP="002F4530">
      <w:pPr>
        <w:spacing w:line="269" w:lineRule="auto"/>
        <w:ind w:left="312"/>
        <w:rPr>
          <w:rFonts w:eastAsia="Calibri"/>
          <w:szCs w:val="20"/>
          <w:rtl/>
        </w:rPr>
      </w:pPr>
      <w:r w:rsidRPr="007E5741">
        <w:rPr>
          <w:rFonts w:eastAsia="Calibri" w:hint="eastAsia"/>
          <w:szCs w:val="20"/>
          <w:rtl/>
        </w:rPr>
        <w:t>על</w:t>
      </w:r>
      <w:r w:rsidRPr="007E5741">
        <w:rPr>
          <w:rFonts w:eastAsia="Calibri"/>
          <w:szCs w:val="20"/>
          <w:rtl/>
        </w:rPr>
        <w:t xml:space="preserve"> פי נתוני מינהל הדלק, בעיבוד משרד מבקר המדינה.</w:t>
      </w:r>
    </w:p>
    <w:p w:rsidR="007E5741" w:rsidRPr="007E5741" w:rsidP="002F4530">
      <w:pPr>
        <w:keepNext/>
        <w:keepLines/>
        <w:spacing w:line="269" w:lineRule="auto"/>
        <w:ind w:left="312"/>
        <w:jc w:val="center"/>
        <w:rPr>
          <w:rFonts w:eastAsia="Calibri"/>
          <w:b/>
          <w:bCs/>
          <w:rtl/>
        </w:rPr>
      </w:pPr>
      <w:r w:rsidRPr="007E5741">
        <w:rPr>
          <w:rFonts w:eastAsia="Calibri" w:hint="eastAsia"/>
          <w:rtl/>
        </w:rPr>
        <w:t>תרשים</w:t>
      </w:r>
      <w:r w:rsidRPr="007E5741">
        <w:rPr>
          <w:rFonts w:eastAsia="Calibri"/>
          <w:rtl/>
        </w:rPr>
        <w:t xml:space="preserve"> 23:</w:t>
      </w:r>
      <w:r w:rsidRPr="007E5741">
        <w:rPr>
          <w:rFonts w:eastAsia="Calibri" w:hint="cs"/>
          <w:b/>
          <w:bCs/>
          <w:rtl/>
        </w:rPr>
        <w:t xml:space="preserve"> המחירים הממוצעים המשוקללים למ"ק גז במרכזיית מכל נייח </w:t>
      </w:r>
    </w:p>
    <w:p w:rsidR="007E5741" w:rsidRPr="007E5741" w:rsidP="002F4530">
      <w:pPr>
        <w:keepNext/>
        <w:keepLines/>
        <w:spacing w:line="269" w:lineRule="auto"/>
        <w:jc w:val="center"/>
        <w:rPr>
          <w:rFonts w:eastAsia="Calibri"/>
          <w:b/>
          <w:bCs/>
          <w:rtl/>
        </w:rPr>
      </w:pPr>
      <w:r w:rsidRPr="007E5741">
        <w:rPr>
          <w:rFonts w:eastAsia="Calibri" w:hint="cs"/>
          <w:b/>
          <w:bCs/>
          <w:rtl/>
        </w:rPr>
        <w:t>בכמה ערים בגוש דן, 2021 - 2024 (בש"ח)</w:t>
      </w:r>
    </w:p>
    <w:p w:rsidR="007E5741" w:rsidRPr="007E5741" w:rsidP="002F4530">
      <w:pPr>
        <w:spacing w:line="269" w:lineRule="auto"/>
        <w:ind w:left="312"/>
        <w:jc w:val="center"/>
        <w:rPr>
          <w:rFonts w:eastAsia="Calibri"/>
          <w:b/>
          <w:bCs/>
          <w:rtl/>
        </w:rPr>
      </w:pPr>
      <w:r w:rsidRPr="007E5741">
        <w:rPr>
          <w:rFonts w:eastAsia="Calibri"/>
          <w:b/>
          <w:bCs/>
          <w:noProof/>
        </w:rPr>
        <w:drawing>
          <wp:inline distT="0" distB="0" distL="0" distR="0">
            <wp:extent cx="5317565" cy="4218940"/>
            <wp:effectExtent l="0" t="0" r="0" b="0"/>
            <wp:docPr id="42" name="תמונה 42" descr="התרשים מתאר את המחירים הממוצעים המשוקללים של מרכזיית מכל נייח בכמה ערים בגוש דן, בשנים 2021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5319989" cy="4220863"/>
                    </a:xfrm>
                    <a:prstGeom prst="rect">
                      <a:avLst/>
                    </a:prstGeom>
                    <a:noFill/>
                  </pic:spPr>
                </pic:pic>
              </a:graphicData>
            </a:graphic>
          </wp:inline>
        </w:drawing>
      </w:r>
    </w:p>
    <w:p w:rsidR="007E5741" w:rsidRPr="007E5741" w:rsidP="002F4530">
      <w:pPr>
        <w:spacing w:line="269" w:lineRule="auto"/>
        <w:ind w:left="312"/>
        <w:rPr>
          <w:rFonts w:eastAsia="Calibri"/>
          <w:szCs w:val="20"/>
          <w:rtl/>
        </w:rPr>
      </w:pPr>
      <w:r w:rsidRPr="007E5741">
        <w:rPr>
          <w:rFonts w:eastAsia="Calibri" w:hint="eastAsia"/>
          <w:szCs w:val="20"/>
          <w:rtl/>
        </w:rPr>
        <w:t>על</w:t>
      </w:r>
      <w:r w:rsidRPr="007E5741">
        <w:rPr>
          <w:rFonts w:eastAsia="Calibri"/>
          <w:szCs w:val="20"/>
          <w:rtl/>
        </w:rPr>
        <w:t xml:space="preserve"> פי נתוני מינהל הדלק,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מהלוח ומהתרשים עולה כי המחיר הממוצע הנמוך ביותר בגוש דן בשנים 2021 - 2024 במכל נייח היה באור יהודה (אצל כלל הספקים ואצל הספקים הגדולים) ובבני ברק ורמת גן (אצל הספקים הקטנים), והמחיר הממוצע הגבוה ביותר היה בתל אביב-יפו (אצל כלל הספקים ואצל הספקים הגדולים) ובבת ים (אצל הספקים הקטנים). הפער בין המחיר הממוצע הנמוך ביותר למחיר הממוצע הגבוה ביותר בגוש דן היה כ-52% אצל כלל הספקים, כ-84% אצל הספקים הקטנים ו-147% אצל הספקים הגדולים.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עוד עולה כי המחיר הממוצע של הספקים הגדולים היה גבוה בכ-4% מהמחיר הממוצע של כלל הספקים המספקים גפ"ם במרכזיית מכל נייח בגוש דן; המחיר הממוצע של הספקים הקטנים היה נמוך בכ-23% מהמחיר הממוצע של כלל הספקים המספקים גפ"ם במרכזיית מכל נייח בגוש דן.</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rtl/>
        </w:rPr>
      </w:pPr>
      <w:r w:rsidRPr="007E5741">
        <w:rPr>
          <w:rFonts w:eastAsia="Calibri" w:hint="cs"/>
          <w:rtl/>
        </w:rPr>
        <w:t>בתשובתו למשרד מבקר המדינה מסר ספק גדול ד' כי פערי המחירים בין ספקי הגז הגדולים לקטנים הם תולדה ישירה של שוני מהותי במבנה ההוצאות ועלויות התפעול של הספקים. ספקי הגז הגדולים פועלים בפריסה ארצית רחבה ונושאים בעלויות כבדות הכרוכות בשמירה על רציפות אספקת גפ"ם לאזורים מרוחקים. נטל זה כולל את העלויות של תחזוקת מערכי הובלה ואחסון בפריסה ארצית, מערך טכנאים רחב ועוד. הספקים הגדולים מבצעים השקעות הוניות ניכרות בהקמת תשתיות גז ארציות ובגיוס לקוחות חדשים.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rtl/>
        </w:rPr>
      </w:pPr>
      <w:r w:rsidRPr="007E5741">
        <w:rPr>
          <w:rFonts w:eastAsia="Calibri" w:hint="cs"/>
          <w:rtl/>
        </w:rPr>
        <w:t xml:space="preserve">בתשובתו למשרד מבקר המדינה מסר ספק גדול ב' כי להבדלי המחירים בין הספקים הקטנים לגדולים יש סיבות רבות. ספק גז גדול נושא בעלויות אדירות שאין לספק קטן כלל (כמו עלויות תפעול, מערכי שירות, מערכי גבייה, כספים ומערכות מידע). זאת ועוד, רק ספקים גדולים מבצעים </w:t>
      </w:r>
      <w:r w:rsidRPr="007E5741">
        <w:rPr>
          <w:rFonts w:eastAsia="Calibri" w:hint="cs"/>
          <w:rtl/>
        </w:rPr>
        <w:t>הלכה למעשה עבודות הקמת מרכזיות גז בבניינים משותפים בעלות של עשרות אלפי ש"ח לכל בניין, ובמצטבר מיליוני ש"ח לכל שנה, ואילו הספקים הקטנים בוחרים שלא לבצע את ההשקעה אלא להתמקד במקטע המכלים או בניוד לקוחות קיימים בבניינים. דבר זה גורם לנזק לספק שהקים את המרכזייה ולא זכה להחזר השקעה מזערי. כמו כן, הספקים הקטנים מקבלים הקצאות של גז מקומי מוזל, ואילו הספקים הגדולים מייבאים גז יקר יותר ונושאים בעלויות תפעול כבדות הנוגעות לייבוא. כמו כן, ספקי גז קטנים, לרבות ספקים "קטנים" בעלי גב כלכלי איתן, נהנים מהטבות ינוקא</w:t>
      </w:r>
      <w:r>
        <w:rPr>
          <w:rFonts w:eastAsia="Calibri"/>
          <w:vertAlign w:val="superscript"/>
          <w:rtl/>
        </w:rPr>
        <w:footnoteReference w:id="137"/>
      </w:r>
      <w:r w:rsidRPr="007E5741">
        <w:rPr>
          <w:rFonts w:eastAsia="Calibri" w:hint="cs"/>
          <w:rtl/>
        </w:rPr>
        <w:t>.</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rtl/>
        </w:rPr>
      </w:pPr>
      <w:r w:rsidRPr="007E5741">
        <w:rPr>
          <w:rFonts w:eastAsia="Calibri" w:hint="cs"/>
          <w:b/>
          <w:bCs/>
          <w:rtl/>
        </w:rPr>
        <w:t>מן האמור לעיל עולה כי בשנים 2021 - 2024 היה המחיר הממוצע בקריית אונו, בבני ברק ובאור יהודה הנמוך ביותר בגוש דן, ואילו המחיר הממוצע בגבעתיים, בתל אביב-יפו וברמת גן היה הגבוה ביותר בגוש דן. היו פערים גדולים במחירים בין ערים סמוכות זו לזו בגוש דן. הפער בין המחיר הממוצע הנמוך ביותר למחיר הממוצע הגבוה ביותר בגוש דן נע בין 20% ל-31% במכלים של 12 ק"ג, ובין 17% ל-30% במכלים של 48 ק"ג, ואילו במרכזיית מכלים ובמרכזיית מכל נייח הגיע הפער לעשרות ואף למאות אחוזים, בעיקר אצל הספקים הגדולים. בכל אמצעי האספקה היה המחיר הממוצע של הספקים הגדולים גבוה ב-4% - 7% מהמחיר הממוצע של כלל הספקים, ואילו המחיר הממוצע של הספקים הקטנים נמוך ב-10% - 40% מהמחיר הממוצע של כלל הספקים.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rtl/>
        </w:rPr>
      </w:pPr>
      <w:r w:rsidRPr="007E5741">
        <w:rPr>
          <w:rFonts w:eastAsia="Calibri" w:hint="cs"/>
          <w:b/>
          <w:bCs/>
          <w:rtl/>
        </w:rPr>
        <w:t xml:space="preserve">על משרד האנרגיה ורשות התחרות לבחון את פערי המחירים בגוש דן ולבדוק כיצד אפשר לצמצם אותם, בעיקר במרכזיית מכלים ובמרכזיית מכל נייח ובייחוד אצל הספקים </w:t>
      </w:r>
      <w:r w:rsidRPr="007E5741">
        <w:rPr>
          <w:rFonts w:eastAsia="Calibri"/>
          <w:b/>
          <w:bCs/>
          <w:rtl/>
        </w:rPr>
        <w:t>הגדולים</w:t>
      </w:r>
      <w:r w:rsidRPr="007E5741">
        <w:rPr>
          <w:rFonts w:eastAsia="Calibri" w:hint="cs"/>
          <w:b/>
          <w:bCs/>
          <w:rtl/>
        </w:rPr>
        <w:t>.</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4"/>
        <w:rPr>
          <w:rFonts w:eastAsia="Times New Roman"/>
          <w:bCs/>
          <w:spacing w:val="40"/>
          <w:rtl/>
        </w:rPr>
      </w:pPr>
      <w:r w:rsidRPr="007E5741">
        <w:rPr>
          <w:rFonts w:eastAsia="Times New Roman" w:hint="cs"/>
          <w:bCs/>
          <w:spacing w:val="40"/>
          <w:rtl/>
        </w:rPr>
        <w:t>פערי מחירים בין מגזרים</w:t>
      </w:r>
    </w:p>
    <w:p w:rsidR="007E5741" w:rsidRPr="007E5741" w:rsidP="002F4530">
      <w:pPr>
        <w:keepNext/>
        <w:keepLines/>
        <w:spacing w:line="269" w:lineRule="auto"/>
        <w:outlineLvl w:val="4"/>
        <w:rPr>
          <w:rFonts w:eastAsia="Times New Roman"/>
          <w:bCs/>
          <w:spacing w:val="40"/>
          <w:rtl/>
        </w:rPr>
      </w:pPr>
      <w:r w:rsidRPr="007E5741">
        <w:rPr>
          <w:rFonts w:eastAsia="Times New Roman" w:hint="cs"/>
          <w:bCs/>
          <w:spacing w:val="40"/>
          <w:rtl/>
        </w:rPr>
        <w:t xml:space="preserve"> </w:t>
      </w:r>
    </w:p>
    <w:p w:rsidR="007E5741" w:rsidRPr="007E5741" w:rsidP="002F4530">
      <w:pPr>
        <w:spacing w:line="269" w:lineRule="auto"/>
        <w:rPr>
          <w:rFonts w:ascii="David" w:eastAsia="Calibri" w:hAnsi="David"/>
          <w:rtl/>
        </w:rPr>
      </w:pPr>
      <w:r w:rsidRPr="007E5741">
        <w:rPr>
          <w:rFonts w:ascii="David" w:eastAsia="Calibri" w:hAnsi="David" w:hint="cs"/>
          <w:rtl/>
        </w:rPr>
        <w:t>משרד מבקר המדינה בדק את</w:t>
      </w:r>
      <w:r w:rsidRPr="007E5741">
        <w:rPr>
          <w:rFonts w:eastAsia="Calibri" w:hint="cs"/>
          <w:rtl/>
        </w:rPr>
        <w:t xml:space="preserve"> המחירים הממוצעים המשוקללים</w:t>
      </w:r>
      <w:r>
        <w:rPr>
          <w:rFonts w:ascii="David" w:eastAsia="Calibri" w:hAnsi="David"/>
          <w:vertAlign w:val="superscript"/>
          <w:rtl/>
        </w:rPr>
        <w:footnoteReference w:id="138"/>
      </w:r>
      <w:r w:rsidRPr="007E5741">
        <w:rPr>
          <w:rFonts w:eastAsia="Calibri" w:hint="cs"/>
          <w:rtl/>
        </w:rPr>
        <w:t xml:space="preserve"> של</w:t>
      </w:r>
      <w:r w:rsidRPr="007E5741">
        <w:rPr>
          <w:rFonts w:ascii="David" w:eastAsia="Calibri" w:hAnsi="David" w:hint="cs"/>
          <w:rtl/>
        </w:rPr>
        <w:t xml:space="preserve"> כלל הרשויות, של רשויות שעיקר אוכלוסייתן חרדית (להלן - </w:t>
      </w:r>
      <w:r w:rsidRPr="007E5741">
        <w:rPr>
          <w:rFonts w:eastAsia="Calibri" w:hint="cs"/>
          <w:rtl/>
        </w:rPr>
        <w:t>רשויות</w:t>
      </w:r>
      <w:r w:rsidRPr="007E5741">
        <w:rPr>
          <w:rFonts w:ascii="David" w:eastAsia="Calibri" w:hAnsi="David" w:hint="cs"/>
          <w:rtl/>
        </w:rPr>
        <w:t xml:space="preserve"> חרדיות)</w:t>
      </w:r>
      <w:r>
        <w:rPr>
          <w:rFonts w:ascii="David" w:eastAsia="Calibri" w:hAnsi="David"/>
          <w:vertAlign w:val="superscript"/>
          <w:rtl/>
        </w:rPr>
        <w:footnoteReference w:id="139"/>
      </w:r>
      <w:r w:rsidRPr="007E5741">
        <w:rPr>
          <w:rFonts w:ascii="David" w:eastAsia="Calibri" w:hAnsi="David" w:hint="cs"/>
          <w:rtl/>
        </w:rPr>
        <w:t xml:space="preserve"> ושל רשויות מהמגזר הערבי</w:t>
      </w:r>
      <w:r>
        <w:rPr>
          <w:rFonts w:ascii="David" w:eastAsia="Calibri" w:hAnsi="David"/>
          <w:vertAlign w:val="superscript"/>
          <w:rtl/>
        </w:rPr>
        <w:footnoteReference w:id="140"/>
      </w:r>
      <w:r w:rsidRPr="007E5741">
        <w:rPr>
          <w:rFonts w:ascii="David" w:eastAsia="Calibri" w:hAnsi="David" w:hint="cs"/>
          <w:rtl/>
        </w:rPr>
        <w:t xml:space="preserve"> במרכזיית מכלים ובמרכזיית מכל נייח בשנים 2021 - 2024. סרגל הצבעים בלוחות מסמן את גובה המחיר: ירוק הוא הקצה התחתון ואדום הוא הקצה העליון (באמצע - ירוקים, צהובים וכתומים). להלן ממצאי הבדיקה.</w:t>
      </w:r>
    </w:p>
    <w:p w:rsidR="007E5741" w:rsidRPr="007E5741" w:rsidP="002F4530">
      <w:pPr>
        <w:keepNext/>
        <w:keepLines/>
        <w:spacing w:line="269" w:lineRule="auto"/>
        <w:ind w:left="-567"/>
        <w:rPr>
          <w:rFonts w:eastAsia="Calibri"/>
          <w:szCs w:val="20"/>
          <w:rtl/>
        </w:rPr>
      </w:pPr>
    </w:p>
    <w:p w:rsidR="007E5741" w:rsidRPr="007E5741" w:rsidP="002F4530">
      <w:pPr>
        <w:keepNext/>
        <w:keepLines/>
        <w:numPr>
          <w:ilvl w:val="0"/>
          <w:numId w:val="17"/>
        </w:numPr>
        <w:spacing w:line="269" w:lineRule="auto"/>
        <w:ind w:left="312"/>
        <w:outlineLvl w:val="5"/>
        <w:rPr>
          <w:rFonts w:eastAsia="Times New Roman"/>
          <w:spacing w:val="40"/>
          <w:rtl/>
        </w:rPr>
      </w:pPr>
      <w:r w:rsidRPr="007E5741">
        <w:rPr>
          <w:rFonts w:eastAsia="Times New Roman" w:hint="cs"/>
          <w:spacing w:val="40"/>
          <w:rtl/>
        </w:rPr>
        <w:t>מרכזיית מכלים</w:t>
      </w:r>
    </w:p>
    <w:p w:rsidR="007E5741" w:rsidRPr="007E5741" w:rsidP="002F4530">
      <w:pPr>
        <w:rPr>
          <w:rFonts w:eastAsia="Calibri"/>
          <w:rtl/>
        </w:rPr>
      </w:pPr>
    </w:p>
    <w:p w:rsidR="007E5741" w:rsidRPr="007E5741" w:rsidP="002F4530">
      <w:pPr>
        <w:spacing w:line="269" w:lineRule="auto"/>
        <w:ind w:left="312"/>
        <w:rPr>
          <w:rFonts w:ascii="David" w:eastAsia="Calibri" w:hAnsi="David"/>
          <w:color w:val="FF0000"/>
          <w:rtl/>
        </w:rPr>
      </w:pPr>
      <w:r w:rsidRPr="007E5741">
        <w:rPr>
          <w:rFonts w:ascii="David" w:eastAsia="Calibri" w:hAnsi="David" w:hint="cs"/>
          <w:rtl/>
        </w:rPr>
        <w:t xml:space="preserve">בלוח ובתרשים שלהלן מפורטים המחירים הממוצעים המשוקללים של כלל הרשויות, של רשויות חרדיות ושל רשויות מהמגזר הערבי למ"ק גז במרכזיית מכלים בשנים 2021 - 2024, על פי גודל ספק הגז. </w:t>
      </w:r>
    </w:p>
    <w:p w:rsidR="007E5741" w:rsidRPr="007E5741" w:rsidP="00C3124C">
      <w:pPr>
        <w:keepNext/>
        <w:keepLines/>
        <w:spacing w:line="269" w:lineRule="auto"/>
        <w:ind w:left="-2"/>
        <w:jc w:val="center"/>
        <w:rPr>
          <w:rFonts w:ascii="David" w:eastAsia="Calibri" w:hAnsi="David"/>
          <w:b/>
          <w:bCs/>
          <w:rtl/>
        </w:rPr>
      </w:pPr>
      <w:r w:rsidRPr="007E5741">
        <w:rPr>
          <w:rFonts w:ascii="David" w:eastAsia="Calibri" w:hAnsi="David" w:hint="eastAsia"/>
          <w:rtl/>
        </w:rPr>
        <w:t>לוח</w:t>
      </w:r>
      <w:r w:rsidRPr="007E5741">
        <w:rPr>
          <w:rFonts w:ascii="David" w:eastAsia="Calibri" w:hAnsi="David"/>
          <w:rtl/>
        </w:rPr>
        <w:t xml:space="preserve"> 8:</w:t>
      </w:r>
      <w:r w:rsidRPr="007E5741">
        <w:rPr>
          <w:rFonts w:ascii="David" w:eastAsia="Calibri" w:hAnsi="David" w:hint="cs"/>
          <w:b/>
          <w:bCs/>
          <w:rtl/>
        </w:rPr>
        <w:t xml:space="preserve"> המחירים הממוצעים המשוקללים של כלל הרשויות, של רשויות חרדיות </w:t>
      </w:r>
    </w:p>
    <w:p w:rsidR="007E5741" w:rsidRPr="007E5741" w:rsidP="00C3124C">
      <w:pPr>
        <w:keepNext/>
        <w:keepLines/>
        <w:spacing w:line="269" w:lineRule="auto"/>
        <w:ind w:left="-2"/>
        <w:jc w:val="center"/>
        <w:rPr>
          <w:rFonts w:ascii="David" w:eastAsia="Calibri" w:hAnsi="David"/>
          <w:b/>
          <w:bCs/>
          <w:rtl/>
        </w:rPr>
      </w:pPr>
      <w:r w:rsidRPr="007E5741">
        <w:rPr>
          <w:rFonts w:ascii="David" w:eastAsia="Calibri" w:hAnsi="David" w:hint="cs"/>
          <w:b/>
          <w:bCs/>
          <w:rtl/>
        </w:rPr>
        <w:t>ושל רשויות מהמגזר הערבי למ"ק גז במרכזיית מכלים, 2021 - 2024 (בש"ח)*</w:t>
      </w:r>
    </w:p>
    <w:p w:rsidR="007E5741" w:rsidRPr="007E5741" w:rsidP="001E604F">
      <w:pPr>
        <w:spacing w:line="269" w:lineRule="auto"/>
        <w:ind w:left="-2"/>
        <w:contextualSpacing/>
        <w:jc w:val="left"/>
        <w:rPr>
          <w:rFonts w:ascii="David" w:eastAsia="Calibri" w:hAnsi="David"/>
          <w:szCs w:val="20"/>
          <w:rtl/>
        </w:rPr>
      </w:pPr>
      <w:r w:rsidRPr="007E5741">
        <w:rPr>
          <w:rFonts w:eastAsia="Calibri"/>
          <w:noProof/>
          <w:szCs w:val="20"/>
          <w:rtl/>
        </w:rPr>
        <w:drawing>
          <wp:inline distT="0" distB="0" distL="0" distR="0">
            <wp:extent cx="5219700" cy="4238625"/>
            <wp:effectExtent l="0" t="0" r="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pic:cNvPicPr>
                      <a:picLocks noChangeAspect="1" noChangeArrowheads="1"/>
                    </pic:cNvPicPr>
                  </pic:nvPicPr>
                  <pic:blipFill>
                    <a:blip xmlns:r="http://schemas.openxmlformats.org/officeDocument/2006/relationships" r:embed="rId4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9700" cy="4238625"/>
                    </a:xfrm>
                    <a:prstGeom prst="rect">
                      <a:avLst/>
                    </a:prstGeom>
                    <a:noFill/>
                    <a:ln>
                      <a:noFill/>
                    </a:ln>
                  </pic:spPr>
                </pic:pic>
              </a:graphicData>
            </a:graphic>
          </wp:inline>
        </w:drawing>
      </w:r>
    </w:p>
    <w:p w:rsidR="007E5741" w:rsidRPr="007E5741" w:rsidP="002F4530">
      <w:pPr>
        <w:spacing w:line="269" w:lineRule="auto"/>
        <w:ind w:left="312"/>
        <w:rPr>
          <w:rFonts w:eastAsia="Calibri"/>
          <w:szCs w:val="20"/>
          <w:rtl/>
        </w:rPr>
      </w:pPr>
      <w:r w:rsidRPr="007E5741">
        <w:rPr>
          <w:rFonts w:eastAsia="Calibri" w:hint="eastAsia"/>
          <w:szCs w:val="20"/>
          <w:rtl/>
        </w:rPr>
        <w:t>על</w:t>
      </w:r>
      <w:r w:rsidRPr="007E5741">
        <w:rPr>
          <w:rFonts w:eastAsia="Calibri"/>
          <w:szCs w:val="20"/>
          <w:rtl/>
        </w:rPr>
        <w:t xml:space="preserve"> פי </w:t>
      </w:r>
      <w:r w:rsidRPr="007E5741">
        <w:rPr>
          <w:rFonts w:eastAsia="Calibri" w:hint="eastAsia"/>
          <w:szCs w:val="20"/>
          <w:rtl/>
        </w:rPr>
        <w:t>נתוני</w:t>
      </w:r>
      <w:r w:rsidRPr="007E5741">
        <w:rPr>
          <w:rFonts w:eastAsia="Calibri"/>
          <w:szCs w:val="20"/>
          <w:rtl/>
        </w:rPr>
        <w:t xml:space="preserve"> מינהל הדלק, בעיבוד משרד מבקר המדינ</w:t>
      </w:r>
      <w:r w:rsidRPr="007E5741">
        <w:rPr>
          <w:rFonts w:eastAsia="Calibri" w:hint="cs"/>
          <w:szCs w:val="20"/>
          <w:rtl/>
        </w:rPr>
        <w:t>ה</w:t>
      </w:r>
    </w:p>
    <w:p w:rsidR="007E5741" w:rsidRPr="007E5741" w:rsidP="002F4530">
      <w:pPr>
        <w:spacing w:line="269" w:lineRule="auto"/>
        <w:ind w:left="312"/>
        <w:rPr>
          <w:rFonts w:eastAsia="Calibri"/>
          <w:szCs w:val="20"/>
          <w:rtl/>
        </w:rPr>
      </w:pPr>
      <w:r w:rsidRPr="007E5741">
        <w:rPr>
          <w:rFonts w:eastAsia="Calibri" w:hint="cs"/>
          <w:szCs w:val="20"/>
          <w:rtl/>
        </w:rPr>
        <w:t>* ספקים שליד שמם לא צוינו ערכים משמע שאינם מספקים גפ"ם לאותו מגזר.</w:t>
      </w:r>
    </w:p>
    <w:p w:rsidR="007E5741" w:rsidRPr="007E5741" w:rsidP="002F4530">
      <w:pPr>
        <w:keepNext/>
        <w:keepLines/>
        <w:spacing w:line="269" w:lineRule="auto"/>
        <w:ind w:left="-567"/>
        <w:rPr>
          <w:rFonts w:eastAsia="Calibri"/>
          <w:szCs w:val="20"/>
          <w:rtl/>
        </w:rPr>
      </w:pPr>
    </w:p>
    <w:p w:rsidR="007E5741" w:rsidRPr="007E5741" w:rsidP="00C3124C">
      <w:pPr>
        <w:keepNext/>
        <w:keepLines/>
        <w:spacing w:line="269" w:lineRule="auto"/>
        <w:ind w:left="-2"/>
        <w:jc w:val="center"/>
        <w:rPr>
          <w:rFonts w:ascii="David" w:eastAsia="Calibri" w:hAnsi="David"/>
          <w:b/>
          <w:bCs/>
          <w:rtl/>
        </w:rPr>
      </w:pPr>
      <w:r w:rsidRPr="007E5741">
        <w:rPr>
          <w:rFonts w:ascii="David" w:eastAsia="Calibri" w:hAnsi="David" w:hint="eastAsia"/>
          <w:rtl/>
        </w:rPr>
        <w:t>תרשים</w:t>
      </w:r>
      <w:r w:rsidRPr="007E5741">
        <w:rPr>
          <w:rFonts w:ascii="David" w:eastAsia="Calibri" w:hAnsi="David"/>
          <w:rtl/>
        </w:rPr>
        <w:t xml:space="preserve"> 24:</w:t>
      </w:r>
      <w:r w:rsidRPr="007E5741">
        <w:rPr>
          <w:rFonts w:ascii="David" w:eastAsia="Calibri" w:hAnsi="David"/>
          <w:b/>
          <w:bCs/>
          <w:rtl/>
        </w:rPr>
        <w:t xml:space="preserve"> </w:t>
      </w:r>
      <w:r w:rsidRPr="007E5741">
        <w:rPr>
          <w:rFonts w:ascii="David" w:eastAsia="Calibri" w:hAnsi="David" w:hint="cs"/>
          <w:b/>
          <w:bCs/>
          <w:rtl/>
        </w:rPr>
        <w:t xml:space="preserve">המחירים הממוצעים המשוקללים של כלל הרשויות, של רשויות חרדיות </w:t>
      </w:r>
    </w:p>
    <w:p w:rsidR="007E5741" w:rsidRPr="007E5741" w:rsidP="00C3124C">
      <w:pPr>
        <w:keepNext/>
        <w:keepLines/>
        <w:spacing w:line="269" w:lineRule="auto"/>
        <w:ind w:left="-2"/>
        <w:jc w:val="center"/>
        <w:rPr>
          <w:rFonts w:ascii="David" w:eastAsia="Calibri" w:hAnsi="David"/>
          <w:rtl/>
        </w:rPr>
      </w:pPr>
      <w:r w:rsidRPr="007E5741">
        <w:rPr>
          <w:rFonts w:ascii="David" w:eastAsia="Calibri" w:hAnsi="David" w:hint="cs"/>
          <w:b/>
          <w:bCs/>
          <w:rtl/>
        </w:rPr>
        <w:t>ושל רשויות מהמגזר הערבי למ"ק גז במרכזיית מכלים, 2021 - 2024 (בש"ח)</w:t>
      </w:r>
    </w:p>
    <w:p w:rsidR="007E5741" w:rsidRPr="007E5741" w:rsidP="00C3124C">
      <w:pPr>
        <w:spacing w:line="269" w:lineRule="auto"/>
        <w:ind w:left="-2"/>
        <w:contextualSpacing/>
        <w:jc w:val="center"/>
        <w:rPr>
          <w:rFonts w:ascii="David" w:eastAsia="Calibri" w:hAnsi="David"/>
          <w:szCs w:val="20"/>
          <w:rtl/>
        </w:rPr>
      </w:pPr>
      <w:r w:rsidRPr="007E5741">
        <w:rPr>
          <w:rFonts w:ascii="David" w:eastAsia="Calibri" w:hAnsi="David"/>
          <w:noProof/>
          <w:szCs w:val="20"/>
        </w:rPr>
        <w:drawing>
          <wp:inline distT="0" distB="0" distL="0" distR="0">
            <wp:extent cx="4960550" cy="3085106"/>
            <wp:effectExtent l="0" t="0" r="0" b="1270"/>
            <wp:docPr id="49" name="תמונה 49" descr="התרשים מתאר את המחירים הממוצעים המשוקללים של כלל הרשויות, של רשויות חרדיות ושל רשויות מהמגזר הערבי למ&quot;ק גז במרכזיית מכלים, בשנים 2021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
                    <pic:cNvPicPr>
                      <a:picLocks noChangeAspect="1" noChangeArrowheads="1"/>
                    </pic:cNvPicPr>
                  </pic:nvPicPr>
                  <pic:blipFill>
                    <a:blip xmlns:r="http://schemas.openxmlformats.org/officeDocument/2006/relationships" r:embed="rId45">
                      <a:extLst>
                        <a:ext xmlns:a="http://schemas.openxmlformats.org/drawingml/2006/main" uri="{28A0092B-C50C-407E-A947-70E740481C1C}">
                          <a14:useLocalDpi xmlns:a14="http://schemas.microsoft.com/office/drawing/2010/main" val="0"/>
                        </a:ext>
                      </a:extLst>
                    </a:blip>
                    <a:stretch>
                      <a:fillRect/>
                    </a:stretch>
                  </pic:blipFill>
                  <pic:spPr bwMode="auto">
                    <a:xfrm>
                      <a:off x="0" y="0"/>
                      <a:ext cx="4963027" cy="3086647"/>
                    </a:xfrm>
                    <a:prstGeom prst="rect">
                      <a:avLst/>
                    </a:prstGeom>
                    <a:noFill/>
                  </pic:spPr>
                </pic:pic>
              </a:graphicData>
            </a:graphic>
          </wp:inline>
        </w:drawing>
      </w:r>
    </w:p>
    <w:p w:rsidR="007E5741" w:rsidRPr="007E5741" w:rsidP="002F4530">
      <w:pPr>
        <w:spacing w:line="269" w:lineRule="auto"/>
        <w:ind w:left="312"/>
        <w:contextualSpacing/>
        <w:jc w:val="left"/>
        <w:rPr>
          <w:rFonts w:ascii="David" w:eastAsia="Calibri" w:hAnsi="David"/>
          <w:szCs w:val="20"/>
          <w:rtl/>
        </w:rPr>
      </w:pPr>
      <w:r w:rsidRPr="007E5741">
        <w:rPr>
          <w:rFonts w:ascii="David" w:eastAsia="Calibri" w:hAnsi="David" w:hint="eastAsia"/>
          <w:szCs w:val="20"/>
          <w:rtl/>
        </w:rPr>
        <w:t>על</w:t>
      </w:r>
      <w:r w:rsidRPr="007E5741">
        <w:rPr>
          <w:rFonts w:ascii="David" w:eastAsia="Calibri" w:hAnsi="David"/>
          <w:szCs w:val="20"/>
          <w:rtl/>
        </w:rPr>
        <w:t xml:space="preserve"> פי נתוני מינהל הדלק, בעיבוד משרד מבקר המדינה.</w:t>
      </w:r>
    </w:p>
    <w:p w:rsidR="007E5741" w:rsidRPr="007E5741" w:rsidP="002F4530">
      <w:pPr>
        <w:spacing w:line="269" w:lineRule="auto"/>
        <w:ind w:left="312"/>
        <w:rPr>
          <w:rFonts w:eastAsia="Calibri"/>
          <w:b/>
          <w:bCs/>
          <w:rtl/>
        </w:rPr>
      </w:pPr>
      <w:r w:rsidRPr="007E5741">
        <w:rPr>
          <w:rFonts w:eastAsia="Calibri" w:hint="cs"/>
          <w:b/>
          <w:bCs/>
          <w:rtl/>
        </w:rPr>
        <w:t xml:space="preserve">מהלוח ומהתרשים עולה כי בשנים 2021 - 2024 היו המחירים הממוצעים למ"ק גז במרכזיית מכלים ברשויות החרדיות נמוכים בשיעור של 4% - 35% מהמחירים הממוצעים למ"ק גז בכלל הרשויות; במחירים הממוצעים למ"ק ברשויות מהמגזר הערבי נמצאה שונות ביחס לכלל הרשויות, כך שלעיתים היו המחירים נמוכים יותר בשיעורים של 1% - 35% לעומת כלל הרשויות, ולעיתים היו גבוהים יותר בשיעורים של 15% - 18% לעומת כלל הרשויות. עוד עולה כי גם ברשויות מהמגזר הערבי וברשויות החרדיות, שבהן המחירים נמוכים יותר מהמחירים בכלל הרשויות, היו המחירים של הספקים הגדולים בדרך כלל גבוהים מהמחירים של הספקים הקטנים. המחיר הממוצע הגבוה ביותר היה גבוה פי 3.6 מהמחיר הממוצע הנמוך ביותר בכלל הרשויות; פי 2 </w:t>
      </w:r>
      <w:r w:rsidRPr="007E5741">
        <w:rPr>
          <w:rFonts w:eastAsia="Calibri"/>
          <w:b/>
          <w:bCs/>
          <w:rtl/>
        </w:rPr>
        <w:t>מהמחיר הממוצע הנמוך ביותר</w:t>
      </w:r>
      <w:r w:rsidRPr="007E5741">
        <w:rPr>
          <w:rFonts w:eastAsia="Calibri" w:hint="cs"/>
          <w:b/>
          <w:bCs/>
          <w:rtl/>
        </w:rPr>
        <w:t xml:space="preserve"> ברשויות החרדיות; ופי 1.8 מהמחיר הממוצע הנמוך ביותר ברשויות מהמגזר הערבי.</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 xml:space="preserve">עוד עולה כי 10 מתוך 17 ספקי גז (כ-59%) המספקים גז לכלל הרשויות מספקים גז לרשויות חרדיות, וכי 5 מתוך 17 ספקי גז (כ-29%) המספקים גז לכלל הרשויות מספקים גז לרשויות מהמגזר הערבי.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על משרד האנרגיה ורשות התחרות לבחון את מספר ספקי הגז המספקים גז לרשויות החרדיות ולרשויות מהמגזר הערבי ולבדוק אם אפשר להגדיל את מספרם.</w:t>
      </w:r>
    </w:p>
    <w:p w:rsidR="007E5741" w:rsidRPr="007E5741" w:rsidP="002F4530">
      <w:pPr>
        <w:keepNext/>
        <w:keepLines/>
        <w:spacing w:line="269" w:lineRule="auto"/>
        <w:ind w:left="-567"/>
        <w:rPr>
          <w:rFonts w:eastAsia="Calibri"/>
          <w:szCs w:val="20"/>
          <w:rtl/>
        </w:rPr>
      </w:pPr>
    </w:p>
    <w:p w:rsidR="007E5741" w:rsidRPr="007E5741" w:rsidP="002F4530">
      <w:pPr>
        <w:keepNext/>
        <w:keepLines/>
        <w:numPr>
          <w:ilvl w:val="0"/>
          <w:numId w:val="17"/>
        </w:numPr>
        <w:spacing w:line="269" w:lineRule="auto"/>
        <w:ind w:left="312"/>
        <w:outlineLvl w:val="5"/>
        <w:rPr>
          <w:rFonts w:eastAsia="Times New Roman"/>
          <w:spacing w:val="40"/>
          <w:rtl/>
        </w:rPr>
      </w:pPr>
      <w:r w:rsidRPr="007E5741">
        <w:rPr>
          <w:rFonts w:eastAsia="Times New Roman" w:hint="cs"/>
          <w:spacing w:val="40"/>
          <w:rtl/>
        </w:rPr>
        <w:t>מרכזיית מכל נייח</w:t>
      </w:r>
    </w:p>
    <w:p w:rsidR="007E5741" w:rsidRPr="007E5741" w:rsidP="002F4530">
      <w:pPr>
        <w:rPr>
          <w:rFonts w:eastAsia="Calibri"/>
          <w:rtl/>
        </w:rPr>
      </w:pPr>
    </w:p>
    <w:p w:rsidR="007E5741" w:rsidRPr="007E5741" w:rsidP="002F4530">
      <w:pPr>
        <w:spacing w:line="269" w:lineRule="auto"/>
        <w:ind w:left="312"/>
        <w:contextualSpacing/>
        <w:rPr>
          <w:rFonts w:ascii="David" w:eastAsia="Calibri" w:hAnsi="David"/>
          <w:color w:val="FF0000"/>
          <w:rtl/>
        </w:rPr>
      </w:pPr>
      <w:r w:rsidRPr="007E5741">
        <w:rPr>
          <w:rFonts w:ascii="David" w:eastAsia="Calibri" w:hAnsi="David" w:hint="cs"/>
          <w:rtl/>
        </w:rPr>
        <w:t>בלוח ובתרשים שלהלן מפורטים המחירים הממוצעים המשוקללים של כלל הרשויות, של רשויות חרדיות</w:t>
      </w:r>
      <w:r>
        <w:rPr>
          <w:rFonts w:ascii="David" w:eastAsia="Calibri" w:hAnsi="David"/>
          <w:vertAlign w:val="superscript"/>
          <w:rtl/>
        </w:rPr>
        <w:footnoteReference w:id="141"/>
      </w:r>
      <w:r w:rsidRPr="007E5741">
        <w:rPr>
          <w:rFonts w:ascii="David" w:eastAsia="Calibri" w:hAnsi="David" w:hint="cs"/>
          <w:rtl/>
        </w:rPr>
        <w:t xml:space="preserve"> ושל רשויות מהמגזר הערבי</w:t>
      </w:r>
      <w:r>
        <w:rPr>
          <w:rFonts w:ascii="David" w:eastAsia="Calibri" w:hAnsi="David"/>
          <w:vertAlign w:val="superscript"/>
          <w:rtl/>
        </w:rPr>
        <w:footnoteReference w:id="142"/>
      </w:r>
      <w:r w:rsidRPr="007E5741">
        <w:rPr>
          <w:rFonts w:ascii="David" w:eastAsia="Calibri" w:hAnsi="David" w:hint="cs"/>
          <w:rtl/>
        </w:rPr>
        <w:t xml:space="preserve"> למ"ק גז במרכזיית מכל נייח בשנים 2021 - 2024. </w:t>
      </w:r>
    </w:p>
    <w:p w:rsidR="007E5741" w:rsidRPr="007E5741" w:rsidP="00C3124C">
      <w:pPr>
        <w:keepNext/>
        <w:keepLines/>
        <w:spacing w:line="269" w:lineRule="auto"/>
        <w:ind w:left="-2"/>
        <w:jc w:val="center"/>
        <w:rPr>
          <w:rFonts w:ascii="David" w:eastAsia="Calibri" w:hAnsi="David"/>
          <w:b/>
          <w:bCs/>
          <w:rtl/>
        </w:rPr>
      </w:pPr>
      <w:r w:rsidRPr="007E5741">
        <w:rPr>
          <w:rFonts w:ascii="David" w:eastAsia="Calibri" w:hAnsi="David" w:hint="cs"/>
          <w:rtl/>
        </w:rPr>
        <w:t>לוח 9:</w:t>
      </w:r>
      <w:r w:rsidRPr="007E5741">
        <w:rPr>
          <w:rFonts w:ascii="David" w:eastAsia="Calibri" w:hAnsi="David" w:hint="cs"/>
          <w:b/>
          <w:bCs/>
          <w:rtl/>
        </w:rPr>
        <w:t xml:space="preserve"> המחירים הממוצעים המשוקללים של כלל הרשויות, של רשויות חרדיות ושל רשויות מהמגזר הערבי למ"ק גז במרכזיית מכל נייח, 2021 - 2024</w:t>
      </w:r>
      <w:r w:rsidRPr="007E5741">
        <w:rPr>
          <w:rFonts w:ascii="David" w:eastAsia="Calibri" w:hAnsi="David"/>
          <w:b/>
          <w:bCs/>
        </w:rPr>
        <w:t xml:space="preserve"> </w:t>
      </w:r>
      <w:r w:rsidRPr="007E5741">
        <w:rPr>
          <w:rFonts w:ascii="David" w:eastAsia="Calibri" w:hAnsi="David" w:hint="cs"/>
          <w:b/>
          <w:bCs/>
          <w:rtl/>
        </w:rPr>
        <w:t>(בש"ח)*</w:t>
      </w:r>
    </w:p>
    <w:p w:rsidR="007E5741" w:rsidRPr="007E5741" w:rsidP="00C3124C">
      <w:pPr>
        <w:spacing w:line="269" w:lineRule="auto"/>
        <w:ind w:left="-2"/>
        <w:contextualSpacing/>
        <w:jc w:val="center"/>
        <w:rPr>
          <w:rFonts w:ascii="David" w:eastAsia="Calibri" w:hAnsi="David"/>
          <w:szCs w:val="20"/>
          <w:rtl/>
        </w:rPr>
      </w:pPr>
      <w:r w:rsidRPr="007E5741">
        <w:rPr>
          <w:rFonts w:eastAsia="Calibri"/>
          <w:noProof/>
        </w:rPr>
        <w:drawing>
          <wp:inline distT="0" distB="0" distL="0" distR="0">
            <wp:extent cx="5220335" cy="5064125"/>
            <wp:effectExtent l="0" t="0" r="0" b="3175"/>
            <wp:docPr id="1539605052"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05052" name=""/>
                    <pic:cNvPicPr/>
                  </pic:nvPicPr>
                  <pic:blipFill>
                    <a:blip xmlns:r="http://schemas.openxmlformats.org/officeDocument/2006/relationships" r:embed="rId46"/>
                    <a:stretch>
                      <a:fillRect/>
                    </a:stretch>
                  </pic:blipFill>
                  <pic:spPr>
                    <a:xfrm>
                      <a:off x="0" y="0"/>
                      <a:ext cx="5220335" cy="5064125"/>
                    </a:xfrm>
                    <a:prstGeom prst="rect">
                      <a:avLst/>
                    </a:prstGeom>
                  </pic:spPr>
                </pic:pic>
              </a:graphicData>
            </a:graphic>
          </wp:inline>
        </w:drawing>
      </w:r>
    </w:p>
    <w:p w:rsidR="007E5741" w:rsidRPr="007E5741" w:rsidP="002F4530">
      <w:pPr>
        <w:spacing w:line="269" w:lineRule="auto"/>
        <w:ind w:left="312"/>
        <w:rPr>
          <w:rFonts w:eastAsia="Calibri"/>
          <w:szCs w:val="20"/>
          <w:rtl/>
        </w:rPr>
      </w:pPr>
      <w:r w:rsidRPr="007E5741">
        <w:rPr>
          <w:rFonts w:eastAsia="Calibri"/>
          <w:szCs w:val="20"/>
          <w:rtl/>
        </w:rPr>
        <w:t>על פי נתוני מינהל הדלק, בעיבוד משרד מבקר המדינה.</w:t>
      </w:r>
    </w:p>
    <w:p w:rsidR="007E5741" w:rsidRPr="007E5741" w:rsidP="002F4530">
      <w:pPr>
        <w:spacing w:line="269" w:lineRule="auto"/>
        <w:ind w:left="312"/>
        <w:rPr>
          <w:rFonts w:eastAsia="Calibri"/>
          <w:szCs w:val="20"/>
          <w:rtl/>
        </w:rPr>
      </w:pPr>
      <w:r w:rsidRPr="007E5741">
        <w:rPr>
          <w:rFonts w:eastAsia="Calibri" w:hint="cs"/>
          <w:szCs w:val="20"/>
          <w:rtl/>
        </w:rPr>
        <w:t>* ספקים שליד שמם לא צוינו ערכים משמע שאינם מספקים גפ"ם לאותו מגזר.</w:t>
      </w:r>
    </w:p>
    <w:p w:rsidR="007E5741" w:rsidRPr="007E5741" w:rsidP="00CA2309">
      <w:pPr>
        <w:keepNext/>
        <w:keepLines/>
        <w:spacing w:line="269" w:lineRule="auto"/>
        <w:ind w:left="-2"/>
        <w:jc w:val="center"/>
        <w:rPr>
          <w:rFonts w:ascii="David" w:eastAsia="Calibri" w:hAnsi="David"/>
          <w:b/>
          <w:bCs/>
          <w:rtl/>
        </w:rPr>
      </w:pPr>
      <w:r w:rsidRPr="007E5741">
        <w:rPr>
          <w:rFonts w:ascii="David" w:eastAsia="Calibri" w:hAnsi="David" w:hint="eastAsia"/>
          <w:rtl/>
        </w:rPr>
        <w:t>תרשים</w:t>
      </w:r>
      <w:r w:rsidRPr="007E5741">
        <w:rPr>
          <w:rFonts w:ascii="David" w:eastAsia="Calibri" w:hAnsi="David"/>
          <w:rtl/>
        </w:rPr>
        <w:t xml:space="preserve"> 25: </w:t>
      </w:r>
      <w:r w:rsidRPr="007E5741">
        <w:rPr>
          <w:rFonts w:ascii="David" w:eastAsia="Calibri" w:hAnsi="David" w:hint="cs"/>
          <w:b/>
          <w:bCs/>
          <w:rtl/>
        </w:rPr>
        <w:t xml:space="preserve">המחירים הממוצעים המשוקללים של כלל הרשויות, של רשויות חרדיות </w:t>
      </w:r>
    </w:p>
    <w:p w:rsidR="007E5741" w:rsidRPr="007E5741" w:rsidP="002F4530">
      <w:pPr>
        <w:keepNext/>
        <w:keepLines/>
        <w:spacing w:line="269" w:lineRule="auto"/>
        <w:jc w:val="center"/>
        <w:rPr>
          <w:rFonts w:eastAsia="Calibri"/>
          <w:rtl/>
        </w:rPr>
      </w:pPr>
      <w:r w:rsidRPr="007E5741">
        <w:rPr>
          <w:rFonts w:ascii="David" w:eastAsia="Calibri" w:hAnsi="David" w:hint="cs"/>
          <w:b/>
          <w:bCs/>
          <w:rtl/>
        </w:rPr>
        <w:t>ושל רשויות מהמגזר הערבי למ"ק גז במרכזיית מכל נייח, 2021 - 2024 (בש"ח)</w:t>
      </w:r>
    </w:p>
    <w:p w:rsidR="007E5741" w:rsidRPr="007E5741" w:rsidP="00CA2309">
      <w:pPr>
        <w:spacing w:line="269" w:lineRule="auto"/>
        <w:ind w:left="-2"/>
        <w:contextualSpacing/>
        <w:rPr>
          <w:rFonts w:eastAsia="Calibri"/>
          <w:szCs w:val="20"/>
          <w:rtl/>
        </w:rPr>
      </w:pPr>
      <w:r w:rsidRPr="007E5741">
        <w:rPr>
          <w:rFonts w:eastAsia="Calibri"/>
          <w:noProof/>
        </w:rPr>
        <w:drawing>
          <wp:inline distT="0" distB="0" distL="0" distR="0">
            <wp:extent cx="5201285" cy="3238500"/>
            <wp:effectExtent l="0" t="0" r="0" b="0"/>
            <wp:docPr id="246375445" name="תמונה 58" descr="התרשים מתאר את המחירים הממוצעים המשוקללים של כלל הרשויות, של רשויות חרדיות ושל רשויות מהמגזר הערבי למ&quot;ק גז במרכזיית מכל נייח, בשנים 2021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375445" name="Picture 4"/>
                    <pic:cNvPicPr>
                      <a:picLocks noChangeAspect="1" noChangeArrowheads="1"/>
                    </pic:cNvPicPr>
                  </pic:nvPicPr>
                  <pic:blipFill>
                    <a:blip xmlns:r="http://schemas.openxmlformats.org/officeDocument/2006/relationships" r:embed="rId4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201285" cy="3238500"/>
                    </a:xfrm>
                    <a:prstGeom prst="rect">
                      <a:avLst/>
                    </a:prstGeom>
                    <a:noFill/>
                  </pic:spPr>
                </pic:pic>
              </a:graphicData>
            </a:graphic>
          </wp:inline>
        </w:drawing>
      </w:r>
      <w:r w:rsidRPr="007E5741">
        <w:rPr>
          <w:rFonts w:eastAsia="Calibri" w:hint="eastAsia"/>
          <w:szCs w:val="20"/>
          <w:rtl/>
        </w:rPr>
        <w:t>על</w:t>
      </w:r>
      <w:r w:rsidRPr="007E5741">
        <w:rPr>
          <w:rFonts w:eastAsia="Calibri"/>
          <w:szCs w:val="20"/>
          <w:rtl/>
        </w:rPr>
        <w:t xml:space="preserve"> פי נתוני מינהל הדלק,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 xml:space="preserve">מהלוח ומהתרשים עולה כי בשנים 2021 - 2024 היו המחירים הממוצעים למ"ק גז במכל נייח ברשויות החרדיות נמוכים בשיעור של 5% - 40% מהמחירים הממוצעים למ"ק גז בכלל הרשויות; המחירים הממוצעים למ"ק גז ברשויות מהמגזר הערבי היו לעיתים נמוכים בשיעור של כ-8% מהמחיר הממוצע למ"ק גז בכלל הרשויות ולעיתים גבוהים בשיעורים של כ-18% - 20%. המחיר הממוצע הגבוה ביותר היה גבוה פי 3.6 מהמחיר הממוצע הנמוך ביותר בכלל הרשויות; פי 1.6 </w:t>
      </w:r>
      <w:r w:rsidRPr="007E5741">
        <w:rPr>
          <w:rFonts w:eastAsia="Calibri" w:hint="eastAsia"/>
          <w:b/>
          <w:bCs/>
          <w:rtl/>
        </w:rPr>
        <w:t>מהמחיר</w:t>
      </w:r>
      <w:r w:rsidRPr="007E5741">
        <w:rPr>
          <w:rFonts w:eastAsia="Calibri"/>
          <w:b/>
          <w:bCs/>
          <w:rtl/>
        </w:rPr>
        <w:t xml:space="preserve"> הממוצע הנמוך ביותר</w:t>
      </w:r>
      <w:r w:rsidRPr="007E5741">
        <w:rPr>
          <w:rFonts w:eastAsia="Calibri" w:hint="cs"/>
          <w:b/>
          <w:bCs/>
          <w:rtl/>
        </w:rPr>
        <w:t xml:space="preserve"> ברשויות החרדיות; ופי 1.2 מהמחיר הממוצע הנמוך ביותר ברשויות מהמגזר הערבי. חלק מהספקים הקטנים שמספקים גז לרשויות חרדיות גבו את המחירים הגבוהים ביותר.</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312"/>
        <w:rPr>
          <w:rFonts w:eastAsia="Calibri"/>
          <w:b/>
          <w:bCs/>
          <w:rtl/>
        </w:rPr>
      </w:pPr>
      <w:r w:rsidRPr="007E5741">
        <w:rPr>
          <w:rFonts w:eastAsia="Calibri" w:hint="cs"/>
          <w:b/>
          <w:bCs/>
          <w:rtl/>
        </w:rPr>
        <w:t xml:space="preserve">עוד עולה כי 10 מתוך 21 ספקי גז (כ-48%) מספקים גז לרשויות חרדיות, ו-3 מתוך 21 </w:t>
      </w:r>
      <w:r w:rsidR="00CA2309">
        <w:rPr>
          <w:rFonts w:eastAsia="Calibri"/>
          <w:b/>
          <w:bCs/>
          <w:rtl/>
        </w:rPr>
        <w:br/>
      </w:r>
      <w:r w:rsidRPr="007E5741">
        <w:rPr>
          <w:rFonts w:eastAsia="Calibri" w:hint="cs"/>
          <w:b/>
          <w:bCs/>
          <w:rtl/>
        </w:rPr>
        <w:t xml:space="preserve">(כ-14%) ספקי גז מספקים גז לרשויות מהמגזר הערבי.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rtl/>
        </w:rPr>
      </w:pPr>
      <w:r w:rsidRPr="007E5741">
        <w:rPr>
          <w:rFonts w:eastAsia="Calibri" w:hint="cs"/>
          <w:b/>
          <w:bCs/>
          <w:rtl/>
        </w:rPr>
        <w:t>מן האמור עולה כי פערי המחירים בין הרשויות החרדיות לכלל הרשויות ובין הרשויות מהמגזר הערבי לכלל הרשויות הגיעו בשנים 2021 - 2024 לעשרות אחוזים. הפער בין המחיר הממוצע הנמוך ביותר למחיר הממוצע הגבוה ביותר הגיע למאות אחוזים בכלל הרשויות ולעשרות אחוזים ברשויות חרדיות וברשויות מהמגזר הערבי. 48% - 59% מהספקים המספקים גז לכלל הרשויות מספקים גז לרשויות חרדיות, ו-14% - 29% מהספקים המספקים גז לכלל הרשויות מספקים גז לרשויות מהמגזר הערבי.</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rtl/>
        </w:rPr>
      </w:pPr>
      <w:r w:rsidRPr="007E5741">
        <w:rPr>
          <w:rFonts w:eastAsia="Calibri" w:hint="cs"/>
          <w:rtl/>
        </w:rPr>
        <w:t>בתשובתו למשרד מבקר המדינה מסר ספק גדול ד' כי המחירים הנמוכים יחסית במגזר החרדי ובמגזר הערבי הם תולדה של ריכוזיות גיאוגרפית בשילוב עם מאפייני ביקוש ייחודיים המובילים לצריכת גפ"ם ממוצעת גבוהה במידה ניכרת מזו של האוכלוסייה הכללית. היקפי צריכה אלו יוצאים יתרון לגודל המאפשר קביעת תעריף נמוך יותר עבור מ"ק גז. זאת ועוד, מגזרים אלו נהנים מכוח מיקוח קולקטיבי מובנה שאינו קיים בדרך כלל במגזר הכללי. שילוב גורמים אלו מוביל לייעול משמעותי של עלויות ההקמה, התחזוקה, האספקה והלוגיסטיקה, המגולמות בסופו של במחיר המופחת לצרכן הקצה.</w:t>
      </w:r>
    </w:p>
    <w:p w:rsidR="00A87F40" w:rsidP="002F4530">
      <w:pPr>
        <w:bidi w:val="0"/>
        <w:spacing w:after="200" w:line="276" w:lineRule="auto"/>
        <w:rPr>
          <w:rFonts w:eastAsia="Calibri"/>
          <w:b/>
          <w:bCs/>
          <w:rtl/>
        </w:rPr>
      </w:pPr>
      <w:r>
        <w:rPr>
          <w:rFonts w:eastAsia="Calibri"/>
          <w:b/>
          <w:bCs/>
          <w:rtl/>
        </w:rPr>
        <w:br w:type="page"/>
      </w:r>
    </w:p>
    <w:p w:rsidR="007E5741" w:rsidRPr="007E5741" w:rsidP="002F4530">
      <w:pPr>
        <w:spacing w:line="269" w:lineRule="auto"/>
        <w:rPr>
          <w:rFonts w:eastAsia="Calibri"/>
          <w:b/>
          <w:bCs/>
          <w:rtl/>
        </w:rPr>
      </w:pPr>
      <w:r w:rsidRPr="007E5741">
        <w:rPr>
          <w:rFonts w:eastAsia="Calibri" w:hint="cs"/>
          <w:b/>
          <w:bCs/>
          <w:rtl/>
        </w:rPr>
        <w:t xml:space="preserve">על משרד האנרגיה ורשות התחרות לבחון את פערי המחירים בין הרשויות החרדיות והרשויות מהמגזר הערבי לכלל הרשויות, בין היתר באמצעות מחקרי שוק תחומים גיאוגרפית או מחקרי שוק בקרב קבוצות שונות של לקוחות, ולבדוק כיצד אפשר לצמצם את הפערים במחירים בין המגזר החרדי והמגזר הערבי למגזר הכללי ובקרב קבוצות שונות של לקוחות. </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4"/>
        <w:rPr>
          <w:rFonts w:eastAsia="Times New Roman"/>
          <w:bCs/>
          <w:spacing w:val="40"/>
          <w:rtl/>
        </w:rPr>
      </w:pPr>
      <w:r w:rsidRPr="007E5741">
        <w:rPr>
          <w:rFonts w:eastAsia="Times New Roman" w:hint="cs"/>
          <w:bCs/>
          <w:spacing w:val="40"/>
          <w:rtl/>
        </w:rPr>
        <w:t>מקרה בוחן - פערי מחירים באותה רשות מקומית: ירושלים</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hint="cs"/>
          <w:rtl/>
        </w:rPr>
        <w:t>משרד מבקר המדינה בדק את פערי המחירים בין המחיר המזערי למחיר המרבי במכלים של 12 ק"ג ו-48 ק"ג בעיר ירושלים בשנים 2021 ו-2024. יצוין כי בעיר ירושלים יש לקוחות הצורכים גפ"ם גם לצורך הסקה ולא רק לצורך בישול, דבר המגדיל מאוד את היקף הצריכה. להלן ממצאי הבדיקה.</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5"/>
        <w:rPr>
          <w:rFonts w:eastAsia="Times New Roman"/>
          <w:spacing w:val="40"/>
          <w:rtl/>
        </w:rPr>
      </w:pPr>
      <w:r w:rsidRPr="007E5741">
        <w:rPr>
          <w:rFonts w:eastAsia="Times New Roman" w:hint="cs"/>
          <w:spacing w:val="40"/>
          <w:rtl/>
        </w:rPr>
        <w:t>מכל 12 ק"ג</w:t>
      </w:r>
    </w:p>
    <w:p w:rsidR="007E5741" w:rsidRPr="007E5741" w:rsidP="00C3124C">
      <w:pPr>
        <w:spacing w:line="240" w:lineRule="auto"/>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hint="cs"/>
          <w:rtl/>
        </w:rPr>
        <w:t>בתרשים להלן מפורטים פערי המחירים בין המחיר המזערי למחיר המרבי שדורש כל ספק עבור מכל 12 ק"ג בירושלים בשנים 2021 ו-2024.</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jc w:val="center"/>
        <w:rPr>
          <w:rFonts w:ascii="David" w:eastAsia="Calibri" w:hAnsi="David"/>
          <w:b/>
          <w:bCs/>
          <w:rtl/>
        </w:rPr>
      </w:pPr>
      <w:r w:rsidRPr="007E5741">
        <w:rPr>
          <w:rFonts w:ascii="David" w:eastAsia="Calibri" w:hAnsi="David" w:hint="eastAsia"/>
          <w:rtl/>
        </w:rPr>
        <w:t>תרשים</w:t>
      </w:r>
      <w:r w:rsidRPr="007E5741">
        <w:rPr>
          <w:rFonts w:ascii="David" w:eastAsia="Calibri" w:hAnsi="David"/>
          <w:rtl/>
        </w:rPr>
        <w:t xml:space="preserve"> 26:</w:t>
      </w:r>
      <w:r w:rsidRPr="007E5741">
        <w:rPr>
          <w:rFonts w:ascii="David" w:eastAsia="Calibri" w:hAnsi="David"/>
          <w:b/>
          <w:bCs/>
          <w:rtl/>
        </w:rPr>
        <w:t xml:space="preserve"> </w:t>
      </w:r>
      <w:r w:rsidRPr="007E5741">
        <w:rPr>
          <w:rFonts w:ascii="David" w:eastAsia="Calibri" w:hAnsi="David" w:hint="cs"/>
          <w:b/>
          <w:bCs/>
          <w:rtl/>
        </w:rPr>
        <w:t xml:space="preserve">פערי המחירים בין המחיר המזערי למחיר המרבי </w:t>
      </w:r>
    </w:p>
    <w:p w:rsidR="007E5741" w:rsidRPr="007E5741" w:rsidP="002F4530">
      <w:pPr>
        <w:keepNext/>
        <w:keepLines/>
        <w:spacing w:line="269" w:lineRule="auto"/>
        <w:jc w:val="center"/>
        <w:rPr>
          <w:rFonts w:ascii="David" w:eastAsia="Calibri" w:hAnsi="David"/>
          <w:b/>
          <w:bCs/>
          <w:rtl/>
        </w:rPr>
      </w:pPr>
      <w:r w:rsidRPr="007E5741">
        <w:rPr>
          <w:rFonts w:ascii="David" w:eastAsia="Calibri" w:hAnsi="David" w:hint="cs"/>
          <w:b/>
          <w:bCs/>
          <w:rtl/>
        </w:rPr>
        <w:t>של מכל 12 ק"ג בירושלים, 2021 (בש"ח)</w:t>
      </w:r>
    </w:p>
    <w:p w:rsidR="007E5741" w:rsidRPr="007E5741" w:rsidP="002F4530">
      <w:pPr>
        <w:spacing w:line="269" w:lineRule="auto"/>
        <w:jc w:val="center"/>
        <w:rPr>
          <w:rFonts w:ascii="David" w:eastAsia="Calibri" w:hAnsi="David"/>
          <w:szCs w:val="20"/>
          <w:rtl/>
        </w:rPr>
      </w:pPr>
      <w:r w:rsidRPr="007E5741">
        <w:rPr>
          <w:rFonts w:eastAsia="Calibri"/>
          <w:noProof/>
        </w:rPr>
        <w:drawing>
          <wp:inline distT="0" distB="0" distL="0" distR="0">
            <wp:extent cx="4998085" cy="3245485"/>
            <wp:effectExtent l="0" t="0" r="0" b="0"/>
            <wp:docPr id="26" name="תמונה 26" descr="התרשים מתאר את פערי המחירים בין המחיר המזערי למחיר המרבי של מכל 12 ק&quot;ג בירושלים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xmlns:r="http://schemas.openxmlformats.org/officeDocument/2006/relationships" r:embed="rId48"/>
                    <a:stretch>
                      <a:fillRect/>
                    </a:stretch>
                  </pic:blipFill>
                  <pic:spPr>
                    <a:xfrm>
                      <a:off x="0" y="0"/>
                      <a:ext cx="4998085" cy="3245485"/>
                    </a:xfrm>
                    <a:prstGeom prst="rect">
                      <a:avLst/>
                    </a:prstGeom>
                  </pic:spPr>
                </pic:pic>
              </a:graphicData>
            </a:graphic>
          </wp:inline>
        </w:drawing>
      </w:r>
    </w:p>
    <w:p w:rsidR="007E5741" w:rsidRPr="007E5741" w:rsidP="002F4530">
      <w:pPr>
        <w:spacing w:line="269" w:lineRule="auto"/>
        <w:rPr>
          <w:rFonts w:eastAsia="Calibri"/>
          <w:szCs w:val="20"/>
          <w:rtl/>
        </w:rPr>
      </w:pPr>
      <w:r w:rsidRPr="007E5741">
        <w:rPr>
          <w:rFonts w:ascii="David" w:eastAsia="Calibri" w:hAnsi="David" w:hint="eastAsia"/>
          <w:szCs w:val="20"/>
          <w:rtl/>
        </w:rPr>
        <w:t>ל</w:t>
      </w:r>
      <w:r w:rsidRPr="007E5741">
        <w:rPr>
          <w:rFonts w:ascii="David" w:eastAsia="Calibri" w:hAnsi="David"/>
          <w:szCs w:val="20"/>
          <w:rtl/>
        </w:rPr>
        <w:t xml:space="preserve">פי </w:t>
      </w:r>
      <w:r w:rsidRPr="007E5741">
        <w:rPr>
          <w:rFonts w:ascii="David" w:eastAsia="Calibri" w:hAnsi="David" w:hint="eastAsia"/>
          <w:szCs w:val="20"/>
          <w:rtl/>
        </w:rPr>
        <w:t>נתוני</w:t>
      </w:r>
      <w:r w:rsidRPr="007E5741">
        <w:rPr>
          <w:rFonts w:ascii="David" w:eastAsia="Calibri" w:hAnsi="David"/>
          <w:szCs w:val="20"/>
          <w:rtl/>
        </w:rPr>
        <w:t xml:space="preserve"> מינהל הדלק, בעיבוד משרד מבקר המדינה</w:t>
      </w:r>
      <w:r w:rsidRPr="007E5741">
        <w:rPr>
          <w:rFonts w:ascii="David" w:eastAsia="Calibri" w:hAnsi="David" w:hint="cs"/>
          <w:szCs w:val="20"/>
          <w:rtl/>
        </w:rPr>
        <w:t>.</w:t>
      </w:r>
    </w:p>
    <w:p w:rsidR="007E5741" w:rsidRPr="007E5741" w:rsidP="002F4530">
      <w:pPr>
        <w:keepNext/>
        <w:keepLines/>
        <w:spacing w:line="269" w:lineRule="auto"/>
        <w:jc w:val="center"/>
        <w:rPr>
          <w:rFonts w:ascii="David" w:eastAsia="Calibri" w:hAnsi="David"/>
          <w:b/>
          <w:bCs/>
          <w:rtl/>
        </w:rPr>
      </w:pPr>
      <w:r w:rsidRPr="007E5741">
        <w:rPr>
          <w:rFonts w:ascii="David" w:eastAsia="Calibri" w:hAnsi="David" w:hint="eastAsia"/>
          <w:rtl/>
        </w:rPr>
        <w:t>תרשים</w:t>
      </w:r>
      <w:r w:rsidRPr="007E5741">
        <w:rPr>
          <w:rFonts w:ascii="David" w:eastAsia="Calibri" w:hAnsi="David"/>
          <w:rtl/>
        </w:rPr>
        <w:t xml:space="preserve"> 2</w:t>
      </w:r>
      <w:r w:rsidRPr="007E5741">
        <w:rPr>
          <w:rFonts w:ascii="David" w:eastAsia="Calibri" w:hAnsi="David" w:hint="cs"/>
          <w:rtl/>
        </w:rPr>
        <w:t>7</w:t>
      </w:r>
      <w:r w:rsidRPr="007E5741">
        <w:rPr>
          <w:rFonts w:ascii="David" w:eastAsia="Calibri" w:hAnsi="David"/>
          <w:rtl/>
        </w:rPr>
        <w:t xml:space="preserve">: </w:t>
      </w:r>
      <w:r w:rsidRPr="007E5741">
        <w:rPr>
          <w:rFonts w:ascii="David" w:eastAsia="Calibri" w:hAnsi="David" w:hint="cs"/>
          <w:b/>
          <w:bCs/>
          <w:rtl/>
        </w:rPr>
        <w:t>פערי המחירים בין המחיר המזערי למחיר המרבי</w:t>
      </w:r>
    </w:p>
    <w:p w:rsidR="007E5741" w:rsidRPr="007E5741" w:rsidP="002F4530">
      <w:pPr>
        <w:keepNext/>
        <w:keepLines/>
        <w:spacing w:line="269" w:lineRule="auto"/>
        <w:jc w:val="center"/>
        <w:rPr>
          <w:rFonts w:eastAsia="Calibri"/>
          <w:szCs w:val="20"/>
          <w:rtl/>
        </w:rPr>
      </w:pPr>
      <w:r w:rsidRPr="007E5741">
        <w:rPr>
          <w:rFonts w:ascii="David" w:eastAsia="Calibri" w:hAnsi="David" w:hint="cs"/>
          <w:b/>
          <w:bCs/>
          <w:rtl/>
        </w:rPr>
        <w:t>של מכל 12 ק"ג בירושלים, 2024 (בש"ח)</w:t>
      </w:r>
    </w:p>
    <w:p w:rsidR="007E5741" w:rsidRPr="007E5741" w:rsidP="002F4530">
      <w:pPr>
        <w:spacing w:line="269" w:lineRule="auto"/>
        <w:jc w:val="center"/>
        <w:rPr>
          <w:rFonts w:ascii="David" w:eastAsia="Calibri" w:hAnsi="David"/>
          <w:szCs w:val="20"/>
          <w:rtl/>
        </w:rPr>
      </w:pPr>
      <w:r w:rsidRPr="007E5741">
        <w:rPr>
          <w:rFonts w:ascii="David" w:eastAsia="Calibri" w:hAnsi="David"/>
          <w:noProof/>
          <w:szCs w:val="20"/>
        </w:rPr>
        <w:drawing>
          <wp:inline distT="0" distB="0" distL="0" distR="0">
            <wp:extent cx="5090795" cy="2573020"/>
            <wp:effectExtent l="0" t="0" r="0" b="0"/>
            <wp:docPr id="1172507091" name="תמונה 57" descr="התרשים מתאר את פערי המחירים בין המחיר המזערי למחיר המרבי של מכל 12 ק&quot;ג בירושלים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07091" name="Picture 2"/>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090795" cy="2573020"/>
                    </a:xfrm>
                    <a:prstGeom prst="rect">
                      <a:avLst/>
                    </a:prstGeom>
                    <a:noFill/>
                  </pic:spPr>
                </pic:pic>
              </a:graphicData>
            </a:graphic>
          </wp:inline>
        </w:drawing>
      </w:r>
    </w:p>
    <w:p w:rsidR="007E5741" w:rsidRPr="007E5741" w:rsidP="002F4530">
      <w:pPr>
        <w:spacing w:line="269" w:lineRule="auto"/>
        <w:rPr>
          <w:rFonts w:eastAsia="Calibri"/>
          <w:szCs w:val="20"/>
          <w:rtl/>
        </w:rPr>
      </w:pPr>
      <w:r w:rsidRPr="007E5741">
        <w:rPr>
          <w:rFonts w:ascii="David" w:eastAsia="Calibri" w:hAnsi="David" w:hint="eastAsia"/>
          <w:szCs w:val="20"/>
          <w:rtl/>
        </w:rPr>
        <w:t>ל</w:t>
      </w:r>
      <w:r w:rsidRPr="007E5741">
        <w:rPr>
          <w:rFonts w:ascii="David" w:eastAsia="Calibri" w:hAnsi="David"/>
          <w:szCs w:val="20"/>
          <w:rtl/>
        </w:rPr>
        <w:t xml:space="preserve">פי </w:t>
      </w:r>
      <w:r w:rsidRPr="007E5741">
        <w:rPr>
          <w:rFonts w:ascii="David" w:eastAsia="Calibri" w:hAnsi="David" w:hint="eastAsia"/>
          <w:szCs w:val="20"/>
          <w:rtl/>
        </w:rPr>
        <w:t>נתוני</w:t>
      </w:r>
      <w:r w:rsidRPr="007E5741">
        <w:rPr>
          <w:rFonts w:ascii="David" w:eastAsia="Calibri" w:hAnsi="David"/>
          <w:szCs w:val="20"/>
          <w:rtl/>
        </w:rPr>
        <w:t xml:space="preserve"> מינהל הדלק,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sz w:val="24"/>
          <w:rtl/>
        </w:rPr>
      </w:pPr>
      <w:r w:rsidRPr="007E5741">
        <w:rPr>
          <w:rFonts w:eastAsia="Calibri" w:hint="cs"/>
          <w:sz w:val="24"/>
          <w:rtl/>
        </w:rPr>
        <w:t xml:space="preserve">מהתרשימים עולה כי בשנים 2021 ו-2024 נתן כל אחד מהספקים טווח של מחירים למכל 12 ק"ג ללקוחות באותה העיר - ירושלים. </w:t>
      </w:r>
      <w:r w:rsidRPr="007E5741">
        <w:rPr>
          <w:rFonts w:ascii="David" w:eastAsia="Calibri" w:hAnsi="David" w:hint="cs"/>
          <w:rtl/>
        </w:rPr>
        <w:t>פער</w:t>
      </w:r>
      <w:r w:rsidRPr="007E5741">
        <w:rPr>
          <w:rFonts w:eastAsia="Calibri" w:hint="cs"/>
          <w:sz w:val="24"/>
          <w:rtl/>
        </w:rPr>
        <w:t xml:space="preserve"> המחירים הגדול ביותר בשנת 2021 בין המחיר המזערי (77 ש"ח) למחיר המרבי (195 ש"ח) למכל 12 ק"ג בעיר היה 155% (118 ש"ח); פער המחירים הגדול ביותר בשנת 2024 בין המחיר המזערי (100 ש"ח) למחיר המרבי (238 ש"ח) למכל 12 ק"ג בעיר היה 138% (138 ש"ח)</w:t>
      </w:r>
      <w:r>
        <w:rPr>
          <w:rFonts w:eastAsia="Calibri"/>
          <w:sz w:val="24"/>
          <w:vertAlign w:val="superscript"/>
          <w:rtl/>
        </w:rPr>
        <w:footnoteReference w:id="143"/>
      </w:r>
      <w:r w:rsidRPr="007E5741">
        <w:rPr>
          <w:rFonts w:eastAsia="Calibri" w:hint="cs"/>
          <w:sz w:val="24"/>
          <w:rtl/>
        </w:rPr>
        <w:t>.</w:t>
      </w:r>
      <w:r w:rsidRPr="007E5741">
        <w:rPr>
          <w:rFonts w:ascii="David" w:eastAsia="Calibri" w:hAnsi="David" w:hint="cs"/>
          <w:sz w:val="24"/>
          <w:rtl/>
        </w:rPr>
        <w:t xml:space="preserve"> </w:t>
      </w:r>
      <w:r w:rsidRPr="007E5741">
        <w:rPr>
          <w:rFonts w:eastAsia="Calibri" w:hint="cs"/>
          <w:sz w:val="24"/>
          <w:rtl/>
        </w:rPr>
        <w:t>אצל מרבית הספקים הגיעו פערי המחירים לעשרות אחוזים, והפערים הגדולים ביותר היו אצל הספקים הגדולים.</w:t>
      </w:r>
    </w:p>
    <w:p w:rsidR="007E5741" w:rsidRPr="007E5741" w:rsidP="002F4530">
      <w:pPr>
        <w:keepNext/>
        <w:keepLines/>
        <w:spacing w:line="269" w:lineRule="auto"/>
        <w:ind w:left="-567"/>
        <w:rPr>
          <w:rFonts w:eastAsia="Calibri"/>
          <w:szCs w:val="20"/>
          <w:rtl/>
        </w:rPr>
      </w:pPr>
    </w:p>
    <w:p w:rsidR="007E5741" w:rsidP="002F4530">
      <w:pPr>
        <w:keepNext/>
        <w:keepLines/>
        <w:spacing w:line="269" w:lineRule="auto"/>
        <w:outlineLvl w:val="5"/>
        <w:rPr>
          <w:rFonts w:eastAsia="Times New Roman"/>
          <w:spacing w:val="40"/>
          <w:rtl/>
        </w:rPr>
      </w:pPr>
      <w:r w:rsidRPr="007E5741">
        <w:rPr>
          <w:rFonts w:eastAsia="Times New Roman" w:hint="cs"/>
          <w:spacing w:val="40"/>
          <w:rtl/>
        </w:rPr>
        <w:t>מכל 48 ק"ג</w:t>
      </w:r>
    </w:p>
    <w:p w:rsidR="00CA2309" w:rsidRPr="007E5741" w:rsidP="00C3124C">
      <w:pPr>
        <w:keepNext/>
        <w:keepLines/>
        <w:spacing w:line="240" w:lineRule="auto"/>
        <w:outlineLvl w:val="5"/>
        <w:rPr>
          <w:rFonts w:eastAsia="Times New Roman"/>
          <w:spacing w:val="40"/>
          <w:rtl/>
        </w:rPr>
      </w:pPr>
    </w:p>
    <w:p w:rsidR="007E5741" w:rsidRPr="007E5741" w:rsidP="002F4530">
      <w:pPr>
        <w:spacing w:line="269" w:lineRule="auto"/>
        <w:rPr>
          <w:rFonts w:eastAsia="Calibri"/>
          <w:sz w:val="24"/>
          <w:rtl/>
        </w:rPr>
      </w:pPr>
      <w:r w:rsidRPr="007E5741">
        <w:rPr>
          <w:rFonts w:eastAsia="Calibri" w:hint="cs"/>
          <w:sz w:val="24"/>
          <w:rtl/>
        </w:rPr>
        <w:t>בתרשים שלהלן מפורטים פערי המחירים בין המחיר המזערי למחיר המרבי שדורש כל ספק עבור מכל 48 ק"ג בירושלים בשנים 2021 ו-2024.</w:t>
      </w:r>
    </w:p>
    <w:p w:rsidR="007E5741" w:rsidRPr="007E5741" w:rsidP="002F4530">
      <w:pPr>
        <w:keepNext/>
        <w:keepLines/>
        <w:spacing w:line="269" w:lineRule="auto"/>
        <w:contextualSpacing/>
        <w:jc w:val="center"/>
        <w:rPr>
          <w:rFonts w:ascii="David" w:eastAsia="Calibri" w:hAnsi="David"/>
          <w:b/>
          <w:bCs/>
          <w:rtl/>
        </w:rPr>
      </w:pPr>
      <w:r w:rsidRPr="007E5741">
        <w:rPr>
          <w:rFonts w:ascii="David" w:eastAsia="Calibri" w:hAnsi="David" w:hint="eastAsia"/>
          <w:rtl/>
        </w:rPr>
        <w:t>תרשים</w:t>
      </w:r>
      <w:r w:rsidRPr="007E5741">
        <w:rPr>
          <w:rFonts w:ascii="David" w:eastAsia="Calibri" w:hAnsi="David"/>
          <w:rtl/>
        </w:rPr>
        <w:t xml:space="preserve"> 28:</w:t>
      </w:r>
      <w:r w:rsidRPr="007E5741">
        <w:rPr>
          <w:rFonts w:ascii="David" w:eastAsia="Calibri" w:hAnsi="David" w:hint="cs"/>
          <w:b/>
          <w:bCs/>
          <w:rtl/>
        </w:rPr>
        <w:t xml:space="preserve"> פערי המחירים בין המחיר המזערי למחיר המרבי במכל 48 ק"ג בירושלים, </w:t>
      </w:r>
    </w:p>
    <w:p w:rsidR="007E5741" w:rsidRPr="007E5741" w:rsidP="002F4530">
      <w:pPr>
        <w:keepNext/>
        <w:keepLines/>
        <w:spacing w:line="269" w:lineRule="auto"/>
        <w:contextualSpacing/>
        <w:jc w:val="center"/>
        <w:rPr>
          <w:rFonts w:ascii="David" w:eastAsia="Calibri" w:hAnsi="David"/>
          <w:b/>
          <w:bCs/>
          <w:rtl/>
        </w:rPr>
      </w:pPr>
      <w:r w:rsidRPr="007E5741">
        <w:rPr>
          <w:rFonts w:ascii="David" w:eastAsia="Calibri" w:hAnsi="David" w:hint="cs"/>
          <w:b/>
          <w:bCs/>
          <w:rtl/>
        </w:rPr>
        <w:t>2021 (בש"ח)</w:t>
      </w:r>
    </w:p>
    <w:p w:rsidR="007E5741" w:rsidRPr="007E5741" w:rsidP="002F4530">
      <w:pPr>
        <w:keepNext/>
        <w:keepLines/>
        <w:spacing w:line="269" w:lineRule="auto"/>
        <w:ind w:left="-567"/>
        <w:rPr>
          <w:rFonts w:eastAsia="Calibri"/>
          <w:szCs w:val="20"/>
          <w:rtl/>
        </w:rPr>
      </w:pPr>
    </w:p>
    <w:p w:rsidR="007E5741" w:rsidRPr="007E5741" w:rsidP="00C3124C">
      <w:pPr>
        <w:spacing w:line="269" w:lineRule="auto"/>
        <w:jc w:val="center"/>
        <w:rPr>
          <w:rFonts w:eastAsia="Calibri"/>
          <w:szCs w:val="20"/>
          <w:rtl/>
        </w:rPr>
      </w:pPr>
      <w:r w:rsidRPr="007E5741">
        <w:rPr>
          <w:rFonts w:eastAsia="Calibri"/>
          <w:noProof/>
        </w:rPr>
        <w:drawing>
          <wp:inline distT="0" distB="0" distL="0" distR="0">
            <wp:extent cx="4540885" cy="3048000"/>
            <wp:effectExtent l="0" t="0" r="0" b="0"/>
            <wp:docPr id="50" name="תמונה 50" descr="התרשים מתאר את פערי המחירים בין המחיר המזערי למחיר המרבי של מכל 48 ק&quot;ג בירושלים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50"/>
                    <a:stretch>
                      <a:fillRect/>
                    </a:stretch>
                  </pic:blipFill>
                  <pic:spPr>
                    <a:xfrm>
                      <a:off x="0" y="0"/>
                      <a:ext cx="4540885" cy="3048000"/>
                    </a:xfrm>
                    <a:prstGeom prst="rect">
                      <a:avLst/>
                    </a:prstGeom>
                  </pic:spPr>
                </pic:pic>
              </a:graphicData>
            </a:graphic>
          </wp:inline>
        </w:drawing>
      </w:r>
    </w:p>
    <w:p w:rsidR="007E5741" w:rsidRPr="007E5741" w:rsidP="002F4530">
      <w:pPr>
        <w:spacing w:line="269" w:lineRule="auto"/>
        <w:rPr>
          <w:rFonts w:eastAsia="Calibri"/>
          <w:szCs w:val="20"/>
          <w:rtl/>
        </w:rPr>
      </w:pPr>
      <w:r w:rsidRPr="007E5741">
        <w:rPr>
          <w:rFonts w:eastAsia="Calibri" w:hint="eastAsia"/>
          <w:szCs w:val="20"/>
          <w:rtl/>
        </w:rPr>
        <w:t>על</w:t>
      </w:r>
      <w:r w:rsidRPr="007E5741">
        <w:rPr>
          <w:rFonts w:eastAsia="Calibri"/>
          <w:szCs w:val="20"/>
          <w:rtl/>
        </w:rPr>
        <w:t xml:space="preserve"> פי </w:t>
      </w:r>
      <w:r w:rsidRPr="007E5741">
        <w:rPr>
          <w:rFonts w:eastAsia="Calibri" w:hint="eastAsia"/>
          <w:szCs w:val="20"/>
          <w:rtl/>
        </w:rPr>
        <w:t>נתוני</w:t>
      </w:r>
      <w:r w:rsidRPr="007E5741">
        <w:rPr>
          <w:rFonts w:eastAsia="Calibri"/>
          <w:szCs w:val="20"/>
          <w:rtl/>
        </w:rPr>
        <w:t xml:space="preserve"> מינהל הדלק, בעיבוד משרד מבקר המדינה.</w:t>
      </w:r>
    </w:p>
    <w:p w:rsidR="007E5741" w:rsidRPr="007E5741" w:rsidP="002F4530">
      <w:pPr>
        <w:spacing w:line="269" w:lineRule="auto"/>
        <w:rPr>
          <w:rFonts w:eastAsia="Calibri"/>
          <w:szCs w:val="20"/>
          <w:rtl/>
        </w:rPr>
      </w:pPr>
      <w:r w:rsidRPr="007E5741">
        <w:rPr>
          <w:rFonts w:eastAsia="Calibri"/>
          <w:szCs w:val="20"/>
          <w:rtl/>
        </w:rPr>
        <w:t>*</w:t>
      </w:r>
      <w:r w:rsidRPr="007E5741">
        <w:rPr>
          <w:rFonts w:eastAsia="Calibri" w:hint="cs"/>
          <w:szCs w:val="20"/>
          <w:rtl/>
        </w:rPr>
        <w:t xml:space="preserve"> ה</w:t>
      </w:r>
      <w:r w:rsidRPr="007E5741">
        <w:rPr>
          <w:rFonts w:eastAsia="Calibri" w:hint="eastAsia"/>
          <w:szCs w:val="20"/>
          <w:rtl/>
        </w:rPr>
        <w:t>מחיר</w:t>
      </w:r>
      <w:r w:rsidRPr="007E5741">
        <w:rPr>
          <w:rFonts w:eastAsia="Calibri"/>
          <w:szCs w:val="20"/>
          <w:rtl/>
        </w:rPr>
        <w:t xml:space="preserve"> ה</w:t>
      </w:r>
      <w:r w:rsidRPr="007E5741">
        <w:rPr>
          <w:rFonts w:eastAsia="Calibri" w:hint="cs"/>
          <w:szCs w:val="20"/>
          <w:rtl/>
        </w:rPr>
        <w:t>מזערי</w:t>
      </w:r>
      <w:r w:rsidRPr="007E5741">
        <w:rPr>
          <w:rFonts w:eastAsia="Calibri"/>
          <w:szCs w:val="20"/>
          <w:rtl/>
        </w:rPr>
        <w:t xml:space="preserve"> ו</w:t>
      </w:r>
      <w:r w:rsidRPr="007E5741">
        <w:rPr>
          <w:rFonts w:eastAsia="Calibri" w:hint="cs"/>
          <w:szCs w:val="20"/>
          <w:rtl/>
        </w:rPr>
        <w:t>ה</w:t>
      </w:r>
      <w:r w:rsidRPr="007E5741">
        <w:rPr>
          <w:rFonts w:eastAsia="Calibri"/>
          <w:szCs w:val="20"/>
          <w:rtl/>
        </w:rPr>
        <w:t>מחיר המ</w:t>
      </w:r>
      <w:r w:rsidRPr="007E5741">
        <w:rPr>
          <w:rFonts w:eastAsia="Calibri" w:hint="cs"/>
          <w:szCs w:val="20"/>
          <w:rtl/>
        </w:rPr>
        <w:t>רבי</w:t>
      </w:r>
      <w:r w:rsidRPr="007E5741">
        <w:rPr>
          <w:rFonts w:eastAsia="Calibri"/>
          <w:szCs w:val="20"/>
          <w:rtl/>
        </w:rPr>
        <w:t xml:space="preserve"> של </w:t>
      </w:r>
      <w:r w:rsidRPr="007E5741">
        <w:rPr>
          <w:rFonts w:eastAsia="Calibri" w:hint="cs"/>
          <w:szCs w:val="20"/>
          <w:rtl/>
        </w:rPr>
        <w:t xml:space="preserve">ספק קטן </w:t>
      </w:r>
      <w:r w:rsidRPr="007E5741">
        <w:rPr>
          <w:rFonts w:eastAsia="Calibri"/>
          <w:szCs w:val="20"/>
        </w:rPr>
        <w:t>d</w:t>
      </w:r>
      <w:r w:rsidRPr="007E5741">
        <w:rPr>
          <w:rFonts w:eastAsia="Calibri"/>
          <w:szCs w:val="20"/>
          <w:rtl/>
        </w:rPr>
        <w:t xml:space="preserve"> הוא זהה (400 ש"ח).</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jc w:val="center"/>
        <w:rPr>
          <w:rFonts w:ascii="David" w:eastAsia="Calibri" w:hAnsi="David"/>
          <w:b/>
          <w:bCs/>
          <w:rtl/>
        </w:rPr>
      </w:pPr>
      <w:r w:rsidRPr="007E5741">
        <w:rPr>
          <w:rFonts w:ascii="David" w:eastAsia="Calibri" w:hAnsi="David" w:hint="eastAsia"/>
          <w:rtl/>
        </w:rPr>
        <w:t>תרשים</w:t>
      </w:r>
      <w:r w:rsidRPr="007E5741">
        <w:rPr>
          <w:rFonts w:ascii="David" w:eastAsia="Calibri" w:hAnsi="David"/>
          <w:rtl/>
        </w:rPr>
        <w:t xml:space="preserve"> 2</w:t>
      </w:r>
      <w:r w:rsidRPr="007E5741">
        <w:rPr>
          <w:rFonts w:ascii="David" w:eastAsia="Calibri" w:hAnsi="David" w:hint="cs"/>
          <w:rtl/>
        </w:rPr>
        <w:t>9</w:t>
      </w:r>
      <w:r w:rsidRPr="007E5741">
        <w:rPr>
          <w:rFonts w:ascii="David" w:eastAsia="Calibri" w:hAnsi="David"/>
          <w:rtl/>
        </w:rPr>
        <w:t>:</w:t>
      </w:r>
      <w:r w:rsidRPr="007E5741">
        <w:rPr>
          <w:rFonts w:ascii="David" w:eastAsia="Calibri" w:hAnsi="David" w:hint="cs"/>
          <w:b/>
          <w:bCs/>
          <w:rtl/>
        </w:rPr>
        <w:t xml:space="preserve"> פערי המחירים בין המחיר המזערי למחיר המרבי במכל 48 ק"ג בירושלים,</w:t>
      </w:r>
    </w:p>
    <w:p w:rsidR="007E5741" w:rsidRPr="007E5741" w:rsidP="002F4530">
      <w:pPr>
        <w:keepNext/>
        <w:keepLines/>
        <w:spacing w:line="269" w:lineRule="auto"/>
        <w:jc w:val="center"/>
        <w:rPr>
          <w:rFonts w:ascii="David" w:eastAsia="Calibri" w:hAnsi="David"/>
          <w:b/>
          <w:bCs/>
          <w:rtl/>
        </w:rPr>
      </w:pPr>
      <w:r w:rsidRPr="007E5741">
        <w:rPr>
          <w:rFonts w:ascii="David" w:eastAsia="Calibri" w:hAnsi="David" w:hint="cs"/>
          <w:b/>
          <w:bCs/>
          <w:rtl/>
        </w:rPr>
        <w:t>2024 (בש"ח)</w:t>
      </w:r>
    </w:p>
    <w:p w:rsidR="007E5741" w:rsidRPr="007E5741" w:rsidP="002F4530">
      <w:pPr>
        <w:spacing w:line="269" w:lineRule="auto"/>
        <w:jc w:val="center"/>
        <w:rPr>
          <w:rFonts w:eastAsia="Calibri"/>
          <w:szCs w:val="20"/>
          <w:rtl/>
        </w:rPr>
      </w:pPr>
      <w:r w:rsidRPr="007E5741">
        <w:rPr>
          <w:rFonts w:eastAsia="Calibri"/>
          <w:noProof/>
        </w:rPr>
        <w:drawing>
          <wp:inline distT="0" distB="0" distL="0" distR="0">
            <wp:extent cx="5220335" cy="2691765"/>
            <wp:effectExtent l="0" t="0" r="0" b="0"/>
            <wp:docPr id="75" name="תמונה 75" descr="התרשים מתאר את פערי המחירים בין המחיר המזערי למחיר המרבי של מכל 48 ק&quot;ג בירושלים בשנת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
                    <pic:cNvPicPr/>
                  </pic:nvPicPr>
                  <pic:blipFill>
                    <a:blip xmlns:r="http://schemas.openxmlformats.org/officeDocument/2006/relationships" r:embed="rId51"/>
                    <a:stretch>
                      <a:fillRect/>
                    </a:stretch>
                  </pic:blipFill>
                  <pic:spPr>
                    <a:xfrm>
                      <a:off x="0" y="0"/>
                      <a:ext cx="5220335" cy="2691765"/>
                    </a:xfrm>
                    <a:prstGeom prst="rect">
                      <a:avLst/>
                    </a:prstGeom>
                  </pic:spPr>
                </pic:pic>
              </a:graphicData>
            </a:graphic>
          </wp:inline>
        </w:drawing>
      </w:r>
    </w:p>
    <w:p w:rsidR="007E5741" w:rsidRPr="007E5741" w:rsidP="002F4530">
      <w:pPr>
        <w:spacing w:line="269" w:lineRule="auto"/>
        <w:rPr>
          <w:rFonts w:eastAsia="Calibri"/>
          <w:szCs w:val="20"/>
          <w:rtl/>
        </w:rPr>
      </w:pPr>
      <w:r w:rsidRPr="007E5741">
        <w:rPr>
          <w:rFonts w:eastAsia="Calibri" w:hint="eastAsia"/>
          <w:szCs w:val="20"/>
          <w:rtl/>
        </w:rPr>
        <w:t>על</w:t>
      </w:r>
      <w:r w:rsidRPr="007E5741">
        <w:rPr>
          <w:rFonts w:eastAsia="Calibri"/>
          <w:szCs w:val="20"/>
          <w:rtl/>
        </w:rPr>
        <w:t xml:space="preserve"> פי </w:t>
      </w:r>
      <w:r w:rsidRPr="007E5741">
        <w:rPr>
          <w:rFonts w:eastAsia="Calibri" w:hint="eastAsia"/>
          <w:szCs w:val="20"/>
          <w:rtl/>
        </w:rPr>
        <w:t>נתוני</w:t>
      </w:r>
      <w:r w:rsidRPr="007E5741">
        <w:rPr>
          <w:rFonts w:eastAsia="Calibri"/>
          <w:szCs w:val="20"/>
          <w:rtl/>
        </w:rPr>
        <w:t xml:space="preserve"> מינהל הדלק,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sz w:val="24"/>
          <w:rtl/>
        </w:rPr>
      </w:pPr>
      <w:r w:rsidRPr="007E5741">
        <w:rPr>
          <w:rFonts w:eastAsia="Calibri" w:hint="cs"/>
          <w:sz w:val="24"/>
          <w:rtl/>
        </w:rPr>
        <w:t>מהתרשימים עולה כי בשנים 2021 ו-2024 נתן כל אחד מהספקים טווח של מחירים למכל 48 ק"ג ללקוחות באותה העיר - ירושלים. פער המחירים הגדול ביותר בשנת 2021 בין המחיר המזערי (364 ש"ח) למחיר המרבי (684 ש"ח) למכל 48 ק"ג בעיר היה 88% (320 ש"ח); פער המחירים הגדול ביותר בשנת 2024 בין המחיר המזערי (300 ש"ח) למחיר המרבי (660 ש"ח) למכל 48 ק"ג בעיר היה 120% (360 ש"ח). אצל מרבית הספקים הגיעו פערי המחירים לעשרות אחוזים, והפערים הגדולים ביותר היו אצל ארבעת הספקים הגדולים.</w:t>
      </w:r>
    </w:p>
    <w:p w:rsidR="007E5741" w:rsidRPr="007E5741" w:rsidP="002F4530">
      <w:pPr>
        <w:spacing w:line="269" w:lineRule="auto"/>
        <w:rPr>
          <w:rFonts w:eastAsia="Calibri"/>
          <w:b/>
          <w:bCs/>
          <w:sz w:val="24"/>
          <w:rtl/>
        </w:rPr>
      </w:pPr>
      <w:r w:rsidRPr="007E5741">
        <w:rPr>
          <w:rFonts w:eastAsia="Calibri" w:hint="cs"/>
          <w:b/>
          <w:bCs/>
          <w:sz w:val="24"/>
          <w:rtl/>
        </w:rPr>
        <w:t>מן האמור עולה כי בשנים 2021 ו-2024 נתן כל אחד מהספקים טווח של מחירים למכלים של 12 ק"ג ו-48 ק"ג ללקוחות בירושלים.</w:t>
      </w:r>
      <w:r w:rsidRPr="007E5741">
        <w:rPr>
          <w:rFonts w:eastAsia="Calibri" w:hint="cs"/>
          <w:sz w:val="24"/>
          <w:rtl/>
        </w:rPr>
        <w:t xml:space="preserve"> </w:t>
      </w:r>
      <w:r w:rsidRPr="007E5741">
        <w:rPr>
          <w:rFonts w:eastAsia="Calibri" w:hint="cs"/>
          <w:b/>
          <w:bCs/>
          <w:sz w:val="24"/>
          <w:rtl/>
        </w:rPr>
        <w:t>פערי המחירים במכלים של 12 ק"ג ו-48 ק"ג בעיר היו גבוהים והגיעו למאות אחוזים (138% - 155% במכל 12 ק"ג ו-88% - 120% במכל 48 ק"ג). פערי המחירים הגבוהים ביותר היו אצל הספקים הגדולים.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sz w:val="24"/>
          <w:rtl/>
        </w:rPr>
      </w:pPr>
      <w:r w:rsidRPr="007E5741">
        <w:rPr>
          <w:rFonts w:eastAsia="Calibri" w:hint="cs"/>
          <w:b/>
          <w:bCs/>
          <w:sz w:val="24"/>
          <w:rtl/>
        </w:rPr>
        <w:t xml:space="preserve">מאחר שלמינהל הדלק אין נתונים על התפלגות המחירים בין השכונות בירושלים, אין ביכולתו לפלח את מחירי הגפ"ם בשכונות העיר ולבחון באילו מהן הצרכנים משלמים מחירים גבוהים יותר. הדבר פוגע בצרכנים מאחר שאינם יכולים לבחון את מחירי הגפ"ם בשכונה שהם מתגוררים בה. המחיר המצוין באתר משרד האנרגיה (ראו להלן) הוא המחיר הממוצע בירושלים, והוא אינו משקף את המחיר בכל שכונה ושכונה בעיר.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sz w:val="24"/>
          <w:rtl/>
        </w:rPr>
      </w:pPr>
      <w:r w:rsidRPr="007E5741">
        <w:rPr>
          <w:rFonts w:eastAsia="Calibri" w:hint="cs"/>
          <w:sz w:val="24"/>
          <w:rtl/>
        </w:rPr>
        <w:t xml:space="preserve">בתשובתו למשרד מבקר המדינה מסר ספק גדול </w:t>
      </w:r>
      <w:r w:rsidRPr="007E5741">
        <w:rPr>
          <w:rFonts w:eastAsia="Calibri" w:hint="cs"/>
          <w:sz w:val="24"/>
        </w:rPr>
        <w:t>A</w:t>
      </w:r>
      <w:r w:rsidRPr="007E5741">
        <w:rPr>
          <w:rFonts w:eastAsia="Calibri" w:hint="cs"/>
          <w:sz w:val="24"/>
          <w:rtl/>
        </w:rPr>
        <w:t xml:space="preserve"> כי לאור הבדלי הטמפרטורה בירושלים והשימושים השונים באזורים קרים (בישול והסקה לעומת בישול בלבד), הצריכה באזורים אלה גדולה פי כמה. דבר זה מוביל לתחרות עזה ולמחירים נמוכים יותר.</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sz w:val="24"/>
          <w:rtl/>
        </w:rPr>
      </w:pPr>
      <w:r w:rsidRPr="007E5741">
        <w:rPr>
          <w:rFonts w:eastAsia="Calibri" w:hint="cs"/>
          <w:sz w:val="24"/>
          <w:rtl/>
        </w:rPr>
        <w:t xml:space="preserve">בתשובתו למשרד מבקר המדינה מסר ספק גדול </w:t>
      </w:r>
      <w:r w:rsidRPr="007E5741">
        <w:rPr>
          <w:rFonts w:eastAsia="Calibri" w:hint="cs"/>
          <w:sz w:val="24"/>
        </w:rPr>
        <w:t>D</w:t>
      </w:r>
      <w:r w:rsidRPr="007E5741">
        <w:rPr>
          <w:rFonts w:eastAsia="Calibri" w:hint="cs"/>
          <w:sz w:val="24"/>
          <w:rtl/>
        </w:rPr>
        <w:t xml:space="preserve"> כי המחיר המזערי והמחיר המרבי עשויים לשקף שונות ממשית במאפייני השירות והאספקה, ולא בהכרח פער בלתי מוסבר או תמחור שרירות. כך, למשל, קיימים הבדלים תפעוליים והנדסיים מהותיים בין בניינים חדשים לבניינים ישנים. בבניינים ישנים נדרשות לעתים השקעות תחזוקה גבוהות יותר. נוסף על כך קיימים הבדלים מובהקים בין לקוחות המשתמשים בגפ"ם לצורכי בישול בלבד לבין לקוחות המפעילים מערכת הסקה, ומאופיינים בצריכה גבוהה, עונתית ומרוכזת יותר, המחייבת היערכות לוגיסטית ותפעולית שונה.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sz w:val="24"/>
          <w:rtl/>
        </w:rPr>
      </w:pPr>
      <w:r w:rsidRPr="007E5741">
        <w:rPr>
          <w:rFonts w:eastAsia="Calibri" w:hint="cs"/>
          <w:sz w:val="24"/>
          <w:rtl/>
        </w:rPr>
        <w:t xml:space="preserve">בתשובתו למשרד מבקר המדינה מסר ספק גדול </w:t>
      </w:r>
      <w:r w:rsidRPr="007E5741">
        <w:rPr>
          <w:rFonts w:eastAsia="Calibri" w:hint="cs"/>
          <w:sz w:val="24"/>
        </w:rPr>
        <w:t>C</w:t>
      </w:r>
      <w:r w:rsidRPr="007E5741">
        <w:rPr>
          <w:rFonts w:eastAsia="Calibri" w:hint="cs"/>
          <w:sz w:val="24"/>
          <w:rtl/>
        </w:rPr>
        <w:t xml:space="preserve"> כי מערכות המידע שלו אינן מנהלות נתונים בפילוח שכונתי. יישום הדרישה יחייב את הספק בהשקעת משאבים נוספים בפיתוח ובהתאמה של מערכותיו. זאת ועוד, בהיעדר הגדרה אחידה לגבולות שכונות, הפקת נתונים על בסיס שכונתי עלולה לפגוע בהשוואה בין הדיווחים ואף ליצור אי-דיוקים.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sz w:val="24"/>
          <w:rtl/>
        </w:rPr>
      </w:pPr>
      <w:r w:rsidRPr="007E5741">
        <w:rPr>
          <w:rFonts w:eastAsia="Calibri" w:hint="cs"/>
          <w:sz w:val="24"/>
          <w:rtl/>
        </w:rPr>
        <w:t xml:space="preserve">בתשובתו למשרד מבקר המדינה מסר ספק גדול </w:t>
      </w:r>
      <w:r w:rsidRPr="007E5741">
        <w:rPr>
          <w:rFonts w:eastAsia="Calibri" w:hint="cs"/>
          <w:sz w:val="24"/>
        </w:rPr>
        <w:t>B</w:t>
      </w:r>
      <w:r w:rsidRPr="007E5741">
        <w:rPr>
          <w:rFonts w:eastAsia="Calibri" w:hint="cs"/>
          <w:sz w:val="24"/>
          <w:rtl/>
        </w:rPr>
        <w:t xml:space="preserve"> כי היעדר ירידה במחירי גז באמצעות מכלים מיטלטלים נובע מבחירה מודעת של ספקי הגז - גדולים וקטנים כאחד - שלא להשקיע משאבים מוגברים בנתח שוק זה, בשל תשתיות ישנות והיקפי צריכה נמוכים. המצב משקף את רמת התחרות והמחירים הריאליים בשוק. עוד מסר ספק גדול </w:t>
      </w:r>
      <w:r w:rsidRPr="007E5741">
        <w:rPr>
          <w:rFonts w:eastAsia="Calibri" w:hint="cs"/>
          <w:sz w:val="24"/>
        </w:rPr>
        <w:t>B</w:t>
      </w:r>
      <w:r w:rsidRPr="007E5741">
        <w:rPr>
          <w:rFonts w:eastAsia="Calibri" w:hint="cs"/>
          <w:sz w:val="24"/>
          <w:rtl/>
        </w:rPr>
        <w:t xml:space="preserve"> כי תמחור דיפרנציאלי הוא תופעה טבעית בשוק תחרותי, הנובעת בין היתר מהבדלים בנתוני הצריכה, במאפייני התשתית, ברמת השירות הנדרשת, בסיכוני הגבייה ובהיקף המאמץ התפעולי הנדרש. בה בעת הוא משקף תחרות על לקוחות ותגמול לצרכנים הפועלים באופן מודע ומשווים מחירים.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sz w:val="24"/>
          <w:rtl/>
        </w:rPr>
      </w:pPr>
      <w:r w:rsidRPr="007E5741">
        <w:rPr>
          <w:rFonts w:eastAsia="Calibri" w:hint="cs"/>
          <w:sz w:val="24"/>
          <w:rtl/>
        </w:rPr>
        <w:t>בתשובתו למשרד מבקר המדינה מסר משרד האנרגיה כי הצגת הנתונים לפי פילוח שכונתי היא הכבדה משמעותית ולא מידתית על ספקי הגז, שהתועלת ממנה מזערית. במסגרת הצעדים שנוקט משרד האנרגיה להגברת התחרות החל המשרד לפרסם מדי חודש נתונים רלוונטיים שיאפשרו לצרכן להוזיל את המחיר.</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rtl/>
        </w:rPr>
      </w:pPr>
      <w:r w:rsidRPr="007E5741">
        <w:rPr>
          <w:rFonts w:eastAsia="Calibri" w:hint="cs"/>
          <w:b/>
          <w:bCs/>
          <w:rtl/>
        </w:rPr>
        <w:t xml:space="preserve">משרד מבקר המדינה מציין כי בכל הנוגע לערים גדולות כירושלים ותל אביב, שבהן יש מאות אלפים ועד מיליון תושבים, או מועצות אזוריות שיש בהן יישובים רבים בעלי מאפיינים שונים, הבאת נתון כללי של מחירי הגפ"ם בנוגע לכל העיר או המועצה האזורית, ללא פילוח לפי שכונות, עשויה </w:t>
      </w:r>
      <w:r w:rsidRPr="007E5741">
        <w:rPr>
          <w:rFonts w:eastAsia="Calibri" w:hint="eastAsia"/>
          <w:b/>
          <w:bCs/>
          <w:rtl/>
        </w:rPr>
        <w:t>ל</w:t>
      </w:r>
      <w:r w:rsidRPr="007E5741">
        <w:rPr>
          <w:rFonts w:eastAsia="Calibri" w:hint="cs"/>
          <w:b/>
          <w:bCs/>
          <w:rtl/>
        </w:rPr>
        <w:t>פגום ביכולת</w:t>
      </w:r>
      <w:r w:rsidRPr="007E5741">
        <w:rPr>
          <w:rFonts w:eastAsia="Calibri"/>
          <w:b/>
          <w:bCs/>
          <w:rtl/>
        </w:rPr>
        <w:t xml:space="preserve"> </w:t>
      </w:r>
      <w:r w:rsidRPr="007E5741">
        <w:rPr>
          <w:rFonts w:eastAsia="Calibri" w:hint="cs"/>
          <w:b/>
          <w:bCs/>
          <w:rtl/>
        </w:rPr>
        <w:t>ה</w:t>
      </w:r>
      <w:r w:rsidRPr="007E5741">
        <w:rPr>
          <w:rFonts w:eastAsia="Calibri" w:hint="eastAsia"/>
          <w:b/>
          <w:bCs/>
          <w:rtl/>
        </w:rPr>
        <w:t>צרכנים</w:t>
      </w:r>
      <w:r w:rsidRPr="007E5741">
        <w:rPr>
          <w:rFonts w:eastAsia="Calibri"/>
          <w:b/>
          <w:bCs/>
          <w:rtl/>
        </w:rPr>
        <w:t xml:space="preserve"> </w:t>
      </w:r>
      <w:r w:rsidRPr="007E5741">
        <w:rPr>
          <w:rFonts w:eastAsia="Calibri" w:hint="cs"/>
          <w:b/>
          <w:bCs/>
          <w:rtl/>
        </w:rPr>
        <w:t>לבחון את מחירי השוק ולקבל החלטה מושכלת בדבר ספק גז.</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sz w:val="24"/>
          <w:rtl/>
        </w:rPr>
      </w:pPr>
      <w:r w:rsidRPr="007E5741">
        <w:rPr>
          <w:rFonts w:eastAsia="Calibri" w:hint="cs"/>
          <w:b/>
          <w:bCs/>
          <w:sz w:val="24"/>
          <w:rtl/>
        </w:rPr>
        <w:t>מומלץ למשרד האנרגיה לפלח את השכונות בערים גדולות וברשויות מקומיות, בייחוד ברשויות שיש בהן אוכלוסיות בעלות מאפיינים שונים, כגון ירושלים ותל אביב ורשויות מקומיות גדולות, ולבחון עם רשות התחרות מה הם החסמים לתחרות וכיצד אפשר להגביר את התחרות במקטע השיווק בערים גדולות</w:t>
      </w:r>
      <w:r w:rsidRPr="007E5741">
        <w:rPr>
          <w:rFonts w:eastAsia="Calibri"/>
          <w:rtl/>
        </w:rPr>
        <w:t xml:space="preserve"> </w:t>
      </w:r>
      <w:r w:rsidRPr="007E5741">
        <w:rPr>
          <w:rFonts w:eastAsia="Calibri"/>
          <w:b/>
          <w:bCs/>
          <w:sz w:val="24"/>
          <w:rtl/>
        </w:rPr>
        <w:t xml:space="preserve">ואף </w:t>
      </w:r>
      <w:r w:rsidRPr="007E5741">
        <w:rPr>
          <w:rFonts w:eastAsia="Calibri" w:hint="cs"/>
          <w:b/>
          <w:bCs/>
          <w:sz w:val="24"/>
          <w:rtl/>
        </w:rPr>
        <w:t>לשקול להציג את</w:t>
      </w:r>
      <w:r w:rsidRPr="007E5741">
        <w:rPr>
          <w:rFonts w:eastAsia="Calibri"/>
          <w:b/>
          <w:bCs/>
          <w:sz w:val="24"/>
          <w:rtl/>
        </w:rPr>
        <w:t xml:space="preserve"> מחיר</w:t>
      </w:r>
      <w:r w:rsidRPr="007E5741">
        <w:rPr>
          <w:rFonts w:eastAsia="Calibri" w:hint="cs"/>
          <w:b/>
          <w:bCs/>
          <w:sz w:val="24"/>
          <w:rtl/>
        </w:rPr>
        <w:t xml:space="preserve">י הגפ"ם </w:t>
      </w:r>
      <w:r w:rsidRPr="007E5741">
        <w:rPr>
          <w:rFonts w:eastAsia="Calibri"/>
          <w:b/>
          <w:bCs/>
          <w:sz w:val="24"/>
          <w:rtl/>
        </w:rPr>
        <w:t>לפי שכונות</w:t>
      </w:r>
      <w:r w:rsidRPr="007E5741">
        <w:rPr>
          <w:rFonts w:eastAsia="Calibri" w:hint="cs"/>
          <w:b/>
          <w:bCs/>
          <w:sz w:val="24"/>
          <w:rtl/>
        </w:rPr>
        <w:t xml:space="preserve"> ולפי יישובים. כל זאת </w:t>
      </w:r>
      <w:r w:rsidRPr="007E5741">
        <w:rPr>
          <w:rFonts w:eastAsia="Calibri" w:hint="cs"/>
          <w:b/>
          <w:bCs/>
          <w:sz w:val="24"/>
          <w:rtl/>
        </w:rPr>
        <w:t>באופן שלא יכביד באופן ממשי על ספקי הגז, ויהיה בו תועלת לציבור הצרכנים ובהתחשב בהיתכנות הטכנית ובישימות התפעולית.</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sz w:val="24"/>
          <w:rtl/>
        </w:rPr>
      </w:pPr>
      <w:r w:rsidRPr="007E5741">
        <w:rPr>
          <w:rFonts w:eastAsia="Calibri" w:hint="cs"/>
          <w:sz w:val="24"/>
          <w:rtl/>
        </w:rPr>
        <w:t>משרד האנרגיה מסר בתשובתו כי באפריל 2026, לאחר מועד סיום הביקורת, הוא פרסם את תוכניתו להפחתת מחירי הגפ"ם במגזר הביתי</w:t>
      </w:r>
      <w:r>
        <w:rPr>
          <w:rFonts w:eastAsia="Calibri"/>
          <w:sz w:val="24"/>
          <w:vertAlign w:val="superscript"/>
          <w:rtl/>
        </w:rPr>
        <w:footnoteReference w:id="144"/>
      </w:r>
      <w:r w:rsidRPr="007E5741">
        <w:rPr>
          <w:rFonts w:eastAsia="Calibri" w:hint="cs"/>
          <w:sz w:val="24"/>
          <w:rtl/>
        </w:rPr>
        <w:t>. התוכנית פורסמה לאחר שפרסם בדצמבר 2025 לקבלת הערות הציבור קול קורא בעניין הפחתת הריכוזיות והגברת התחרות במשק הגפ"ם הביתי ולאחר שהתקבלו הערות הציבור בעניין. התוכנית כוללת צעדים שבכוונת המשרד לנקוט, ובכלל זה קביעת מחיר לצרכן לתקופה של שנה לכל הפחות</w:t>
      </w:r>
      <w:r>
        <w:rPr>
          <w:rFonts w:eastAsia="Calibri"/>
          <w:sz w:val="24"/>
          <w:vertAlign w:val="superscript"/>
          <w:rtl/>
        </w:rPr>
        <w:footnoteReference w:id="145"/>
      </w:r>
      <w:r w:rsidRPr="007E5741">
        <w:rPr>
          <w:rFonts w:eastAsia="Calibri" w:hint="cs"/>
          <w:sz w:val="24"/>
          <w:rtl/>
        </w:rPr>
        <w:t>, חובת הודעה מוקדמת בכתב על שינוי המחיר לצרכן, מחשבון השוואת מחירים, פרסום סקר מחירים ברשויות ומסע הסברה לציבור הצרכנים.</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4"/>
        <w:rPr>
          <w:rFonts w:eastAsia="Times New Roman"/>
          <w:bCs/>
          <w:spacing w:val="40"/>
          <w:rtl/>
        </w:rPr>
      </w:pPr>
      <w:r w:rsidRPr="007E5741">
        <w:rPr>
          <w:rFonts w:eastAsia="Times New Roman"/>
          <w:bCs/>
          <w:spacing w:val="40"/>
          <w:rtl/>
        </w:rPr>
        <w:t>השוואת מחירי גפ"ם</w:t>
      </w:r>
      <w:r w:rsidRPr="007E5741">
        <w:rPr>
          <w:rFonts w:eastAsia="Times New Roman" w:hint="cs"/>
          <w:bCs/>
          <w:spacing w:val="40"/>
          <w:rtl/>
        </w:rPr>
        <w:t xml:space="preserve"> באתר משרד האנרגיה</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rtl/>
        </w:rPr>
        <w:t>בשנת 2016</w:t>
      </w:r>
      <w:r w:rsidRPr="007E5741">
        <w:rPr>
          <w:rFonts w:ascii="David" w:eastAsia="Calibri" w:hAnsi="David" w:hint="cs"/>
          <w:rtl/>
        </w:rPr>
        <w:t xml:space="preserve"> החל </w:t>
      </w:r>
      <w:r w:rsidRPr="007E5741">
        <w:rPr>
          <w:rFonts w:ascii="David" w:eastAsia="Calibri" w:hAnsi="David"/>
          <w:rtl/>
        </w:rPr>
        <w:t>משרד האנרגיה</w:t>
      </w:r>
      <w:r w:rsidRPr="007E5741">
        <w:rPr>
          <w:rFonts w:ascii="David" w:eastAsia="Calibri" w:hAnsi="David" w:hint="cs"/>
          <w:rtl/>
        </w:rPr>
        <w:t xml:space="preserve"> ל</w:t>
      </w:r>
      <w:r w:rsidRPr="007E5741">
        <w:rPr>
          <w:rFonts w:ascii="David" w:eastAsia="Calibri" w:hAnsi="David"/>
          <w:rtl/>
        </w:rPr>
        <w:t xml:space="preserve">פרסם באתר </w:t>
      </w:r>
      <w:r w:rsidRPr="007E5741">
        <w:rPr>
          <w:rFonts w:ascii="David" w:eastAsia="Calibri" w:hAnsi="David" w:hint="cs"/>
          <w:rtl/>
        </w:rPr>
        <w:t>המרשתת</w:t>
      </w:r>
      <w:r w:rsidRPr="007E5741">
        <w:rPr>
          <w:rFonts w:ascii="David" w:eastAsia="Calibri" w:hAnsi="David"/>
          <w:rtl/>
        </w:rPr>
        <w:t xml:space="preserve"> שלו טבלה להשוואת מחירי גפ"ם ללקוחות ביתיים על פי אזור המגורים (ותת-אזור), סוג המתקן וסוג השירות. מבדיקת משרד מבקר המדינה בדוח הקודם עלה כי הטבלה מציגה בכל תת-אזור את הספקים שמחיריהם הממוצעים הם הזולים ביותר (מדובר </w:t>
      </w:r>
      <w:r w:rsidRPr="007E5741">
        <w:rPr>
          <w:rFonts w:ascii="David" w:eastAsia="Calibri" w:hAnsi="David" w:hint="cs"/>
          <w:rtl/>
        </w:rPr>
        <w:t>בספקים ספורים</w:t>
      </w:r>
      <w:r w:rsidRPr="007E5741">
        <w:rPr>
          <w:rFonts w:ascii="David" w:eastAsia="Calibri" w:hAnsi="David"/>
          <w:rtl/>
        </w:rPr>
        <w:t xml:space="preserve"> בכל תת-אזור), אך אינה מפרטת את כל הספקים המספקים גז בפועל בכל תת-אזור. משרד האנרגיה אף מציין באתר כי הנתונים המוצגים הם על בסיס דיווחי הספקים ובאחריותם.</w:t>
      </w:r>
      <w:r w:rsidRPr="007E5741">
        <w:rPr>
          <w:rFonts w:ascii="David" w:eastAsia="Calibri" w:hAnsi="David" w:hint="cs"/>
          <w:rtl/>
        </w:rPr>
        <w:t xml:space="preserve"> משרד האנרגיה מעדכן את הטבלה מדי שנה בשנה.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rtl/>
        </w:rPr>
        <w:t>בדוח הקודם</w:t>
      </w:r>
      <w:r w:rsidRPr="007E5741">
        <w:rPr>
          <w:rFonts w:ascii="David" w:eastAsia="Calibri" w:hAnsi="David" w:hint="cs"/>
          <w:rtl/>
        </w:rPr>
        <w:t xml:space="preserve"> מ-2017</w:t>
      </w:r>
      <w:r w:rsidRPr="007E5741">
        <w:rPr>
          <w:rFonts w:ascii="David" w:eastAsia="Calibri" w:hAnsi="David"/>
          <w:rtl/>
        </w:rPr>
        <w:t xml:space="preserve"> ציין משרד מבקר המדינה לחיוב את פרסום הטבלה להשוואת מחירים באתר משרד האנרגיה, אך ה</w:t>
      </w:r>
      <w:r w:rsidRPr="007E5741">
        <w:rPr>
          <w:rFonts w:ascii="David" w:eastAsia="Calibri" w:hAnsi="David" w:hint="cs"/>
          <w:rtl/>
        </w:rPr>
        <w:t>מליץ</w:t>
      </w:r>
      <w:r w:rsidRPr="007E5741">
        <w:rPr>
          <w:rFonts w:ascii="David" w:eastAsia="Calibri" w:hAnsi="David"/>
          <w:rtl/>
        </w:rPr>
        <w:t xml:space="preserve"> כי מן הראוי לפרט בה את כל הספקים המספקים גז בכל תת</w:t>
      </w:r>
      <w:r w:rsidRPr="007E5741">
        <w:rPr>
          <w:rFonts w:ascii="David" w:eastAsia="Calibri" w:hAnsi="David" w:hint="cs"/>
          <w:rtl/>
        </w:rPr>
        <w:t>-</w:t>
      </w:r>
      <w:r w:rsidRPr="007E5741">
        <w:rPr>
          <w:rFonts w:ascii="David" w:eastAsia="Calibri" w:hAnsi="David"/>
          <w:rtl/>
        </w:rPr>
        <w:t>אזור כדי שהצרכן יוכל לבחור כל ספק מכלל הספקים המפורטים באותו תת</w:t>
      </w:r>
      <w:r w:rsidRPr="007E5741">
        <w:rPr>
          <w:rFonts w:ascii="David" w:eastAsia="Calibri" w:hAnsi="David" w:hint="cs"/>
          <w:rtl/>
        </w:rPr>
        <w:t>-</w:t>
      </w:r>
      <w:r w:rsidRPr="007E5741">
        <w:rPr>
          <w:rFonts w:ascii="David" w:eastAsia="Calibri" w:hAnsi="David"/>
          <w:rtl/>
        </w:rPr>
        <w:t>אזור.</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rtl/>
        </w:rPr>
        <w:t xml:space="preserve">ב-2018 </w:t>
      </w:r>
      <w:r w:rsidRPr="007E5741">
        <w:rPr>
          <w:rFonts w:ascii="David" w:eastAsia="Calibri" w:hAnsi="David" w:hint="cs"/>
          <w:rtl/>
        </w:rPr>
        <w:t>בוצע תיקון</w:t>
      </w:r>
      <w:r w:rsidRPr="007E5741">
        <w:rPr>
          <w:rFonts w:ascii="David" w:eastAsia="Calibri" w:hAnsi="David"/>
          <w:rtl/>
        </w:rPr>
        <w:t xml:space="preserve"> </w:t>
      </w:r>
      <w:r w:rsidRPr="007E5741">
        <w:rPr>
          <w:rFonts w:ascii="David" w:eastAsia="Calibri" w:hAnsi="David" w:hint="cs"/>
          <w:rtl/>
        </w:rPr>
        <w:t>ל</w:t>
      </w:r>
      <w:r w:rsidRPr="007E5741">
        <w:rPr>
          <w:rFonts w:ascii="David" w:eastAsia="Calibri" w:hAnsi="David"/>
          <w:rtl/>
        </w:rPr>
        <w:t>תקנות</w:t>
      </w:r>
      <w:r w:rsidRPr="007E5741">
        <w:rPr>
          <w:rFonts w:ascii="David" w:eastAsia="Calibri" w:hAnsi="David" w:hint="cs"/>
          <w:rtl/>
        </w:rPr>
        <w:t xml:space="preserve"> </w:t>
      </w:r>
      <w:r w:rsidRPr="007E5741">
        <w:rPr>
          <w:rFonts w:ascii="David" w:eastAsia="Calibri" w:hAnsi="David"/>
          <w:rtl/>
        </w:rPr>
        <w:t xml:space="preserve">2015, </w:t>
      </w:r>
      <w:r w:rsidRPr="007E5741">
        <w:rPr>
          <w:rFonts w:ascii="David" w:eastAsia="Calibri" w:hAnsi="David" w:hint="cs"/>
          <w:rtl/>
        </w:rPr>
        <w:t>ולפיו הוטלה</w:t>
      </w:r>
      <w:r w:rsidRPr="007E5741">
        <w:rPr>
          <w:rFonts w:ascii="David" w:eastAsia="Calibri" w:hAnsi="David"/>
          <w:rtl/>
        </w:rPr>
        <w:t xml:space="preserve"> חובה על ספק גפ"ם להעביר למשרד האנרגיה בתחילת כל חודש דוח ובו מחיר ממוצע של כל אחד משירותי </w:t>
      </w:r>
      <w:r w:rsidRPr="007E5741">
        <w:rPr>
          <w:rFonts w:ascii="David" w:eastAsia="Calibri" w:hAnsi="David" w:hint="cs"/>
          <w:rtl/>
        </w:rPr>
        <w:t>א</w:t>
      </w:r>
      <w:r w:rsidRPr="007E5741">
        <w:rPr>
          <w:rFonts w:ascii="David" w:eastAsia="Calibri" w:hAnsi="David"/>
          <w:rtl/>
        </w:rPr>
        <w:t xml:space="preserve">ספקת </w:t>
      </w:r>
      <w:r w:rsidRPr="007E5741">
        <w:rPr>
          <w:rFonts w:ascii="David" w:eastAsia="Calibri" w:hAnsi="David" w:hint="cs"/>
          <w:rtl/>
        </w:rPr>
        <w:t>ה</w:t>
      </w:r>
      <w:r w:rsidRPr="007E5741">
        <w:rPr>
          <w:rFonts w:ascii="David" w:eastAsia="Calibri" w:hAnsi="David"/>
          <w:rtl/>
        </w:rPr>
        <w:t>גז שה</w:t>
      </w:r>
      <w:r w:rsidRPr="007E5741">
        <w:rPr>
          <w:rFonts w:ascii="David" w:eastAsia="Calibri" w:hAnsi="David" w:hint="cs"/>
          <w:rtl/>
        </w:rPr>
        <w:t>וא</w:t>
      </w:r>
      <w:r w:rsidRPr="007E5741">
        <w:rPr>
          <w:rFonts w:ascii="David" w:eastAsia="Calibri" w:hAnsi="David"/>
          <w:rtl/>
        </w:rPr>
        <w:t xml:space="preserve"> חייב בו את צרכני הגז הביתיים</w:t>
      </w:r>
      <w:r>
        <w:rPr>
          <w:rFonts w:ascii="David" w:eastAsia="Calibri" w:hAnsi="David"/>
          <w:vertAlign w:val="superscript"/>
          <w:rtl/>
        </w:rPr>
        <w:footnoteReference w:id="146"/>
      </w:r>
      <w:r w:rsidRPr="007E5741">
        <w:rPr>
          <w:rFonts w:ascii="David" w:eastAsia="Calibri" w:hAnsi="David" w:hint="cs"/>
          <w:rtl/>
        </w:rPr>
        <w:t>,</w:t>
      </w:r>
      <w:r w:rsidRPr="007E5741">
        <w:rPr>
          <w:rFonts w:ascii="David" w:eastAsia="Calibri" w:hAnsi="David"/>
          <w:rtl/>
        </w:rPr>
        <w:t xml:space="preserve"> בכל אחד מסוגי מתקני הגז המשמשים את הצרכנים</w:t>
      </w:r>
      <w:r>
        <w:rPr>
          <w:rFonts w:ascii="David" w:eastAsia="Calibri" w:hAnsi="David"/>
          <w:vertAlign w:val="superscript"/>
          <w:rtl/>
        </w:rPr>
        <w:footnoteReference w:id="147"/>
      </w:r>
      <w:r w:rsidRPr="007E5741">
        <w:rPr>
          <w:rFonts w:ascii="David" w:eastAsia="Calibri" w:hAnsi="David"/>
          <w:rtl/>
        </w:rPr>
        <w:t xml:space="preserve"> </w:t>
      </w:r>
      <w:r w:rsidRPr="007E5741">
        <w:rPr>
          <w:rFonts w:ascii="David" w:eastAsia="Calibri" w:hAnsi="David" w:hint="cs"/>
          <w:rtl/>
        </w:rPr>
        <w:t>ו</w:t>
      </w:r>
      <w:r w:rsidRPr="007E5741">
        <w:rPr>
          <w:rFonts w:ascii="David" w:eastAsia="Calibri" w:hAnsi="David"/>
          <w:rtl/>
        </w:rPr>
        <w:t xml:space="preserve">בכל רשות מקומית שבה הוא מספק גז.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right="34"/>
        <w:rPr>
          <w:rFonts w:ascii="David" w:eastAsia="Calibri" w:hAnsi="David"/>
          <w:b/>
          <w:bCs/>
          <w:rtl/>
        </w:rPr>
      </w:pPr>
      <w:r w:rsidRPr="007E5741">
        <w:rPr>
          <w:rFonts w:ascii="David" w:eastAsia="Calibri" w:hAnsi="David"/>
          <w:b/>
          <w:bCs/>
          <w:rtl/>
        </w:rPr>
        <w:t xml:space="preserve">מבדיקת משרד מבקר המדינה עולה כי </w:t>
      </w:r>
      <w:r w:rsidRPr="007E5741">
        <w:rPr>
          <w:rFonts w:ascii="David" w:eastAsia="Calibri" w:hAnsi="David" w:hint="cs"/>
          <w:b/>
          <w:bCs/>
          <w:rtl/>
        </w:rPr>
        <w:t>ב-2016</w:t>
      </w:r>
      <w:r w:rsidRPr="007E5741">
        <w:rPr>
          <w:rFonts w:ascii="David" w:eastAsia="Calibri" w:hAnsi="David"/>
          <w:b/>
          <w:bCs/>
          <w:rtl/>
        </w:rPr>
        <w:t xml:space="preserve"> נעשה טיוב לטבלה באתר משרד האנרגיה ונכון ליוני 2025 היא מפרטת את</w:t>
      </w:r>
      <w:r w:rsidRPr="007E5741">
        <w:rPr>
          <w:rFonts w:ascii="David" w:eastAsia="Calibri" w:hAnsi="David" w:hint="cs"/>
          <w:b/>
          <w:bCs/>
          <w:rtl/>
        </w:rPr>
        <w:t xml:space="preserve"> המחירים הממוצעים של</w:t>
      </w:r>
      <w:r w:rsidRPr="007E5741">
        <w:rPr>
          <w:rFonts w:ascii="David" w:eastAsia="Calibri" w:hAnsi="David"/>
          <w:b/>
          <w:bCs/>
          <w:rtl/>
        </w:rPr>
        <w:t xml:space="preserve"> כל הספקים המספקים גז בפועל בכל תת-אזור.</w:t>
      </w:r>
      <w:r w:rsidRPr="007E5741">
        <w:rPr>
          <w:rFonts w:ascii="David" w:eastAsia="Calibri" w:hAnsi="David" w:hint="cs"/>
          <w:b/>
          <w:bCs/>
          <w:rtl/>
        </w:rPr>
        <w:t xml:space="preserve"> ואולם </w:t>
      </w:r>
      <w:bookmarkStart w:id="41" w:name="_Hlk222833018"/>
      <w:r w:rsidRPr="007E5741">
        <w:rPr>
          <w:rFonts w:ascii="David" w:eastAsia="Calibri" w:hAnsi="David" w:hint="cs"/>
          <w:b/>
          <w:bCs/>
          <w:rtl/>
        </w:rPr>
        <w:t>הטבלה</w:t>
      </w:r>
      <w:r w:rsidRPr="007E5741">
        <w:rPr>
          <w:rFonts w:ascii="David" w:eastAsia="Calibri" w:hAnsi="David"/>
          <w:b/>
          <w:bCs/>
          <w:rtl/>
        </w:rPr>
        <w:t xml:space="preserve"> </w:t>
      </w:r>
      <w:r w:rsidRPr="007E5741">
        <w:rPr>
          <w:rFonts w:ascii="David" w:eastAsia="Calibri" w:hAnsi="David" w:hint="cs"/>
          <w:b/>
          <w:bCs/>
          <w:rtl/>
        </w:rPr>
        <w:t>אינה</w:t>
      </w:r>
      <w:r w:rsidRPr="007E5741">
        <w:rPr>
          <w:rFonts w:ascii="David" w:eastAsia="Calibri" w:hAnsi="David"/>
          <w:b/>
          <w:bCs/>
          <w:rtl/>
        </w:rPr>
        <w:t xml:space="preserve"> מאפשר</w:t>
      </w:r>
      <w:r w:rsidRPr="007E5741">
        <w:rPr>
          <w:rFonts w:ascii="David" w:eastAsia="Calibri" w:hAnsi="David" w:hint="cs"/>
          <w:b/>
          <w:bCs/>
          <w:rtl/>
        </w:rPr>
        <w:t>ת</w:t>
      </w:r>
      <w:r w:rsidRPr="007E5741">
        <w:rPr>
          <w:rFonts w:ascii="David" w:eastAsia="Calibri" w:hAnsi="David"/>
          <w:b/>
          <w:bCs/>
          <w:rtl/>
        </w:rPr>
        <w:t xml:space="preserve"> לצרכנים השוואה מלאה בין ספקים</w:t>
      </w:r>
      <w:r w:rsidRPr="007E5741">
        <w:rPr>
          <w:rFonts w:ascii="David" w:eastAsia="Calibri" w:hAnsi="David" w:hint="cs"/>
          <w:b/>
          <w:bCs/>
          <w:rtl/>
        </w:rPr>
        <w:t xml:space="preserve"> (טווח המחירים של כל ספק), בין יישובים ובין שכונות באותו יישוב</w:t>
      </w:r>
      <w:r w:rsidRPr="007E5741">
        <w:rPr>
          <w:rFonts w:ascii="David" w:eastAsia="Calibri" w:hAnsi="David"/>
          <w:b/>
          <w:bCs/>
          <w:rtl/>
        </w:rPr>
        <w:t>.</w:t>
      </w:r>
      <w:bookmarkEnd w:id="41"/>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right="34"/>
        <w:rPr>
          <w:rFonts w:ascii="David" w:eastAsia="Calibri" w:hAnsi="David"/>
          <w:b/>
          <w:bCs/>
          <w:color w:val="FF0000"/>
          <w:rtl/>
        </w:rPr>
      </w:pPr>
      <w:r w:rsidRPr="007E5741">
        <w:rPr>
          <w:rFonts w:eastAsia="Calibri" w:hint="cs"/>
          <w:b/>
          <w:bCs/>
          <w:sz w:val="24"/>
          <w:rtl/>
        </w:rPr>
        <w:t xml:space="preserve">מוצע למשרד האנרגיה לדאוג שהטבלה באתר תאפשר לצרכנים השוואה מלאה </w:t>
      </w:r>
      <w:r w:rsidRPr="007E5741">
        <w:rPr>
          <w:rFonts w:ascii="David" w:eastAsia="Calibri" w:hAnsi="David"/>
          <w:b/>
          <w:bCs/>
          <w:rtl/>
        </w:rPr>
        <w:t>בין ספקים</w:t>
      </w:r>
      <w:r w:rsidRPr="007E5741">
        <w:rPr>
          <w:rFonts w:ascii="David" w:eastAsia="Calibri" w:hAnsi="David" w:hint="cs"/>
          <w:b/>
          <w:bCs/>
          <w:rtl/>
        </w:rPr>
        <w:t>, בין יישובים ובין שכונות באותו יישוב</w:t>
      </w:r>
      <w:r w:rsidRPr="007E5741">
        <w:rPr>
          <w:rFonts w:ascii="David" w:eastAsia="Calibri" w:hAnsi="David"/>
          <w:b/>
          <w:bCs/>
          <w:rtl/>
        </w:rPr>
        <w:t>.</w:t>
      </w:r>
      <w:r w:rsidRPr="007E5741">
        <w:rPr>
          <w:rFonts w:eastAsia="Calibri" w:hint="cs"/>
          <w:b/>
          <w:bCs/>
          <w:sz w:val="24"/>
          <w:rtl/>
        </w:rPr>
        <w:t xml:space="preserve"> כמו כן, מומלץ למשרד האנרגיה לנתח את הנתונים שברשותו עם רשות התחרות ולבחון כיצד אפשר להגביר את התחרות במקטע השיווק.</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right="34"/>
        <w:rPr>
          <w:rFonts w:ascii="David" w:eastAsia="Calibri" w:hAnsi="David"/>
          <w:b/>
          <w:bCs/>
          <w:color w:val="FF0000"/>
          <w:rtl/>
        </w:rPr>
      </w:pPr>
      <w:r w:rsidRPr="007E5741">
        <w:rPr>
          <w:rFonts w:eastAsia="Calibri" w:hint="cs"/>
          <w:sz w:val="24"/>
          <w:rtl/>
        </w:rPr>
        <w:t xml:space="preserve">במסגרת התוכנית להפחתת מחירי הגפ"ם במגזר הביתי שפורסמה באפריל 2026, לאחר מועד סיום הביקורת, </w:t>
      </w:r>
      <w:r w:rsidRPr="007E5741">
        <w:rPr>
          <w:rFonts w:ascii="David" w:eastAsia="Calibri" w:hAnsi="David" w:hint="eastAsia"/>
          <w:rtl/>
        </w:rPr>
        <w:t>מסר</w:t>
      </w:r>
      <w:r w:rsidRPr="007E5741">
        <w:rPr>
          <w:rFonts w:ascii="David" w:eastAsia="Calibri" w:hAnsi="David"/>
          <w:rtl/>
        </w:rPr>
        <w:t xml:space="preserve"> משרד האנרגיה כי </w:t>
      </w:r>
      <w:r w:rsidRPr="007E5741">
        <w:rPr>
          <w:rFonts w:ascii="David" w:eastAsia="Calibri" w:hAnsi="David" w:hint="cs"/>
          <w:rtl/>
        </w:rPr>
        <w:t>הוא משיק בימים אלה את המחשבון להשוואת מחירים והנגשת מידע. המחשבון מאפשר לכל אזרח להזין כמה פרטים בסיסיים ולקבל בתוך שניות תמונת מצב עדכנית של מחירי הגז באזור מגוריו, בכלל זה השוואה בין ספקים שונים בהתאם לאמצעי האספקה. המחשבון נשען על מאגר נתונים עדכני הכולל דיווחים חודשיים מכל ספקי הגז הביתי, בהתאם לחובת הדיווח בתקנות.</w:t>
      </w:r>
    </w:p>
    <w:p w:rsidR="00A87F40" w:rsidP="002F4530">
      <w:pPr>
        <w:bidi w:val="0"/>
        <w:spacing w:after="200" w:line="276" w:lineRule="auto"/>
        <w:rPr>
          <w:rFonts w:eastAsia="Times New Roman"/>
          <w:bCs/>
          <w:szCs w:val="26"/>
          <w:rtl/>
        </w:rPr>
      </w:pPr>
      <w:r>
        <w:rPr>
          <w:rFonts w:eastAsia="Times New Roman"/>
          <w:bCs/>
          <w:szCs w:val="26"/>
          <w:rtl/>
        </w:rPr>
        <w:br w:type="page"/>
      </w:r>
    </w:p>
    <w:p w:rsidR="007E5741" w:rsidRPr="007E5741" w:rsidP="002F4530">
      <w:pPr>
        <w:keepNext/>
        <w:keepLines/>
        <w:spacing w:line="269" w:lineRule="auto"/>
        <w:outlineLvl w:val="3"/>
        <w:rPr>
          <w:rFonts w:eastAsia="Times New Roman"/>
          <w:bCs/>
          <w:color w:val="FF0000"/>
          <w:szCs w:val="26"/>
          <w:rtl/>
        </w:rPr>
      </w:pPr>
      <w:r w:rsidRPr="007E5741">
        <w:rPr>
          <w:rFonts w:eastAsia="Times New Roman" w:hint="cs"/>
          <w:bCs/>
          <w:szCs w:val="26"/>
          <w:rtl/>
        </w:rPr>
        <w:t xml:space="preserve">רווחיות חברות הגפ"ם </w:t>
      </w:r>
    </w:p>
    <w:p w:rsidR="007E5741" w:rsidRPr="007E5741" w:rsidP="002F4530">
      <w:pPr>
        <w:rPr>
          <w:rFonts w:eastAsia="Calibri"/>
          <w:rtl/>
        </w:rPr>
      </w:pPr>
    </w:p>
    <w:p w:rsidR="007E5741" w:rsidRPr="007E5741" w:rsidP="002F4530">
      <w:pPr>
        <w:spacing w:line="269" w:lineRule="auto"/>
        <w:ind w:right="34"/>
        <w:rPr>
          <w:rFonts w:ascii="David" w:eastAsia="Calibri" w:hAnsi="David"/>
          <w:rtl/>
        </w:rPr>
      </w:pPr>
      <w:r w:rsidRPr="007E5741">
        <w:rPr>
          <w:rFonts w:ascii="David" w:eastAsia="Calibri" w:hAnsi="David" w:hint="cs"/>
          <w:rtl/>
        </w:rPr>
        <w:t>בקול קורא לשמיעת עמדות הציבור שפרסם מינהל הדלק בדצמבר 2025</w:t>
      </w:r>
      <w:r>
        <w:rPr>
          <w:rFonts w:ascii="David" w:eastAsia="Calibri" w:hAnsi="David"/>
          <w:vertAlign w:val="superscript"/>
          <w:rtl/>
        </w:rPr>
        <w:footnoteReference w:id="148"/>
      </w:r>
      <w:r w:rsidRPr="007E5741">
        <w:rPr>
          <w:rFonts w:ascii="David" w:eastAsia="Calibri" w:hAnsi="David" w:hint="cs"/>
          <w:rtl/>
        </w:rPr>
        <w:t>, שנועד לבדוק את התחרותיות במקטע השיווק של משק הגפ"ם, בדק המינהל את מרווח המחיר</w:t>
      </w:r>
      <w:r>
        <w:rPr>
          <w:rFonts w:ascii="David" w:eastAsia="Calibri" w:hAnsi="David"/>
          <w:vertAlign w:val="superscript"/>
          <w:rtl/>
        </w:rPr>
        <w:footnoteReference w:id="149"/>
      </w:r>
      <w:r w:rsidRPr="007E5741">
        <w:rPr>
          <w:rFonts w:ascii="David" w:eastAsia="Calibri" w:hAnsi="David" w:hint="cs"/>
          <w:rtl/>
        </w:rPr>
        <w:t xml:space="preserve"> של ספק גז ממכירת מכל 48 ק"ג (להלן - מרווח המחיר) כולל מע"ם בשנים 2016 - 2024, כמפורט להלן:</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right="34"/>
        <w:jc w:val="center"/>
        <w:rPr>
          <w:rFonts w:ascii="David" w:eastAsia="Calibri" w:hAnsi="David"/>
          <w:b/>
          <w:bCs/>
          <w:rtl/>
        </w:rPr>
      </w:pPr>
      <w:r w:rsidRPr="007E5741">
        <w:rPr>
          <w:rFonts w:ascii="David" w:eastAsia="Calibri" w:hAnsi="David" w:hint="eastAsia"/>
          <w:rtl/>
        </w:rPr>
        <w:t>תרשים</w:t>
      </w:r>
      <w:r w:rsidRPr="007E5741">
        <w:rPr>
          <w:rFonts w:ascii="David" w:eastAsia="Calibri" w:hAnsi="David"/>
          <w:rtl/>
        </w:rPr>
        <w:t xml:space="preserve"> 30:</w:t>
      </w:r>
      <w:r w:rsidRPr="007E5741">
        <w:rPr>
          <w:rFonts w:ascii="David" w:eastAsia="Calibri" w:hAnsi="David" w:hint="cs"/>
          <w:b/>
          <w:bCs/>
          <w:rtl/>
        </w:rPr>
        <w:t xml:space="preserve"> מרווח המחיר ממכירת מכל 48 ק"ג, 2016 - 2024 (</w:t>
      </w:r>
      <w:r w:rsidRPr="007E5741">
        <w:rPr>
          <w:rFonts w:ascii="David" w:eastAsia="Calibri" w:hAnsi="David" w:hint="eastAsia"/>
          <w:b/>
          <w:bCs/>
          <w:rtl/>
        </w:rPr>
        <w:t>בש״ח</w:t>
      </w:r>
      <w:r w:rsidRPr="007E5741">
        <w:rPr>
          <w:rFonts w:ascii="David" w:eastAsia="Calibri" w:hAnsi="David" w:hint="cs"/>
          <w:b/>
          <w:bCs/>
          <w:rtl/>
        </w:rPr>
        <w:t>, כולל מע"ם)</w:t>
      </w:r>
    </w:p>
    <w:p w:rsidR="007E5741" w:rsidRPr="007E5741" w:rsidP="002F4530">
      <w:pPr>
        <w:spacing w:line="269" w:lineRule="auto"/>
        <w:ind w:right="34"/>
        <w:jc w:val="center"/>
        <w:rPr>
          <w:rFonts w:ascii="David" w:eastAsia="Calibri" w:hAnsi="David"/>
          <w:rtl/>
        </w:rPr>
      </w:pPr>
      <w:r w:rsidRPr="007E5741">
        <w:rPr>
          <w:rFonts w:eastAsia="Calibri"/>
          <w:noProof/>
        </w:rPr>
        <w:drawing>
          <wp:inline distT="0" distB="0" distL="0" distR="0">
            <wp:extent cx="5220335" cy="1851660"/>
            <wp:effectExtent l="0" t="0" r="0" b="0"/>
            <wp:docPr id="11" name="תמונה 11" descr="התרשים מתאר את מרווח המחיר ממכירת מכל 48 ק&quot;ג, בשנים 2016 - 2024 (בש&quot;ח כולל מע&quot;ם). מרווח המחיר ירד מ-318 ש&quot;ח ל-263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52"/>
                    <a:stretch>
                      <a:fillRect/>
                    </a:stretch>
                  </pic:blipFill>
                  <pic:spPr>
                    <a:xfrm>
                      <a:off x="0" y="0"/>
                      <a:ext cx="5220335" cy="1851660"/>
                    </a:xfrm>
                    <a:prstGeom prst="rect">
                      <a:avLst/>
                    </a:prstGeom>
                  </pic:spPr>
                </pic:pic>
              </a:graphicData>
            </a:graphic>
          </wp:inline>
        </w:drawing>
      </w:r>
    </w:p>
    <w:p w:rsidR="007E5741" w:rsidRPr="007E5741" w:rsidP="002F4530">
      <w:pPr>
        <w:spacing w:line="269" w:lineRule="auto"/>
        <w:ind w:right="34"/>
        <w:rPr>
          <w:rFonts w:ascii="David" w:eastAsia="Calibri" w:hAnsi="David"/>
          <w:szCs w:val="20"/>
          <w:rtl/>
        </w:rPr>
      </w:pPr>
      <w:r w:rsidRPr="007E5741">
        <w:rPr>
          <w:rFonts w:ascii="David" w:eastAsia="Calibri" w:hAnsi="David" w:hint="eastAsia"/>
          <w:szCs w:val="20"/>
          <w:rtl/>
        </w:rPr>
        <w:t>המקור</w:t>
      </w:r>
      <w:r w:rsidRPr="007E5741">
        <w:rPr>
          <w:rFonts w:ascii="David" w:eastAsia="Calibri" w:hAnsi="David"/>
          <w:szCs w:val="20"/>
          <w:rtl/>
        </w:rPr>
        <w:t>: מינהל הדלק.</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eastAsia="Calibri" w:hint="cs"/>
          <w:color w:val="000000"/>
          <w:rtl/>
        </w:rPr>
        <w:t>מהתרשים עולה כי בין 2016 ל-2024 ירד מרווח המחיר מ-318 ש"ח ל-263 ש״ח. בשנת 2016 היה מרווח המחיר כ-75% מהמחיר לצרכן כולל מע"ם (318 ש"ח מתוך 422 ש"ח); ובשנת 2024 היה מרווח המחיר כ-64% ממחיר האספקה הכולל (263 ש"ח מתוך 410 ש"ח).</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eastAsia="Calibri" w:hint="cs"/>
          <w:color w:val="000000"/>
          <w:rtl/>
        </w:rPr>
        <w:t xml:space="preserve">צוות הביקורת ניתח את מחירי הגפ"ם לצרכן במכל 48 ק"ג מנתונים שהגישו ספקי הגפ"ם למינהל הדלק בשנת 2024. מהבדיקה עולה כי בכ-3.4% מדיווחי החברות לשנת 2024 היה המחיר המרבי של מכל 48 ק"ג יותר מ-700 ש"ח (כולל מע"ם), ובכ-8.6% מהדיווחים היה המחיר המרבי יותר </w:t>
      </w:r>
      <w:r w:rsidR="00CA2309">
        <w:rPr>
          <w:rFonts w:eastAsia="Calibri"/>
          <w:color w:val="000000"/>
          <w:rtl/>
        </w:rPr>
        <w:br/>
      </w:r>
      <w:r w:rsidRPr="007E5741">
        <w:rPr>
          <w:rFonts w:eastAsia="Calibri" w:hint="cs"/>
          <w:color w:val="000000"/>
          <w:rtl/>
        </w:rPr>
        <w:t>מ-600 ש"ח (כולל מע"ם). יצוין כי בבדיקה עלה כי כמעט כל המקרים שבהם דווח על מכירת מכל 48 ק"ג במחיר של יותר מ-700 ש"ח (כולל מע"ם) היו של אותו ספק גדול באזורים שונים בארץ. עוד עולה מהבדיקה כי ב-8% מדיווחי החברות לשנת 2024 היה המחיר המזערי של מכל 48 ק"ג פחות מ-300 ש"ח (כולל מע"ם).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eastAsia="Calibri" w:hint="cs"/>
          <w:color w:val="000000"/>
          <w:rtl/>
        </w:rPr>
        <w:t>הביקורת בחנה את מרווח המחיר בראי ספקי הגז. בראי הספקים, המע"ם אינו חלק מהמרווח בין ההכנסה להוצאה ממכירת מכל 48 ק"ג. לצורך כך חושבו, באמצעות נתוני מינהל הדלק, המחיר הממוצע המשוקלל בארץ</w:t>
      </w:r>
      <w:r>
        <w:rPr>
          <w:rFonts w:ascii="David" w:eastAsia="Calibri" w:hAnsi="David"/>
          <w:vertAlign w:val="superscript"/>
          <w:rtl/>
        </w:rPr>
        <w:footnoteReference w:id="150"/>
      </w:r>
      <w:r w:rsidRPr="007E5741">
        <w:rPr>
          <w:rFonts w:eastAsia="Calibri" w:hint="cs"/>
          <w:color w:val="000000"/>
          <w:rtl/>
        </w:rPr>
        <w:t>, המחיר המזערי והמחיר המרבי מהמכירות של ספקי הגז בארץ למכל 48 ק"ג. נוסף על כך, באמצעות המחיר הממוצע לטונה גפ"ם בשער בית הזיקוק (ללא מע"ם) בשנת 2024 חושבה עלות הגפ"ם ל-48 ק"ג (ללא מע"ם)</w:t>
      </w:r>
      <w:r>
        <w:rPr>
          <w:rFonts w:ascii="David" w:eastAsia="Calibri" w:hAnsi="David"/>
          <w:vertAlign w:val="superscript"/>
          <w:rtl/>
        </w:rPr>
        <w:footnoteReference w:id="151"/>
      </w:r>
      <w:r w:rsidRPr="007E5741">
        <w:rPr>
          <w:rFonts w:ascii="David" w:eastAsia="Calibri" w:hAnsi="David" w:hint="cs"/>
          <w:rtl/>
        </w:rPr>
        <w:t>.</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FF0000"/>
          <w:rtl/>
        </w:rPr>
      </w:pPr>
      <w:r w:rsidRPr="007E5741">
        <w:rPr>
          <w:rFonts w:eastAsia="Calibri" w:hint="cs"/>
          <w:rtl/>
        </w:rPr>
        <w:t xml:space="preserve">בתרשים שלהלן מוצגים מרווחי המחיר ממכירת מכל 48 ק"ג במחיר המזערי בארץ, במחיר הממוצע המשוקלל בארץ ובמחיר המרבי בארץ לשנת 2024. </w:t>
      </w:r>
      <w:bookmarkStart w:id="42" w:name="_Hlk232493050"/>
      <w:r w:rsidRPr="007E5741">
        <w:rPr>
          <w:rFonts w:eastAsia="Calibri" w:hint="cs"/>
          <w:rtl/>
        </w:rPr>
        <w:t>המרווח הוא המחיר לצרכן ללא מע"ם בניכוי עלות הגפ"ם בשער בז"ן לאותו המכל.</w:t>
      </w:r>
      <w:bookmarkEnd w:id="42"/>
      <w:r w:rsidRPr="007E5741">
        <w:rPr>
          <w:rFonts w:eastAsia="Calibri" w:hint="cs"/>
          <w:rtl/>
        </w:rPr>
        <w:t xml:space="preserve"> </w:t>
      </w:r>
      <w:r w:rsidRPr="007E5741">
        <w:rPr>
          <w:rFonts w:ascii="David" w:eastAsia="Calibri" w:hAnsi="David" w:hint="cs"/>
          <w:rtl/>
        </w:rPr>
        <w:t xml:space="preserve">יצוין כי מרווח המחיר אינו מייצג את הרווח של החברה ממכירת מכל 48 ק"ג כי הוא כולל הוצאות נוספות של הספקים, כמו </w:t>
      </w:r>
      <w:r w:rsidRPr="007E5741">
        <w:rPr>
          <w:rFonts w:ascii="David" w:eastAsia="Calibri" w:hAnsi="David"/>
          <w:rtl/>
        </w:rPr>
        <w:t xml:space="preserve">הוצאות פחת, הוצאות </w:t>
      </w:r>
      <w:r w:rsidRPr="007E5741">
        <w:rPr>
          <w:rFonts w:ascii="David" w:eastAsia="Calibri" w:hAnsi="David"/>
          <w:rtl/>
        </w:rPr>
        <w:t>משתנות (לרבות תשלום לסוכנים), עלויות התקנה, עלויות אחסנה</w:t>
      </w:r>
      <w:r w:rsidRPr="007E5741">
        <w:rPr>
          <w:rFonts w:ascii="David" w:eastAsia="Calibri" w:hAnsi="David" w:hint="cs"/>
          <w:rtl/>
        </w:rPr>
        <w:t>, הוצאות מכירה ושיווק</w:t>
      </w:r>
      <w:r>
        <w:rPr>
          <w:rFonts w:ascii="David" w:eastAsia="Calibri" w:hAnsi="David"/>
          <w:vertAlign w:val="superscript"/>
          <w:rtl/>
        </w:rPr>
        <w:footnoteReference w:id="152"/>
      </w:r>
      <w:r w:rsidRPr="007E5741">
        <w:rPr>
          <w:rFonts w:ascii="David" w:eastAsia="Calibri" w:hAnsi="David" w:hint="cs"/>
          <w:rtl/>
        </w:rPr>
        <w:t>, הוצאות הנהלה והוצאות כלליות</w:t>
      </w:r>
      <w:r>
        <w:rPr>
          <w:rFonts w:ascii="David" w:eastAsia="Calibri" w:hAnsi="David"/>
          <w:vertAlign w:val="superscript"/>
          <w:rtl/>
        </w:rPr>
        <w:footnoteReference w:id="153"/>
      </w:r>
      <w:r w:rsidRPr="007E5741">
        <w:rPr>
          <w:rFonts w:ascii="David" w:eastAsia="Calibri" w:hAnsi="David" w:hint="cs"/>
          <w:rtl/>
        </w:rPr>
        <w:t xml:space="preserve">.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jc w:val="center"/>
        <w:rPr>
          <w:rFonts w:eastAsia="Calibri"/>
          <w:b/>
          <w:bCs/>
          <w:rtl/>
        </w:rPr>
      </w:pPr>
      <w:r w:rsidRPr="007E5741">
        <w:rPr>
          <w:rFonts w:eastAsia="Calibri" w:hint="eastAsia"/>
          <w:rtl/>
        </w:rPr>
        <w:t>תרשים</w:t>
      </w:r>
      <w:r w:rsidRPr="007E5741">
        <w:rPr>
          <w:rFonts w:eastAsia="Calibri"/>
          <w:rtl/>
        </w:rPr>
        <w:t xml:space="preserve"> 31: </w:t>
      </w:r>
      <w:r w:rsidRPr="007E5741">
        <w:rPr>
          <w:rFonts w:eastAsia="Calibri" w:hint="cs"/>
          <w:b/>
          <w:bCs/>
          <w:rtl/>
        </w:rPr>
        <w:t xml:space="preserve">מרווח המחיר </w:t>
      </w:r>
      <w:r w:rsidRPr="007E5741">
        <w:rPr>
          <w:rFonts w:eastAsia="Calibri" w:hint="eastAsia"/>
          <w:b/>
          <w:bCs/>
          <w:rtl/>
        </w:rPr>
        <w:t>של</w:t>
      </w:r>
      <w:r w:rsidRPr="007E5741">
        <w:rPr>
          <w:rFonts w:eastAsia="Calibri"/>
          <w:b/>
          <w:bCs/>
          <w:rtl/>
        </w:rPr>
        <w:t xml:space="preserve"> </w:t>
      </w:r>
      <w:r w:rsidRPr="007E5741">
        <w:rPr>
          <w:rFonts w:eastAsia="Calibri" w:hint="eastAsia"/>
          <w:b/>
          <w:bCs/>
          <w:rtl/>
        </w:rPr>
        <w:t>מכל</w:t>
      </w:r>
      <w:r w:rsidRPr="007E5741">
        <w:rPr>
          <w:rFonts w:eastAsia="Calibri"/>
          <w:b/>
          <w:bCs/>
          <w:rtl/>
        </w:rPr>
        <w:t xml:space="preserve"> 48 </w:t>
      </w:r>
      <w:r w:rsidRPr="007E5741">
        <w:rPr>
          <w:rFonts w:eastAsia="Calibri" w:hint="eastAsia"/>
          <w:b/>
          <w:bCs/>
          <w:rtl/>
        </w:rPr>
        <w:t>ק</w:t>
      </w:r>
      <w:r w:rsidRPr="007E5741">
        <w:rPr>
          <w:rFonts w:eastAsia="Calibri"/>
          <w:b/>
          <w:bCs/>
          <w:rtl/>
        </w:rPr>
        <w:t>"ג</w:t>
      </w:r>
      <w:r w:rsidRPr="007E5741">
        <w:rPr>
          <w:rFonts w:eastAsia="Calibri" w:hint="cs"/>
          <w:b/>
          <w:bCs/>
          <w:rtl/>
        </w:rPr>
        <w:t>, 2024 (</w:t>
      </w:r>
      <w:r w:rsidRPr="007E5741">
        <w:rPr>
          <w:rFonts w:eastAsia="Calibri" w:hint="eastAsia"/>
          <w:b/>
          <w:bCs/>
          <w:rtl/>
        </w:rPr>
        <w:t>בש״ח</w:t>
      </w:r>
      <w:r w:rsidRPr="007E5741">
        <w:rPr>
          <w:rFonts w:eastAsia="Calibri"/>
          <w:b/>
          <w:bCs/>
          <w:rtl/>
        </w:rPr>
        <w:t>,</w:t>
      </w:r>
      <w:r w:rsidRPr="007E5741">
        <w:rPr>
          <w:rFonts w:eastAsia="Calibri" w:hint="cs"/>
          <w:b/>
          <w:bCs/>
          <w:rtl/>
        </w:rPr>
        <w:t xml:space="preserve"> ללא מע"ם)</w:t>
      </w:r>
    </w:p>
    <w:p w:rsidR="007E5741" w:rsidRPr="007E5741" w:rsidP="002F4530">
      <w:pPr>
        <w:spacing w:line="269" w:lineRule="auto"/>
        <w:jc w:val="center"/>
        <w:rPr>
          <w:rFonts w:eastAsia="Calibri"/>
          <w:color w:val="000000"/>
          <w:szCs w:val="20"/>
          <w:rtl/>
        </w:rPr>
      </w:pPr>
      <w:r w:rsidRPr="007E5741">
        <w:rPr>
          <w:rFonts w:eastAsia="Calibri"/>
          <w:noProof/>
          <w:color w:val="000000"/>
          <w:szCs w:val="20"/>
        </w:rPr>
        <w:drawing>
          <wp:inline distT="0" distB="0" distL="0" distR="0">
            <wp:extent cx="5218430" cy="3871595"/>
            <wp:effectExtent l="0" t="0" r="1270" b="0"/>
            <wp:docPr id="67" name="תמונה 67" descr="התרשים מתאר את מרווח המחיר של מכל 48 ק&quot;ג בשנת 2024 (בש&quot;ח ללא מע&quot;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3"/>
                    <pic:cNvPicPr>
                      <a:picLocks noChangeAspect="1" noChangeArrowheads="1"/>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bwMode="auto">
                    <a:xfrm>
                      <a:off x="0" y="0"/>
                      <a:ext cx="5218430" cy="3871595"/>
                    </a:xfrm>
                    <a:prstGeom prst="rect">
                      <a:avLst/>
                    </a:prstGeom>
                    <a:noFill/>
                  </pic:spPr>
                </pic:pic>
              </a:graphicData>
            </a:graphic>
          </wp:inline>
        </w:drawing>
      </w:r>
    </w:p>
    <w:p w:rsidR="007E5741" w:rsidRPr="007E5741" w:rsidP="002F4530">
      <w:pPr>
        <w:spacing w:line="269" w:lineRule="auto"/>
        <w:rPr>
          <w:rFonts w:eastAsia="Calibri"/>
          <w:color w:val="000000"/>
          <w:szCs w:val="20"/>
          <w:rtl/>
        </w:rPr>
      </w:pPr>
      <w:r w:rsidRPr="007E5741">
        <w:rPr>
          <w:rFonts w:eastAsia="Calibri" w:hint="eastAsia"/>
          <w:color w:val="000000"/>
          <w:szCs w:val="20"/>
          <w:rtl/>
        </w:rPr>
        <w:t>על</w:t>
      </w:r>
      <w:r w:rsidRPr="007E5741">
        <w:rPr>
          <w:rFonts w:eastAsia="Calibri"/>
          <w:color w:val="000000"/>
          <w:szCs w:val="20"/>
          <w:rtl/>
        </w:rPr>
        <w:t xml:space="preserve"> פי נתוני משרד ה</w:t>
      </w:r>
      <w:r w:rsidRPr="007E5741">
        <w:rPr>
          <w:rFonts w:eastAsia="Calibri" w:hint="eastAsia"/>
          <w:color w:val="000000"/>
          <w:szCs w:val="20"/>
          <w:rtl/>
        </w:rPr>
        <w:t>אנרגיה</w:t>
      </w:r>
      <w:r w:rsidRPr="007E5741">
        <w:rPr>
          <w:rFonts w:eastAsia="Calibri"/>
          <w:color w:val="000000"/>
          <w:szCs w:val="20"/>
          <w:rtl/>
        </w:rPr>
        <w:t>,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eastAsia="Calibri" w:hint="cs"/>
          <w:color w:val="000000"/>
          <w:rtl/>
        </w:rPr>
        <w:t xml:space="preserve">מהתרשים עולה כי עלות הגפ"ם במכל 48 ק"ג הייתה קבועה לכל הספקים - כ-114 ש״ח; כאשר נמכר מכל 48 ק"ג במחיר הממוצע המשוקלל בארץ (כ-356 ש"ח ללא מע"ם) היה מרווח המחיר </w:t>
      </w:r>
      <w:r w:rsidR="00CA2309">
        <w:rPr>
          <w:rFonts w:eastAsia="Calibri"/>
          <w:color w:val="000000"/>
          <w:rtl/>
        </w:rPr>
        <w:br/>
      </w:r>
      <w:r w:rsidRPr="007E5741">
        <w:rPr>
          <w:rFonts w:eastAsia="Calibri" w:hint="cs"/>
          <w:color w:val="000000"/>
          <w:rtl/>
        </w:rPr>
        <w:t>כ-242 ש"ח (כ-68% מהמחיר); כאשר נמכר המכל במחיר המרבי שעליו דווח בשנת 2024 למינהל הדלק (כ-636 ש"ח ללא מע"ם) היה מרווח המחיר כ-522 ש"ח (כ-82% מהמחיר); וכאשר נמכר המכל במחיר המזערי שעליו דווח בשנת 2024 למינהל הדלק (כ-214 ש"ח ללא מע"ם) היה מרווח המחיר כ-100 ש"ח (כ-47% מהמחיר). מרווח המחיר במחיר המרבי היה גדול ב-280 ש"ח ליחידת מכל של 48 ק"ג ממרווח המחיר ממכירה במחיר הממוצע המשוקלל (יותר מפי 2).</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ascii="David" w:eastAsia="Calibri" w:hAnsi="David" w:hint="cs"/>
          <w:rtl/>
        </w:rPr>
        <w:t>בדוחות הכספיים של אחד מספקי הגז הגדולים</w:t>
      </w:r>
      <w:r w:rsidRPr="007E5741">
        <w:rPr>
          <w:rFonts w:eastAsia="Calibri" w:hint="cs"/>
          <w:color w:val="000000"/>
          <w:rtl/>
        </w:rPr>
        <w:t xml:space="preserve"> בשנת 2024 צוין כי בשנים 2025 - 2028 צפוי גידול בהכנסות החברה ממגזר פעילות הגפ"ם. הנחת הצמיחה בשנים אלו נובעת בעיקר מגידול במצבת הלקוחות וכן מהנחת גידול במחיר המכירה הממוצע, ללא תלות במחיר רכישת הגז, ומהכנסות מדמי שימוש בפעילות המונה הפרטי. עוד ציין ספק הגז הגדול כי עליית המחירים ללקוחות הפרטיים היא חלק מהתוכנית האסטרטגית של הנהלתו.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eastAsia="Calibri" w:hint="cs"/>
          <w:color w:val="000000"/>
          <w:rtl/>
        </w:rPr>
        <w:t xml:space="preserve">משרד מבקר המדינה מבהיר כי אומנם מדובר בדיווח של ספק גפ"ם אחד ואין ללמוד מכך בהכרח על התנהגות ספקי הגפ"ם האחרים. עם זאת, הדבר עלול להצביע על </w:t>
      </w:r>
      <w:r w:rsidRPr="007E5741">
        <w:rPr>
          <w:rFonts w:eastAsia="Calibri"/>
          <w:color w:val="000000"/>
          <w:rtl/>
        </w:rPr>
        <w:t xml:space="preserve">רמת תחרות </w:t>
      </w:r>
      <w:r w:rsidRPr="007E5741">
        <w:rPr>
          <w:rFonts w:eastAsia="Calibri" w:hint="cs"/>
          <w:color w:val="000000"/>
          <w:rtl/>
        </w:rPr>
        <w:t xml:space="preserve">נמוכה </w:t>
      </w:r>
      <w:r w:rsidRPr="007E5741">
        <w:rPr>
          <w:rFonts w:eastAsia="Calibri"/>
          <w:color w:val="000000"/>
          <w:rtl/>
        </w:rPr>
        <w:t xml:space="preserve">בשוק </w:t>
      </w:r>
      <w:r w:rsidRPr="007E5741">
        <w:rPr>
          <w:rFonts w:eastAsia="Calibri" w:hint="cs"/>
          <w:color w:val="000000"/>
          <w:rtl/>
        </w:rPr>
        <w:t>הגפ"ם.</w:t>
      </w:r>
    </w:p>
    <w:p w:rsidR="007E5741" w:rsidRPr="007E5741" w:rsidP="002F4530">
      <w:pPr>
        <w:spacing w:line="269" w:lineRule="auto"/>
        <w:rPr>
          <w:rFonts w:eastAsia="Calibri"/>
          <w:b/>
          <w:bCs/>
          <w:color w:val="000000"/>
          <w:rtl/>
        </w:rPr>
      </w:pPr>
      <w:r w:rsidRPr="007E5741">
        <w:rPr>
          <w:rFonts w:eastAsia="Calibri" w:hint="cs"/>
          <w:b/>
          <w:bCs/>
          <w:color w:val="000000"/>
          <w:rtl/>
        </w:rPr>
        <w:t>עלה כי הפער בין מרווח המחיר ממכירה במחיר המרבי</w:t>
      </w:r>
      <w:r>
        <w:rPr>
          <w:rFonts w:eastAsia="Calibri"/>
          <w:b/>
          <w:bCs/>
          <w:color w:val="000000"/>
          <w:vertAlign w:val="superscript"/>
          <w:rtl/>
        </w:rPr>
        <w:footnoteReference w:id="154"/>
      </w:r>
      <w:r w:rsidRPr="007E5741">
        <w:rPr>
          <w:rFonts w:eastAsia="Calibri" w:hint="cs"/>
          <w:b/>
          <w:bCs/>
          <w:color w:val="000000"/>
          <w:rtl/>
        </w:rPr>
        <w:t xml:space="preserve"> למכירה במחיר המזערי</w:t>
      </w:r>
      <w:r>
        <w:rPr>
          <w:rFonts w:eastAsia="Calibri"/>
          <w:b/>
          <w:bCs/>
          <w:color w:val="000000"/>
          <w:vertAlign w:val="superscript"/>
          <w:rtl/>
        </w:rPr>
        <w:footnoteReference w:id="155"/>
      </w:r>
      <w:r w:rsidRPr="007E5741">
        <w:rPr>
          <w:rFonts w:eastAsia="Calibri" w:hint="cs"/>
          <w:b/>
          <w:bCs/>
          <w:color w:val="000000"/>
          <w:rtl/>
        </w:rPr>
        <w:t xml:space="preserve"> לצרכן בשנת 2024 היה 422 ש"ח למכל 48 ק"ג, והפער בין מרווח המחיר ממכירה במחיר המרבי למכירה במחיר הממוצע היה כ-280 ש"ח. הדבר עשוי להצביע על רווחיות עודפת של מאות ש"ח למכל 48 ק"ג אצל חלק מספקי הגפ"ם. עוד עולה כי מרווח המחיר של ספקי הגז שמוכרים מכל 48 ק"ג במחיר המזערי הוא פחות מ-100 ש"ח. הדבר מעלה חשש למחירי הפסד אצל חלק מהספקים, ויש חשש למחיר "טורפני"</w:t>
      </w:r>
      <w:r>
        <w:rPr>
          <w:rFonts w:eastAsia="Calibri"/>
          <w:b/>
          <w:bCs/>
          <w:color w:val="000000"/>
          <w:vertAlign w:val="superscript"/>
          <w:rtl/>
        </w:rPr>
        <w:footnoteReference w:id="156"/>
      </w:r>
      <w:r w:rsidRPr="007E5741">
        <w:rPr>
          <w:rFonts w:eastAsia="Calibri" w:hint="cs"/>
          <w:b/>
          <w:bCs/>
          <w:color w:val="000000"/>
          <w:rtl/>
        </w:rPr>
        <w:t xml:space="preserve"> של חלק מספקי הגפ"ם.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eastAsia="Calibri" w:hint="cs"/>
          <w:color w:val="000000"/>
          <w:rtl/>
        </w:rPr>
        <w:t>בתשובתו מאפריל 2026 למשרד מבקר המדינה מסר ספק גדול ב' כי לאור התחרות העזה והשחיקה ברווחיות, חלק מספקי הגז הגדולים הפכו להפסדיים בשנים האחרונות, כפי שניתן לראות בנתוני החברות המדווחות.</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eastAsia="Calibri" w:hint="cs"/>
          <w:color w:val="000000"/>
          <w:rtl/>
        </w:rPr>
        <w:t>ספק גדול ג' מסר בתשובתו למשרד מבקר המדינה כי לאורך השנים היו עליות משמעותיות בעלויות התפעול. עליות אלה מחייבות עדכון של מחירי מכירת הגפ"ם כדי לשמור על יציבותו הכלכלית של ספק הגז ועל יכולתו לספק שירות בטיחותי ואמין. עוד מסר ספק גדול ג' כי קיימת מגמה של שחיקה בנתח השוק שלו בפלחי שוק מסוימים, במקביל להתחזקות עקבית של הספקים הקטנים.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rtl/>
        </w:rPr>
      </w:pPr>
      <w:r w:rsidRPr="007E5741">
        <w:rPr>
          <w:rFonts w:eastAsia="Calibri" w:hint="cs"/>
          <w:color w:val="000000"/>
          <w:rtl/>
        </w:rPr>
        <w:t>בתשובתו מסר משרד האנרגיה כי הוא "אינו רואה בבחינת רווחיות ספקי הגפ"ם או בפיקוח אגרסיבי על מחירי הגפ"ם באופן מלאכותי ומזיק, כצעדים ראויים ואפקטיביים".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color w:val="000000"/>
          <w:rtl/>
        </w:rPr>
      </w:pPr>
      <w:r w:rsidRPr="007E5741">
        <w:rPr>
          <w:rFonts w:eastAsia="Calibri" w:hint="cs"/>
          <w:b/>
          <w:bCs/>
          <w:color w:val="000000"/>
          <w:rtl/>
        </w:rPr>
        <w:t xml:space="preserve">מומלץ למשרד האנרגיה, משרד האוצר ורשות התחרות לבחון את הרווחיות של ספקי הגפ"ם ואת התחרות בין הספקים בשוק הגפ"ם, על בסיס דיווחי הספקים למינהל הדלק </w:t>
      </w:r>
      <w:r w:rsidRPr="007E5741">
        <w:rPr>
          <w:rFonts w:eastAsia="Calibri" w:hint="eastAsia"/>
          <w:b/>
          <w:bCs/>
          <w:color w:val="000000"/>
          <w:rtl/>
        </w:rPr>
        <w:t>ועל</w:t>
      </w:r>
      <w:r w:rsidRPr="007E5741">
        <w:rPr>
          <w:rFonts w:eastAsia="Calibri"/>
          <w:b/>
          <w:bCs/>
          <w:color w:val="000000"/>
          <w:rtl/>
        </w:rPr>
        <w:t xml:space="preserve"> </w:t>
      </w:r>
      <w:r w:rsidRPr="007E5741">
        <w:rPr>
          <w:rFonts w:eastAsia="Calibri" w:hint="eastAsia"/>
          <w:b/>
          <w:bCs/>
          <w:color w:val="000000"/>
          <w:rtl/>
        </w:rPr>
        <w:t>בסיס</w:t>
      </w:r>
      <w:r w:rsidRPr="007E5741">
        <w:rPr>
          <w:rFonts w:eastAsia="Calibri"/>
          <w:b/>
          <w:bCs/>
          <w:color w:val="000000"/>
          <w:rtl/>
        </w:rPr>
        <w:t xml:space="preserve"> </w:t>
      </w:r>
      <w:r w:rsidRPr="007E5741">
        <w:rPr>
          <w:rFonts w:eastAsia="Calibri" w:hint="eastAsia"/>
          <w:b/>
          <w:bCs/>
          <w:color w:val="000000"/>
          <w:rtl/>
        </w:rPr>
        <w:t>הדוחות</w:t>
      </w:r>
      <w:r w:rsidRPr="007E5741">
        <w:rPr>
          <w:rFonts w:eastAsia="Calibri"/>
          <w:b/>
          <w:bCs/>
          <w:color w:val="000000"/>
          <w:rtl/>
        </w:rPr>
        <w:t xml:space="preserve"> </w:t>
      </w:r>
      <w:r w:rsidRPr="007E5741">
        <w:rPr>
          <w:rFonts w:eastAsia="Calibri" w:hint="eastAsia"/>
          <w:b/>
          <w:bCs/>
          <w:color w:val="000000"/>
          <w:rtl/>
        </w:rPr>
        <w:t>הכספיים</w:t>
      </w:r>
      <w:r w:rsidRPr="007E5741">
        <w:rPr>
          <w:rFonts w:eastAsia="Calibri"/>
          <w:b/>
          <w:bCs/>
          <w:color w:val="000000"/>
          <w:rtl/>
        </w:rPr>
        <w:t xml:space="preserve"> </w:t>
      </w:r>
      <w:r w:rsidRPr="007E5741">
        <w:rPr>
          <w:rFonts w:eastAsia="Calibri" w:hint="eastAsia"/>
          <w:b/>
          <w:bCs/>
          <w:color w:val="000000"/>
          <w:rtl/>
        </w:rPr>
        <w:t>של</w:t>
      </w:r>
      <w:r w:rsidRPr="007E5741">
        <w:rPr>
          <w:rFonts w:eastAsia="Calibri"/>
          <w:b/>
          <w:bCs/>
          <w:color w:val="000000"/>
          <w:rtl/>
        </w:rPr>
        <w:t xml:space="preserve"> </w:t>
      </w:r>
      <w:r w:rsidRPr="007E5741">
        <w:rPr>
          <w:rFonts w:eastAsia="Calibri" w:hint="eastAsia"/>
          <w:b/>
          <w:bCs/>
          <w:color w:val="000000"/>
          <w:rtl/>
        </w:rPr>
        <w:t>הספקים</w:t>
      </w:r>
      <w:r w:rsidRPr="007E5741">
        <w:rPr>
          <w:rFonts w:eastAsia="Calibri" w:hint="cs"/>
          <w:b/>
          <w:bCs/>
          <w:color w:val="000000"/>
          <w:rtl/>
        </w:rPr>
        <w:t xml:space="preserve">, ולשקול נקיטת צעדים כדי להגביר את התחרות ההוגנת במקטע השיווק בין ספקי הגז. </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3"/>
        <w:rPr>
          <w:rFonts w:eastAsia="Times New Roman"/>
          <w:bCs/>
          <w:szCs w:val="26"/>
          <w:rtl/>
        </w:rPr>
      </w:pPr>
      <w:r w:rsidRPr="007E5741">
        <w:rPr>
          <w:rFonts w:eastAsia="Times New Roman" w:hint="cs"/>
          <w:bCs/>
          <w:szCs w:val="26"/>
          <w:rtl/>
        </w:rPr>
        <w:t xml:space="preserve">מעבר לקוחות בין ספקי הגפ"ם </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hint="cs"/>
          <w:rtl/>
        </w:rPr>
        <w:t>שורת תיקוני החקיקה</w:t>
      </w:r>
      <w:r w:rsidRPr="007E5741">
        <w:rPr>
          <w:rFonts w:ascii="David" w:eastAsia="Calibri" w:hAnsi="David"/>
          <w:rtl/>
        </w:rPr>
        <w:t xml:space="preserve"> במשק הגפ"ם</w:t>
      </w:r>
      <w:r w:rsidRPr="007E5741">
        <w:rPr>
          <w:rFonts w:ascii="David" w:eastAsia="Calibri" w:hAnsi="David" w:hint="cs"/>
          <w:rtl/>
        </w:rPr>
        <w:t xml:space="preserve"> שקידם משרד האנרגיה </w:t>
      </w:r>
      <w:r w:rsidRPr="007E5741">
        <w:rPr>
          <w:rFonts w:ascii="David" w:eastAsia="Calibri" w:hAnsi="David"/>
          <w:rtl/>
        </w:rPr>
        <w:t>נועד</w:t>
      </w:r>
      <w:r w:rsidRPr="007E5741">
        <w:rPr>
          <w:rFonts w:ascii="David" w:eastAsia="Calibri" w:hAnsi="David" w:hint="cs"/>
          <w:rtl/>
        </w:rPr>
        <w:t>ו</w:t>
      </w:r>
      <w:r w:rsidRPr="007E5741">
        <w:rPr>
          <w:rFonts w:ascii="David" w:eastAsia="Calibri" w:hAnsi="David"/>
          <w:rtl/>
        </w:rPr>
        <w:t xml:space="preserve"> לפתוח את</w:t>
      </w:r>
      <w:r w:rsidRPr="007E5741">
        <w:rPr>
          <w:rFonts w:ascii="David" w:eastAsia="Calibri" w:hAnsi="David" w:hint="cs"/>
          <w:rtl/>
        </w:rPr>
        <w:t xml:space="preserve"> המשק</w:t>
      </w:r>
      <w:r w:rsidRPr="007E5741">
        <w:rPr>
          <w:rFonts w:ascii="David" w:eastAsia="Calibri" w:hAnsi="David"/>
          <w:rtl/>
        </w:rPr>
        <w:t xml:space="preserve"> לתחרות</w:t>
      </w:r>
      <w:r w:rsidRPr="007E5741">
        <w:rPr>
          <w:rFonts w:ascii="David" w:eastAsia="Calibri" w:hAnsi="David" w:hint="cs"/>
          <w:rtl/>
        </w:rPr>
        <w:t>, בייחוד בסקטור מרכזיות של גפ"ם במגזר הביתי</w:t>
      </w:r>
      <w:r w:rsidRPr="007E5741">
        <w:rPr>
          <w:rFonts w:ascii="David" w:eastAsia="Calibri" w:hAnsi="David"/>
          <w:rtl/>
        </w:rPr>
        <w:t>.</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ממסמך של משרד האנרגיה מ-2024</w:t>
      </w:r>
      <w:r>
        <w:rPr>
          <w:rFonts w:ascii="David" w:eastAsia="Calibri" w:hAnsi="David"/>
          <w:vertAlign w:val="superscript"/>
          <w:rtl/>
        </w:rPr>
        <w:footnoteReference w:id="157"/>
      </w:r>
      <w:r w:rsidRPr="007E5741">
        <w:rPr>
          <w:rFonts w:ascii="David" w:eastAsia="Calibri" w:hAnsi="David" w:hint="cs"/>
          <w:rtl/>
        </w:rPr>
        <w:t xml:space="preserve">. עולה כי רק חלק קטן מאוד מן הצרכנים מממשים את זכותם להחליף ספק גז. </w:t>
      </w:r>
    </w:p>
    <w:p w:rsidR="007E5741" w:rsidRPr="007E5741" w:rsidP="002F4530">
      <w:pPr>
        <w:keepNext/>
        <w:keepLines/>
        <w:spacing w:line="269" w:lineRule="auto"/>
        <w:ind w:left="-567"/>
        <w:rPr>
          <w:rFonts w:eastAsia="Calibri"/>
          <w:szCs w:val="20"/>
          <w:rtl/>
        </w:rPr>
      </w:pPr>
    </w:p>
    <w:p w:rsidR="007E5741" w:rsidRPr="007E5741" w:rsidP="002F4530">
      <w:pPr>
        <w:tabs>
          <w:tab w:val="left" w:pos="8286"/>
        </w:tabs>
        <w:spacing w:line="269" w:lineRule="auto"/>
        <w:ind w:right="34"/>
        <w:rPr>
          <w:rFonts w:ascii="David" w:eastAsia="Calibri" w:hAnsi="David"/>
          <w:rtl/>
        </w:rPr>
      </w:pPr>
      <w:r w:rsidRPr="007E5741">
        <w:rPr>
          <w:rFonts w:ascii="David" w:eastAsia="Calibri" w:hAnsi="David" w:hint="cs"/>
          <w:rtl/>
        </w:rPr>
        <w:t>עוד עולה מהמסמך כי למרות העלייה במספר הצרכנים המחליפים ספק גז, החדירה של ספקים קטנים למגזר הביתי וירידת המחירים, רמת התחרות בשוק זה עודנה נמוכה. מרבית הצרכנים אינם מממשים את זכותם להתמקח על המחיר או לעבור לספק המציע מחיר נמוך יותר, בשל הקושי הכרוך בהחלפה, מחוסר ידיעה או מחוסר תשומת לב. כמו כן, מאחר שצנרת הגז בבניין משותף היא רכוש משותף של כלל הדיירים, כל החלטה בנוגע למערכת הגז המותקנת בבניין דורשת הסכמה של יותר ממחצית בעלי הדירות המחוברות למערכת.</w:t>
      </w:r>
    </w:p>
    <w:p w:rsidR="007E5741" w:rsidRPr="007E5741" w:rsidP="002F4530">
      <w:pPr>
        <w:keepNext/>
        <w:keepLines/>
        <w:spacing w:line="269" w:lineRule="auto"/>
        <w:ind w:left="-567"/>
        <w:rPr>
          <w:rFonts w:eastAsia="Calibri"/>
          <w:szCs w:val="20"/>
          <w:rtl/>
        </w:rPr>
      </w:pPr>
    </w:p>
    <w:p w:rsidR="007E5741" w:rsidRPr="007E5741" w:rsidP="002F4530">
      <w:pPr>
        <w:tabs>
          <w:tab w:val="left" w:pos="8286"/>
        </w:tabs>
        <w:spacing w:line="269" w:lineRule="auto"/>
        <w:ind w:right="34"/>
        <w:rPr>
          <w:rFonts w:ascii="David" w:eastAsia="Calibri" w:hAnsi="David"/>
        </w:rPr>
      </w:pPr>
      <w:r w:rsidRPr="007E5741">
        <w:rPr>
          <w:rFonts w:ascii="David" w:eastAsia="Calibri" w:hAnsi="David" w:hint="cs"/>
          <w:rtl/>
        </w:rPr>
        <w:t>מהנתונים שהועברו למשרד האנרגיה עולה כי יותר מ-80% מצרכני הגז לא החליפו מעולם ספק גז וכי זמן ההתקשרות עם ספק הגז של מרבית הלקוחות גדול מ-15 שנה. כמו כן, בתחום החיבור בבניינים חדשים שולטים הספקים הגדולים</w:t>
      </w:r>
      <w:r>
        <w:rPr>
          <w:rFonts w:ascii="David" w:eastAsia="Calibri" w:hAnsi="David"/>
          <w:vertAlign w:val="superscript"/>
          <w:rtl/>
        </w:rPr>
        <w:footnoteReference w:id="158"/>
      </w:r>
      <w:r w:rsidRPr="007E5741">
        <w:rPr>
          <w:rFonts w:ascii="David" w:eastAsia="Calibri" w:hAnsi="David" w:hint="cs"/>
          <w:rtl/>
        </w:rPr>
        <w:t xml:space="preserve">. </w:t>
      </w:r>
    </w:p>
    <w:p w:rsidR="00A87F40" w:rsidP="002F4530">
      <w:pPr>
        <w:bidi w:val="0"/>
        <w:spacing w:after="200" w:line="276" w:lineRule="auto"/>
        <w:rPr>
          <w:rFonts w:ascii="David" w:eastAsia="Calibri" w:hAnsi="David"/>
          <w:b/>
          <w:bCs/>
          <w:rtl/>
        </w:rPr>
      </w:pPr>
      <w:r>
        <w:rPr>
          <w:rFonts w:ascii="David" w:eastAsia="Calibri" w:hAnsi="David"/>
          <w:b/>
          <w:bCs/>
          <w:rtl/>
        </w:rPr>
        <w:br w:type="page"/>
      </w:r>
    </w:p>
    <w:p w:rsidR="007E5741" w:rsidRPr="007E5741" w:rsidP="002F4530">
      <w:pPr>
        <w:tabs>
          <w:tab w:val="left" w:pos="8286"/>
        </w:tabs>
        <w:spacing w:line="269" w:lineRule="auto"/>
        <w:ind w:right="34"/>
        <w:rPr>
          <w:rFonts w:ascii="David" w:eastAsia="Calibri" w:hAnsi="David"/>
          <w:b/>
          <w:bCs/>
          <w:rtl/>
        </w:rPr>
      </w:pPr>
      <w:r w:rsidRPr="007E5741">
        <w:rPr>
          <w:rFonts w:ascii="David" w:eastAsia="Calibri" w:hAnsi="David" w:hint="eastAsia"/>
          <w:b/>
          <w:bCs/>
          <w:rtl/>
        </w:rPr>
        <w:t>מהמידע</w:t>
      </w:r>
      <w:r w:rsidRPr="007E5741">
        <w:rPr>
          <w:rFonts w:ascii="David" w:eastAsia="Calibri" w:hAnsi="David"/>
          <w:b/>
          <w:bCs/>
          <w:rtl/>
        </w:rPr>
        <w:t xml:space="preserve"> שהועבר עולה כי יותר מ-60% מלקוחות ספק גדול נמצאים בהסכם עם אותו ספק </w:t>
      </w:r>
      <w:r w:rsidRPr="007E5741">
        <w:rPr>
          <w:rFonts w:ascii="David" w:eastAsia="Calibri" w:hAnsi="David" w:hint="cs"/>
          <w:b/>
          <w:bCs/>
          <w:rtl/>
        </w:rPr>
        <w:t>יותר</w:t>
      </w:r>
      <w:r w:rsidRPr="007E5741">
        <w:rPr>
          <w:rFonts w:ascii="David" w:eastAsia="Calibri" w:hAnsi="David"/>
          <w:b/>
          <w:bCs/>
          <w:rtl/>
        </w:rPr>
        <w:t xml:space="preserve"> מ-20 שנה</w:t>
      </w:r>
      <w:r w:rsidRPr="007E5741">
        <w:rPr>
          <w:rFonts w:ascii="David" w:eastAsia="Calibri" w:hAnsi="David" w:hint="cs"/>
          <w:b/>
          <w:bCs/>
          <w:rtl/>
        </w:rPr>
        <w:t>,</w:t>
      </w:r>
      <w:r w:rsidRPr="007E5741">
        <w:rPr>
          <w:rFonts w:ascii="David" w:eastAsia="Calibri" w:hAnsi="David"/>
          <w:b/>
          <w:bCs/>
          <w:rtl/>
        </w:rPr>
        <w:t xml:space="preserve"> ויותר מ-40% מהלקוחות של ספק גדול</w:t>
      </w:r>
      <w:r w:rsidRPr="007E5741">
        <w:rPr>
          <w:rFonts w:ascii="David" w:eastAsia="Calibri" w:hAnsi="David" w:hint="cs"/>
          <w:b/>
          <w:bCs/>
          <w:rtl/>
        </w:rPr>
        <w:t xml:space="preserve"> </w:t>
      </w:r>
      <w:r w:rsidRPr="007E5741">
        <w:rPr>
          <w:rFonts w:ascii="David" w:eastAsia="Calibri" w:hAnsi="David"/>
          <w:b/>
          <w:bCs/>
          <w:rtl/>
        </w:rPr>
        <w:t xml:space="preserve">בהסכם עם אותו ספק </w:t>
      </w:r>
      <w:r w:rsidRPr="007E5741">
        <w:rPr>
          <w:rFonts w:ascii="David" w:eastAsia="Calibri" w:hAnsi="David" w:hint="cs"/>
          <w:b/>
          <w:bCs/>
          <w:rtl/>
        </w:rPr>
        <w:t>יותר</w:t>
      </w:r>
      <w:r w:rsidRPr="007E5741">
        <w:rPr>
          <w:rFonts w:ascii="David" w:eastAsia="Calibri" w:hAnsi="David"/>
          <w:b/>
          <w:bCs/>
          <w:rtl/>
        </w:rPr>
        <w:t xml:space="preserve"> מ-25 שנה. עוד עולה כי </w:t>
      </w:r>
      <w:r w:rsidRPr="007E5741">
        <w:rPr>
          <w:rFonts w:ascii="David" w:eastAsia="Calibri" w:hAnsi="David" w:hint="cs"/>
          <w:b/>
          <w:bCs/>
          <w:rtl/>
        </w:rPr>
        <w:t>יותר</w:t>
      </w:r>
      <w:r w:rsidRPr="007E5741">
        <w:rPr>
          <w:rFonts w:ascii="David" w:eastAsia="Calibri" w:hAnsi="David"/>
          <w:b/>
          <w:bCs/>
          <w:rtl/>
        </w:rPr>
        <w:t xml:space="preserve"> מ-80% מכלל </w:t>
      </w:r>
      <w:r w:rsidRPr="007E5741">
        <w:rPr>
          <w:rFonts w:ascii="David" w:eastAsia="Calibri" w:hAnsi="David" w:hint="eastAsia"/>
          <w:b/>
          <w:bCs/>
          <w:rtl/>
        </w:rPr>
        <w:t>לקוחות</w:t>
      </w:r>
      <w:r w:rsidRPr="007E5741">
        <w:rPr>
          <w:rFonts w:ascii="David" w:eastAsia="Calibri" w:hAnsi="David"/>
          <w:b/>
          <w:bCs/>
          <w:rtl/>
        </w:rPr>
        <w:t xml:space="preserve"> </w:t>
      </w:r>
      <w:r w:rsidRPr="007E5741">
        <w:rPr>
          <w:rFonts w:ascii="David" w:eastAsia="Calibri" w:hAnsi="David" w:hint="eastAsia"/>
          <w:b/>
          <w:bCs/>
          <w:rtl/>
        </w:rPr>
        <w:t>הספק</w:t>
      </w:r>
      <w:r w:rsidRPr="007E5741">
        <w:rPr>
          <w:rFonts w:ascii="David" w:eastAsia="Calibri" w:hAnsi="David"/>
          <w:b/>
          <w:bCs/>
          <w:rtl/>
        </w:rPr>
        <w:t xml:space="preserve"> הגדול וכ-95% </w:t>
      </w:r>
      <w:r w:rsidRPr="007E5741">
        <w:rPr>
          <w:rFonts w:ascii="David" w:eastAsia="Calibri" w:hAnsi="David" w:hint="eastAsia"/>
          <w:b/>
          <w:bCs/>
          <w:rtl/>
        </w:rPr>
        <w:t>מהלקוחות</w:t>
      </w:r>
      <w:r w:rsidRPr="007E5741">
        <w:rPr>
          <w:rFonts w:ascii="David" w:eastAsia="Calibri" w:hAnsi="David"/>
          <w:b/>
          <w:bCs/>
          <w:rtl/>
        </w:rPr>
        <w:t xml:space="preserve"> </w:t>
      </w:r>
      <w:r w:rsidRPr="007E5741">
        <w:rPr>
          <w:rFonts w:ascii="David" w:eastAsia="Calibri" w:hAnsi="David" w:hint="eastAsia"/>
          <w:b/>
          <w:bCs/>
          <w:rtl/>
        </w:rPr>
        <w:t>הוותיקים</w:t>
      </w:r>
      <w:r w:rsidRPr="007E5741">
        <w:rPr>
          <w:rFonts w:ascii="David" w:eastAsia="Calibri" w:hAnsi="David"/>
          <w:b/>
          <w:bCs/>
          <w:rtl/>
        </w:rPr>
        <w:t xml:space="preserve"> </w:t>
      </w:r>
      <w:r w:rsidRPr="007E5741">
        <w:rPr>
          <w:rFonts w:ascii="David" w:eastAsia="Calibri" w:hAnsi="David" w:hint="eastAsia"/>
          <w:b/>
          <w:bCs/>
          <w:rtl/>
        </w:rPr>
        <w:t>ביותר</w:t>
      </w:r>
      <w:r w:rsidRPr="007E5741">
        <w:rPr>
          <w:rFonts w:ascii="David" w:eastAsia="Calibri" w:hAnsi="David"/>
          <w:b/>
          <w:bCs/>
          <w:rtl/>
        </w:rPr>
        <w:t xml:space="preserve"> </w:t>
      </w:r>
      <w:r w:rsidRPr="007E5741">
        <w:rPr>
          <w:rFonts w:ascii="David" w:eastAsia="Calibri" w:hAnsi="David" w:hint="eastAsia"/>
          <w:b/>
          <w:bCs/>
          <w:rtl/>
        </w:rPr>
        <w:t>שלו</w:t>
      </w:r>
      <w:r w:rsidRPr="007E5741">
        <w:rPr>
          <w:rFonts w:ascii="David" w:eastAsia="Calibri" w:hAnsi="David"/>
          <w:b/>
          <w:bCs/>
          <w:rtl/>
        </w:rPr>
        <w:t xml:space="preserve"> (בעלי </w:t>
      </w:r>
      <w:r w:rsidRPr="007E5741">
        <w:rPr>
          <w:rFonts w:ascii="David" w:eastAsia="Calibri" w:hAnsi="David" w:hint="eastAsia"/>
          <w:b/>
          <w:bCs/>
          <w:rtl/>
        </w:rPr>
        <w:t>ותק</w:t>
      </w:r>
      <w:r w:rsidRPr="007E5741">
        <w:rPr>
          <w:rFonts w:ascii="David" w:eastAsia="Calibri" w:hAnsi="David"/>
          <w:b/>
          <w:bCs/>
          <w:rtl/>
        </w:rPr>
        <w:t xml:space="preserve"> </w:t>
      </w:r>
      <w:r w:rsidRPr="007E5741">
        <w:rPr>
          <w:rFonts w:ascii="David" w:eastAsia="Calibri" w:hAnsi="David" w:hint="eastAsia"/>
          <w:b/>
          <w:bCs/>
          <w:rtl/>
        </w:rPr>
        <w:t>של</w:t>
      </w:r>
      <w:r w:rsidRPr="007E5741">
        <w:rPr>
          <w:rFonts w:ascii="David" w:eastAsia="Calibri" w:hAnsi="David"/>
          <w:b/>
          <w:bCs/>
          <w:rtl/>
        </w:rPr>
        <w:t xml:space="preserve"> </w:t>
      </w:r>
      <w:r w:rsidRPr="007E5741">
        <w:rPr>
          <w:rFonts w:ascii="David" w:eastAsia="Calibri" w:hAnsi="David" w:hint="cs"/>
          <w:b/>
          <w:bCs/>
          <w:rtl/>
        </w:rPr>
        <w:t>יותר</w:t>
      </w:r>
      <w:r w:rsidRPr="007E5741">
        <w:rPr>
          <w:rFonts w:ascii="David" w:eastAsia="Calibri" w:hAnsi="David"/>
          <w:b/>
          <w:bCs/>
          <w:rtl/>
        </w:rPr>
        <w:t xml:space="preserve"> </w:t>
      </w:r>
      <w:r w:rsidRPr="007E5741">
        <w:rPr>
          <w:rFonts w:ascii="David" w:eastAsia="Calibri" w:hAnsi="David" w:hint="eastAsia"/>
          <w:b/>
          <w:bCs/>
          <w:rtl/>
        </w:rPr>
        <w:t>מ</w:t>
      </w:r>
      <w:r w:rsidRPr="007E5741">
        <w:rPr>
          <w:rFonts w:ascii="David" w:eastAsia="Calibri" w:hAnsi="David"/>
          <w:b/>
          <w:bCs/>
          <w:rtl/>
        </w:rPr>
        <w:t xml:space="preserve">-25 </w:t>
      </w:r>
      <w:r w:rsidRPr="007E5741">
        <w:rPr>
          <w:rFonts w:ascii="David" w:eastAsia="Calibri" w:hAnsi="David" w:hint="eastAsia"/>
          <w:b/>
          <w:bCs/>
          <w:rtl/>
        </w:rPr>
        <w:t>שנה</w:t>
      </w:r>
      <w:r w:rsidRPr="007E5741">
        <w:rPr>
          <w:rFonts w:ascii="David" w:eastAsia="Calibri" w:hAnsi="David"/>
          <w:b/>
          <w:bCs/>
          <w:rtl/>
        </w:rPr>
        <w:t xml:space="preserve">) </w:t>
      </w:r>
      <w:r w:rsidRPr="007E5741">
        <w:rPr>
          <w:rFonts w:ascii="David" w:eastAsia="Calibri" w:hAnsi="David" w:hint="eastAsia"/>
          <w:b/>
          <w:bCs/>
          <w:rtl/>
        </w:rPr>
        <w:t>לא</w:t>
      </w:r>
      <w:r w:rsidRPr="007E5741">
        <w:rPr>
          <w:rFonts w:ascii="David" w:eastAsia="Calibri" w:hAnsi="David"/>
          <w:b/>
          <w:bCs/>
          <w:rtl/>
        </w:rPr>
        <w:t xml:space="preserve"> </w:t>
      </w:r>
      <w:r w:rsidRPr="007E5741">
        <w:rPr>
          <w:rFonts w:ascii="David" w:eastAsia="Calibri" w:hAnsi="David" w:hint="eastAsia"/>
          <w:b/>
          <w:bCs/>
          <w:rtl/>
        </w:rPr>
        <w:t>החליפו</w:t>
      </w:r>
      <w:r w:rsidRPr="007E5741">
        <w:rPr>
          <w:rFonts w:ascii="David" w:eastAsia="Calibri" w:hAnsi="David"/>
          <w:b/>
          <w:bCs/>
          <w:rtl/>
        </w:rPr>
        <w:t xml:space="preserve"> </w:t>
      </w:r>
      <w:r w:rsidRPr="007E5741">
        <w:rPr>
          <w:rFonts w:ascii="David" w:eastAsia="Calibri" w:hAnsi="David" w:hint="eastAsia"/>
          <w:b/>
          <w:bCs/>
          <w:rtl/>
        </w:rPr>
        <w:t>ספק</w:t>
      </w:r>
      <w:r w:rsidRPr="007E5741">
        <w:rPr>
          <w:rFonts w:ascii="David" w:eastAsia="Calibri" w:hAnsi="David"/>
          <w:b/>
          <w:bCs/>
          <w:rtl/>
        </w:rPr>
        <w:t xml:space="preserve"> </w:t>
      </w:r>
      <w:r w:rsidRPr="007E5741">
        <w:rPr>
          <w:rFonts w:ascii="David" w:eastAsia="Calibri" w:hAnsi="David" w:hint="eastAsia"/>
          <w:b/>
          <w:bCs/>
          <w:rtl/>
        </w:rPr>
        <w:t>גז</w:t>
      </w:r>
      <w:r w:rsidRPr="007E5741">
        <w:rPr>
          <w:rFonts w:ascii="David" w:eastAsia="Calibri" w:hAnsi="David"/>
          <w:b/>
          <w:bCs/>
          <w:rtl/>
        </w:rPr>
        <w:t xml:space="preserve"> </w:t>
      </w:r>
      <w:r w:rsidRPr="007E5741">
        <w:rPr>
          <w:rFonts w:ascii="David" w:eastAsia="Calibri" w:hAnsi="David" w:hint="eastAsia"/>
          <w:b/>
          <w:bCs/>
          <w:rtl/>
        </w:rPr>
        <w:t>מאז</w:t>
      </w:r>
      <w:r w:rsidRPr="007E5741">
        <w:rPr>
          <w:rFonts w:ascii="David" w:eastAsia="Calibri" w:hAnsi="David"/>
          <w:b/>
          <w:bCs/>
          <w:rtl/>
        </w:rPr>
        <w:t xml:space="preserve"> </w:t>
      </w:r>
      <w:r w:rsidRPr="007E5741">
        <w:rPr>
          <w:rFonts w:ascii="David" w:eastAsia="Calibri" w:hAnsi="David" w:hint="eastAsia"/>
          <w:b/>
          <w:bCs/>
          <w:rtl/>
        </w:rPr>
        <w:t>הקמת</w:t>
      </w:r>
      <w:r w:rsidRPr="007E5741">
        <w:rPr>
          <w:rFonts w:ascii="David" w:eastAsia="Calibri" w:hAnsi="David"/>
          <w:b/>
          <w:bCs/>
          <w:rtl/>
        </w:rPr>
        <w:t xml:space="preserve"> </w:t>
      </w:r>
      <w:r w:rsidRPr="007E5741">
        <w:rPr>
          <w:rFonts w:ascii="David" w:eastAsia="Calibri" w:hAnsi="David" w:hint="eastAsia"/>
          <w:b/>
          <w:bCs/>
          <w:rtl/>
        </w:rPr>
        <w:t>הבניין</w:t>
      </w:r>
      <w:r w:rsidRPr="007E5741">
        <w:rPr>
          <w:rFonts w:ascii="David" w:eastAsia="Calibri" w:hAnsi="David"/>
          <w:b/>
          <w:bCs/>
          <w:rtl/>
        </w:rPr>
        <w:t>.</w:t>
      </w:r>
      <w:r w:rsidRPr="007E5741">
        <w:rPr>
          <w:rFonts w:ascii="David" w:eastAsia="Calibri" w:hAnsi="David" w:hint="cs"/>
          <w:b/>
          <w:bCs/>
          <w:rtl/>
        </w:rPr>
        <w:t xml:space="preserve">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b/>
          <w:bCs/>
          <w:rtl/>
        </w:rPr>
      </w:pPr>
      <w:r w:rsidRPr="007E5741">
        <w:rPr>
          <w:rFonts w:ascii="David" w:eastAsia="Calibri" w:hAnsi="David" w:hint="eastAsia"/>
          <w:b/>
          <w:bCs/>
          <w:rtl/>
        </w:rPr>
        <w:t>מפגישה</w:t>
      </w:r>
      <w:r w:rsidRPr="007E5741">
        <w:rPr>
          <w:rFonts w:ascii="David" w:eastAsia="Calibri" w:hAnsi="David"/>
          <w:b/>
          <w:bCs/>
          <w:rtl/>
        </w:rPr>
        <w:t xml:space="preserve"> שקיים צוות הביקורת עם מינהל הדלק בנובמבר 2025 עולה כי משרד האנרגיה ניסה לקדם את תיקונן של תקנות שיאפשרו לדיירים בבניין חדש לבחור בעצמם את ספק הגז </w:t>
      </w:r>
      <w:r w:rsidRPr="007E5741">
        <w:rPr>
          <w:rFonts w:eastAsia="Calibri" w:hint="eastAsia"/>
          <w:b/>
          <w:bCs/>
          <w:rtl/>
        </w:rPr>
        <w:t>שיספק</w:t>
      </w:r>
      <w:r w:rsidRPr="007E5741">
        <w:rPr>
          <w:rFonts w:eastAsia="Calibri"/>
          <w:b/>
          <w:bCs/>
          <w:rtl/>
        </w:rPr>
        <w:t xml:space="preserve"> </w:t>
      </w:r>
      <w:r w:rsidRPr="007E5741">
        <w:rPr>
          <w:rFonts w:eastAsia="Calibri" w:hint="eastAsia"/>
          <w:b/>
          <w:bCs/>
          <w:rtl/>
        </w:rPr>
        <w:t>גז</w:t>
      </w:r>
      <w:r w:rsidRPr="007E5741">
        <w:rPr>
          <w:rFonts w:eastAsia="Calibri"/>
          <w:b/>
          <w:bCs/>
          <w:rtl/>
        </w:rPr>
        <w:t xml:space="preserve"> </w:t>
      </w:r>
      <w:r w:rsidRPr="007E5741">
        <w:rPr>
          <w:rFonts w:eastAsia="Calibri" w:hint="eastAsia"/>
          <w:b/>
          <w:bCs/>
          <w:rtl/>
        </w:rPr>
        <w:t>לראשונה</w:t>
      </w:r>
      <w:r w:rsidRPr="007E5741">
        <w:rPr>
          <w:rFonts w:eastAsia="Calibri"/>
          <w:b/>
          <w:bCs/>
          <w:rtl/>
        </w:rPr>
        <w:t xml:space="preserve"> </w:t>
      </w:r>
      <w:r w:rsidRPr="007E5741">
        <w:rPr>
          <w:rFonts w:eastAsia="Calibri" w:hint="eastAsia"/>
          <w:b/>
          <w:bCs/>
          <w:rtl/>
        </w:rPr>
        <w:t>למערכת</w:t>
      </w:r>
      <w:r w:rsidRPr="007E5741">
        <w:rPr>
          <w:rFonts w:eastAsia="Calibri"/>
          <w:b/>
          <w:bCs/>
          <w:rtl/>
        </w:rPr>
        <w:t xml:space="preserve"> </w:t>
      </w:r>
      <w:r w:rsidRPr="007E5741">
        <w:rPr>
          <w:rFonts w:eastAsia="Calibri" w:hint="eastAsia"/>
          <w:b/>
          <w:bCs/>
          <w:rtl/>
        </w:rPr>
        <w:t>גז</w:t>
      </w:r>
      <w:r w:rsidRPr="007E5741">
        <w:rPr>
          <w:rFonts w:eastAsia="Calibri"/>
          <w:b/>
          <w:bCs/>
          <w:rtl/>
        </w:rPr>
        <w:t xml:space="preserve"> </w:t>
      </w:r>
      <w:r w:rsidRPr="007E5741">
        <w:rPr>
          <w:rFonts w:eastAsia="Calibri" w:hint="eastAsia"/>
          <w:b/>
          <w:bCs/>
          <w:rtl/>
        </w:rPr>
        <w:t>מרכזית</w:t>
      </w:r>
      <w:r w:rsidRPr="007E5741">
        <w:rPr>
          <w:rFonts w:eastAsia="Calibri"/>
          <w:b/>
          <w:bCs/>
          <w:rtl/>
        </w:rPr>
        <w:t xml:space="preserve"> </w:t>
      </w:r>
      <w:r w:rsidRPr="007E5741">
        <w:rPr>
          <w:rFonts w:eastAsia="Calibri" w:hint="eastAsia"/>
          <w:b/>
          <w:bCs/>
          <w:rtl/>
        </w:rPr>
        <w:t>חדשה</w:t>
      </w:r>
      <w:r w:rsidRPr="007E5741">
        <w:rPr>
          <w:rFonts w:ascii="David" w:eastAsia="Calibri" w:hAnsi="David"/>
          <w:b/>
          <w:bCs/>
          <w:rtl/>
        </w:rPr>
        <w:t xml:space="preserve">, עוד לפני כניסתם לדירה, </w:t>
      </w:r>
      <w:r w:rsidRPr="007E5741">
        <w:rPr>
          <w:rFonts w:eastAsia="Calibri" w:hint="eastAsia"/>
          <w:b/>
          <w:bCs/>
          <w:rtl/>
        </w:rPr>
        <w:t>בשונה</w:t>
      </w:r>
      <w:r w:rsidRPr="007E5741">
        <w:rPr>
          <w:rFonts w:eastAsia="Calibri"/>
          <w:b/>
          <w:bCs/>
          <w:rtl/>
        </w:rPr>
        <w:t xml:space="preserve"> </w:t>
      </w:r>
      <w:r w:rsidRPr="007E5741">
        <w:rPr>
          <w:rFonts w:eastAsia="Calibri" w:hint="eastAsia"/>
          <w:b/>
          <w:bCs/>
          <w:rtl/>
        </w:rPr>
        <w:t>מהמקובל</w:t>
      </w:r>
      <w:r w:rsidRPr="007E5741">
        <w:rPr>
          <w:rFonts w:eastAsia="Calibri"/>
          <w:b/>
          <w:bCs/>
          <w:rtl/>
        </w:rPr>
        <w:t xml:space="preserve"> </w:t>
      </w:r>
      <w:r w:rsidRPr="007E5741">
        <w:rPr>
          <w:rFonts w:eastAsia="Calibri" w:hint="eastAsia"/>
          <w:b/>
          <w:bCs/>
          <w:rtl/>
        </w:rPr>
        <w:t>היום</w:t>
      </w:r>
      <w:r w:rsidRPr="007E5741">
        <w:rPr>
          <w:rFonts w:eastAsia="Calibri"/>
          <w:b/>
          <w:bCs/>
          <w:rtl/>
        </w:rPr>
        <w:t xml:space="preserve"> </w:t>
      </w:r>
      <w:r w:rsidRPr="007E5741">
        <w:rPr>
          <w:rFonts w:eastAsia="Calibri" w:hint="eastAsia"/>
          <w:b/>
          <w:bCs/>
          <w:rtl/>
        </w:rPr>
        <w:t>שהקבלן</w:t>
      </w:r>
      <w:r w:rsidRPr="007E5741">
        <w:rPr>
          <w:rFonts w:eastAsia="Calibri"/>
          <w:b/>
          <w:bCs/>
          <w:rtl/>
        </w:rPr>
        <w:t xml:space="preserve"> </w:t>
      </w:r>
      <w:r w:rsidRPr="007E5741">
        <w:rPr>
          <w:rFonts w:eastAsia="Calibri" w:hint="eastAsia"/>
          <w:b/>
          <w:bCs/>
          <w:rtl/>
        </w:rPr>
        <w:t>הוא</w:t>
      </w:r>
      <w:r w:rsidRPr="007E5741">
        <w:rPr>
          <w:rFonts w:eastAsia="Calibri"/>
          <w:b/>
          <w:bCs/>
          <w:rtl/>
        </w:rPr>
        <w:t xml:space="preserve"> </w:t>
      </w:r>
      <w:r w:rsidRPr="007E5741">
        <w:rPr>
          <w:rFonts w:eastAsia="Calibri" w:hint="eastAsia"/>
          <w:b/>
          <w:bCs/>
          <w:rtl/>
        </w:rPr>
        <w:t>שבוחר</w:t>
      </w:r>
      <w:r w:rsidRPr="007E5741">
        <w:rPr>
          <w:rFonts w:eastAsia="Calibri"/>
          <w:b/>
          <w:bCs/>
          <w:rtl/>
        </w:rPr>
        <w:t xml:space="preserve"> </w:t>
      </w:r>
      <w:r w:rsidRPr="007E5741">
        <w:rPr>
          <w:rFonts w:eastAsia="Calibri" w:hint="eastAsia"/>
          <w:b/>
          <w:bCs/>
          <w:rtl/>
        </w:rPr>
        <w:t>עבור</w:t>
      </w:r>
      <w:r w:rsidRPr="007E5741">
        <w:rPr>
          <w:rFonts w:eastAsia="Calibri"/>
          <w:b/>
          <w:bCs/>
          <w:rtl/>
        </w:rPr>
        <w:t xml:space="preserve"> </w:t>
      </w:r>
      <w:r w:rsidRPr="007E5741">
        <w:rPr>
          <w:rFonts w:eastAsia="Calibri" w:hint="eastAsia"/>
          <w:b/>
          <w:bCs/>
          <w:rtl/>
        </w:rPr>
        <w:t>הצרכנים</w:t>
      </w:r>
      <w:r w:rsidRPr="007E5741">
        <w:rPr>
          <w:rFonts w:eastAsia="Calibri"/>
          <w:b/>
          <w:bCs/>
          <w:rtl/>
        </w:rPr>
        <w:t xml:space="preserve"> </w:t>
      </w:r>
      <w:r w:rsidRPr="007E5741">
        <w:rPr>
          <w:rFonts w:eastAsia="Calibri" w:hint="eastAsia"/>
          <w:b/>
          <w:bCs/>
          <w:rtl/>
        </w:rPr>
        <w:t>את</w:t>
      </w:r>
      <w:r w:rsidRPr="007E5741">
        <w:rPr>
          <w:rFonts w:eastAsia="Calibri"/>
          <w:b/>
          <w:bCs/>
          <w:rtl/>
        </w:rPr>
        <w:t xml:space="preserve"> </w:t>
      </w:r>
      <w:r w:rsidRPr="007E5741">
        <w:rPr>
          <w:rFonts w:eastAsia="Calibri" w:hint="eastAsia"/>
          <w:b/>
          <w:bCs/>
          <w:rtl/>
        </w:rPr>
        <w:t>ספק</w:t>
      </w:r>
      <w:r w:rsidRPr="007E5741">
        <w:rPr>
          <w:rFonts w:eastAsia="Calibri"/>
          <w:b/>
          <w:bCs/>
          <w:rtl/>
        </w:rPr>
        <w:t xml:space="preserve"> </w:t>
      </w:r>
      <w:r w:rsidRPr="007E5741">
        <w:rPr>
          <w:rFonts w:eastAsia="Calibri" w:hint="eastAsia"/>
          <w:b/>
          <w:bCs/>
          <w:rtl/>
        </w:rPr>
        <w:t>הגז</w:t>
      </w:r>
      <w:r w:rsidRPr="007E5741">
        <w:rPr>
          <w:rFonts w:eastAsia="Calibri"/>
          <w:b/>
          <w:bCs/>
          <w:rtl/>
        </w:rPr>
        <w:t xml:space="preserve"> </w:t>
      </w:r>
      <w:r w:rsidRPr="007E5741">
        <w:rPr>
          <w:rFonts w:eastAsia="Calibri" w:hint="eastAsia"/>
          <w:b/>
          <w:bCs/>
          <w:rtl/>
        </w:rPr>
        <w:t>הראשון</w:t>
      </w:r>
      <w:r w:rsidRPr="007E5741">
        <w:rPr>
          <w:rFonts w:eastAsia="Calibri"/>
          <w:b/>
          <w:bCs/>
          <w:rtl/>
        </w:rPr>
        <w:t>.</w:t>
      </w:r>
      <w:r w:rsidRPr="007E5741">
        <w:rPr>
          <w:rFonts w:ascii="David" w:eastAsia="Calibri" w:hAnsi="David"/>
          <w:b/>
          <w:bCs/>
          <w:rtl/>
        </w:rPr>
        <w:t xml:space="preserve"> </w:t>
      </w:r>
      <w:r w:rsidRPr="007E5741">
        <w:rPr>
          <w:rFonts w:ascii="David" w:eastAsia="Calibri" w:hAnsi="David" w:hint="eastAsia"/>
          <w:b/>
          <w:bCs/>
          <w:rtl/>
        </w:rPr>
        <w:t>יצוין</w:t>
      </w:r>
      <w:r w:rsidRPr="007E5741">
        <w:rPr>
          <w:rFonts w:ascii="David" w:eastAsia="Calibri" w:hAnsi="David"/>
          <w:b/>
          <w:bCs/>
          <w:rtl/>
        </w:rPr>
        <w:t xml:space="preserve"> </w:t>
      </w:r>
      <w:r w:rsidRPr="007E5741">
        <w:rPr>
          <w:rFonts w:ascii="David" w:eastAsia="Calibri" w:hAnsi="David" w:hint="eastAsia"/>
          <w:b/>
          <w:bCs/>
          <w:rtl/>
        </w:rPr>
        <w:t>כי</w:t>
      </w:r>
      <w:r w:rsidRPr="007E5741">
        <w:rPr>
          <w:rFonts w:ascii="David" w:eastAsia="Calibri" w:hAnsi="David" w:hint="cs"/>
          <w:b/>
          <w:bCs/>
          <w:rtl/>
        </w:rPr>
        <w:t xml:space="preserve"> הנושא עלה על סדר היום גם בשנים עברו </w:t>
      </w:r>
      <w:r w:rsidRPr="007E5741">
        <w:rPr>
          <w:rFonts w:ascii="David" w:eastAsia="Calibri" w:hAnsi="David" w:hint="eastAsia"/>
          <w:b/>
          <w:bCs/>
          <w:rtl/>
        </w:rPr>
        <w:t>ועם</w:t>
      </w:r>
      <w:r w:rsidRPr="007E5741">
        <w:rPr>
          <w:rFonts w:ascii="David" w:eastAsia="Calibri" w:hAnsi="David"/>
          <w:b/>
          <w:bCs/>
          <w:rtl/>
        </w:rPr>
        <w:t xml:space="preserve"> זאת, עד מועד סיום הביקורת טרם תוקנו התקנות.</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 xml:space="preserve">לפי התקנות המוצעות, התקשרות של קבלן עם ספק גז תיעשה בדרך של פנייה לקבלת הצעות. בין שנה לפני מועד האכלוס לתשעה חודשים לפני מועד האכלוס יעביר הקבלן טופס לשישה ספקי גז לפחות לקבלת הצעת מחיר לשירותי אספקת גז. הקבלן יעביר את ההצעות מספקי הגז לכל מי שעד אותו מועד חתם עימו על הסכם לרכישת דירה (להלן - רוכשי הדירות) ויודיע להם על אפשרותם להודיע לו עם איזה ספק גז הם מבקשים להתקשר. הקבלן יודיע לרוכשי הדירות כי באפשרותם להתקשר עם ספק גז אחר שיבחרו. הקבלן יבחר את ספק הגז שעימו ביקשו להתקשר רוב רוכשי הדירות שהודיעו לקבלן על בחירתם, ולא פחות מארבעה רוכשי דירות. בכל מקרה שבו לא נבחר ספק על ידי רוב רוכשי הדירות יבחר הקבלן את ההצעה בעלת המחיר הנמוך ביותר.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rtl/>
        </w:rPr>
      </w:pPr>
      <w:r w:rsidRPr="007E5741">
        <w:rPr>
          <w:rFonts w:ascii="David" w:eastAsia="Calibri" w:hAnsi="David" w:hint="cs"/>
          <w:rtl/>
        </w:rPr>
        <w:t>עוד קובעות התקנות המוצעות כי בשלוש השנים הראשונות שלאחר הפעלת מערכת הגז המרכזית לא יהיה ספק הגז הנבחר רשאי לגבות מצרכני הגז מחיר חיבור דירה למערכת הגז המרכזית או דמי שימוש קבועים העולים על המחירים שפירט בהצעתו. בשנה הראשונה שלאחר הפעלת מערכת הגז המרכזית לא יהיה ספק הגז רשאי לגבות מצרכני הגז מחיר למ"ק גז העולה על המחיר שפירט בהצעתו.</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 xml:space="preserve">מבדיקת משרד מבקר המדינה עולה כי רשות התחרות נדרשה לבעיות התחרות במקטע השיווק של בניינים משותפים בנובמבר 2022 בדיוני הצוות הבין-משרדי לצמצום השימוש בגפ"ם. מפגישה שערך צוות הביקורת עם מינהל הדלק בנובמבר 2025 עולה כי מנובמבר 2022 </w:t>
      </w:r>
      <w:r w:rsidRPr="007E5741">
        <w:rPr>
          <w:rFonts w:ascii="David" w:eastAsia="Calibri" w:hAnsi="David" w:hint="eastAsia"/>
          <w:rtl/>
        </w:rPr>
        <w:t>לא</w:t>
      </w:r>
      <w:r w:rsidRPr="007E5741">
        <w:rPr>
          <w:rFonts w:ascii="David" w:eastAsia="Calibri" w:hAnsi="David"/>
          <w:rtl/>
        </w:rPr>
        <w:t xml:space="preserve"> </w:t>
      </w:r>
      <w:r w:rsidRPr="007E5741">
        <w:rPr>
          <w:rFonts w:ascii="David" w:eastAsia="Calibri" w:hAnsi="David" w:hint="eastAsia"/>
          <w:rtl/>
        </w:rPr>
        <w:t>נדרשו</w:t>
      </w:r>
      <w:r w:rsidRPr="007E5741">
        <w:rPr>
          <w:rFonts w:ascii="David" w:eastAsia="Calibri" w:hAnsi="David"/>
          <w:rtl/>
        </w:rPr>
        <w:t xml:space="preserve"> </w:t>
      </w:r>
      <w:r w:rsidRPr="007E5741">
        <w:rPr>
          <w:rFonts w:ascii="David" w:eastAsia="Calibri" w:hAnsi="David" w:hint="cs"/>
          <w:rtl/>
        </w:rPr>
        <w:t xml:space="preserve">משרד האנרגיה ורשות התחרות </w:t>
      </w:r>
      <w:r w:rsidRPr="007E5741">
        <w:rPr>
          <w:rFonts w:ascii="David" w:eastAsia="Calibri" w:hAnsi="David" w:hint="eastAsia"/>
          <w:rtl/>
        </w:rPr>
        <w:t>במשותף</w:t>
      </w:r>
      <w:r w:rsidRPr="007E5741">
        <w:rPr>
          <w:rFonts w:ascii="David" w:eastAsia="Calibri" w:hAnsi="David"/>
          <w:rtl/>
        </w:rPr>
        <w:t xml:space="preserve"> </w:t>
      </w:r>
      <w:r w:rsidRPr="007E5741">
        <w:rPr>
          <w:rFonts w:ascii="David" w:eastAsia="Calibri" w:hAnsi="David" w:hint="cs"/>
          <w:rtl/>
        </w:rPr>
        <w:t>לנושא מעבר לקוחות בין ספקי הגפ"ם.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משרד מבקר המדינה בדק את מספר מעברי הלקוחות שצורכים גז באמצעות מרכזיית מכלים ובאמצעות מרכזיית מכל נייח מחברת גז אחת לאחרת בשנת 2023. להלן ממצאי הבדיקה.</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4"/>
        <w:rPr>
          <w:rFonts w:eastAsia="Times New Roman"/>
          <w:bCs/>
          <w:spacing w:val="40"/>
          <w:rtl/>
        </w:rPr>
      </w:pPr>
      <w:r w:rsidRPr="007E5741">
        <w:rPr>
          <w:rFonts w:eastAsia="Times New Roman" w:hint="cs"/>
          <w:bCs/>
          <w:spacing w:val="40"/>
          <w:rtl/>
        </w:rPr>
        <w:t>מרכזיית מכלים</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hint="cs"/>
          <w:rtl/>
        </w:rPr>
        <w:t>בשנת 2023 היו בסך הכול 8,418 מעברי לקוחות מתוך 355,376 לקוחות שצורכים גז באמצעות מרכזיית מכלים</w:t>
      </w:r>
      <w:r>
        <w:rPr>
          <w:rFonts w:ascii="David" w:eastAsia="Calibri" w:hAnsi="David"/>
          <w:vertAlign w:val="superscript"/>
          <w:rtl/>
        </w:rPr>
        <w:footnoteReference w:id="159"/>
      </w:r>
      <w:r w:rsidRPr="007E5741">
        <w:rPr>
          <w:rFonts w:ascii="David" w:eastAsia="Calibri" w:hAnsi="David" w:hint="cs"/>
          <w:rtl/>
        </w:rPr>
        <w:t xml:space="preserve"> (כ-2.3%). בשנת 2024 היו בסך הכול 8,788 מעברי לקוחות מתוך 267,306 לקוחות שצורכים גז באמצעות מרכזיית מכלים (כ-3.2%). מניתוח של הנתונים עולה כי בסך הכול בשנים 2023 - 2024 היו יותר עזיבות של לקוחות מהספקים הגדולים (14,181) מאשר מעברי לקוחות אליהם (6,621). לעומת זאת, היו יותר מעברי לקוחות אל הספקים הקטנים (10,585) מאשר עזיבות של לקוחות מהם (3,025). משמע, מכלל העזיבות בשנים אלה, 82% מהלקוחות עזבו את הספקים הגדולים.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משרד מבקר המדינה בחן את מגמת העזיבות של הלקוחות של הספקים הגדולים במהלך השנים האמורות. בתרשים שלהלן מפורטים יעדי מעברי הלקוחות שצורכים גז באמצעות מרכזיית מכלים מהספקים הגדולים לספקים אחרים בשנים 2023 - 2024, בהתבסס על דיווחים למינהל הדלק של הספקים שאליהם עברו הלקוחות.</w:t>
      </w:r>
    </w:p>
    <w:p w:rsidR="007E5741" w:rsidRPr="007E5741" w:rsidP="002F4530">
      <w:pPr>
        <w:spacing w:line="269" w:lineRule="auto"/>
        <w:jc w:val="center"/>
        <w:rPr>
          <w:rFonts w:eastAsia="Calibri"/>
          <w:b/>
          <w:bCs/>
          <w:rtl/>
        </w:rPr>
      </w:pPr>
      <w:r w:rsidRPr="007E5741">
        <w:rPr>
          <w:rFonts w:eastAsia="Calibri" w:hint="eastAsia"/>
          <w:rtl/>
        </w:rPr>
        <w:t>תרשים</w:t>
      </w:r>
      <w:r w:rsidRPr="007E5741">
        <w:rPr>
          <w:rFonts w:eastAsia="Calibri"/>
          <w:rtl/>
        </w:rPr>
        <w:t xml:space="preserve"> 32: </w:t>
      </w:r>
      <w:r w:rsidRPr="007E5741">
        <w:rPr>
          <w:rFonts w:eastAsia="Calibri" w:hint="cs"/>
          <w:b/>
          <w:bCs/>
          <w:rtl/>
        </w:rPr>
        <w:t>מעברי לקוחות שצורכים גז באמצעות מרכזיית מכלים מהספקים הגדולים לספקים אחרים, 2023 - 2024</w:t>
      </w:r>
    </w:p>
    <w:p w:rsidR="007E5741" w:rsidRPr="007E5741" w:rsidP="00CA2309">
      <w:pPr>
        <w:spacing w:line="269" w:lineRule="auto"/>
        <w:jc w:val="center"/>
        <w:rPr>
          <w:rFonts w:eastAsia="Calibri"/>
          <w:rtl/>
        </w:rPr>
      </w:pPr>
      <w:r w:rsidRPr="007E5741">
        <w:rPr>
          <w:rFonts w:eastAsia="Calibri"/>
          <w:noProof/>
        </w:rPr>
        <w:drawing>
          <wp:inline distT="0" distB="0" distL="0" distR="0">
            <wp:extent cx="5185323" cy="3526971"/>
            <wp:effectExtent l="0" t="0" r="0" b="0"/>
            <wp:docPr id="43" name="תמונה 43" descr="התרשים מתאר מעברי לקוחות שצורכים באמצעות מרכזיית מכלים מהספקים הגדולים לספקים אחרים, בשנים 2023 עד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xmlns:r="http://schemas.openxmlformats.org/officeDocument/2006/relationships" r:embed="rId54">
                      <a:extLst>
                        <a:ext xmlns:a="http://schemas.openxmlformats.org/drawingml/2006/main" uri="{28A0092B-C50C-407E-A947-70E740481C1C}">
                          <a14:useLocalDpi xmlns:a14="http://schemas.microsoft.com/office/drawing/2010/main" val="0"/>
                        </a:ext>
                      </a:extLst>
                    </a:blip>
                    <a:stretch>
                      <a:fillRect/>
                    </a:stretch>
                  </pic:blipFill>
                  <pic:spPr bwMode="auto">
                    <a:xfrm>
                      <a:off x="0" y="0"/>
                      <a:ext cx="5187104" cy="3528183"/>
                    </a:xfrm>
                    <a:prstGeom prst="rect">
                      <a:avLst/>
                    </a:prstGeom>
                    <a:noFill/>
                  </pic:spPr>
                </pic:pic>
              </a:graphicData>
            </a:graphic>
          </wp:inline>
        </w:drawing>
      </w:r>
    </w:p>
    <w:p w:rsidR="007E5741" w:rsidRPr="007E5741" w:rsidP="002F4530">
      <w:pPr>
        <w:spacing w:line="269" w:lineRule="auto"/>
        <w:rPr>
          <w:rFonts w:eastAsia="Calibri"/>
          <w:color w:val="000000"/>
          <w:szCs w:val="20"/>
          <w:rtl/>
        </w:rPr>
      </w:pPr>
      <w:r w:rsidRPr="007E5741">
        <w:rPr>
          <w:rFonts w:eastAsia="Calibri" w:hint="eastAsia"/>
          <w:color w:val="000000"/>
          <w:szCs w:val="20"/>
          <w:rtl/>
        </w:rPr>
        <w:t>על</w:t>
      </w:r>
      <w:r w:rsidRPr="007E5741">
        <w:rPr>
          <w:rFonts w:eastAsia="Calibri"/>
          <w:color w:val="000000"/>
          <w:szCs w:val="20"/>
          <w:rtl/>
        </w:rPr>
        <w:t xml:space="preserve"> פי </w:t>
      </w:r>
      <w:r w:rsidRPr="007E5741">
        <w:rPr>
          <w:rFonts w:eastAsia="Calibri" w:hint="eastAsia"/>
          <w:color w:val="000000"/>
          <w:szCs w:val="20"/>
          <w:rtl/>
        </w:rPr>
        <w:t>נתוני</w:t>
      </w:r>
      <w:r w:rsidRPr="007E5741">
        <w:rPr>
          <w:rFonts w:eastAsia="Calibri"/>
          <w:color w:val="000000"/>
          <w:szCs w:val="20"/>
          <w:rtl/>
        </w:rPr>
        <w:t xml:space="preserve"> מינהל הדלק,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כעולה מהתרשים, בשנים 2023 - 2024 היו 14,181 עזיבות של לקוחות מהספקים הגדולים. מבדיקה של צוות הביקורת עולה כי לקוחות שעזבו ספקים גדולים עברו בעיקר לספקים קטנים, ולא לספקים גדולים אחרים. מתוך כלל העזיבות של לקוחות הספקים הגדולים, 3627 (26%) היו אל ספקים גדולים אחרים ו-10,554 אל ספקים קטנים (74%). אצל שלושה מהספקים הגדולים שיעור המעבר של לקוחות מהם לספק קטן אחר נע בין 75% ל-79%, ואילו שיעור המעבר של הלקוחות משלושה ספקים אלה לספק גדול אחר נע בין 21% ל-25%.</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4"/>
        <w:rPr>
          <w:rFonts w:eastAsia="Times New Roman"/>
          <w:bCs/>
          <w:spacing w:val="40"/>
          <w:rtl/>
        </w:rPr>
      </w:pPr>
      <w:r w:rsidRPr="007E5741">
        <w:rPr>
          <w:rFonts w:eastAsia="Times New Roman" w:hint="cs"/>
          <w:bCs/>
          <w:spacing w:val="40"/>
          <w:rtl/>
        </w:rPr>
        <w:t xml:space="preserve">מרכזיית מכל נייח (צוברים) </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hint="cs"/>
          <w:rtl/>
        </w:rPr>
        <w:t>מבדיקת משרד מבקר המדינה עולה כי בשנת 2023 היו בסך הכול 42,331 מעברי לקוחות מתוך 862,924 לקוחות שצורכים גז באמצעות מרכזיית מכל נייח (כ-4.9%)</w:t>
      </w:r>
      <w:r>
        <w:rPr>
          <w:rFonts w:ascii="David" w:eastAsia="Calibri" w:hAnsi="David"/>
          <w:vertAlign w:val="superscript"/>
          <w:rtl/>
        </w:rPr>
        <w:footnoteReference w:id="160"/>
      </w:r>
      <w:r w:rsidRPr="007E5741">
        <w:rPr>
          <w:rFonts w:ascii="David" w:eastAsia="Calibri" w:hAnsi="David" w:hint="cs"/>
          <w:rtl/>
        </w:rPr>
        <w:t xml:space="preserve">. בשנת 2024 היו בסך הכול 32,429 מעברי לקוחות מתוך 844,061 לקוחות שצורכים גז באמצעות מרכזיית מכל נייח (3.8%). מניתוח של הנתונים עולה כי בסך הכול בשנים 2023 - 2024 היו יותר עזיבות של לקוחות מהספקים הגדולים (58,968) מאשר מעבר לקוחות אליהם (24,087). לעומת זאת, היו יותר מעברי לקוחות אל הספקים הקטנים (50,673) לעומת עזיבות של לקוחות מהם (15,792). משמע, מכלל העזיבות בשנים אלה, 79% מהלקוחות עזבו את הספקים הגדולים.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משרד מבקר המדינה בחן את מגמת המעבר של הלקוחות של הספקים הגדולים אשר בחרו לעזוב אותם במהלך השנים האמורות. בתרשים שלהלן מפורטים יעדי מעברי הלקוחות שצורכים גז באמצעות מרכזיית מכל נייח מהספקים הגדולים בשנים 2023 - 2024, בהתבסס על דיווחים למינהל הדלק של הספקים שאליהם עברו הלקוחות.</w:t>
      </w:r>
    </w:p>
    <w:p w:rsidR="00A87F40" w:rsidP="002F4530">
      <w:pPr>
        <w:bidi w:val="0"/>
        <w:spacing w:after="200" w:line="276" w:lineRule="auto"/>
        <w:rPr>
          <w:rFonts w:eastAsia="Calibri"/>
          <w:rtl/>
        </w:rPr>
      </w:pPr>
      <w:r>
        <w:rPr>
          <w:rFonts w:eastAsia="Calibri"/>
          <w:rtl/>
        </w:rPr>
        <w:br w:type="page"/>
      </w:r>
    </w:p>
    <w:p w:rsidR="007E5741" w:rsidRPr="007E5741" w:rsidP="002F4530">
      <w:pPr>
        <w:spacing w:line="269" w:lineRule="auto"/>
        <w:jc w:val="center"/>
        <w:rPr>
          <w:rFonts w:eastAsia="Calibri"/>
          <w:b/>
          <w:bCs/>
          <w:rtl/>
        </w:rPr>
      </w:pPr>
      <w:r w:rsidRPr="007E5741">
        <w:rPr>
          <w:rFonts w:eastAsia="Calibri" w:hint="eastAsia"/>
          <w:rtl/>
        </w:rPr>
        <w:t>תרשים</w:t>
      </w:r>
      <w:r w:rsidRPr="007E5741">
        <w:rPr>
          <w:rFonts w:eastAsia="Calibri"/>
          <w:rtl/>
        </w:rPr>
        <w:t xml:space="preserve"> 33: </w:t>
      </w:r>
      <w:r w:rsidRPr="007E5741">
        <w:rPr>
          <w:rFonts w:eastAsia="Calibri" w:hint="cs"/>
          <w:b/>
          <w:bCs/>
          <w:rtl/>
        </w:rPr>
        <w:t>מעברי לקוחות שצורכים גז באמצעות מרכזיית מכל נייח, מהספקים הגדולים לספקים אחרים, 2023 - 2024</w:t>
      </w:r>
    </w:p>
    <w:p w:rsidR="007E5741" w:rsidRPr="007E5741" w:rsidP="002F4530">
      <w:pPr>
        <w:spacing w:line="269" w:lineRule="auto"/>
        <w:jc w:val="center"/>
        <w:rPr>
          <w:rFonts w:eastAsia="Calibri"/>
          <w:rtl/>
        </w:rPr>
      </w:pPr>
      <w:r w:rsidRPr="007E5741">
        <w:rPr>
          <w:rFonts w:eastAsia="Calibri"/>
          <w:noProof/>
        </w:rPr>
        <w:drawing>
          <wp:inline distT="0" distB="0" distL="0" distR="0">
            <wp:extent cx="4803775" cy="3377565"/>
            <wp:effectExtent l="0" t="0" r="0" b="0"/>
            <wp:docPr id="331792196" name="תמונה 56" descr="התרשים מתאר מעברי לקוחות שצורכים באמצעות מרכזיית מכל נייח מהספקים הגדולים לספקים אחרים, בשנים 2023 עד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792196" name="Picture 3"/>
                    <pic:cNvPicPr>
                      <a:picLocks noChangeAspect="1" noChangeArrowheads="1"/>
                    </pic:cNvPicPr>
                  </pic:nvPicPr>
                  <pic:blipFill>
                    <a:blip xmlns:r="http://schemas.openxmlformats.org/officeDocument/2006/relationships" r:embed="rId55">
                      <a:extLst>
                        <a:ext xmlns:a="http://schemas.openxmlformats.org/drawingml/2006/main" uri="{28A0092B-C50C-407E-A947-70E740481C1C}">
                          <a14:useLocalDpi xmlns:a14="http://schemas.microsoft.com/office/drawing/2010/main" val="0"/>
                        </a:ext>
                      </a:extLst>
                    </a:blip>
                    <a:stretch>
                      <a:fillRect/>
                    </a:stretch>
                  </pic:blipFill>
                  <pic:spPr bwMode="auto">
                    <a:xfrm>
                      <a:off x="0" y="0"/>
                      <a:ext cx="4803775" cy="3377565"/>
                    </a:xfrm>
                    <a:prstGeom prst="rect">
                      <a:avLst/>
                    </a:prstGeom>
                    <a:noFill/>
                  </pic:spPr>
                </pic:pic>
              </a:graphicData>
            </a:graphic>
          </wp:inline>
        </w:drawing>
      </w:r>
    </w:p>
    <w:p w:rsidR="007E5741" w:rsidRPr="007E5741" w:rsidP="002F4530">
      <w:pPr>
        <w:spacing w:line="269" w:lineRule="auto"/>
        <w:rPr>
          <w:rFonts w:eastAsia="Calibri"/>
          <w:color w:val="000000"/>
          <w:szCs w:val="20"/>
          <w:rtl/>
        </w:rPr>
      </w:pPr>
      <w:r w:rsidRPr="007E5741">
        <w:rPr>
          <w:rFonts w:eastAsia="Calibri" w:hint="eastAsia"/>
          <w:color w:val="000000"/>
          <w:szCs w:val="20"/>
          <w:rtl/>
        </w:rPr>
        <w:t>על</w:t>
      </w:r>
      <w:r w:rsidRPr="007E5741">
        <w:rPr>
          <w:rFonts w:eastAsia="Calibri"/>
          <w:color w:val="000000"/>
          <w:szCs w:val="20"/>
          <w:rtl/>
        </w:rPr>
        <w:t xml:space="preserve"> פי </w:t>
      </w:r>
      <w:r w:rsidRPr="007E5741">
        <w:rPr>
          <w:rFonts w:eastAsia="Calibri" w:hint="eastAsia"/>
          <w:color w:val="000000"/>
          <w:szCs w:val="20"/>
          <w:rtl/>
        </w:rPr>
        <w:t>נתוני</w:t>
      </w:r>
      <w:r w:rsidRPr="007E5741">
        <w:rPr>
          <w:rFonts w:eastAsia="Calibri"/>
          <w:color w:val="000000"/>
          <w:szCs w:val="20"/>
          <w:rtl/>
        </w:rPr>
        <w:t xml:space="preserve"> מינהל הדלק, בעיבוד משרד מבקר המדינה.</w:t>
      </w:r>
      <w:r w:rsidRPr="007E5741">
        <w:rPr>
          <w:rFonts w:eastAsia="Calibri" w:hint="cs"/>
          <w:color w:val="000000"/>
          <w:szCs w:val="20"/>
          <w:rtl/>
        </w:rPr>
        <w:t xml:space="preserve">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 xml:space="preserve">כעולה מהתרשים, בשנים 2023- 2024 היו 58,968 עזיבות של לקוחות מהספקים הגדולים. מבדיקה של צוות הביקורת עולה כי רוב הלקוחות שעזבו את הספקים הגדולים עברו לספקים קטנים, ולא לספקים גדולים אחרים. כך, מתוך סך העזיבות של לקוחות הספקים הגדולים 9,091 (15%) היו אל ספקים גדולים אחרים ו-49,877 (85%) אל ספקים קטנים אחרים. אצל שלושה מהספקים הגדולים שיעור המעבר של לקוחות מהם לספק קטן אחר נע בין 87% ל-90%, ואילו שיעור המעבר של הלקוחות משלושה ספקים אלה לספק גדול אחר נע בין 10% ל-13%. </w:t>
      </w:r>
    </w:p>
    <w:p w:rsidR="007E5741" w:rsidRPr="007E5741" w:rsidP="002F4530">
      <w:pPr>
        <w:spacing w:line="269" w:lineRule="auto"/>
        <w:rPr>
          <w:rFonts w:ascii="David" w:eastAsia="Calibri" w:hAnsi="David"/>
          <w:b/>
          <w:bCs/>
          <w:rtl/>
        </w:rPr>
      </w:pPr>
    </w:p>
    <w:p w:rsidR="007E5741" w:rsidRPr="007E5741" w:rsidP="002F4530">
      <w:pPr>
        <w:spacing w:line="269" w:lineRule="auto"/>
        <w:rPr>
          <w:rFonts w:ascii="David" w:eastAsia="Calibri" w:hAnsi="David"/>
          <w:rtl/>
        </w:rPr>
      </w:pPr>
      <w:r w:rsidRPr="007E5741">
        <w:rPr>
          <w:rFonts w:ascii="David" w:eastAsia="Calibri" w:hAnsi="David" w:hint="cs"/>
          <w:b/>
          <w:bCs/>
          <w:rtl/>
        </w:rPr>
        <w:t xml:space="preserve">מן האמור לעיל עולה כי מרבית המעברים בשנים 2023 - 2024, הן של לקוחות מרכזיית מכלים והן של לקוחות מרכזיית מכל נייח, נעשו אל הספקים הקטנים, דבר המצביע לכאורה על גידול בתחרותיות. לצד זה, מבדיקת המעברים בקבוצת הספקים הגדולים עולה כי לקוחותיהם עברו בדרך כלל לספקים קטנים ולא לספקים גדולים אחרים, והדבר מעלה שאלה על התחרותיות בין הספקים הגדולים. נמצא כי משרד האנרגיה ורשות התחרות לא ערכו בחינה מקיפה של הנתונים. </w:t>
      </w:r>
      <w:bookmarkStart w:id="44" w:name="_Hlk222833246"/>
      <w:r w:rsidRPr="007E5741">
        <w:rPr>
          <w:rFonts w:ascii="David" w:eastAsia="Calibri" w:hAnsi="David" w:hint="cs"/>
          <w:b/>
          <w:bCs/>
          <w:rtl/>
        </w:rPr>
        <w:t xml:space="preserve">זאת ועוד, </w:t>
      </w:r>
      <w:r w:rsidRPr="007E5741">
        <w:rPr>
          <w:rFonts w:ascii="David" w:eastAsia="Calibri" w:hAnsi="David"/>
          <w:b/>
          <w:bCs/>
          <w:rtl/>
        </w:rPr>
        <w:t xml:space="preserve">עד מועד סיום הביקורת </w:t>
      </w:r>
      <w:r w:rsidRPr="007E5741">
        <w:rPr>
          <w:rFonts w:ascii="David" w:eastAsia="Calibri" w:hAnsi="David" w:hint="cs"/>
          <w:b/>
          <w:bCs/>
          <w:rtl/>
        </w:rPr>
        <w:t>לא סיים משרד האנרגיה לגבש את</w:t>
      </w:r>
      <w:r w:rsidRPr="007E5741">
        <w:rPr>
          <w:rFonts w:ascii="David" w:eastAsia="Calibri" w:hAnsi="David"/>
          <w:b/>
          <w:bCs/>
          <w:rtl/>
        </w:rPr>
        <w:t xml:space="preserve"> התקנות שיאפשרו לדיירים בבניין חדש לבחור בעצמם את ספק הגז </w:t>
      </w:r>
      <w:r w:rsidRPr="007E5741">
        <w:rPr>
          <w:rFonts w:eastAsia="Calibri" w:hint="eastAsia"/>
          <w:b/>
          <w:bCs/>
          <w:rtl/>
        </w:rPr>
        <w:t>שיספק</w:t>
      </w:r>
      <w:r w:rsidRPr="007E5741">
        <w:rPr>
          <w:rFonts w:eastAsia="Calibri"/>
          <w:b/>
          <w:bCs/>
          <w:rtl/>
        </w:rPr>
        <w:t xml:space="preserve"> </w:t>
      </w:r>
      <w:r w:rsidRPr="007E5741">
        <w:rPr>
          <w:rFonts w:eastAsia="Calibri" w:hint="eastAsia"/>
          <w:b/>
          <w:bCs/>
          <w:rtl/>
        </w:rPr>
        <w:t>גז</w:t>
      </w:r>
      <w:r w:rsidRPr="007E5741">
        <w:rPr>
          <w:rFonts w:eastAsia="Calibri"/>
          <w:b/>
          <w:bCs/>
          <w:rtl/>
        </w:rPr>
        <w:t xml:space="preserve"> </w:t>
      </w:r>
      <w:r w:rsidRPr="007E5741">
        <w:rPr>
          <w:rFonts w:eastAsia="Calibri" w:hint="eastAsia"/>
          <w:b/>
          <w:bCs/>
          <w:rtl/>
        </w:rPr>
        <w:t>לראשונה</w:t>
      </w:r>
      <w:r w:rsidRPr="007E5741">
        <w:rPr>
          <w:rFonts w:eastAsia="Calibri"/>
          <w:b/>
          <w:bCs/>
          <w:rtl/>
        </w:rPr>
        <w:t xml:space="preserve"> </w:t>
      </w:r>
      <w:r w:rsidRPr="007E5741">
        <w:rPr>
          <w:rFonts w:eastAsia="Calibri" w:hint="eastAsia"/>
          <w:b/>
          <w:bCs/>
          <w:rtl/>
        </w:rPr>
        <w:t>למערכת</w:t>
      </w:r>
      <w:r w:rsidRPr="007E5741">
        <w:rPr>
          <w:rFonts w:eastAsia="Calibri"/>
          <w:b/>
          <w:bCs/>
          <w:rtl/>
        </w:rPr>
        <w:t xml:space="preserve"> </w:t>
      </w:r>
      <w:r w:rsidRPr="007E5741">
        <w:rPr>
          <w:rFonts w:eastAsia="Calibri" w:hint="eastAsia"/>
          <w:b/>
          <w:bCs/>
          <w:rtl/>
        </w:rPr>
        <w:t>גז</w:t>
      </w:r>
      <w:r w:rsidRPr="007E5741">
        <w:rPr>
          <w:rFonts w:eastAsia="Calibri"/>
          <w:b/>
          <w:bCs/>
          <w:rtl/>
        </w:rPr>
        <w:t xml:space="preserve"> </w:t>
      </w:r>
      <w:r w:rsidRPr="007E5741">
        <w:rPr>
          <w:rFonts w:eastAsia="Calibri" w:hint="eastAsia"/>
          <w:b/>
          <w:bCs/>
          <w:rtl/>
        </w:rPr>
        <w:t>מרכזית</w:t>
      </w:r>
      <w:r w:rsidRPr="007E5741">
        <w:rPr>
          <w:rFonts w:eastAsia="Calibri"/>
          <w:b/>
          <w:bCs/>
          <w:rtl/>
        </w:rPr>
        <w:t xml:space="preserve"> </w:t>
      </w:r>
      <w:r w:rsidRPr="007E5741">
        <w:rPr>
          <w:rFonts w:eastAsia="Calibri" w:hint="eastAsia"/>
          <w:b/>
          <w:bCs/>
          <w:rtl/>
        </w:rPr>
        <w:t>חדשה</w:t>
      </w:r>
      <w:r w:rsidRPr="007E5741">
        <w:rPr>
          <w:rFonts w:ascii="David" w:eastAsia="Calibri" w:hAnsi="David"/>
          <w:b/>
          <w:bCs/>
          <w:rtl/>
        </w:rPr>
        <w:t>, עוד לפני כניסתם לדירה.</w:t>
      </w:r>
      <w:bookmarkEnd w:id="44"/>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בתשובתו למשרד מבקר המדינה מסר ספק גדול 3 כי המחירים ללקוחות של מרכזיות מכלים נמצאים בירידה מתמדת. יש תחרות בין הספקים. מאחר שההוצאה למשק בית על שימוש בגפ"ם היא נמוכה, ולקוחות מעדיפים לקבל הנחה מהספק הקיים. מחירי המתחרים נגישים ללקוחות, ויש מגוון מתחרים שניתן לעבור אליהם. הלקוחות נהנים מהנחות רבות לשימור לקוחות שניתנות להם (כ-25% מהלקוחות בבניינים משותפים בכל שנה). זאת ועוד, ספק גדול 3 ציין כי לפי מחקר שביצעה חברה פרטית בשנת 2023, מחיר הגז הוא הפרמטר התשיעי בחשיבותו ללקוחות. הפרמטרים החשובים יותר ללקוחות הם הוותק של ספק הגז, הבטיחות, פריסת הטכנאים הארצית ושירות 24/7 - ופרמטרים אלה רלוונטיים יותר אצל הספקים הגדולים.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rtl/>
        </w:rPr>
      </w:pPr>
      <w:r w:rsidRPr="007E5741">
        <w:rPr>
          <w:rFonts w:eastAsia="Calibri" w:hint="eastAsia"/>
          <w:rtl/>
        </w:rPr>
        <w:t>בתשובתו</w:t>
      </w:r>
      <w:r w:rsidRPr="007E5741">
        <w:rPr>
          <w:rFonts w:eastAsia="Calibri"/>
          <w:rtl/>
        </w:rPr>
        <w:t xml:space="preserve"> </w:t>
      </w:r>
      <w:r w:rsidRPr="007E5741">
        <w:rPr>
          <w:rFonts w:eastAsia="Calibri" w:hint="eastAsia"/>
          <w:rtl/>
        </w:rPr>
        <w:t>למשרד</w:t>
      </w:r>
      <w:r w:rsidRPr="007E5741">
        <w:rPr>
          <w:rFonts w:eastAsia="Calibri"/>
          <w:rtl/>
        </w:rPr>
        <w:t xml:space="preserve"> </w:t>
      </w:r>
      <w:r w:rsidRPr="007E5741">
        <w:rPr>
          <w:rFonts w:eastAsia="Calibri" w:hint="eastAsia"/>
          <w:rtl/>
        </w:rPr>
        <w:t>מבקר</w:t>
      </w:r>
      <w:r w:rsidRPr="007E5741">
        <w:rPr>
          <w:rFonts w:eastAsia="Calibri"/>
          <w:rtl/>
        </w:rPr>
        <w:t xml:space="preserve"> </w:t>
      </w:r>
      <w:r w:rsidRPr="007E5741">
        <w:rPr>
          <w:rFonts w:eastAsia="Calibri" w:hint="eastAsia"/>
          <w:rtl/>
        </w:rPr>
        <w:t>המדינה</w:t>
      </w:r>
      <w:r w:rsidRPr="007E5741">
        <w:rPr>
          <w:rFonts w:eastAsia="Calibri"/>
          <w:rtl/>
        </w:rPr>
        <w:t xml:space="preserve"> </w:t>
      </w:r>
      <w:r w:rsidRPr="007E5741">
        <w:rPr>
          <w:rFonts w:eastAsia="Calibri" w:hint="eastAsia"/>
          <w:rtl/>
        </w:rPr>
        <w:t>מסר</w:t>
      </w:r>
      <w:r w:rsidRPr="007E5741">
        <w:rPr>
          <w:rFonts w:eastAsia="Calibri"/>
          <w:rtl/>
        </w:rPr>
        <w:t xml:space="preserve"> </w:t>
      </w:r>
      <w:r w:rsidRPr="007E5741">
        <w:rPr>
          <w:rFonts w:eastAsia="Calibri" w:hint="eastAsia"/>
          <w:rtl/>
        </w:rPr>
        <w:t>ספק</w:t>
      </w:r>
      <w:r w:rsidRPr="007E5741">
        <w:rPr>
          <w:rFonts w:eastAsia="Calibri"/>
          <w:rtl/>
        </w:rPr>
        <w:t xml:space="preserve"> גדול 2 כי התחרות בין הספ</w:t>
      </w:r>
      <w:r w:rsidRPr="007E5741">
        <w:rPr>
          <w:rFonts w:eastAsia="Calibri" w:hint="eastAsia"/>
          <w:rtl/>
        </w:rPr>
        <w:t>קי</w:t>
      </w:r>
      <w:r w:rsidRPr="007E5741">
        <w:rPr>
          <w:rFonts w:eastAsia="Calibri" w:hint="cs"/>
          <w:rtl/>
        </w:rPr>
        <w:t>ם</w:t>
      </w:r>
      <w:r w:rsidRPr="007E5741">
        <w:rPr>
          <w:rFonts w:eastAsia="Calibri"/>
          <w:rtl/>
        </w:rPr>
        <w:t xml:space="preserve"> </w:t>
      </w:r>
      <w:r w:rsidRPr="007E5741">
        <w:rPr>
          <w:rFonts w:eastAsia="Calibri" w:hint="eastAsia"/>
          <w:rtl/>
        </w:rPr>
        <w:t>הגדולים</w:t>
      </w:r>
      <w:r w:rsidRPr="007E5741">
        <w:rPr>
          <w:rFonts w:eastAsia="Calibri"/>
          <w:rtl/>
        </w:rPr>
        <w:t xml:space="preserve"> </w:t>
      </w:r>
      <w:r w:rsidRPr="007E5741">
        <w:rPr>
          <w:rFonts w:eastAsia="Calibri" w:hint="eastAsia"/>
          <w:rtl/>
        </w:rPr>
        <w:t>היא</w:t>
      </w:r>
      <w:r w:rsidRPr="007E5741">
        <w:rPr>
          <w:rFonts w:eastAsia="Calibri"/>
          <w:rtl/>
        </w:rPr>
        <w:t xml:space="preserve"> </w:t>
      </w:r>
      <w:r w:rsidRPr="007E5741">
        <w:rPr>
          <w:rFonts w:eastAsia="Calibri" w:hint="eastAsia"/>
          <w:rtl/>
        </w:rPr>
        <w:t>עזה</w:t>
      </w:r>
      <w:r w:rsidRPr="007E5741">
        <w:rPr>
          <w:rFonts w:eastAsia="Calibri"/>
          <w:rtl/>
        </w:rPr>
        <w:t xml:space="preserve"> </w:t>
      </w:r>
      <w:r w:rsidRPr="007E5741">
        <w:rPr>
          <w:rFonts w:eastAsia="Calibri" w:hint="eastAsia"/>
          <w:rtl/>
        </w:rPr>
        <w:t>ויומיומית</w:t>
      </w:r>
      <w:r w:rsidRPr="007E5741">
        <w:rPr>
          <w:rFonts w:eastAsia="Calibri" w:hint="cs"/>
          <w:rtl/>
        </w:rPr>
        <w:t>,</w:t>
      </w:r>
      <w:r w:rsidRPr="007E5741">
        <w:rPr>
          <w:rFonts w:eastAsia="Calibri"/>
          <w:rtl/>
        </w:rPr>
        <w:t xml:space="preserve"> </w:t>
      </w:r>
      <w:r w:rsidRPr="007E5741">
        <w:rPr>
          <w:rFonts w:eastAsia="Calibri" w:hint="eastAsia"/>
          <w:rtl/>
        </w:rPr>
        <w:t>והיא</w:t>
      </w:r>
      <w:r w:rsidRPr="007E5741">
        <w:rPr>
          <w:rFonts w:eastAsia="Calibri"/>
          <w:rtl/>
        </w:rPr>
        <w:t xml:space="preserve"> </w:t>
      </w:r>
      <w:r w:rsidRPr="007E5741">
        <w:rPr>
          <w:rFonts w:eastAsia="Calibri" w:hint="eastAsia"/>
          <w:rtl/>
        </w:rPr>
        <w:t>מתבטאת</w:t>
      </w:r>
      <w:r w:rsidRPr="007E5741">
        <w:rPr>
          <w:rFonts w:eastAsia="Calibri"/>
          <w:rtl/>
        </w:rPr>
        <w:t xml:space="preserve"> </w:t>
      </w:r>
      <w:r w:rsidRPr="007E5741">
        <w:rPr>
          <w:rFonts w:eastAsia="Calibri" w:hint="eastAsia"/>
          <w:rtl/>
        </w:rPr>
        <w:t>במאמצי</w:t>
      </w:r>
      <w:r w:rsidRPr="007E5741">
        <w:rPr>
          <w:rFonts w:eastAsia="Calibri"/>
          <w:rtl/>
        </w:rPr>
        <w:t xml:space="preserve"> </w:t>
      </w:r>
      <w:r w:rsidRPr="007E5741">
        <w:rPr>
          <w:rFonts w:eastAsia="Calibri" w:hint="eastAsia"/>
          <w:rtl/>
        </w:rPr>
        <w:t>שימור</w:t>
      </w:r>
      <w:r w:rsidRPr="007E5741">
        <w:rPr>
          <w:rFonts w:eastAsia="Calibri"/>
          <w:rtl/>
        </w:rPr>
        <w:t xml:space="preserve"> </w:t>
      </w:r>
      <w:r w:rsidRPr="007E5741">
        <w:rPr>
          <w:rFonts w:eastAsia="Calibri" w:hint="eastAsia"/>
          <w:rtl/>
        </w:rPr>
        <w:t>לקוחות</w:t>
      </w:r>
      <w:r w:rsidRPr="007E5741">
        <w:rPr>
          <w:rFonts w:eastAsia="Calibri"/>
          <w:rtl/>
        </w:rPr>
        <w:t xml:space="preserve">, </w:t>
      </w:r>
      <w:r w:rsidRPr="007E5741">
        <w:rPr>
          <w:rFonts w:eastAsia="Calibri" w:hint="cs"/>
          <w:rtl/>
        </w:rPr>
        <w:t xml:space="preserve">הנחות </w:t>
      </w:r>
      <w:r w:rsidRPr="007E5741">
        <w:rPr>
          <w:rFonts w:eastAsia="Calibri" w:hint="eastAsia"/>
          <w:rtl/>
        </w:rPr>
        <w:t>אגרסיביות</w:t>
      </w:r>
      <w:r w:rsidRPr="007E5741">
        <w:rPr>
          <w:rFonts w:eastAsia="Calibri"/>
          <w:rtl/>
        </w:rPr>
        <w:t xml:space="preserve"> </w:t>
      </w:r>
      <w:r w:rsidRPr="007E5741">
        <w:rPr>
          <w:rFonts w:eastAsia="Calibri" w:hint="eastAsia"/>
          <w:rtl/>
        </w:rPr>
        <w:t>ושיפור</w:t>
      </w:r>
      <w:r w:rsidRPr="007E5741">
        <w:rPr>
          <w:rFonts w:eastAsia="Calibri"/>
          <w:rtl/>
        </w:rPr>
        <w:t xml:space="preserve"> </w:t>
      </w:r>
      <w:r w:rsidRPr="007E5741">
        <w:rPr>
          <w:rFonts w:eastAsia="Calibri" w:hint="eastAsia"/>
          <w:rtl/>
        </w:rPr>
        <w:t>רמת</w:t>
      </w:r>
      <w:r w:rsidRPr="007E5741">
        <w:rPr>
          <w:rFonts w:eastAsia="Calibri"/>
          <w:rtl/>
        </w:rPr>
        <w:t xml:space="preserve"> </w:t>
      </w:r>
      <w:r w:rsidRPr="007E5741">
        <w:rPr>
          <w:rFonts w:eastAsia="Calibri" w:hint="eastAsia"/>
          <w:rtl/>
        </w:rPr>
        <w:t>השירות</w:t>
      </w:r>
      <w:r w:rsidRPr="007E5741">
        <w:rPr>
          <w:rFonts w:eastAsia="Calibri"/>
          <w:rtl/>
        </w:rPr>
        <w:t>.</w:t>
      </w:r>
      <w:r w:rsidRPr="007E5741">
        <w:rPr>
          <w:rFonts w:eastAsia="Calibri" w:hint="cs"/>
          <w:rtl/>
        </w:rPr>
        <w:t xml:space="preserve"> </w:t>
      </w:r>
      <w:r w:rsidRPr="007E5741">
        <w:rPr>
          <w:rFonts w:eastAsia="Calibri" w:hint="cs"/>
          <w:rtl/>
        </w:rPr>
        <w:t xml:space="preserve">בתשובתו המשלימה של ספק גדול 2 מיוני 2026 כי היעדר מעבר לקוחות בין הספקים הגדולים לבין עצמם משקף שיווי משקל תחרותי לגיטימי המבוסס על מבנה עלויות דומה וקשיח המאפיין את השחקנים הגדולים בענף. עוד </w:t>
      </w:r>
      <w:r w:rsidRPr="007E5741">
        <w:rPr>
          <w:rFonts w:eastAsia="Calibri" w:hint="eastAsia"/>
          <w:rtl/>
        </w:rPr>
        <w:t>מסר</w:t>
      </w:r>
      <w:r w:rsidRPr="007E5741">
        <w:rPr>
          <w:rFonts w:eastAsia="Calibri"/>
          <w:rtl/>
        </w:rPr>
        <w:t xml:space="preserve"> </w:t>
      </w:r>
      <w:r w:rsidRPr="007E5741">
        <w:rPr>
          <w:rFonts w:eastAsia="Calibri" w:hint="eastAsia"/>
          <w:rtl/>
        </w:rPr>
        <w:t>ספק</w:t>
      </w:r>
      <w:r w:rsidRPr="007E5741">
        <w:rPr>
          <w:rFonts w:eastAsia="Calibri"/>
          <w:rtl/>
        </w:rPr>
        <w:t xml:space="preserve"> </w:t>
      </w:r>
      <w:r w:rsidRPr="007E5741">
        <w:rPr>
          <w:rFonts w:eastAsia="Calibri" w:hint="eastAsia"/>
          <w:rtl/>
        </w:rPr>
        <w:t>גדול</w:t>
      </w:r>
      <w:r w:rsidRPr="007E5741">
        <w:rPr>
          <w:rFonts w:eastAsia="Calibri"/>
          <w:rtl/>
        </w:rPr>
        <w:t xml:space="preserve"> 2 </w:t>
      </w:r>
      <w:r w:rsidRPr="007E5741">
        <w:rPr>
          <w:rFonts w:eastAsia="Calibri" w:hint="eastAsia"/>
          <w:rtl/>
        </w:rPr>
        <w:t>כי</w:t>
      </w:r>
      <w:r w:rsidRPr="007E5741">
        <w:rPr>
          <w:rFonts w:eastAsia="Calibri"/>
          <w:rtl/>
        </w:rPr>
        <w:t xml:space="preserve"> </w:t>
      </w:r>
      <w:r w:rsidRPr="007E5741">
        <w:rPr>
          <w:rFonts w:eastAsia="Calibri" w:hint="eastAsia"/>
          <w:rtl/>
        </w:rPr>
        <w:t>הסדר</w:t>
      </w:r>
      <w:r w:rsidRPr="007E5741">
        <w:rPr>
          <w:rFonts w:eastAsia="Calibri"/>
          <w:rtl/>
        </w:rPr>
        <w:t xml:space="preserve"> </w:t>
      </w:r>
      <w:r w:rsidRPr="007E5741">
        <w:rPr>
          <w:rFonts w:eastAsia="Calibri" w:hint="eastAsia"/>
          <w:rtl/>
        </w:rPr>
        <w:t>שיאפשר</w:t>
      </w:r>
      <w:r w:rsidRPr="007E5741">
        <w:rPr>
          <w:rFonts w:eastAsia="Calibri"/>
          <w:rtl/>
        </w:rPr>
        <w:t xml:space="preserve"> </w:t>
      </w:r>
      <w:r w:rsidRPr="007E5741">
        <w:rPr>
          <w:rFonts w:eastAsia="Calibri" w:hint="eastAsia"/>
          <w:rtl/>
        </w:rPr>
        <w:t>לדיירים</w:t>
      </w:r>
      <w:r w:rsidRPr="007E5741">
        <w:rPr>
          <w:rFonts w:eastAsia="Calibri"/>
          <w:rtl/>
        </w:rPr>
        <w:t xml:space="preserve"> </w:t>
      </w:r>
      <w:r w:rsidRPr="007E5741">
        <w:rPr>
          <w:rFonts w:eastAsia="Calibri" w:hint="eastAsia"/>
          <w:rtl/>
        </w:rPr>
        <w:t>בבניין</w:t>
      </w:r>
      <w:r w:rsidRPr="007E5741">
        <w:rPr>
          <w:rFonts w:eastAsia="Calibri"/>
          <w:rtl/>
        </w:rPr>
        <w:t xml:space="preserve"> </w:t>
      </w:r>
      <w:r w:rsidRPr="007E5741">
        <w:rPr>
          <w:rFonts w:eastAsia="Calibri" w:hint="eastAsia"/>
          <w:rtl/>
        </w:rPr>
        <w:t>חדש</w:t>
      </w:r>
      <w:r w:rsidRPr="007E5741">
        <w:rPr>
          <w:rFonts w:eastAsia="Calibri"/>
          <w:rtl/>
        </w:rPr>
        <w:t xml:space="preserve"> </w:t>
      </w:r>
      <w:r w:rsidRPr="007E5741">
        <w:rPr>
          <w:rFonts w:eastAsia="Calibri" w:hint="eastAsia"/>
          <w:rtl/>
        </w:rPr>
        <w:t>לבחור</w:t>
      </w:r>
      <w:r w:rsidRPr="007E5741">
        <w:rPr>
          <w:rFonts w:eastAsia="Calibri"/>
          <w:rtl/>
        </w:rPr>
        <w:t xml:space="preserve"> </w:t>
      </w:r>
      <w:r w:rsidRPr="007E5741">
        <w:rPr>
          <w:rFonts w:eastAsia="Calibri" w:hint="eastAsia"/>
          <w:rtl/>
        </w:rPr>
        <w:t>את</w:t>
      </w:r>
      <w:r w:rsidRPr="007E5741">
        <w:rPr>
          <w:rFonts w:eastAsia="Calibri"/>
          <w:rtl/>
        </w:rPr>
        <w:t xml:space="preserve"> </w:t>
      </w:r>
      <w:r w:rsidRPr="007E5741">
        <w:rPr>
          <w:rFonts w:eastAsia="Calibri" w:hint="eastAsia"/>
          <w:rtl/>
        </w:rPr>
        <w:t>ספק</w:t>
      </w:r>
      <w:r w:rsidRPr="007E5741">
        <w:rPr>
          <w:rFonts w:eastAsia="Calibri"/>
          <w:rtl/>
        </w:rPr>
        <w:t xml:space="preserve"> </w:t>
      </w:r>
      <w:r w:rsidRPr="007E5741">
        <w:rPr>
          <w:rFonts w:eastAsia="Calibri" w:hint="eastAsia"/>
          <w:rtl/>
        </w:rPr>
        <w:t>הגז</w:t>
      </w:r>
      <w:r w:rsidRPr="007E5741">
        <w:rPr>
          <w:rFonts w:eastAsia="Calibri"/>
          <w:rtl/>
        </w:rPr>
        <w:t xml:space="preserve"> </w:t>
      </w:r>
      <w:r w:rsidRPr="007E5741">
        <w:rPr>
          <w:rFonts w:ascii="David" w:eastAsia="Calibri" w:hAnsi="David" w:hint="eastAsia"/>
          <w:rtl/>
        </w:rPr>
        <w:t>הראשון</w:t>
      </w:r>
      <w:r w:rsidRPr="007E5741">
        <w:rPr>
          <w:rFonts w:eastAsia="Calibri"/>
          <w:rtl/>
        </w:rPr>
        <w:t xml:space="preserve"> </w:t>
      </w:r>
      <w:r w:rsidRPr="007E5741">
        <w:rPr>
          <w:rFonts w:eastAsia="Calibri" w:hint="eastAsia"/>
          <w:rtl/>
        </w:rPr>
        <w:t>עוד</w:t>
      </w:r>
      <w:r w:rsidRPr="007E5741">
        <w:rPr>
          <w:rFonts w:eastAsia="Calibri"/>
          <w:rtl/>
        </w:rPr>
        <w:t xml:space="preserve"> </w:t>
      </w:r>
      <w:r w:rsidRPr="007E5741">
        <w:rPr>
          <w:rFonts w:eastAsia="Calibri" w:hint="eastAsia"/>
          <w:rtl/>
        </w:rPr>
        <w:t>בטרם</w:t>
      </w:r>
      <w:r w:rsidRPr="007E5741">
        <w:rPr>
          <w:rFonts w:eastAsia="Calibri"/>
          <w:rtl/>
        </w:rPr>
        <w:t xml:space="preserve"> </w:t>
      </w:r>
      <w:r w:rsidRPr="007E5741">
        <w:rPr>
          <w:rFonts w:eastAsia="Calibri" w:hint="eastAsia"/>
          <w:rtl/>
        </w:rPr>
        <w:t>האכלוס</w:t>
      </w:r>
      <w:r w:rsidRPr="007E5741">
        <w:rPr>
          <w:rFonts w:eastAsia="Calibri"/>
          <w:rtl/>
        </w:rPr>
        <w:t xml:space="preserve"> טומן בחובו סיכונים בטיחותיים ותפעוליים משמעותיים.</w:t>
      </w:r>
      <w:r w:rsidRPr="007E5741">
        <w:rPr>
          <w:rFonts w:eastAsia="Calibri" w:hint="cs"/>
          <w:rtl/>
        </w:rPr>
        <w:t xml:space="preserve"> </w:t>
      </w:r>
      <w:r w:rsidRPr="007E5741">
        <w:rPr>
          <w:rFonts w:eastAsia="Calibri"/>
          <w:rtl/>
        </w:rPr>
        <w:t xml:space="preserve">פיצול בין הגורם </w:t>
      </w:r>
      <w:r w:rsidRPr="007E5741">
        <w:rPr>
          <w:rFonts w:eastAsia="Calibri" w:hint="eastAsia"/>
          <w:rtl/>
        </w:rPr>
        <w:t>המקים</w:t>
      </w:r>
      <w:r w:rsidRPr="007E5741">
        <w:rPr>
          <w:rFonts w:eastAsia="Calibri"/>
          <w:rtl/>
        </w:rPr>
        <w:t xml:space="preserve"> </w:t>
      </w:r>
      <w:r w:rsidRPr="007E5741">
        <w:rPr>
          <w:rFonts w:eastAsia="Calibri" w:hint="eastAsia"/>
          <w:rtl/>
        </w:rPr>
        <w:t>לבין</w:t>
      </w:r>
      <w:r w:rsidRPr="007E5741">
        <w:rPr>
          <w:rFonts w:eastAsia="Calibri"/>
          <w:rtl/>
        </w:rPr>
        <w:t xml:space="preserve"> </w:t>
      </w:r>
      <w:r w:rsidRPr="007E5741">
        <w:rPr>
          <w:rFonts w:eastAsia="Calibri" w:hint="eastAsia"/>
          <w:rtl/>
        </w:rPr>
        <w:t>ספק</w:t>
      </w:r>
      <w:r w:rsidRPr="007E5741">
        <w:rPr>
          <w:rFonts w:eastAsia="Calibri"/>
          <w:rtl/>
        </w:rPr>
        <w:t xml:space="preserve"> </w:t>
      </w:r>
      <w:r w:rsidRPr="007E5741">
        <w:rPr>
          <w:rFonts w:eastAsia="Calibri" w:hint="eastAsia"/>
          <w:rtl/>
        </w:rPr>
        <w:t>גז</w:t>
      </w:r>
      <w:r w:rsidRPr="007E5741">
        <w:rPr>
          <w:rFonts w:eastAsia="Calibri"/>
          <w:rtl/>
        </w:rPr>
        <w:t xml:space="preserve"> </w:t>
      </w:r>
      <w:r w:rsidRPr="007E5741">
        <w:rPr>
          <w:rFonts w:eastAsia="Calibri" w:hint="eastAsia"/>
          <w:rtl/>
        </w:rPr>
        <w:t>שייבחר</w:t>
      </w:r>
      <w:r w:rsidRPr="007E5741">
        <w:rPr>
          <w:rFonts w:eastAsia="Calibri"/>
          <w:rtl/>
        </w:rPr>
        <w:t xml:space="preserve"> </w:t>
      </w:r>
      <w:r w:rsidRPr="007E5741">
        <w:rPr>
          <w:rFonts w:eastAsia="Calibri" w:hint="eastAsia"/>
          <w:rtl/>
        </w:rPr>
        <w:t>בשלב</w:t>
      </w:r>
      <w:r w:rsidRPr="007E5741">
        <w:rPr>
          <w:rFonts w:eastAsia="Calibri"/>
          <w:rtl/>
        </w:rPr>
        <w:t xml:space="preserve"> </w:t>
      </w:r>
      <w:r w:rsidRPr="007E5741">
        <w:rPr>
          <w:rFonts w:eastAsia="Calibri" w:hint="eastAsia"/>
          <w:rtl/>
        </w:rPr>
        <w:t>מאוחר</w:t>
      </w:r>
      <w:r w:rsidRPr="007E5741">
        <w:rPr>
          <w:rFonts w:eastAsia="Calibri"/>
          <w:rtl/>
        </w:rPr>
        <w:t xml:space="preserve"> </w:t>
      </w:r>
      <w:r w:rsidRPr="007E5741">
        <w:rPr>
          <w:rFonts w:eastAsia="Calibri" w:hint="eastAsia"/>
          <w:rtl/>
        </w:rPr>
        <w:t>יותר</w:t>
      </w:r>
      <w:r w:rsidRPr="007E5741">
        <w:rPr>
          <w:rFonts w:eastAsia="Calibri"/>
          <w:rtl/>
        </w:rPr>
        <w:t xml:space="preserve"> </w:t>
      </w:r>
      <w:r w:rsidRPr="007E5741">
        <w:rPr>
          <w:rFonts w:eastAsia="Calibri" w:hint="eastAsia"/>
          <w:rtl/>
        </w:rPr>
        <w:t>עלול</w:t>
      </w:r>
      <w:r w:rsidRPr="007E5741">
        <w:rPr>
          <w:rFonts w:eastAsia="Calibri"/>
          <w:rtl/>
        </w:rPr>
        <w:t xml:space="preserve"> </w:t>
      </w:r>
      <w:r w:rsidRPr="007E5741">
        <w:rPr>
          <w:rFonts w:eastAsia="Calibri" w:hint="eastAsia"/>
          <w:rtl/>
        </w:rPr>
        <w:t>ליצור</w:t>
      </w:r>
      <w:r w:rsidRPr="007E5741">
        <w:rPr>
          <w:rFonts w:eastAsia="Calibri"/>
          <w:rtl/>
        </w:rPr>
        <w:t xml:space="preserve"> "ואקום" </w:t>
      </w:r>
      <w:r w:rsidRPr="007E5741">
        <w:rPr>
          <w:rFonts w:eastAsia="Calibri" w:hint="eastAsia"/>
          <w:rtl/>
        </w:rPr>
        <w:t>של</w:t>
      </w:r>
      <w:r w:rsidRPr="007E5741">
        <w:rPr>
          <w:rFonts w:eastAsia="Calibri"/>
          <w:rtl/>
        </w:rPr>
        <w:t xml:space="preserve"> </w:t>
      </w:r>
      <w:r w:rsidRPr="007E5741">
        <w:rPr>
          <w:rFonts w:eastAsia="Calibri" w:hint="eastAsia"/>
          <w:rtl/>
        </w:rPr>
        <w:t>אחריות</w:t>
      </w:r>
      <w:r w:rsidRPr="007E5741">
        <w:rPr>
          <w:rFonts w:eastAsia="Calibri"/>
          <w:rtl/>
        </w:rPr>
        <w:t xml:space="preserve"> </w:t>
      </w:r>
      <w:r w:rsidRPr="007E5741">
        <w:rPr>
          <w:rFonts w:eastAsia="Calibri" w:hint="eastAsia"/>
          <w:rtl/>
        </w:rPr>
        <w:t>מקצועית</w:t>
      </w:r>
      <w:r w:rsidRPr="007E5741">
        <w:rPr>
          <w:rFonts w:eastAsia="Calibri"/>
          <w:rtl/>
        </w:rPr>
        <w:t xml:space="preserve">. עוד מסר </w:t>
      </w:r>
      <w:r w:rsidRPr="007E5741">
        <w:rPr>
          <w:rFonts w:eastAsia="Calibri" w:hint="cs"/>
          <w:rtl/>
        </w:rPr>
        <w:t>ה</w:t>
      </w:r>
      <w:r w:rsidRPr="007E5741">
        <w:rPr>
          <w:rFonts w:eastAsia="Calibri"/>
          <w:rtl/>
        </w:rPr>
        <w:t xml:space="preserve">ספק כי </w:t>
      </w:r>
      <w:r w:rsidRPr="007E5741">
        <w:rPr>
          <w:rFonts w:eastAsia="Calibri" w:hint="cs"/>
          <w:rtl/>
        </w:rPr>
        <w:t xml:space="preserve">אסדרה </w:t>
      </w:r>
      <w:r w:rsidRPr="007E5741">
        <w:rPr>
          <w:rFonts w:eastAsia="Calibri" w:hint="eastAsia"/>
          <w:rtl/>
        </w:rPr>
        <w:t>המבקשת</w:t>
      </w:r>
      <w:r w:rsidRPr="007E5741">
        <w:rPr>
          <w:rFonts w:eastAsia="Calibri"/>
          <w:rtl/>
        </w:rPr>
        <w:t xml:space="preserve"> </w:t>
      </w:r>
      <w:r w:rsidRPr="007E5741">
        <w:rPr>
          <w:rFonts w:eastAsia="Calibri" w:hint="eastAsia"/>
          <w:rtl/>
        </w:rPr>
        <w:t>לקדם</w:t>
      </w:r>
      <w:r w:rsidRPr="007E5741">
        <w:rPr>
          <w:rFonts w:eastAsia="Calibri"/>
          <w:rtl/>
        </w:rPr>
        <w:t xml:space="preserve"> </w:t>
      </w:r>
      <w:r w:rsidRPr="007E5741">
        <w:rPr>
          <w:rFonts w:eastAsia="Calibri" w:hint="eastAsia"/>
          <w:rtl/>
        </w:rPr>
        <w:t>תחרות</w:t>
      </w:r>
      <w:r w:rsidRPr="007E5741">
        <w:rPr>
          <w:rFonts w:eastAsia="Calibri"/>
          <w:rtl/>
        </w:rPr>
        <w:t xml:space="preserve"> </w:t>
      </w:r>
      <w:r w:rsidRPr="007E5741">
        <w:rPr>
          <w:rFonts w:eastAsia="Calibri" w:hint="eastAsia"/>
          <w:rtl/>
        </w:rPr>
        <w:t>בעיקר</w:t>
      </w:r>
      <w:r w:rsidRPr="007E5741">
        <w:rPr>
          <w:rFonts w:eastAsia="Calibri"/>
          <w:rtl/>
        </w:rPr>
        <w:t xml:space="preserve"> </w:t>
      </w:r>
      <w:r w:rsidRPr="007E5741">
        <w:rPr>
          <w:rFonts w:eastAsia="Calibri" w:hint="eastAsia"/>
          <w:rtl/>
        </w:rPr>
        <w:t>באמצעות</w:t>
      </w:r>
      <w:r w:rsidRPr="007E5741">
        <w:rPr>
          <w:rFonts w:eastAsia="Calibri"/>
          <w:rtl/>
        </w:rPr>
        <w:t xml:space="preserve"> </w:t>
      </w:r>
      <w:r w:rsidRPr="007E5741">
        <w:rPr>
          <w:rFonts w:eastAsia="Calibri" w:hint="eastAsia"/>
          <w:rtl/>
        </w:rPr>
        <w:t>פירוק</w:t>
      </w:r>
      <w:r w:rsidRPr="007E5741">
        <w:rPr>
          <w:rFonts w:eastAsia="Calibri"/>
          <w:rtl/>
        </w:rPr>
        <w:t xml:space="preserve"> </w:t>
      </w:r>
      <w:r w:rsidRPr="007E5741">
        <w:rPr>
          <w:rFonts w:eastAsia="Calibri" w:hint="cs"/>
          <w:rtl/>
        </w:rPr>
        <w:t>ה</w:t>
      </w:r>
      <w:r w:rsidRPr="007E5741">
        <w:rPr>
          <w:rFonts w:eastAsia="Calibri" w:hint="eastAsia"/>
          <w:rtl/>
        </w:rPr>
        <w:t>זיק</w:t>
      </w:r>
      <w:r w:rsidRPr="007E5741">
        <w:rPr>
          <w:rFonts w:eastAsia="Calibri" w:hint="cs"/>
          <w:rtl/>
        </w:rPr>
        <w:t>ה</w:t>
      </w:r>
      <w:r w:rsidRPr="007E5741">
        <w:rPr>
          <w:rFonts w:eastAsia="Calibri"/>
          <w:rtl/>
        </w:rPr>
        <w:t xml:space="preserve"> </w:t>
      </w:r>
      <w:r w:rsidRPr="007E5741">
        <w:rPr>
          <w:rFonts w:eastAsia="Calibri" w:hint="eastAsia"/>
          <w:rtl/>
        </w:rPr>
        <w:t>בין</w:t>
      </w:r>
      <w:r w:rsidRPr="007E5741">
        <w:rPr>
          <w:rFonts w:eastAsia="Calibri"/>
          <w:rtl/>
        </w:rPr>
        <w:t xml:space="preserve"> </w:t>
      </w:r>
      <w:r w:rsidRPr="007E5741">
        <w:rPr>
          <w:rFonts w:eastAsia="Calibri" w:hint="cs"/>
          <w:rtl/>
        </w:rPr>
        <w:t>ה</w:t>
      </w:r>
      <w:r w:rsidRPr="007E5741">
        <w:rPr>
          <w:rFonts w:eastAsia="Calibri" w:hint="eastAsia"/>
          <w:rtl/>
        </w:rPr>
        <w:t>הקמה</w:t>
      </w:r>
      <w:r w:rsidRPr="007E5741">
        <w:rPr>
          <w:rFonts w:eastAsia="Calibri"/>
          <w:rtl/>
        </w:rPr>
        <w:t xml:space="preserve">, </w:t>
      </w:r>
      <w:r w:rsidRPr="007E5741">
        <w:rPr>
          <w:rFonts w:eastAsia="Calibri" w:hint="cs"/>
          <w:rtl/>
        </w:rPr>
        <w:t>ה</w:t>
      </w:r>
      <w:r w:rsidRPr="007E5741">
        <w:rPr>
          <w:rFonts w:eastAsia="Calibri" w:hint="eastAsia"/>
          <w:rtl/>
        </w:rPr>
        <w:t>תפעול</w:t>
      </w:r>
      <w:r w:rsidRPr="007E5741">
        <w:rPr>
          <w:rFonts w:eastAsia="Calibri"/>
          <w:rtl/>
        </w:rPr>
        <w:t xml:space="preserve"> </w:t>
      </w:r>
      <w:r w:rsidRPr="007E5741">
        <w:rPr>
          <w:rFonts w:eastAsia="Calibri" w:hint="eastAsia"/>
          <w:rtl/>
        </w:rPr>
        <w:t>ו</w:t>
      </w:r>
      <w:r w:rsidRPr="007E5741">
        <w:rPr>
          <w:rFonts w:eastAsia="Calibri" w:hint="cs"/>
          <w:rtl/>
        </w:rPr>
        <w:t>ה</w:t>
      </w:r>
      <w:r w:rsidRPr="007E5741">
        <w:rPr>
          <w:rFonts w:eastAsia="Calibri" w:hint="eastAsia"/>
          <w:rtl/>
        </w:rPr>
        <w:t>אספקה</w:t>
      </w:r>
      <w:r w:rsidRPr="007E5741">
        <w:rPr>
          <w:rFonts w:eastAsia="Calibri"/>
          <w:rtl/>
        </w:rPr>
        <w:t xml:space="preserve"> </w:t>
      </w:r>
      <w:r w:rsidRPr="007E5741">
        <w:rPr>
          <w:rFonts w:eastAsia="Calibri" w:hint="eastAsia"/>
          <w:rtl/>
        </w:rPr>
        <w:t>בלי</w:t>
      </w:r>
      <w:r w:rsidRPr="007E5741">
        <w:rPr>
          <w:rFonts w:eastAsia="Calibri"/>
          <w:rtl/>
        </w:rPr>
        <w:t xml:space="preserve"> </w:t>
      </w:r>
      <w:r w:rsidRPr="007E5741">
        <w:rPr>
          <w:rFonts w:eastAsia="Calibri" w:hint="eastAsia"/>
          <w:rtl/>
        </w:rPr>
        <w:t>לתת</w:t>
      </w:r>
      <w:r w:rsidRPr="007E5741">
        <w:rPr>
          <w:rFonts w:eastAsia="Calibri"/>
          <w:rtl/>
        </w:rPr>
        <w:t xml:space="preserve"> </w:t>
      </w:r>
      <w:r w:rsidRPr="007E5741">
        <w:rPr>
          <w:rFonts w:eastAsia="Calibri" w:hint="eastAsia"/>
          <w:rtl/>
        </w:rPr>
        <w:t>משקל</w:t>
      </w:r>
      <w:r w:rsidRPr="007E5741">
        <w:rPr>
          <w:rFonts w:eastAsia="Calibri"/>
          <w:rtl/>
        </w:rPr>
        <w:t xml:space="preserve"> </w:t>
      </w:r>
      <w:r w:rsidRPr="007E5741">
        <w:rPr>
          <w:rFonts w:eastAsia="Calibri" w:hint="eastAsia"/>
          <w:rtl/>
        </w:rPr>
        <w:t>מספק</w:t>
      </w:r>
      <w:r w:rsidRPr="007E5741">
        <w:rPr>
          <w:rFonts w:eastAsia="Calibri"/>
          <w:rtl/>
        </w:rPr>
        <w:t xml:space="preserve"> </w:t>
      </w:r>
      <w:r w:rsidRPr="007E5741">
        <w:rPr>
          <w:rFonts w:eastAsia="Calibri" w:hint="eastAsia"/>
          <w:rtl/>
        </w:rPr>
        <w:t>לתמריצי</w:t>
      </w:r>
      <w:r w:rsidRPr="007E5741">
        <w:rPr>
          <w:rFonts w:eastAsia="Calibri"/>
          <w:rtl/>
        </w:rPr>
        <w:t xml:space="preserve"> </w:t>
      </w:r>
      <w:r w:rsidRPr="007E5741">
        <w:rPr>
          <w:rFonts w:eastAsia="Calibri" w:hint="eastAsia"/>
          <w:rtl/>
        </w:rPr>
        <w:t>השקעה</w:t>
      </w:r>
      <w:r w:rsidRPr="007E5741">
        <w:rPr>
          <w:rFonts w:eastAsia="Calibri"/>
          <w:rtl/>
        </w:rPr>
        <w:t xml:space="preserve"> </w:t>
      </w:r>
      <w:r w:rsidRPr="007E5741">
        <w:rPr>
          <w:rFonts w:eastAsia="Calibri" w:hint="eastAsia"/>
          <w:rtl/>
        </w:rPr>
        <w:t>ארוכי</w:t>
      </w:r>
      <w:r w:rsidRPr="007E5741">
        <w:rPr>
          <w:rFonts w:eastAsia="Calibri"/>
          <w:rtl/>
        </w:rPr>
        <w:t xml:space="preserve"> </w:t>
      </w:r>
      <w:r w:rsidRPr="007E5741">
        <w:rPr>
          <w:rFonts w:eastAsia="Calibri" w:hint="eastAsia"/>
          <w:rtl/>
        </w:rPr>
        <w:t>טווח</w:t>
      </w:r>
      <w:r w:rsidRPr="007E5741">
        <w:rPr>
          <w:rFonts w:eastAsia="Calibri"/>
          <w:rtl/>
        </w:rPr>
        <w:t xml:space="preserve">, </w:t>
      </w:r>
      <w:r w:rsidRPr="007E5741">
        <w:rPr>
          <w:rFonts w:eastAsia="Calibri" w:hint="eastAsia"/>
          <w:rtl/>
        </w:rPr>
        <w:t>יוצרת</w:t>
      </w:r>
      <w:r w:rsidRPr="007E5741">
        <w:rPr>
          <w:rFonts w:eastAsia="Calibri"/>
          <w:rtl/>
        </w:rPr>
        <w:t xml:space="preserve"> </w:t>
      </w:r>
      <w:r w:rsidRPr="007E5741">
        <w:rPr>
          <w:rFonts w:eastAsia="Calibri" w:hint="eastAsia"/>
          <w:rtl/>
        </w:rPr>
        <w:t>בפועל</w:t>
      </w:r>
      <w:r w:rsidRPr="007E5741">
        <w:rPr>
          <w:rFonts w:eastAsia="Calibri"/>
          <w:rtl/>
        </w:rPr>
        <w:t xml:space="preserve"> </w:t>
      </w:r>
      <w:r w:rsidRPr="007E5741">
        <w:rPr>
          <w:rFonts w:eastAsia="Calibri" w:hint="eastAsia"/>
          <w:rtl/>
        </w:rPr>
        <w:t>תמריץ</w:t>
      </w:r>
      <w:r w:rsidRPr="007E5741">
        <w:rPr>
          <w:rFonts w:eastAsia="Calibri"/>
          <w:rtl/>
        </w:rPr>
        <w:t xml:space="preserve"> </w:t>
      </w:r>
      <w:r w:rsidRPr="007E5741">
        <w:rPr>
          <w:rFonts w:eastAsia="Calibri" w:hint="eastAsia"/>
          <w:rtl/>
        </w:rPr>
        <w:t>כלכלי</w:t>
      </w:r>
      <w:r w:rsidRPr="007E5741">
        <w:rPr>
          <w:rFonts w:eastAsia="Calibri"/>
          <w:rtl/>
        </w:rPr>
        <w:t xml:space="preserve"> </w:t>
      </w:r>
      <w:r w:rsidRPr="007E5741">
        <w:rPr>
          <w:rFonts w:eastAsia="Calibri" w:hint="eastAsia"/>
          <w:rtl/>
        </w:rPr>
        <w:t>ברור</w:t>
      </w:r>
      <w:r w:rsidRPr="007E5741">
        <w:rPr>
          <w:rFonts w:eastAsia="Calibri"/>
          <w:rtl/>
        </w:rPr>
        <w:t xml:space="preserve"> </w:t>
      </w:r>
      <w:r w:rsidRPr="007E5741">
        <w:rPr>
          <w:rFonts w:eastAsia="Calibri" w:hint="eastAsia"/>
          <w:rtl/>
        </w:rPr>
        <w:t>להשקעה</w:t>
      </w:r>
      <w:r w:rsidRPr="007E5741">
        <w:rPr>
          <w:rFonts w:eastAsia="Calibri"/>
          <w:rtl/>
        </w:rPr>
        <w:t xml:space="preserve"> </w:t>
      </w:r>
      <w:r w:rsidRPr="007E5741">
        <w:rPr>
          <w:rFonts w:eastAsia="Calibri" w:hint="eastAsia"/>
          <w:rtl/>
        </w:rPr>
        <w:t>מזערית</w:t>
      </w:r>
      <w:r w:rsidRPr="007E5741">
        <w:rPr>
          <w:rFonts w:eastAsia="Calibri"/>
          <w:rtl/>
        </w:rPr>
        <w:t xml:space="preserve"> </w:t>
      </w:r>
      <w:r w:rsidRPr="007E5741">
        <w:rPr>
          <w:rFonts w:eastAsia="Calibri" w:hint="eastAsia"/>
          <w:rtl/>
        </w:rPr>
        <w:t>בתשתיות</w:t>
      </w:r>
      <w:r w:rsidRPr="007E5741">
        <w:rPr>
          <w:rFonts w:eastAsia="Calibri"/>
          <w:rtl/>
        </w:rPr>
        <w:t xml:space="preserve">, </w:t>
      </w:r>
      <w:r w:rsidRPr="007E5741">
        <w:rPr>
          <w:rFonts w:eastAsia="Calibri" w:hint="cs"/>
          <w:rtl/>
        </w:rPr>
        <w:t>ב</w:t>
      </w:r>
      <w:r w:rsidRPr="007E5741">
        <w:rPr>
          <w:rFonts w:eastAsia="Calibri" w:hint="eastAsia"/>
          <w:rtl/>
        </w:rPr>
        <w:t>טכנולוגיה</w:t>
      </w:r>
      <w:r w:rsidRPr="007E5741">
        <w:rPr>
          <w:rFonts w:eastAsia="Calibri"/>
          <w:rtl/>
        </w:rPr>
        <w:t xml:space="preserve"> </w:t>
      </w:r>
      <w:r w:rsidRPr="007E5741">
        <w:rPr>
          <w:rFonts w:eastAsia="Calibri" w:hint="eastAsia"/>
          <w:rtl/>
        </w:rPr>
        <w:t>ו</w:t>
      </w:r>
      <w:r w:rsidRPr="007E5741">
        <w:rPr>
          <w:rFonts w:eastAsia="Calibri" w:hint="cs"/>
          <w:rtl/>
        </w:rPr>
        <w:t>ב</w:t>
      </w:r>
      <w:r w:rsidRPr="007E5741">
        <w:rPr>
          <w:rFonts w:eastAsia="Calibri" w:hint="eastAsia"/>
          <w:rtl/>
        </w:rPr>
        <w:t>אביזרים</w:t>
      </w:r>
      <w:r w:rsidRPr="007E5741">
        <w:rPr>
          <w:rFonts w:eastAsia="Calibri"/>
          <w:rtl/>
        </w:rPr>
        <w:t xml:space="preserve"> </w:t>
      </w:r>
      <w:r w:rsidRPr="007E5741">
        <w:rPr>
          <w:rFonts w:eastAsia="Calibri" w:hint="eastAsia"/>
          <w:rtl/>
        </w:rPr>
        <w:t>מתקדמים</w:t>
      </w:r>
      <w:r w:rsidRPr="007E5741">
        <w:rPr>
          <w:rFonts w:eastAsia="Calibri"/>
          <w:rtl/>
        </w:rPr>
        <w:t xml:space="preserve">. מצב זה עלול לפגוע ברמת התשתית הכוללת של הענף. </w:t>
      </w:r>
      <w:r w:rsidRPr="007E5741">
        <w:rPr>
          <w:rFonts w:eastAsia="Calibri" w:hint="eastAsia"/>
          <w:rtl/>
        </w:rPr>
        <w:t>תחרות</w:t>
      </w:r>
      <w:r w:rsidRPr="007E5741">
        <w:rPr>
          <w:rFonts w:eastAsia="Calibri"/>
          <w:rtl/>
        </w:rPr>
        <w:t xml:space="preserve"> </w:t>
      </w:r>
      <w:r w:rsidRPr="007E5741">
        <w:rPr>
          <w:rFonts w:eastAsia="Calibri" w:hint="eastAsia"/>
          <w:rtl/>
        </w:rPr>
        <w:t>שאינה</w:t>
      </w:r>
      <w:r w:rsidRPr="007E5741">
        <w:rPr>
          <w:rFonts w:eastAsia="Calibri"/>
          <w:rtl/>
        </w:rPr>
        <w:t xml:space="preserve"> </w:t>
      </w:r>
      <w:r w:rsidRPr="007E5741">
        <w:rPr>
          <w:rFonts w:eastAsia="Calibri" w:hint="eastAsia"/>
          <w:rtl/>
        </w:rPr>
        <w:t>מלווה</w:t>
      </w:r>
      <w:r w:rsidRPr="007E5741">
        <w:rPr>
          <w:rFonts w:eastAsia="Calibri"/>
          <w:rtl/>
        </w:rPr>
        <w:t xml:space="preserve"> </w:t>
      </w:r>
      <w:r w:rsidRPr="007E5741">
        <w:rPr>
          <w:rFonts w:eastAsia="Calibri" w:hint="eastAsia"/>
          <w:rtl/>
        </w:rPr>
        <w:t>במנגנונים</w:t>
      </w:r>
      <w:r w:rsidRPr="007E5741">
        <w:rPr>
          <w:rFonts w:eastAsia="Calibri"/>
          <w:rtl/>
        </w:rPr>
        <w:t xml:space="preserve"> </w:t>
      </w:r>
      <w:r w:rsidRPr="007E5741">
        <w:rPr>
          <w:rFonts w:eastAsia="Calibri" w:hint="eastAsia"/>
          <w:rtl/>
        </w:rPr>
        <w:t>המעודדים</w:t>
      </w:r>
      <w:r w:rsidRPr="007E5741">
        <w:rPr>
          <w:rFonts w:eastAsia="Calibri"/>
          <w:rtl/>
        </w:rPr>
        <w:t xml:space="preserve"> </w:t>
      </w:r>
      <w:r w:rsidRPr="007E5741">
        <w:rPr>
          <w:rFonts w:eastAsia="Calibri" w:hint="eastAsia"/>
          <w:rtl/>
        </w:rPr>
        <w:t>השקעה</w:t>
      </w:r>
      <w:r w:rsidRPr="007E5741">
        <w:rPr>
          <w:rFonts w:eastAsia="Calibri"/>
          <w:rtl/>
        </w:rPr>
        <w:t xml:space="preserve"> </w:t>
      </w:r>
      <w:r w:rsidRPr="007E5741">
        <w:rPr>
          <w:rFonts w:eastAsia="Calibri" w:hint="eastAsia"/>
          <w:rtl/>
        </w:rPr>
        <w:t>באיכות</w:t>
      </w:r>
      <w:r w:rsidRPr="007E5741">
        <w:rPr>
          <w:rFonts w:eastAsia="Calibri"/>
          <w:rtl/>
        </w:rPr>
        <w:t xml:space="preserve">, </w:t>
      </w:r>
      <w:r w:rsidRPr="007E5741">
        <w:rPr>
          <w:rFonts w:eastAsia="Calibri" w:hint="cs"/>
          <w:rtl/>
        </w:rPr>
        <w:t>ב</w:t>
      </w:r>
      <w:r w:rsidRPr="007E5741">
        <w:rPr>
          <w:rFonts w:eastAsia="Calibri" w:hint="eastAsia"/>
          <w:rtl/>
        </w:rPr>
        <w:t>בטיחות</w:t>
      </w:r>
      <w:r w:rsidRPr="007E5741">
        <w:rPr>
          <w:rFonts w:eastAsia="Calibri"/>
          <w:rtl/>
        </w:rPr>
        <w:t xml:space="preserve"> </w:t>
      </w:r>
      <w:r w:rsidRPr="007E5741">
        <w:rPr>
          <w:rFonts w:eastAsia="Calibri" w:hint="eastAsia"/>
          <w:rtl/>
        </w:rPr>
        <w:t>ו</w:t>
      </w:r>
      <w:r w:rsidRPr="007E5741">
        <w:rPr>
          <w:rFonts w:eastAsia="Calibri" w:hint="cs"/>
          <w:rtl/>
        </w:rPr>
        <w:t>ב</w:t>
      </w:r>
      <w:r w:rsidRPr="007E5741">
        <w:rPr>
          <w:rFonts w:eastAsia="Calibri" w:hint="eastAsia"/>
          <w:rtl/>
        </w:rPr>
        <w:t>טכנולוגיה</w:t>
      </w:r>
      <w:r w:rsidRPr="007E5741">
        <w:rPr>
          <w:rFonts w:eastAsia="Calibri"/>
          <w:rtl/>
        </w:rPr>
        <w:t xml:space="preserve"> </w:t>
      </w:r>
      <w:r w:rsidRPr="007E5741">
        <w:rPr>
          <w:rFonts w:eastAsia="Calibri" w:hint="eastAsia"/>
          <w:rtl/>
        </w:rPr>
        <w:t>מתקדמת</w:t>
      </w:r>
      <w:r w:rsidRPr="007E5741">
        <w:rPr>
          <w:rFonts w:eastAsia="Calibri"/>
          <w:rtl/>
        </w:rPr>
        <w:t xml:space="preserve"> </w:t>
      </w:r>
      <w:r w:rsidRPr="007E5741">
        <w:rPr>
          <w:rFonts w:eastAsia="Calibri" w:hint="eastAsia"/>
          <w:rtl/>
        </w:rPr>
        <w:t>עלולה</w:t>
      </w:r>
      <w:r w:rsidRPr="007E5741">
        <w:rPr>
          <w:rFonts w:eastAsia="Calibri"/>
          <w:rtl/>
        </w:rPr>
        <w:t xml:space="preserve"> </w:t>
      </w:r>
      <w:r w:rsidRPr="007E5741">
        <w:rPr>
          <w:rFonts w:eastAsia="Calibri" w:hint="eastAsia"/>
          <w:rtl/>
        </w:rPr>
        <w:t>להביא</w:t>
      </w:r>
      <w:r w:rsidRPr="007E5741">
        <w:rPr>
          <w:rFonts w:eastAsia="Calibri"/>
          <w:rtl/>
        </w:rPr>
        <w:t xml:space="preserve"> </w:t>
      </w:r>
      <w:r w:rsidRPr="007E5741">
        <w:rPr>
          <w:rFonts w:eastAsia="Calibri" w:hint="eastAsia"/>
          <w:rtl/>
        </w:rPr>
        <w:t>לפגיעה</w:t>
      </w:r>
      <w:r w:rsidRPr="007E5741">
        <w:rPr>
          <w:rFonts w:eastAsia="Calibri"/>
          <w:rtl/>
        </w:rPr>
        <w:t xml:space="preserve"> </w:t>
      </w:r>
      <w:r w:rsidRPr="007E5741">
        <w:rPr>
          <w:rFonts w:eastAsia="Calibri" w:hint="eastAsia"/>
          <w:rtl/>
        </w:rPr>
        <w:t>באינטרס</w:t>
      </w:r>
      <w:r w:rsidRPr="007E5741">
        <w:rPr>
          <w:rFonts w:eastAsia="Calibri"/>
          <w:rtl/>
        </w:rPr>
        <w:t xml:space="preserve"> </w:t>
      </w:r>
      <w:r w:rsidRPr="007E5741">
        <w:rPr>
          <w:rFonts w:eastAsia="Calibri" w:hint="eastAsia"/>
          <w:rtl/>
        </w:rPr>
        <w:t>הציבורי</w:t>
      </w:r>
      <w:r w:rsidRPr="007E5741">
        <w:rPr>
          <w:rFonts w:eastAsia="Calibri"/>
          <w:rtl/>
        </w:rPr>
        <w:t xml:space="preserve"> </w:t>
      </w:r>
      <w:r w:rsidRPr="007E5741">
        <w:rPr>
          <w:rFonts w:eastAsia="Calibri" w:hint="eastAsia"/>
          <w:rtl/>
        </w:rPr>
        <w:t>הרחב</w:t>
      </w:r>
      <w:r w:rsidRPr="007E5741">
        <w:rPr>
          <w:rFonts w:eastAsia="Calibri"/>
          <w:rtl/>
        </w:rPr>
        <w:t xml:space="preserve">, </w:t>
      </w:r>
      <w:r w:rsidRPr="007E5741">
        <w:rPr>
          <w:rFonts w:eastAsia="Calibri" w:hint="eastAsia"/>
          <w:rtl/>
        </w:rPr>
        <w:t>גם</w:t>
      </w:r>
      <w:r w:rsidRPr="007E5741">
        <w:rPr>
          <w:rFonts w:eastAsia="Calibri"/>
          <w:rtl/>
        </w:rPr>
        <w:t xml:space="preserve"> </w:t>
      </w:r>
      <w:r w:rsidRPr="007E5741">
        <w:rPr>
          <w:rFonts w:eastAsia="Calibri" w:hint="eastAsia"/>
          <w:rtl/>
        </w:rPr>
        <w:t>אם</w:t>
      </w:r>
      <w:r w:rsidRPr="007E5741">
        <w:rPr>
          <w:rFonts w:eastAsia="Calibri"/>
          <w:rtl/>
        </w:rPr>
        <w:t xml:space="preserve"> </w:t>
      </w:r>
      <w:r w:rsidRPr="007E5741">
        <w:rPr>
          <w:rFonts w:eastAsia="Calibri" w:hint="eastAsia"/>
          <w:rtl/>
        </w:rPr>
        <w:t>בטווח</w:t>
      </w:r>
      <w:r w:rsidRPr="007E5741">
        <w:rPr>
          <w:rFonts w:eastAsia="Calibri"/>
          <w:rtl/>
        </w:rPr>
        <w:t xml:space="preserve"> </w:t>
      </w:r>
      <w:r w:rsidRPr="007E5741">
        <w:rPr>
          <w:rFonts w:eastAsia="Calibri" w:hint="eastAsia"/>
          <w:rtl/>
        </w:rPr>
        <w:t>הקצר</w:t>
      </w:r>
      <w:r w:rsidRPr="007E5741">
        <w:rPr>
          <w:rFonts w:eastAsia="Calibri"/>
          <w:rtl/>
        </w:rPr>
        <w:t xml:space="preserve"> </w:t>
      </w:r>
      <w:r w:rsidRPr="007E5741">
        <w:rPr>
          <w:rFonts w:eastAsia="Calibri" w:hint="cs"/>
          <w:rtl/>
        </w:rPr>
        <w:t>משמעותה</w:t>
      </w:r>
      <w:r w:rsidRPr="007E5741">
        <w:rPr>
          <w:rFonts w:eastAsia="Calibri"/>
          <w:rtl/>
        </w:rPr>
        <w:t xml:space="preserve"> </w:t>
      </w:r>
      <w:r w:rsidRPr="007E5741">
        <w:rPr>
          <w:rFonts w:eastAsia="Calibri" w:hint="eastAsia"/>
          <w:rtl/>
        </w:rPr>
        <w:t>הפחתת</w:t>
      </w:r>
      <w:r w:rsidRPr="007E5741">
        <w:rPr>
          <w:rFonts w:eastAsia="Calibri"/>
          <w:rtl/>
        </w:rPr>
        <w:t xml:space="preserve"> מחיר או גידול במספר השחקנים בענף. </w:t>
      </w:r>
      <w:r w:rsidRPr="007E5741">
        <w:rPr>
          <w:rFonts w:eastAsia="Calibri" w:hint="cs"/>
          <w:rtl/>
        </w:rPr>
        <w:t xml:space="preserve">בתשובתו המשלימה ציין ספק גדול 2 כי ההסדר המוצע בתקנות מייצר סיכונים בטיחותיים חסרי תקדים של תשתיות המוקמות ללא פיקוח מקצועי של חברת גז מורשית.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בתשובתו למשרד מבקר המדינה מסר ספק גדול 1 כי אין כל חסם המונע מדיירים בבניין חדש להחליף את ספק הגז שבחר הקבלן. עוד ציין כי ספק הגז הראשון הוא גם זה הנושא במלוא עלות הקמת מערכת הגז המרכזית לבניין, הנאמדת בעשרות ואף במאות אלפי שקלים לפרויקט. מניעת האפשרות שספק הגז שהקים את התשתית יהיה גם ספק הגז הראשון לבניין תוביל בהכרח לכך שספקי הגז יסרבו לממן את עלות תכנון והקמת מערכת הגז, ותשית הוצאה זו על הדיירים. זאת ועוד, גיבוש הסכמה קולקטיבית של דיירים שעדיין אינם מכירים זה את זה אך ורק לצורך בחירת ספק הוא מהלך מורכב, והניסיון לכפותו לצורך בחירת ספק שירות שעלותו החודשית זניחה - עשרות שקלים מעטות למשק בית - הוא בלתי מידתי ובלתי סביר. עוד ציין ספק גדל 1 כי בין ספקי הגז מתנהלת תחרות עזה על גיוס לקוחות של בניינים חדשים שבמסגרתה ספקי הגז הגדולים בלבד משקיעים משאבים כספיים ותפעוליים ניכרים בהקמת תשתיות גז. משכה של ההתקשרות עם הצרכן אינה מעידה בהכרח על כשל תחרותי אלא על הצלחתו של ספק הגז לספק תנאים תחרותיים ומחירים משתלמים ללקוחותיו.</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 xml:space="preserve">בתשובתו למשרד מבקר המדינה ממאי 2026 מסר ספק גדול 4 כי העובדה שצרכן לא החליף ספק גז אינה מלמדת בהכרח על פגיעה בתחרות. לעיתים קרובות תחרות מתבטאת דווקא בהפחתת מחיר בידי ספק הגז הקיים ושיפור השירות שהוא נותן לצרכן. עוד מסר הספק כי הפרדה בין בעל התשתית לספק השירות עשויה דווקא לפגוע בתחרות ובצרכן, וכי מנגנון של בחירת הספק הראשון על ידי רוכשי הדירות ולא על ידי הקבלן יביא לפגיעה בלוחות הזמנים של הקמת הפרויקט ואכלוסו. </w:t>
      </w:r>
      <w:bookmarkStart w:id="45" w:name="_Hlk230527569"/>
      <w:r w:rsidRPr="007E5741">
        <w:rPr>
          <w:rFonts w:ascii="David" w:eastAsia="Calibri" w:hAnsi="David" w:hint="cs"/>
          <w:rtl/>
        </w:rPr>
        <w:t>עוד מסר ספק גדול 4 כי הדין הקיים כולל מנגנון מפורש שנועד להפחית חסמי מעבר תשתיתיים ולהבטיח רציפות אספקה, וכי יצירת כלים להגברת המודעות הצרכנית תנגיש לצרכנים מידע, תפחית את עלויות העסקה והזמן הנדרש לאספקה ותגדיל את מספר הצרכנים שיבחנו חלופות ויפעלו לשיפור תנאי ההתקשרות.</w:t>
      </w:r>
    </w:p>
    <w:bookmarkEnd w:id="45"/>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b/>
          <w:bCs/>
          <w:rtl/>
        </w:rPr>
      </w:pPr>
      <w:r w:rsidRPr="007E5741">
        <w:rPr>
          <w:rFonts w:ascii="David" w:eastAsia="Calibri" w:hAnsi="David" w:hint="cs"/>
          <w:b/>
          <w:bCs/>
          <w:rtl/>
        </w:rPr>
        <w:t>לנוכח הנתונים לעיל - ולפיהם הן במרכזיית מכלים והן במרכזיית מכל נייח</w:t>
      </w:r>
      <w:r w:rsidRPr="007E5741">
        <w:rPr>
          <w:rFonts w:ascii="David" w:eastAsia="Calibri" w:hAnsi="David"/>
          <w:b/>
          <w:bCs/>
          <w:rtl/>
        </w:rPr>
        <w:t xml:space="preserve"> </w:t>
      </w:r>
      <w:r w:rsidRPr="007E5741">
        <w:rPr>
          <w:rFonts w:ascii="David" w:eastAsia="Calibri" w:hAnsi="David" w:hint="cs"/>
          <w:b/>
          <w:bCs/>
          <w:rtl/>
        </w:rPr>
        <w:t>מעט לקוחות עברו בין ספקי גפ"ם, ומעט מעברים היו מספקים גדולים אל ספקים גדולים אחרים - מומלץ למשרד האנרגיה ולרשות התחרות לערוך בחינה מקיפה של הנתונים כדי להגביר את התחרות במקטע השיווק של גפ"ם ב</w:t>
      </w:r>
      <w:r w:rsidRPr="007E5741">
        <w:rPr>
          <w:rFonts w:ascii="David" w:eastAsia="Calibri" w:hAnsi="David"/>
          <w:b/>
          <w:bCs/>
          <w:rtl/>
        </w:rPr>
        <w:t>מרכזיות מכלים ו</w:t>
      </w:r>
      <w:r w:rsidRPr="007E5741">
        <w:rPr>
          <w:rFonts w:ascii="David" w:eastAsia="Calibri" w:hAnsi="David" w:hint="cs"/>
          <w:b/>
          <w:bCs/>
          <w:rtl/>
        </w:rPr>
        <w:t xml:space="preserve">במרכזיות מכל נייח, אף בין הספקים הגדולים לבין עצמם. זאת ועוד, </w:t>
      </w:r>
      <w:r w:rsidRPr="007E5741">
        <w:rPr>
          <w:rFonts w:ascii="David" w:eastAsia="Calibri" w:hAnsi="David" w:hint="eastAsia"/>
          <w:b/>
          <w:bCs/>
          <w:rtl/>
        </w:rPr>
        <w:t>מומלץ</w:t>
      </w:r>
      <w:r w:rsidRPr="007E5741">
        <w:rPr>
          <w:rFonts w:ascii="David" w:eastAsia="Calibri" w:hAnsi="David"/>
          <w:b/>
          <w:bCs/>
          <w:rtl/>
        </w:rPr>
        <w:t xml:space="preserve"> </w:t>
      </w:r>
      <w:r w:rsidRPr="007E5741">
        <w:rPr>
          <w:rFonts w:ascii="David" w:eastAsia="Calibri" w:hAnsi="David" w:hint="eastAsia"/>
          <w:b/>
          <w:bCs/>
          <w:rtl/>
        </w:rPr>
        <w:t>ל</w:t>
      </w:r>
      <w:r w:rsidRPr="007E5741">
        <w:rPr>
          <w:rFonts w:ascii="David" w:eastAsia="Calibri" w:hAnsi="David" w:hint="cs"/>
          <w:b/>
          <w:bCs/>
          <w:rtl/>
        </w:rPr>
        <w:t xml:space="preserve">משרד האנרגיה לסיים את בחינת הצורך בגיבוש </w:t>
      </w:r>
      <w:r w:rsidRPr="007E5741">
        <w:rPr>
          <w:rFonts w:ascii="David" w:eastAsia="Calibri" w:hAnsi="David"/>
          <w:b/>
          <w:bCs/>
          <w:rtl/>
        </w:rPr>
        <w:t xml:space="preserve">התקנות שיאפשרו לדיירים בבניין חדש לבחור בעצמם את ספק הגז </w:t>
      </w:r>
      <w:r w:rsidRPr="007E5741">
        <w:rPr>
          <w:rFonts w:ascii="David" w:eastAsia="Calibri" w:hAnsi="David" w:hint="eastAsia"/>
          <w:b/>
          <w:bCs/>
          <w:rtl/>
        </w:rPr>
        <w:t>שיספק</w:t>
      </w:r>
      <w:r w:rsidRPr="007E5741">
        <w:rPr>
          <w:rFonts w:ascii="David" w:eastAsia="Calibri" w:hAnsi="David"/>
          <w:b/>
          <w:bCs/>
          <w:rtl/>
        </w:rPr>
        <w:t xml:space="preserve"> </w:t>
      </w:r>
      <w:r w:rsidRPr="007E5741">
        <w:rPr>
          <w:rFonts w:ascii="David" w:eastAsia="Calibri" w:hAnsi="David" w:hint="eastAsia"/>
          <w:b/>
          <w:bCs/>
          <w:rtl/>
        </w:rPr>
        <w:t>גז</w:t>
      </w:r>
      <w:r w:rsidRPr="007E5741">
        <w:rPr>
          <w:rFonts w:ascii="David" w:eastAsia="Calibri" w:hAnsi="David"/>
          <w:b/>
          <w:bCs/>
          <w:rtl/>
        </w:rPr>
        <w:t xml:space="preserve"> </w:t>
      </w:r>
      <w:r w:rsidRPr="007E5741">
        <w:rPr>
          <w:rFonts w:ascii="David" w:eastAsia="Calibri" w:hAnsi="David" w:hint="eastAsia"/>
          <w:b/>
          <w:bCs/>
          <w:rtl/>
        </w:rPr>
        <w:t>לראשונה</w:t>
      </w:r>
      <w:r w:rsidRPr="007E5741">
        <w:rPr>
          <w:rFonts w:ascii="David" w:eastAsia="Calibri" w:hAnsi="David"/>
          <w:b/>
          <w:bCs/>
          <w:rtl/>
        </w:rPr>
        <w:t xml:space="preserve"> </w:t>
      </w:r>
      <w:r w:rsidRPr="007E5741">
        <w:rPr>
          <w:rFonts w:ascii="David" w:eastAsia="Calibri" w:hAnsi="David" w:hint="eastAsia"/>
          <w:b/>
          <w:bCs/>
          <w:rtl/>
        </w:rPr>
        <w:t>למערכת</w:t>
      </w:r>
      <w:r w:rsidRPr="007E5741">
        <w:rPr>
          <w:rFonts w:ascii="David" w:eastAsia="Calibri" w:hAnsi="David"/>
          <w:b/>
          <w:bCs/>
          <w:rtl/>
        </w:rPr>
        <w:t xml:space="preserve"> </w:t>
      </w:r>
      <w:r w:rsidRPr="007E5741">
        <w:rPr>
          <w:rFonts w:ascii="David" w:eastAsia="Calibri" w:hAnsi="David" w:hint="eastAsia"/>
          <w:b/>
          <w:bCs/>
          <w:rtl/>
        </w:rPr>
        <w:t>גז</w:t>
      </w:r>
      <w:r w:rsidRPr="007E5741">
        <w:rPr>
          <w:rFonts w:ascii="David" w:eastAsia="Calibri" w:hAnsi="David"/>
          <w:b/>
          <w:bCs/>
          <w:rtl/>
        </w:rPr>
        <w:t xml:space="preserve"> </w:t>
      </w:r>
      <w:r w:rsidRPr="007E5741">
        <w:rPr>
          <w:rFonts w:ascii="David" w:eastAsia="Calibri" w:hAnsi="David" w:hint="eastAsia"/>
          <w:b/>
          <w:bCs/>
          <w:rtl/>
        </w:rPr>
        <w:t>מרכזית</w:t>
      </w:r>
      <w:r w:rsidRPr="007E5741">
        <w:rPr>
          <w:rFonts w:ascii="David" w:eastAsia="Calibri" w:hAnsi="David"/>
          <w:b/>
          <w:bCs/>
          <w:rtl/>
        </w:rPr>
        <w:t xml:space="preserve"> </w:t>
      </w:r>
      <w:r w:rsidRPr="007E5741">
        <w:rPr>
          <w:rFonts w:ascii="David" w:eastAsia="Calibri" w:hAnsi="David" w:hint="eastAsia"/>
          <w:b/>
          <w:bCs/>
          <w:rtl/>
        </w:rPr>
        <w:t>חדשה</w:t>
      </w:r>
      <w:r w:rsidRPr="007E5741">
        <w:rPr>
          <w:rFonts w:ascii="David" w:eastAsia="Calibri" w:hAnsi="David"/>
          <w:b/>
          <w:bCs/>
          <w:rtl/>
        </w:rPr>
        <w:t>, עוד לפני כניסתם לדירה</w:t>
      </w:r>
      <w:r w:rsidRPr="007E5741">
        <w:rPr>
          <w:rFonts w:ascii="David" w:eastAsia="Calibri" w:hAnsi="David" w:hint="cs"/>
          <w:b/>
          <w:bCs/>
          <w:rtl/>
        </w:rPr>
        <w:t>, תוך התחשבות בקושי בבחירת ספק גז אחר מזה שהקים את תשתית הגז ותוך בחינת ההשלכות של תקנות אלו על משק הגפ"ם</w:t>
      </w:r>
      <w:r w:rsidRPr="007E5741">
        <w:rPr>
          <w:rFonts w:ascii="David" w:eastAsia="Calibri" w:hAnsi="David"/>
          <w:b/>
          <w:bCs/>
          <w:rtl/>
        </w:rPr>
        <w:t>.</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ind w:left="-1"/>
        <w:contextualSpacing/>
        <w:rPr>
          <w:rFonts w:ascii="David" w:eastAsia="Calibri" w:hAnsi="David"/>
          <w:rtl/>
        </w:rPr>
      </w:pPr>
      <w:r w:rsidRPr="007E5741">
        <w:rPr>
          <w:rFonts w:ascii="David" w:eastAsia="Calibri" w:hAnsi="David" w:hint="cs"/>
          <w:rtl/>
        </w:rPr>
        <w:t xml:space="preserve">בתשובתו למשרד מבקר המדינה מסר משרד האנרגיה כי במסגרת </w:t>
      </w:r>
      <w:r w:rsidRPr="007E5741">
        <w:rPr>
          <w:rFonts w:eastAsia="Calibri" w:hint="cs"/>
          <w:sz w:val="24"/>
          <w:rtl/>
        </w:rPr>
        <w:t>התוכנית להפחתת מחירי הגפ"ם, שפרסם לאחר מועד סיום הביקורת, באפריל 2026, בכוונתו</w:t>
      </w:r>
      <w:r w:rsidRPr="007E5741">
        <w:rPr>
          <w:rFonts w:ascii="David" w:eastAsia="Calibri" w:hAnsi="David" w:hint="cs"/>
          <w:rtl/>
        </w:rPr>
        <w:t xml:space="preserve"> לקבוע כי בבניין חדש ייבחר ספק גז על ידי הקבלן, וכי הקבלן יחויב לפנות במכרז לשישה ספקים לפחות הפועלים באותו אזור ולבקש מהם הצעת מחיר לשנה הראשונה לפעילות. הקבלן יבחר את הספק שהציע את המחיר הנמוך ביותר על פי נוסחה שיקבע המשרד. בכוונת המשרד לקבוע גם כי ספק הגז לא יוכל לגבות </w:t>
      </w:r>
      <w:r w:rsidRPr="007E5741">
        <w:rPr>
          <w:rFonts w:ascii="David" w:eastAsia="Calibri" w:hAnsi="David" w:hint="cs"/>
          <w:rtl/>
        </w:rPr>
        <w:t xml:space="preserve">מהצרכנים את דמי ההתקנה - אלה ישולמו על ידי הקבלן ויגולמו במחיר הדירה. בתשובה משלימה של משרד האנרגיה מיוני 2026, ציין המשרד כי המשרד הפיק לקחים והסיק מסקנות מטיוטות קודמות של התקנות שהופצו, וכי התקנות עתידות להתפרסם בשבועות הקרובים. </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3"/>
        <w:rPr>
          <w:rFonts w:eastAsia="Times New Roman"/>
          <w:bCs/>
          <w:szCs w:val="26"/>
          <w:rtl/>
        </w:rPr>
      </w:pPr>
      <w:r w:rsidRPr="007E5741">
        <w:rPr>
          <w:rFonts w:eastAsia="Times New Roman" w:hint="cs"/>
          <w:bCs/>
          <w:szCs w:val="26"/>
          <w:rtl/>
        </w:rPr>
        <w:t>מכירת מוני גז ווסתי לחץ בעת החלפת ספק גז</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eastAsia="Calibri" w:hint="cs"/>
          <w:rtl/>
        </w:rPr>
        <w:t>התוספת לחוק המקרקעין, החלפת ספק גז,</w:t>
      </w:r>
      <w:r w:rsidRPr="007E5741">
        <w:rPr>
          <w:rFonts w:eastAsia="Calibri"/>
        </w:rPr>
        <w:t xml:space="preserve"> </w:t>
      </w:r>
      <w:r w:rsidRPr="007E5741">
        <w:rPr>
          <w:rFonts w:eastAsia="Calibri" w:hint="cs"/>
          <w:rtl/>
        </w:rPr>
        <w:t>קובעת כי "הספק היוצא יפרק על חשבונו מונה גז ווסת לחץ השייכים לו במועד שייקבע בתיאום עם הספק הנכנס ובעלי הדירות</w:t>
      </w:r>
      <w:r w:rsidRPr="007E5741">
        <w:rPr>
          <w:rFonts w:eastAsia="Calibri"/>
          <w:rtl/>
        </w:rPr>
        <w:t>"</w:t>
      </w:r>
      <w:r w:rsidRPr="007E5741">
        <w:rPr>
          <w:rFonts w:ascii="David" w:eastAsia="Calibri" w:hAnsi="David" w:hint="cs"/>
          <w:rtl/>
        </w:rPr>
        <w:t xml:space="preserve">.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מפגישות שקיים צוות הביקורת עם ספקי גז באוקטובר 2025 עולה כי הפרקטיקה הנוהגת היא כי על אף האמור בחוק, בעת החלפת ספק גז הספק הנכנס מפרק את המונים והווסתים המותקנים בבניין, מוסר אותם לספק היוצא ומתקין מונים ווסתים חדשים, דבר הצורך זמן וכסף ומקשה את המעבר בין ספקים. ספקי הגז מסרו לצוות הביקורת כי החלפת מונים ווסתים לכל יחידת דיור אורכת כ-</w:t>
      </w:r>
      <w:r w:rsidR="00CA2309">
        <w:rPr>
          <w:rFonts w:ascii="David" w:eastAsia="Calibri" w:hAnsi="David" w:hint="cs"/>
          <w:rtl/>
        </w:rPr>
        <w:t>15 עד 20</w:t>
      </w:r>
      <w:r w:rsidRPr="007E5741">
        <w:rPr>
          <w:rFonts w:ascii="David" w:eastAsia="Calibri" w:hAnsi="David" w:hint="cs"/>
          <w:rtl/>
        </w:rPr>
        <w:t xml:space="preserve"> דקות, דבר שעלול לקחת כמה שעות אם הרבה יחידות דיור מחוברות.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זאת ועוד, בניגוד לחובה המוטלת על הספק היוצא למכור מכל נייח לספק הנכנס, אין חובה חוקית דומה למכור את מוני הגז ווסתי הלחץ. ספקי הגז מסרו לצוות הביקורת כי אין פרקטיקה של מכירת מונים ווסתים לספק הנכנס.</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bookmarkStart w:id="46" w:name="_Hlk213155745"/>
      <w:r w:rsidRPr="007E5741">
        <w:rPr>
          <w:rFonts w:ascii="David" w:eastAsia="Calibri" w:hAnsi="David" w:hint="cs"/>
          <w:rtl/>
        </w:rPr>
        <w:t>ספקי הגז הקטנים פנו בעניין זה בפברואר 2025 למנהלת מינהל הדלק וביקשו ממנה לקדם חקיקה שתחייב את הספק היוצא למכור את המונים והווסתים המותקנים בבניין כדי להקל את הליך החלפת הספ</w:t>
      </w:r>
      <w:bookmarkEnd w:id="46"/>
      <w:r w:rsidRPr="007E5741">
        <w:rPr>
          <w:rFonts w:ascii="David" w:eastAsia="Calibri" w:hAnsi="David" w:hint="cs"/>
          <w:rtl/>
        </w:rPr>
        <w:t xml:space="preserve">ק. מינהל הדלק מסר לצוות הביקורת בנובמבר 2025 כי הנושא בבחינה.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b/>
          <w:bCs/>
          <w:rtl/>
        </w:rPr>
      </w:pPr>
      <w:r w:rsidRPr="007E5741">
        <w:rPr>
          <w:rFonts w:ascii="David" w:eastAsia="Calibri" w:hAnsi="David" w:hint="cs"/>
          <w:b/>
          <w:bCs/>
          <w:rtl/>
        </w:rPr>
        <w:t>נמצא כי על אף האמור בחוק, בעת החלפת ספק גז הספק הנכנס מפרק את המונים והווסתים המותקנים בבניין, מוסר אותם לספק היוצא ומתקין מונים ווסתים חדשים</w:t>
      </w:r>
      <w:r w:rsidRPr="007E5741">
        <w:rPr>
          <w:rFonts w:ascii="David" w:eastAsia="Calibri" w:hAnsi="David"/>
          <w:b/>
          <w:bCs/>
          <w:rtl/>
        </w:rPr>
        <w:t xml:space="preserve">, </w:t>
      </w:r>
      <w:r w:rsidRPr="007E5741">
        <w:rPr>
          <w:rFonts w:ascii="David" w:eastAsia="Calibri" w:hAnsi="David" w:hint="eastAsia"/>
          <w:b/>
          <w:bCs/>
          <w:rtl/>
        </w:rPr>
        <w:t>דבר</w:t>
      </w:r>
      <w:r w:rsidRPr="007E5741">
        <w:rPr>
          <w:rFonts w:ascii="David" w:eastAsia="Calibri" w:hAnsi="David"/>
          <w:b/>
          <w:bCs/>
          <w:rtl/>
        </w:rPr>
        <w:t xml:space="preserve"> </w:t>
      </w:r>
      <w:r w:rsidRPr="007E5741">
        <w:rPr>
          <w:rFonts w:ascii="David" w:eastAsia="Calibri" w:hAnsi="David" w:hint="eastAsia"/>
          <w:b/>
          <w:bCs/>
          <w:rtl/>
        </w:rPr>
        <w:t>הצורך</w:t>
      </w:r>
      <w:r w:rsidRPr="007E5741">
        <w:rPr>
          <w:rFonts w:ascii="David" w:eastAsia="Calibri" w:hAnsi="David"/>
          <w:b/>
          <w:bCs/>
          <w:rtl/>
        </w:rPr>
        <w:t xml:space="preserve"> </w:t>
      </w:r>
      <w:r w:rsidRPr="007E5741">
        <w:rPr>
          <w:rFonts w:ascii="David" w:eastAsia="Calibri" w:hAnsi="David" w:hint="eastAsia"/>
          <w:b/>
          <w:bCs/>
          <w:rtl/>
        </w:rPr>
        <w:t>זמן</w:t>
      </w:r>
      <w:r w:rsidRPr="007E5741">
        <w:rPr>
          <w:rFonts w:ascii="David" w:eastAsia="Calibri" w:hAnsi="David"/>
          <w:b/>
          <w:bCs/>
          <w:rtl/>
        </w:rPr>
        <w:t xml:space="preserve"> </w:t>
      </w:r>
      <w:r w:rsidRPr="007E5741">
        <w:rPr>
          <w:rFonts w:ascii="David" w:eastAsia="Calibri" w:hAnsi="David" w:hint="eastAsia"/>
          <w:b/>
          <w:bCs/>
          <w:rtl/>
        </w:rPr>
        <w:t>וכסף</w:t>
      </w:r>
      <w:r w:rsidRPr="007E5741">
        <w:rPr>
          <w:rFonts w:ascii="David" w:eastAsia="Calibri" w:hAnsi="David" w:hint="cs"/>
          <w:b/>
          <w:bCs/>
          <w:rtl/>
        </w:rPr>
        <w:t>. החלפת מונים ווסתים עלולה לקחת כמה שעות, תלוי במספר יחידות הדיור המחוברות. עוד נמצא כי בניגוד לחובה המוטלת על הספק היוצא למכור מכל נייח לספק הנכנס, אין חובה חוקית דומה למכור את מוני הגז ווסתי הלחץ.</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b/>
          <w:bCs/>
          <w:rtl/>
        </w:rPr>
      </w:pPr>
      <w:r w:rsidRPr="007E5741">
        <w:rPr>
          <w:rFonts w:eastAsia="Calibri" w:hint="cs"/>
          <w:b/>
          <w:bCs/>
          <w:rtl/>
        </w:rPr>
        <w:t xml:space="preserve">על משרד האנרגיה לאכוף את החוק שלפיו על הספק היוצא לפרק מונים ווסתים השייכים לו, דבר שיחסוך זמן וכסף לספק הנכנס. זאת ועוד, מומלץ למשרד האנרגיה לשקול לקדם חקיקה </w:t>
      </w:r>
      <w:r w:rsidRPr="007E5741">
        <w:rPr>
          <w:rFonts w:ascii="David" w:eastAsia="Calibri" w:hAnsi="David" w:hint="cs"/>
          <w:b/>
          <w:bCs/>
          <w:rtl/>
        </w:rPr>
        <w:t>שתחייב את הספק היוצא למכור את המונים והווסתים המותקנים בבניין כדי להקל את הליך החלפת הספק ולהגביר את התחרות במקטע השיווק.</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 xml:space="preserve">משרד האנרגיה מסר בתשובתו כי במסגרת </w:t>
      </w:r>
      <w:r w:rsidRPr="007E5741">
        <w:rPr>
          <w:rFonts w:eastAsia="Calibri" w:hint="cs"/>
          <w:sz w:val="24"/>
          <w:rtl/>
        </w:rPr>
        <w:t>התוכנית שפרסם לאחר מועד סיום הביקורת, באפריל 2026, להפחתת מחירי הגפ"ם, בכוונת המשרד לקבוע שספק גז יוצא יאפשר לספק הנכנס לקנות ממנו את המונים והווסתים במחיר מפוקח שייקבע לפי צו הפיקוח על מחירי מצרכים ושירותים.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בתשובתו למשרד מבקר המדינה מסר ספק גדול 4 כי חובת מכירת מונה ווסת לספק נכנס עשויה להפחית חסמי מעבר תפעוליים, לקצר את תהליך ההחלפה, לצמצם סרבול הכרוך בפירוק והתקנה מחדש של ציוד ולהפחית את החשש של דיירים מפני פגיעה ברציפות האספקה.</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3"/>
        <w:rPr>
          <w:rFonts w:eastAsia="Times New Roman"/>
          <w:bCs/>
          <w:szCs w:val="26"/>
          <w:rtl/>
        </w:rPr>
      </w:pPr>
      <w:r w:rsidRPr="007E5741">
        <w:rPr>
          <w:rFonts w:eastAsia="Times New Roman" w:hint="cs"/>
          <w:bCs/>
          <w:szCs w:val="26"/>
          <w:rtl/>
        </w:rPr>
        <w:t>קשירת שירות בשירות (</w:t>
      </w:r>
      <w:r w:rsidRPr="007E5741">
        <w:rPr>
          <w:rFonts w:eastAsia="Times New Roman"/>
          <w:b/>
          <w:sz w:val="24"/>
        </w:rPr>
        <w:t>Bundle</w:t>
      </w:r>
      <w:r w:rsidRPr="007E5741">
        <w:rPr>
          <w:rFonts w:eastAsia="Times New Roman" w:hint="cs"/>
          <w:bCs/>
          <w:szCs w:val="26"/>
          <w:rtl/>
        </w:rPr>
        <w:t>)</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hint="cs"/>
          <w:rtl/>
        </w:rPr>
        <w:t>מרבית ספקי הגפ"ם הגדולים הם גם ספקי חשמל. נוסף על אספקת גפ"ם, הם מציעים ללקוחות פוטנציאלים לרכוש גם חשמל במחיר משתלם. מפגישות שקיים צוות הביקורת עם ספקי גז באוקטובר 2025 עולה כי הספקים הקטנים אינם ספקי חשמל, ולכן אינם יכולים להציע שירות זה ולהתחרות בספקים הגדולים.</w:t>
      </w:r>
    </w:p>
    <w:p w:rsidR="00A87F40" w:rsidP="002F4530">
      <w:pPr>
        <w:bidi w:val="0"/>
        <w:spacing w:after="200" w:line="276" w:lineRule="auto"/>
        <w:rPr>
          <w:rFonts w:ascii="David" w:eastAsia="Calibri" w:hAnsi="David"/>
          <w:rtl/>
        </w:rPr>
      </w:pPr>
      <w:r>
        <w:rPr>
          <w:rFonts w:ascii="David" w:eastAsia="Calibri" w:hAnsi="David"/>
          <w:rtl/>
        </w:rPr>
        <w:br w:type="page"/>
      </w:r>
    </w:p>
    <w:p w:rsidR="007E5741" w:rsidRPr="007E5741" w:rsidP="002F4530">
      <w:pPr>
        <w:spacing w:line="269" w:lineRule="auto"/>
        <w:rPr>
          <w:rFonts w:ascii="David" w:eastAsia="Calibri" w:hAnsi="David"/>
          <w:rtl/>
        </w:rPr>
      </w:pPr>
      <w:r w:rsidRPr="007E5741">
        <w:rPr>
          <w:rFonts w:ascii="David" w:eastAsia="Calibri" w:hAnsi="David" w:hint="cs"/>
          <w:rtl/>
        </w:rPr>
        <w:t>סעיף 17ד לפרק הרפורמה בגפ"ם</w:t>
      </w:r>
      <w:r>
        <w:rPr>
          <w:rFonts w:eastAsia="Calibri"/>
          <w:vertAlign w:val="superscript"/>
          <w:rtl/>
        </w:rPr>
        <w:footnoteReference w:id="161"/>
      </w:r>
      <w:r w:rsidRPr="007E5741">
        <w:rPr>
          <w:rFonts w:ascii="David" w:eastAsia="Calibri" w:hAnsi="David" w:hint="cs"/>
          <w:rtl/>
        </w:rPr>
        <w:t>, שכותרתו "איסור קביעת תנאים הפוגעים בתחרות" (להלן - סעיף 17ד לחוק) קובע כי "ספק גז לא יכלול בחוזה להספקת גז תנאים שיש בהם כדי להכביד על יכולתו של צרכן גז ביתי להחליף ספק גז או שיש בהם כדי לפגוע בתחרות במשק הגז". מדברי ההסבר להצעת החוק</w:t>
      </w:r>
      <w:r>
        <w:rPr>
          <w:rFonts w:eastAsia="Calibri"/>
          <w:vertAlign w:val="superscript"/>
          <w:rtl/>
        </w:rPr>
        <w:footnoteReference w:id="162"/>
      </w:r>
      <w:r w:rsidRPr="007E5741">
        <w:rPr>
          <w:rFonts w:ascii="David" w:eastAsia="Calibri" w:hAnsi="David" w:hint="cs"/>
          <w:rtl/>
        </w:rPr>
        <w:t xml:space="preserve"> עולה כי הסעיף נועד להקל על צרכנים לעבור באופן חופשי מספק לספק.</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rtl/>
        </w:rPr>
      </w:pPr>
      <w:r w:rsidRPr="007E5741">
        <w:rPr>
          <w:rFonts w:ascii="David" w:eastAsia="Calibri" w:hAnsi="David" w:hint="cs"/>
          <w:rtl/>
        </w:rPr>
        <w:t xml:space="preserve">באפריל 2025 שלחה מנהלת מינהל הדלק לספקי הגפ"ם עדכון לגילוי דעת </w:t>
      </w:r>
      <w:bookmarkStart w:id="47" w:name="_Hlk213160913"/>
      <w:r w:rsidRPr="007E5741">
        <w:rPr>
          <w:rFonts w:ascii="David" w:eastAsia="Calibri" w:hAnsi="David" w:hint="cs"/>
          <w:rtl/>
        </w:rPr>
        <w:t>לעניין איסור קביעת תנאים הפוגעים בתחרות לפי סעיף 17ד לחוק</w:t>
      </w:r>
      <w:bookmarkEnd w:id="47"/>
      <w:r w:rsidRPr="007E5741">
        <w:rPr>
          <w:rFonts w:ascii="David" w:eastAsia="Calibri" w:hAnsi="David" w:hint="cs"/>
          <w:rtl/>
        </w:rPr>
        <w:t xml:space="preserve"> (להלן - גילוי הדעת)</w:t>
      </w:r>
      <w:r>
        <w:rPr>
          <w:rFonts w:eastAsia="Calibri"/>
          <w:vertAlign w:val="superscript"/>
          <w:rtl/>
        </w:rPr>
        <w:footnoteReference w:id="163"/>
      </w:r>
      <w:r w:rsidRPr="007E5741">
        <w:rPr>
          <w:rFonts w:ascii="David" w:eastAsia="Calibri" w:hAnsi="David" w:hint="cs"/>
          <w:rtl/>
        </w:rPr>
        <w:t>. ספקי הגפ"ם היו רשאים להגיש התייחסות לגילוי הדעת עד ליום 19.5.25.</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בגילוי הדעת כתב מינהל הדלק כי "לעמדתנו, תנאי בהסכם להספקת חשמל המעניק הטבה המותנית בהתקשרות בהסכם להספקת חשמל... יש בו כדי להכביד על יכולתו של צרכן גז ביתי להחליף ספק גז וכדי לפגוע בתחרות במשק הגז... וזאת גם במקרה שבו ההטבה אינה נפסקת במועד סיום ההתקשרות... התניה בין הסכמי גז - חשמל מהווה לעמדתנו יתרון תחרותי בלתי הוגן וספקי הגז העוסקים בהספקת חשמל, בהתחשב בכך שמרבית ספקי הגז, שאינם ספקים גדולים, אינם עומדים בתנאים לקבלת רישיון להספקת חשמל, וכן בהתחשב במיעוט היחסי של החלפות ספק גז. בטווח הארוך סבסוד צולב של מחירי גז - חשמל עלול לדחוק ממשק הגז ספקי גז שאין להם רישיון להספקת חשמל, וכן לפגוע ברמת התחרות במשק הגז. כמו כן, התניה בין הסכמי גז - חשמל תפגע ביכולת של הצרכנים להשוות בין מחירי הגז שספקי הגז מפרסמים במטרה לאפשר לצרכנים לבחור את ספק הגז המיטבי עבורם".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בפגישה עם מינהל הדלק בנובמבר 2025 עלה כי חלק מספקי הגפ"ם הגישו התייחסויות לגילוי הדעת. מינהל הדלק מסר לצוות הביקורת בנובמבר 2025 כי פרסום גילוי דעת סופי ממתין לאישור מנכ"ל משרד האנרגיה.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בהקשר זה יצוין כי ביולי 2020 ניתן פסק דין בעניין דומה</w:t>
      </w:r>
      <w:r>
        <w:rPr>
          <w:rFonts w:eastAsia="Calibri"/>
          <w:vertAlign w:val="superscript"/>
          <w:rtl/>
        </w:rPr>
        <w:footnoteReference w:id="164"/>
      </w:r>
      <w:r w:rsidRPr="007E5741">
        <w:rPr>
          <w:rFonts w:ascii="David" w:eastAsia="Calibri" w:hAnsi="David" w:hint="cs"/>
          <w:rtl/>
        </w:rPr>
        <w:t>. ספק גז גדול מכר לצרכניו, המעוניינים בכך, מכשירים לחימום מים בגז בתשלומים. אם צרכן שרכש מחמם מים הפסיק להימנות עם לקוחותיו של ספק הגז, בהתאם לחוזה, היה הצרכן צריך לשלם את יתרת התשלומים בגין מחמם המים בתשלום אחד. בית המשפט פסק כי בנסיבות שבהן ההחלטה הצרכנית אם לעבור מספק גז אחד לאחר עלולה להיות מושפעת מהתנאי שיש לשלם את יתרת התשלומים ואף למנוע מעבר, יש בה פוטנציאל של הכבדה. לפיכך התנאי נכנס בגדרו של האיסור בסעיף 17ד האמור.</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b/>
          <w:bCs/>
          <w:rtl/>
        </w:rPr>
      </w:pPr>
      <w:r w:rsidRPr="007E5741">
        <w:rPr>
          <w:rFonts w:ascii="David" w:eastAsia="Calibri" w:hAnsi="David" w:hint="cs"/>
          <w:b/>
          <w:bCs/>
          <w:rtl/>
        </w:rPr>
        <w:t xml:space="preserve">מרבית ספקי הגפ"ם הגדולים הם גם ספקי חשמל, ונוסף על אספקת גפ"ם, הם מציעים ללקוחות פוטנציאלים לרכוש גם חשמל במחיר משתלם. עם זאת, </w:t>
      </w:r>
      <w:r w:rsidRPr="007E5741">
        <w:rPr>
          <w:rFonts w:ascii="David" w:eastAsia="Calibri" w:hAnsi="David" w:hint="eastAsia"/>
          <w:b/>
          <w:bCs/>
          <w:rtl/>
        </w:rPr>
        <w:t>נמצא</w:t>
      </w:r>
      <w:r w:rsidRPr="007E5741">
        <w:rPr>
          <w:rFonts w:ascii="David" w:eastAsia="Calibri" w:hAnsi="David"/>
          <w:b/>
          <w:bCs/>
          <w:rtl/>
        </w:rPr>
        <w:t xml:space="preserve"> כי עד מועד סיום הביקורת לא בחנה רשות התחרות את עניין ההתניה בין הסכמי גז לחשמל.</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b/>
          <w:bCs/>
          <w:rtl/>
        </w:rPr>
      </w:pPr>
      <w:r w:rsidRPr="007E5741">
        <w:rPr>
          <w:rFonts w:ascii="David" w:eastAsia="Calibri" w:hAnsi="David" w:hint="cs"/>
          <w:b/>
          <w:bCs/>
          <w:rtl/>
        </w:rPr>
        <w:t xml:space="preserve">עוד נמצא כי </w:t>
      </w:r>
      <w:r w:rsidRPr="007E5741">
        <w:rPr>
          <w:rFonts w:ascii="David" w:eastAsia="Calibri" w:hAnsi="David" w:hint="eastAsia"/>
          <w:b/>
          <w:bCs/>
          <w:rtl/>
        </w:rPr>
        <w:t>גישת</w:t>
      </w:r>
      <w:r w:rsidRPr="007E5741">
        <w:rPr>
          <w:rFonts w:ascii="David" w:eastAsia="Calibri" w:hAnsi="David"/>
          <w:b/>
          <w:bCs/>
          <w:rtl/>
        </w:rPr>
        <w:t xml:space="preserve"> טיוטת גילוי הדעת</w:t>
      </w:r>
      <w:r w:rsidRPr="007E5741">
        <w:rPr>
          <w:rFonts w:ascii="David" w:eastAsia="Calibri" w:hAnsi="David" w:hint="cs"/>
          <w:b/>
          <w:bCs/>
          <w:rtl/>
        </w:rPr>
        <w:t xml:space="preserve"> של מינהל הדלק מאפריל 2025 שנשלחה לספקי הגז</w:t>
      </w:r>
      <w:r w:rsidRPr="007E5741">
        <w:rPr>
          <w:rFonts w:ascii="David" w:eastAsia="Calibri" w:hAnsi="David"/>
          <w:b/>
          <w:bCs/>
          <w:rtl/>
        </w:rPr>
        <w:t xml:space="preserve"> היא כי</w:t>
      </w:r>
      <w:r w:rsidRPr="007E5741">
        <w:rPr>
          <w:rFonts w:ascii="David" w:eastAsia="Calibri" w:hAnsi="David" w:hint="cs"/>
          <w:b/>
          <w:bCs/>
          <w:rtl/>
        </w:rPr>
        <w:t xml:space="preserve"> </w:t>
      </w:r>
      <w:r w:rsidRPr="007E5741">
        <w:rPr>
          <w:rFonts w:ascii="David" w:eastAsia="Calibri" w:hAnsi="David" w:hint="eastAsia"/>
          <w:b/>
          <w:bCs/>
          <w:rtl/>
        </w:rPr>
        <w:t>תנאי</w:t>
      </w:r>
      <w:r w:rsidRPr="007E5741">
        <w:rPr>
          <w:rFonts w:ascii="David" w:eastAsia="Calibri" w:hAnsi="David"/>
          <w:b/>
          <w:bCs/>
          <w:rtl/>
        </w:rPr>
        <w:t xml:space="preserve"> </w:t>
      </w:r>
      <w:r w:rsidRPr="007E5741">
        <w:rPr>
          <w:rFonts w:ascii="David" w:eastAsia="Calibri" w:hAnsi="David" w:hint="eastAsia"/>
          <w:b/>
          <w:bCs/>
          <w:rtl/>
        </w:rPr>
        <w:t>בהסכם</w:t>
      </w:r>
      <w:r w:rsidRPr="007E5741">
        <w:rPr>
          <w:rFonts w:ascii="David" w:eastAsia="Calibri" w:hAnsi="David"/>
          <w:b/>
          <w:bCs/>
          <w:rtl/>
        </w:rPr>
        <w:t xml:space="preserve"> </w:t>
      </w:r>
      <w:r w:rsidRPr="007E5741">
        <w:rPr>
          <w:rFonts w:ascii="David" w:eastAsia="Calibri" w:hAnsi="David" w:hint="eastAsia"/>
          <w:b/>
          <w:bCs/>
          <w:rtl/>
        </w:rPr>
        <w:t>ל</w:t>
      </w:r>
      <w:r w:rsidRPr="007E5741">
        <w:rPr>
          <w:rFonts w:ascii="David" w:eastAsia="Calibri" w:hAnsi="David" w:hint="cs"/>
          <w:b/>
          <w:bCs/>
          <w:rtl/>
        </w:rPr>
        <w:t>א</w:t>
      </w:r>
      <w:r w:rsidRPr="007E5741">
        <w:rPr>
          <w:rFonts w:ascii="David" w:eastAsia="Calibri" w:hAnsi="David" w:hint="eastAsia"/>
          <w:b/>
          <w:bCs/>
          <w:rtl/>
        </w:rPr>
        <w:t>ספקת</w:t>
      </w:r>
      <w:r w:rsidRPr="007E5741">
        <w:rPr>
          <w:rFonts w:ascii="David" w:eastAsia="Calibri" w:hAnsi="David"/>
          <w:b/>
          <w:bCs/>
          <w:rtl/>
        </w:rPr>
        <w:t xml:space="preserve"> </w:t>
      </w:r>
      <w:r w:rsidRPr="007E5741">
        <w:rPr>
          <w:rFonts w:ascii="David" w:eastAsia="Calibri" w:hAnsi="David" w:hint="eastAsia"/>
          <w:b/>
          <w:bCs/>
          <w:rtl/>
        </w:rPr>
        <w:t>חשמל</w:t>
      </w:r>
      <w:r w:rsidRPr="007E5741">
        <w:rPr>
          <w:rFonts w:ascii="David" w:eastAsia="Calibri" w:hAnsi="David"/>
          <w:b/>
          <w:bCs/>
          <w:rtl/>
        </w:rPr>
        <w:t xml:space="preserve"> </w:t>
      </w:r>
      <w:r w:rsidRPr="007E5741">
        <w:rPr>
          <w:rFonts w:ascii="David" w:eastAsia="Calibri" w:hAnsi="David" w:hint="eastAsia"/>
          <w:b/>
          <w:bCs/>
          <w:rtl/>
        </w:rPr>
        <w:t>המעניק</w:t>
      </w:r>
      <w:r w:rsidRPr="007E5741">
        <w:rPr>
          <w:rFonts w:ascii="David" w:eastAsia="Calibri" w:hAnsi="David"/>
          <w:b/>
          <w:bCs/>
          <w:rtl/>
        </w:rPr>
        <w:t xml:space="preserve"> </w:t>
      </w:r>
      <w:r w:rsidRPr="007E5741">
        <w:rPr>
          <w:rFonts w:ascii="David" w:eastAsia="Calibri" w:hAnsi="David" w:hint="eastAsia"/>
          <w:b/>
          <w:bCs/>
          <w:rtl/>
        </w:rPr>
        <w:t>הטבה</w:t>
      </w:r>
      <w:r w:rsidRPr="007E5741">
        <w:rPr>
          <w:rFonts w:ascii="David" w:eastAsia="Calibri" w:hAnsi="David"/>
          <w:b/>
          <w:bCs/>
          <w:rtl/>
        </w:rPr>
        <w:t xml:space="preserve"> </w:t>
      </w:r>
      <w:r w:rsidRPr="007E5741">
        <w:rPr>
          <w:rFonts w:ascii="David" w:eastAsia="Calibri" w:hAnsi="David" w:hint="eastAsia"/>
          <w:b/>
          <w:bCs/>
          <w:rtl/>
        </w:rPr>
        <w:t>המותנית</w:t>
      </w:r>
      <w:r w:rsidRPr="007E5741">
        <w:rPr>
          <w:rFonts w:ascii="David" w:eastAsia="Calibri" w:hAnsi="David"/>
          <w:b/>
          <w:bCs/>
          <w:rtl/>
        </w:rPr>
        <w:t xml:space="preserve"> </w:t>
      </w:r>
      <w:r w:rsidRPr="007E5741">
        <w:rPr>
          <w:rFonts w:ascii="David" w:eastAsia="Calibri" w:hAnsi="David" w:hint="eastAsia"/>
          <w:b/>
          <w:bCs/>
          <w:rtl/>
        </w:rPr>
        <w:t>בהתקשרות</w:t>
      </w:r>
      <w:r w:rsidRPr="007E5741">
        <w:rPr>
          <w:rFonts w:ascii="David" w:eastAsia="Calibri" w:hAnsi="David"/>
          <w:b/>
          <w:bCs/>
          <w:rtl/>
        </w:rPr>
        <w:t xml:space="preserve"> </w:t>
      </w:r>
      <w:r w:rsidRPr="007E5741">
        <w:rPr>
          <w:rFonts w:ascii="David" w:eastAsia="Calibri" w:hAnsi="David" w:hint="eastAsia"/>
          <w:b/>
          <w:bCs/>
          <w:rtl/>
        </w:rPr>
        <w:t>בהסכם</w:t>
      </w:r>
      <w:r w:rsidRPr="007E5741">
        <w:rPr>
          <w:rFonts w:ascii="David" w:eastAsia="Calibri" w:hAnsi="David"/>
          <w:b/>
          <w:bCs/>
          <w:rtl/>
        </w:rPr>
        <w:t xml:space="preserve"> </w:t>
      </w:r>
      <w:r w:rsidRPr="007E5741">
        <w:rPr>
          <w:rFonts w:ascii="David" w:eastAsia="Calibri" w:hAnsi="David" w:hint="eastAsia"/>
          <w:b/>
          <w:bCs/>
          <w:rtl/>
        </w:rPr>
        <w:t>ל</w:t>
      </w:r>
      <w:r w:rsidRPr="007E5741">
        <w:rPr>
          <w:rFonts w:ascii="David" w:eastAsia="Calibri" w:hAnsi="David" w:hint="cs"/>
          <w:b/>
          <w:bCs/>
          <w:rtl/>
        </w:rPr>
        <w:t>א</w:t>
      </w:r>
      <w:r w:rsidRPr="007E5741">
        <w:rPr>
          <w:rFonts w:ascii="David" w:eastAsia="Calibri" w:hAnsi="David" w:hint="eastAsia"/>
          <w:b/>
          <w:bCs/>
          <w:rtl/>
        </w:rPr>
        <w:t>ספקת</w:t>
      </w:r>
      <w:r w:rsidRPr="007E5741">
        <w:rPr>
          <w:rFonts w:ascii="David" w:eastAsia="Calibri" w:hAnsi="David"/>
          <w:b/>
          <w:bCs/>
          <w:rtl/>
        </w:rPr>
        <w:t xml:space="preserve"> </w:t>
      </w:r>
      <w:r w:rsidRPr="007E5741">
        <w:rPr>
          <w:rFonts w:ascii="David" w:eastAsia="Calibri" w:hAnsi="David" w:hint="eastAsia"/>
          <w:b/>
          <w:bCs/>
          <w:rtl/>
        </w:rPr>
        <w:t>חשמל</w:t>
      </w:r>
      <w:r w:rsidRPr="007E5741">
        <w:rPr>
          <w:rFonts w:ascii="David" w:eastAsia="Calibri" w:hAnsi="David" w:hint="cs"/>
          <w:b/>
          <w:bCs/>
          <w:rtl/>
        </w:rPr>
        <w:t>,</w:t>
      </w:r>
      <w:r w:rsidRPr="007E5741">
        <w:rPr>
          <w:rFonts w:ascii="David" w:eastAsia="Calibri" w:hAnsi="David"/>
          <w:b/>
          <w:bCs/>
          <w:rtl/>
        </w:rPr>
        <w:t xml:space="preserve"> יש בו כדי להכביד על צרכן גז ביתי להחליף ספק גז וכדי לפגוע בתחרות במשק הגז</w:t>
      </w:r>
      <w:r w:rsidRPr="007E5741">
        <w:rPr>
          <w:rFonts w:ascii="David" w:eastAsia="Calibri" w:hAnsi="David" w:hint="cs"/>
          <w:b/>
          <w:bCs/>
          <w:rtl/>
        </w:rPr>
        <w:t>. עד מועד סיום הביקורת מינהל הדלק לא פרסם גילוי דעת סופי.</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בתשובתו למשרד מבקר המדינה במאי 2026 מסר משרד האנרגיה כי גילוי הדעת טומן בחובו היבטים רבים ומשמעותיים, ויש לו השפעות רוחב על עניינים אחרים בתחום האנרגיה. המשרד בוחן את גילוי הדעת והשפעותיו בכלל ההיבטים הנדרשים ויקבל החלטה.</w:t>
      </w:r>
    </w:p>
    <w:p w:rsidR="00A87F40" w:rsidP="002F4530">
      <w:pPr>
        <w:bidi w:val="0"/>
        <w:spacing w:after="200" w:line="276" w:lineRule="auto"/>
        <w:rPr>
          <w:rFonts w:ascii="David" w:eastAsia="Calibri" w:hAnsi="David"/>
          <w:b/>
          <w:bCs/>
          <w:rtl/>
        </w:rPr>
      </w:pPr>
      <w:r>
        <w:rPr>
          <w:rFonts w:ascii="David" w:eastAsia="Calibri" w:hAnsi="David"/>
          <w:b/>
          <w:bCs/>
          <w:rtl/>
        </w:rPr>
        <w:br w:type="page"/>
      </w:r>
    </w:p>
    <w:p w:rsidR="007E5741" w:rsidRPr="007E5741" w:rsidP="002F4530">
      <w:pPr>
        <w:spacing w:line="269" w:lineRule="auto"/>
        <w:rPr>
          <w:rFonts w:ascii="David" w:eastAsia="Calibri" w:hAnsi="David"/>
          <w:b/>
          <w:bCs/>
          <w:rtl/>
        </w:rPr>
      </w:pPr>
      <w:r w:rsidRPr="007E5741">
        <w:rPr>
          <w:rFonts w:ascii="David" w:eastAsia="Calibri" w:hAnsi="David" w:hint="cs"/>
          <w:b/>
          <w:bCs/>
          <w:rtl/>
        </w:rPr>
        <w:t>על משרד האנרגיה לפרסם בהקדם גילוי דעת סופי בעניין ה</w:t>
      </w:r>
      <w:r w:rsidRPr="007E5741">
        <w:rPr>
          <w:rFonts w:ascii="David" w:eastAsia="Calibri" w:hAnsi="David" w:hint="eastAsia"/>
          <w:b/>
          <w:bCs/>
          <w:rtl/>
        </w:rPr>
        <w:t>התניה</w:t>
      </w:r>
      <w:r w:rsidRPr="007E5741">
        <w:rPr>
          <w:rFonts w:ascii="David" w:eastAsia="Calibri" w:hAnsi="David"/>
          <w:b/>
          <w:bCs/>
          <w:rtl/>
        </w:rPr>
        <w:t xml:space="preserve"> </w:t>
      </w:r>
      <w:r w:rsidRPr="007E5741">
        <w:rPr>
          <w:rFonts w:ascii="David" w:eastAsia="Calibri" w:hAnsi="David" w:hint="eastAsia"/>
          <w:b/>
          <w:bCs/>
          <w:rtl/>
        </w:rPr>
        <w:t>בין</w:t>
      </w:r>
      <w:r w:rsidRPr="007E5741">
        <w:rPr>
          <w:rFonts w:ascii="David" w:eastAsia="Calibri" w:hAnsi="David"/>
          <w:b/>
          <w:bCs/>
          <w:rtl/>
        </w:rPr>
        <w:t xml:space="preserve"> </w:t>
      </w:r>
      <w:r w:rsidRPr="007E5741">
        <w:rPr>
          <w:rFonts w:ascii="David" w:eastAsia="Calibri" w:hAnsi="David" w:hint="eastAsia"/>
          <w:b/>
          <w:bCs/>
          <w:rtl/>
        </w:rPr>
        <w:t>הסכמי</w:t>
      </w:r>
      <w:r w:rsidRPr="007E5741">
        <w:rPr>
          <w:rFonts w:ascii="David" w:eastAsia="Calibri" w:hAnsi="David"/>
          <w:b/>
          <w:bCs/>
          <w:rtl/>
        </w:rPr>
        <w:t xml:space="preserve"> </w:t>
      </w:r>
      <w:r w:rsidRPr="007E5741">
        <w:rPr>
          <w:rFonts w:ascii="David" w:eastAsia="Calibri" w:hAnsi="David" w:hint="eastAsia"/>
          <w:b/>
          <w:bCs/>
          <w:rtl/>
        </w:rPr>
        <w:t>גז</w:t>
      </w:r>
      <w:r w:rsidRPr="007E5741">
        <w:rPr>
          <w:rFonts w:ascii="David" w:eastAsia="Calibri" w:hAnsi="David"/>
          <w:b/>
          <w:bCs/>
          <w:rtl/>
        </w:rPr>
        <w:t xml:space="preserve"> </w:t>
      </w:r>
      <w:r w:rsidRPr="007E5741">
        <w:rPr>
          <w:rFonts w:ascii="David" w:eastAsia="Calibri" w:hAnsi="David" w:hint="cs"/>
          <w:b/>
          <w:bCs/>
          <w:rtl/>
        </w:rPr>
        <w:t>ל</w:t>
      </w:r>
      <w:r w:rsidRPr="007E5741">
        <w:rPr>
          <w:rFonts w:ascii="David" w:eastAsia="Calibri" w:hAnsi="David" w:hint="eastAsia"/>
          <w:b/>
          <w:bCs/>
          <w:rtl/>
        </w:rPr>
        <w:t>חשמל</w:t>
      </w:r>
      <w:r w:rsidRPr="007E5741">
        <w:rPr>
          <w:rFonts w:ascii="David" w:eastAsia="Calibri" w:hAnsi="David" w:hint="cs"/>
          <w:b/>
          <w:bCs/>
          <w:rtl/>
        </w:rPr>
        <w:t>,</w:t>
      </w:r>
      <w:r w:rsidRPr="007E5741">
        <w:rPr>
          <w:rFonts w:ascii="David" w:eastAsia="Calibri" w:hAnsi="David"/>
          <w:b/>
          <w:bCs/>
          <w:rtl/>
        </w:rPr>
        <w:t xml:space="preserve"> </w:t>
      </w:r>
      <w:r w:rsidRPr="007E5741">
        <w:rPr>
          <w:rFonts w:ascii="David" w:eastAsia="Calibri" w:hAnsi="David" w:hint="cs"/>
          <w:b/>
          <w:bCs/>
          <w:rtl/>
        </w:rPr>
        <w:t>כדי להקל על צרכנים לעבור מספק גז אחד למשנהו ולהגביר את התחרות במקטע השיווק. בד בבד, מוצע שרשות התחרות תבחן את עניין ההתניה בין הסכמי גז לחשמל ותפרסם גילוי דעת בעניין.</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3"/>
        <w:rPr>
          <w:rFonts w:eastAsia="Times New Roman"/>
          <w:bCs/>
          <w:szCs w:val="26"/>
          <w:rtl/>
        </w:rPr>
      </w:pPr>
      <w:r w:rsidRPr="007E5741">
        <w:rPr>
          <w:rFonts w:eastAsia="Times New Roman" w:hint="cs"/>
          <w:bCs/>
          <w:szCs w:val="26"/>
          <w:rtl/>
        </w:rPr>
        <w:t>ספקי גפ"ם פיראטיים</w:t>
      </w:r>
    </w:p>
    <w:p w:rsidR="007E5741" w:rsidRPr="007E5741" w:rsidP="002F4530">
      <w:pPr>
        <w:keepNext/>
        <w:keepLines/>
        <w:spacing w:line="269" w:lineRule="auto"/>
        <w:rPr>
          <w:rFonts w:eastAsia="Calibri"/>
          <w:rtl/>
        </w:rPr>
      </w:pPr>
    </w:p>
    <w:p w:rsidR="007E5741" w:rsidRPr="007E5741" w:rsidP="002F4530">
      <w:pPr>
        <w:keepNext/>
        <w:keepLines/>
        <w:spacing w:line="269" w:lineRule="auto"/>
        <w:outlineLvl w:val="4"/>
        <w:rPr>
          <w:rFonts w:eastAsia="Times New Roman"/>
          <w:bCs/>
          <w:spacing w:val="40"/>
          <w:rtl/>
        </w:rPr>
      </w:pPr>
      <w:r w:rsidRPr="007E5741">
        <w:rPr>
          <w:rFonts w:eastAsia="Times New Roman" w:hint="cs"/>
          <w:bCs/>
          <w:spacing w:val="40"/>
          <w:rtl/>
        </w:rPr>
        <w:t>ביצוע פעולת ספק גז ללא רישיון</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hint="cs"/>
          <w:rtl/>
        </w:rPr>
        <w:t>חוק הגפ"ם אוסר על ביצוע פעולת ספק גז ללא רישיון ספק גז. סעיף 2 לחוק קובע כי "פעולת גז" היא אחת מאלה: שיווק, מכירה או אספקה של גז; הקמה או הפעלה של מתקן גז טעון היתר או ביצוע שינוי יסודי במתקן; הובלת גז. סעיף 50 לחוק, שכותרתו "עונשין", קובע כי המבצע פעולת ספק גז ללא רישיון ספק גז דינו מאסר שנתיים או קנס.</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ספקי גז לא מורשים (להלן - ספקים פיראטיים) הם ספקים המספקים גפ"ם ללא רישיון של משרד האנרגיה. הדבר גורם לאספקת גז מסוכנת לציבור מבחינה בטיחותית.</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rtl/>
        </w:rPr>
        <w:t>בדוח הקודם</w:t>
      </w:r>
      <w:r w:rsidRPr="007E5741">
        <w:rPr>
          <w:rFonts w:ascii="David" w:eastAsia="Calibri" w:hAnsi="David" w:hint="cs"/>
          <w:rtl/>
        </w:rPr>
        <w:t xml:space="preserve"> מ-2017 צוין כי</w:t>
      </w:r>
      <w:r w:rsidRPr="007E5741">
        <w:rPr>
          <w:rFonts w:ascii="David" w:eastAsia="Calibri" w:hAnsi="David"/>
          <w:rtl/>
        </w:rPr>
        <w:t xml:space="preserve"> לפי נתוני משרד האנרגיה, מספר </w:t>
      </w:r>
      <w:r w:rsidRPr="007E5741">
        <w:rPr>
          <w:rFonts w:ascii="David" w:eastAsia="Calibri" w:hAnsi="David" w:hint="cs"/>
          <w:rtl/>
        </w:rPr>
        <w:t>הספקים הפיראטיים</w:t>
      </w:r>
      <w:r w:rsidRPr="007E5741">
        <w:rPr>
          <w:rFonts w:ascii="David" w:eastAsia="Calibri" w:hAnsi="David"/>
          <w:rtl/>
        </w:rPr>
        <w:t xml:space="preserve"> הולך וגדל במשך השנים</w:t>
      </w:r>
      <w:r w:rsidRPr="007E5741">
        <w:rPr>
          <w:rFonts w:ascii="David" w:eastAsia="Calibri" w:hAnsi="David" w:hint="cs"/>
          <w:rtl/>
        </w:rPr>
        <w:t>,</w:t>
      </w:r>
      <w:r w:rsidRPr="007E5741">
        <w:rPr>
          <w:rFonts w:ascii="David" w:eastAsia="Calibri" w:hAnsi="David"/>
          <w:rtl/>
        </w:rPr>
        <w:t xml:space="preserve"> ופעילותם, בעיקר בשוק מכלי הגפ"ם, מתרחבת ונעשית מתוחכמת יותר. במועד סיום הביקורת של הדוח הקודם היה בידי משרד האנרגיה מידע על כ-30 ספקים לא מורשים שמחזור המכירות שלהם מגיע למיליוני ש"ח בשנה.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rtl/>
        </w:rPr>
        <w:t xml:space="preserve">מתשובת משרד האנרגיה לדוח הקודם עלה כי </w:t>
      </w:r>
      <w:r w:rsidRPr="007E5741">
        <w:rPr>
          <w:rFonts w:ascii="David" w:eastAsia="Calibri" w:hAnsi="David" w:hint="cs"/>
          <w:rtl/>
        </w:rPr>
        <w:t xml:space="preserve">בזכות </w:t>
      </w:r>
      <w:r w:rsidRPr="007E5741">
        <w:rPr>
          <w:rFonts w:ascii="David" w:eastAsia="Calibri" w:hAnsi="David"/>
          <w:rtl/>
        </w:rPr>
        <w:t>מידע שריכז</w:t>
      </w:r>
      <w:r w:rsidRPr="007E5741">
        <w:rPr>
          <w:rFonts w:ascii="David" w:eastAsia="Calibri" w:hAnsi="David" w:hint="cs"/>
          <w:rtl/>
        </w:rPr>
        <w:t xml:space="preserve"> המשרד,</w:t>
      </w:r>
      <w:r w:rsidRPr="007E5741">
        <w:rPr>
          <w:rFonts w:ascii="David" w:eastAsia="Calibri" w:hAnsi="David"/>
          <w:rtl/>
        </w:rPr>
        <w:t xml:space="preserve"> בשנים 201</w:t>
      </w:r>
      <w:r w:rsidRPr="007E5741">
        <w:rPr>
          <w:rFonts w:ascii="David" w:eastAsia="Calibri" w:hAnsi="David" w:hint="cs"/>
          <w:rtl/>
        </w:rPr>
        <w:t xml:space="preserve">5 </w:t>
      </w:r>
      <w:r w:rsidRPr="007E5741">
        <w:rPr>
          <w:rFonts w:ascii="David" w:eastAsia="Calibri" w:hAnsi="David"/>
          <w:rtl/>
        </w:rPr>
        <w:t>-</w:t>
      </w:r>
      <w:r w:rsidRPr="007E5741">
        <w:rPr>
          <w:rFonts w:ascii="David" w:eastAsia="Calibri" w:hAnsi="David" w:hint="cs"/>
          <w:rtl/>
        </w:rPr>
        <w:t xml:space="preserve"> </w:t>
      </w:r>
      <w:r w:rsidRPr="007E5741">
        <w:rPr>
          <w:rFonts w:ascii="David" w:eastAsia="Calibri" w:hAnsi="David"/>
          <w:rtl/>
        </w:rPr>
        <w:t>201</w:t>
      </w:r>
      <w:r w:rsidRPr="007E5741">
        <w:rPr>
          <w:rFonts w:ascii="David" w:eastAsia="Calibri" w:hAnsi="David" w:hint="cs"/>
          <w:rtl/>
        </w:rPr>
        <w:t>6</w:t>
      </w:r>
      <w:r w:rsidRPr="007E5741">
        <w:rPr>
          <w:rFonts w:ascii="David" w:eastAsia="Calibri" w:hAnsi="David"/>
          <w:rtl/>
        </w:rPr>
        <w:t xml:space="preserve"> נשלל רישיון ספק גז לשני ספקים</w:t>
      </w:r>
      <w:r w:rsidRPr="007E5741">
        <w:rPr>
          <w:rFonts w:ascii="David" w:eastAsia="Calibri" w:hAnsi="David" w:hint="cs"/>
          <w:rtl/>
        </w:rPr>
        <w:t xml:space="preserve"> (כ-7%)</w:t>
      </w:r>
      <w:r w:rsidRPr="007E5741">
        <w:rPr>
          <w:rFonts w:ascii="David" w:eastAsia="Calibri" w:hAnsi="David"/>
          <w:rtl/>
        </w:rPr>
        <w:t>, ופעילותם של שלושה אחרים</w:t>
      </w:r>
      <w:r w:rsidRPr="007E5741">
        <w:rPr>
          <w:rFonts w:ascii="David" w:eastAsia="Calibri" w:hAnsi="David" w:hint="cs"/>
          <w:rtl/>
        </w:rPr>
        <w:t xml:space="preserve"> (10%)</w:t>
      </w:r>
      <w:r w:rsidRPr="007E5741">
        <w:rPr>
          <w:rFonts w:ascii="David" w:eastAsia="Calibri" w:hAnsi="David"/>
          <w:rtl/>
        </w:rPr>
        <w:t xml:space="preserve"> הוגבלה. כמו כן, משרד </w:t>
      </w:r>
      <w:r w:rsidRPr="007E5741">
        <w:rPr>
          <w:rFonts w:ascii="David" w:eastAsia="Calibri" w:hAnsi="David" w:hint="cs"/>
          <w:rtl/>
        </w:rPr>
        <w:t xml:space="preserve">האנרגיה </w:t>
      </w:r>
      <w:r w:rsidRPr="007E5741">
        <w:rPr>
          <w:rFonts w:ascii="David" w:eastAsia="Calibri" w:hAnsi="David"/>
          <w:rtl/>
        </w:rPr>
        <w:t>הגיש כ-180 כתבי אישום נגד ספקי גז בלתי מורשים בחמש השנים שקדמו לדוח הקודם</w:t>
      </w:r>
      <w:r w:rsidRPr="007E5741">
        <w:rPr>
          <w:rFonts w:ascii="David" w:eastAsia="Calibri" w:hAnsi="David" w:hint="cs"/>
          <w:rtl/>
        </w:rPr>
        <w:t xml:space="preserve"> (2011 - 2016)</w:t>
      </w:r>
      <w:r w:rsidRPr="007E5741">
        <w:rPr>
          <w:rFonts w:ascii="David" w:eastAsia="Calibri" w:hAnsi="David"/>
          <w:rtl/>
        </w:rPr>
        <w:t>, ואגף פיקוח</w:t>
      </w:r>
      <w:r w:rsidRPr="007E5741">
        <w:rPr>
          <w:rFonts w:ascii="David" w:eastAsia="Calibri" w:hAnsi="David" w:hint="cs"/>
          <w:rtl/>
        </w:rPr>
        <w:t xml:space="preserve"> ובטיחות במינהל הדלק (להלן - אגף הפיקוח)</w:t>
      </w:r>
      <w:r w:rsidRPr="007E5741">
        <w:rPr>
          <w:rFonts w:ascii="David" w:eastAsia="Calibri" w:hAnsi="David"/>
          <w:rtl/>
        </w:rPr>
        <w:t xml:space="preserve"> פתח מאות תיקי חקירה נגד ספקים בלתי מורשים בשנת 2016.</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rtl/>
        </w:rPr>
      </w:pPr>
      <w:r w:rsidRPr="007E5741">
        <w:rPr>
          <w:rFonts w:ascii="David" w:eastAsia="Calibri" w:hAnsi="David" w:hint="cs"/>
          <w:rtl/>
        </w:rPr>
        <w:t>לפי נתוני אגף הפיקוח, בשנים 2021 - 2025 נפתחו 181 תיקי חקירה בגין עבירה של ביצוע פעולת ספק גז ללא רישיון.</w:t>
      </w:r>
    </w:p>
    <w:p w:rsidR="007E5741" w:rsidRPr="007E5741" w:rsidP="002F4530">
      <w:pPr>
        <w:keepNext/>
        <w:keepLines/>
        <w:spacing w:line="269" w:lineRule="auto"/>
        <w:ind w:left="-567"/>
        <w:rPr>
          <w:rFonts w:eastAsia="Calibri"/>
          <w:szCs w:val="20"/>
          <w:rtl/>
        </w:rPr>
      </w:pPr>
    </w:p>
    <w:p w:rsidR="007E5741" w:rsidP="002F4530">
      <w:pPr>
        <w:spacing w:line="269" w:lineRule="auto"/>
        <w:rPr>
          <w:rFonts w:eastAsia="Calibri"/>
          <w:rtl/>
        </w:rPr>
      </w:pPr>
      <w:r w:rsidRPr="007E5741">
        <w:rPr>
          <w:rFonts w:ascii="David" w:eastAsia="Calibri" w:hAnsi="David" w:hint="cs"/>
          <w:rtl/>
        </w:rPr>
        <w:t>בתרשים שלהלן מוצגים מספר תיקי החקירה שנפתחו בשנים 2021 - 2025 בגין ביצוע פעולת ספק גז ללא רישיון. שנת 2025 כוללת נתונים עד חודש אוקטובר.</w:t>
      </w:r>
    </w:p>
    <w:p w:rsidR="00A87F40" w:rsidRPr="007E5741" w:rsidP="002F4530">
      <w:pPr>
        <w:spacing w:line="269" w:lineRule="auto"/>
        <w:rPr>
          <w:rFonts w:eastAsia="Calibri"/>
          <w:rtl/>
        </w:rPr>
      </w:pPr>
    </w:p>
    <w:p w:rsidR="007E5741" w:rsidRPr="007E5741" w:rsidP="002F4530">
      <w:pPr>
        <w:keepNext/>
        <w:keepLines/>
        <w:spacing w:line="269" w:lineRule="auto"/>
        <w:jc w:val="center"/>
        <w:rPr>
          <w:rFonts w:ascii="David" w:eastAsia="Calibri" w:hAnsi="David"/>
          <w:b/>
          <w:bCs/>
          <w:rtl/>
        </w:rPr>
      </w:pPr>
      <w:r w:rsidRPr="007E5741">
        <w:rPr>
          <w:rFonts w:ascii="David" w:eastAsia="Calibri" w:hAnsi="David" w:hint="eastAsia"/>
          <w:rtl/>
        </w:rPr>
        <w:t>תרשים</w:t>
      </w:r>
      <w:r w:rsidRPr="007E5741">
        <w:rPr>
          <w:rFonts w:ascii="David" w:eastAsia="Calibri" w:hAnsi="David"/>
          <w:rtl/>
        </w:rPr>
        <w:t xml:space="preserve"> 34: </w:t>
      </w:r>
      <w:r w:rsidRPr="007E5741">
        <w:rPr>
          <w:rFonts w:ascii="David" w:eastAsia="Calibri" w:hAnsi="David" w:hint="eastAsia"/>
          <w:b/>
          <w:bCs/>
          <w:rtl/>
        </w:rPr>
        <w:t>תיקי</w:t>
      </w:r>
      <w:r w:rsidRPr="007E5741">
        <w:rPr>
          <w:rFonts w:ascii="David" w:eastAsia="Calibri" w:hAnsi="David"/>
          <w:b/>
          <w:bCs/>
          <w:rtl/>
        </w:rPr>
        <w:t xml:space="preserve"> </w:t>
      </w:r>
      <w:r w:rsidRPr="007E5741">
        <w:rPr>
          <w:rFonts w:ascii="David" w:eastAsia="Calibri" w:hAnsi="David" w:hint="eastAsia"/>
          <w:b/>
          <w:bCs/>
          <w:rtl/>
        </w:rPr>
        <w:t>החקירה</w:t>
      </w:r>
      <w:r w:rsidRPr="007E5741">
        <w:rPr>
          <w:rFonts w:ascii="David" w:eastAsia="Calibri" w:hAnsi="David"/>
          <w:b/>
          <w:bCs/>
          <w:rtl/>
        </w:rPr>
        <w:t xml:space="preserve"> </w:t>
      </w:r>
      <w:r w:rsidRPr="007E5741">
        <w:rPr>
          <w:rFonts w:ascii="David" w:eastAsia="Calibri" w:hAnsi="David" w:hint="eastAsia"/>
          <w:b/>
          <w:bCs/>
          <w:rtl/>
        </w:rPr>
        <w:t>שנפתחו</w:t>
      </w:r>
      <w:r w:rsidRPr="007E5741">
        <w:rPr>
          <w:rFonts w:ascii="David" w:eastAsia="Calibri" w:hAnsi="David"/>
          <w:b/>
          <w:bCs/>
          <w:rtl/>
        </w:rPr>
        <w:t xml:space="preserve">, 2021 </w:t>
      </w:r>
      <w:r w:rsidRPr="007E5741">
        <w:rPr>
          <w:rFonts w:ascii="David" w:eastAsia="Calibri" w:hAnsi="David" w:hint="cs"/>
          <w:b/>
          <w:bCs/>
          <w:rtl/>
        </w:rPr>
        <w:t>- אוקטובר</w:t>
      </w:r>
      <w:r w:rsidRPr="007E5741">
        <w:rPr>
          <w:rFonts w:ascii="David" w:eastAsia="Calibri" w:hAnsi="David"/>
          <w:b/>
          <w:bCs/>
          <w:rtl/>
        </w:rPr>
        <w:t xml:space="preserve"> 2025</w:t>
      </w:r>
    </w:p>
    <w:p w:rsidR="007E5741" w:rsidRPr="007E5741" w:rsidP="002F4530">
      <w:pPr>
        <w:spacing w:line="269" w:lineRule="auto"/>
        <w:jc w:val="center"/>
        <w:rPr>
          <w:rFonts w:eastAsia="Calibri"/>
          <w:sz w:val="22"/>
          <w:szCs w:val="22"/>
          <w:rtl/>
        </w:rPr>
      </w:pPr>
      <w:r w:rsidRPr="007E5741">
        <w:rPr>
          <w:rFonts w:eastAsia="Calibri"/>
          <w:noProof/>
          <w:sz w:val="22"/>
          <w:szCs w:val="22"/>
        </w:rPr>
        <w:drawing>
          <wp:inline distT="0" distB="0" distL="0" distR="0">
            <wp:extent cx="4235626" cy="2848032"/>
            <wp:effectExtent l="0" t="0" r="0" b="0"/>
            <wp:docPr id="66" name="תמונה 66" descr="התרשים מתאר את תיקי החקירה שנפתחו בשנים 2021 עד אוקטובר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0"/>
                    <pic:cNvPicPr>
                      <a:picLocks noChangeAspect="1" noChangeArrowheads="1"/>
                    </pic:cNvPicPr>
                  </pic:nvPicPr>
                  <pic:blipFill>
                    <a:blip xmlns:r="http://schemas.openxmlformats.org/officeDocument/2006/relationships" r:embed="rId56">
                      <a:extLst>
                        <a:ext xmlns:a="http://schemas.openxmlformats.org/drawingml/2006/main" uri="{28A0092B-C50C-407E-A947-70E740481C1C}">
                          <a14:useLocalDpi xmlns:a14="http://schemas.microsoft.com/office/drawing/2010/main" val="0"/>
                        </a:ext>
                      </a:extLst>
                    </a:blip>
                    <a:stretch>
                      <a:fillRect/>
                    </a:stretch>
                  </pic:blipFill>
                  <pic:spPr bwMode="auto">
                    <a:xfrm>
                      <a:off x="0" y="0"/>
                      <a:ext cx="4257393" cy="2862668"/>
                    </a:xfrm>
                    <a:prstGeom prst="rect">
                      <a:avLst/>
                    </a:prstGeom>
                    <a:noFill/>
                  </pic:spPr>
                </pic:pic>
              </a:graphicData>
            </a:graphic>
          </wp:inline>
        </w:drawing>
      </w:r>
    </w:p>
    <w:p w:rsidR="007E5741" w:rsidRPr="007E5741" w:rsidP="002F4530">
      <w:pPr>
        <w:spacing w:line="269" w:lineRule="auto"/>
        <w:rPr>
          <w:rFonts w:eastAsia="Calibri"/>
          <w:color w:val="FF0000"/>
          <w:szCs w:val="20"/>
          <w:rtl/>
        </w:rPr>
      </w:pPr>
      <w:r w:rsidRPr="007E5741">
        <w:rPr>
          <w:rFonts w:eastAsia="Calibri" w:hint="eastAsia"/>
          <w:szCs w:val="20"/>
          <w:rtl/>
        </w:rPr>
        <w:t>על</w:t>
      </w:r>
      <w:r w:rsidRPr="007E5741">
        <w:rPr>
          <w:rFonts w:eastAsia="Calibri"/>
          <w:szCs w:val="20"/>
          <w:rtl/>
        </w:rPr>
        <w:t xml:space="preserve"> פי </w:t>
      </w:r>
      <w:r w:rsidRPr="007E5741">
        <w:rPr>
          <w:rFonts w:eastAsia="Calibri" w:hint="eastAsia"/>
          <w:szCs w:val="20"/>
          <w:rtl/>
        </w:rPr>
        <w:t>נתוני</w:t>
      </w:r>
      <w:r w:rsidRPr="007E5741">
        <w:rPr>
          <w:rFonts w:eastAsia="Calibri"/>
          <w:szCs w:val="20"/>
          <w:rtl/>
        </w:rPr>
        <w:t xml:space="preserve"> אגף </w:t>
      </w:r>
      <w:r w:rsidRPr="007E5741">
        <w:rPr>
          <w:rFonts w:eastAsia="Calibri" w:hint="eastAsia"/>
          <w:szCs w:val="20"/>
          <w:rtl/>
        </w:rPr>
        <w:t>ה</w:t>
      </w:r>
      <w:r w:rsidRPr="007E5741">
        <w:rPr>
          <w:rFonts w:eastAsia="Calibri"/>
          <w:szCs w:val="20"/>
          <w:rtl/>
        </w:rPr>
        <w:t xml:space="preserve">פיקוח, </w:t>
      </w:r>
      <w:r w:rsidRPr="007E5741">
        <w:rPr>
          <w:rFonts w:eastAsia="Calibri" w:hint="eastAsia"/>
          <w:szCs w:val="20"/>
          <w:rtl/>
        </w:rPr>
        <w:t>בעיבוד</w:t>
      </w:r>
      <w:r w:rsidRPr="007E5741">
        <w:rPr>
          <w:rFonts w:eastAsia="Calibri"/>
          <w:szCs w:val="20"/>
          <w:rtl/>
        </w:rPr>
        <w:t xml:space="preserve"> </w:t>
      </w:r>
      <w:r w:rsidRPr="007E5741">
        <w:rPr>
          <w:rFonts w:eastAsia="Calibri" w:hint="eastAsia"/>
          <w:szCs w:val="20"/>
          <w:rtl/>
        </w:rPr>
        <w:t>משרד</w:t>
      </w:r>
      <w:r w:rsidRPr="007E5741">
        <w:rPr>
          <w:rFonts w:eastAsia="Calibri"/>
          <w:szCs w:val="20"/>
          <w:rtl/>
        </w:rPr>
        <w:t xml:space="preserve"> </w:t>
      </w:r>
      <w:r w:rsidRPr="007E5741">
        <w:rPr>
          <w:rFonts w:eastAsia="Calibri" w:hint="eastAsia"/>
          <w:szCs w:val="20"/>
          <w:rtl/>
        </w:rPr>
        <w:t>מבקר</w:t>
      </w:r>
      <w:r w:rsidRPr="007E5741">
        <w:rPr>
          <w:rFonts w:eastAsia="Calibri"/>
          <w:szCs w:val="20"/>
          <w:rtl/>
        </w:rPr>
        <w:t xml:space="preserve"> </w:t>
      </w:r>
      <w:r w:rsidRPr="007E5741">
        <w:rPr>
          <w:rFonts w:eastAsia="Calibri" w:hint="eastAsia"/>
          <w:szCs w:val="20"/>
          <w:rtl/>
        </w:rPr>
        <w:t>המדינה</w:t>
      </w:r>
      <w:r w:rsidRPr="007E5741">
        <w:rPr>
          <w:rFonts w:eastAsia="Calibri"/>
          <w:szCs w:val="20"/>
          <w:rtl/>
        </w:rPr>
        <w:t>.</w:t>
      </w:r>
    </w:p>
    <w:p w:rsidR="007E5741" w:rsidRPr="007E5741" w:rsidP="002F4530">
      <w:pPr>
        <w:spacing w:line="269" w:lineRule="auto"/>
        <w:rPr>
          <w:rFonts w:eastAsia="Calibri"/>
          <w:color w:val="000000"/>
          <w:sz w:val="24"/>
          <w:rtl/>
        </w:rPr>
      </w:pPr>
      <w:r w:rsidRPr="007E5741">
        <w:rPr>
          <w:rFonts w:eastAsia="Calibri" w:hint="eastAsia"/>
          <w:color w:val="000000"/>
          <w:sz w:val="24"/>
          <w:rtl/>
        </w:rPr>
        <w:t>מהתרשים</w:t>
      </w:r>
      <w:r w:rsidRPr="007E5741">
        <w:rPr>
          <w:rFonts w:eastAsia="Calibri"/>
          <w:color w:val="000000"/>
          <w:sz w:val="24"/>
          <w:rtl/>
        </w:rPr>
        <w:t xml:space="preserve"> עולה כי </w:t>
      </w:r>
      <w:r w:rsidRPr="007E5741">
        <w:rPr>
          <w:rFonts w:eastAsia="Calibri" w:hint="cs"/>
          <w:color w:val="000000"/>
          <w:sz w:val="24"/>
          <w:rtl/>
        </w:rPr>
        <w:t xml:space="preserve">בין 2021 ל-2023 חלה עלייה חדה (של כ-88%) בפתיחת תיקי חקירה, בשנת 2024 חלה ירידה חדה (של כ-61%), ובשנת 2025 (בחודשים שנבדקו) חלה עלייה (של כ-23%). </w:t>
      </w:r>
      <w:r w:rsidRPr="007E5741">
        <w:rPr>
          <w:rFonts w:eastAsia="Calibri"/>
          <w:color w:val="000000"/>
          <w:sz w:val="24"/>
          <w:rtl/>
        </w:rPr>
        <w:t xml:space="preserve">בשנים 2021 </w:t>
      </w:r>
      <w:r w:rsidRPr="007E5741">
        <w:rPr>
          <w:rFonts w:eastAsia="Calibri" w:hint="cs"/>
          <w:color w:val="000000"/>
          <w:sz w:val="24"/>
          <w:rtl/>
        </w:rPr>
        <w:t>-</w:t>
      </w:r>
      <w:r w:rsidRPr="007E5741">
        <w:rPr>
          <w:rFonts w:eastAsia="Calibri"/>
          <w:color w:val="000000"/>
          <w:sz w:val="24"/>
          <w:rtl/>
        </w:rPr>
        <w:t xml:space="preserve"> 202</w:t>
      </w:r>
      <w:r w:rsidRPr="007E5741">
        <w:rPr>
          <w:rFonts w:eastAsia="Calibri" w:hint="cs"/>
          <w:color w:val="000000"/>
          <w:sz w:val="24"/>
          <w:rtl/>
        </w:rPr>
        <w:t>4</w:t>
      </w:r>
      <w:r w:rsidRPr="007E5741">
        <w:rPr>
          <w:rFonts w:eastAsia="Calibri"/>
          <w:color w:val="000000"/>
          <w:sz w:val="24"/>
          <w:rtl/>
        </w:rPr>
        <w:t xml:space="preserve"> </w:t>
      </w:r>
      <w:r w:rsidRPr="007E5741">
        <w:rPr>
          <w:rFonts w:eastAsia="Calibri" w:hint="eastAsia"/>
          <w:color w:val="000000"/>
          <w:sz w:val="24"/>
          <w:rtl/>
        </w:rPr>
        <w:t>נפתחו</w:t>
      </w:r>
      <w:r w:rsidRPr="007E5741">
        <w:rPr>
          <w:rFonts w:eastAsia="Calibri"/>
          <w:color w:val="000000"/>
          <w:sz w:val="24"/>
          <w:rtl/>
        </w:rPr>
        <w:t xml:space="preserve"> בממוצע 37 </w:t>
      </w:r>
      <w:r w:rsidRPr="007E5741">
        <w:rPr>
          <w:rFonts w:eastAsia="Calibri" w:hint="eastAsia"/>
          <w:color w:val="000000"/>
          <w:sz w:val="24"/>
          <w:rtl/>
        </w:rPr>
        <w:t>תיקי</w:t>
      </w:r>
      <w:r w:rsidRPr="007E5741">
        <w:rPr>
          <w:rFonts w:eastAsia="Calibri"/>
          <w:color w:val="000000"/>
          <w:sz w:val="24"/>
          <w:rtl/>
        </w:rPr>
        <w:t xml:space="preserve"> </w:t>
      </w:r>
      <w:r w:rsidRPr="007E5741">
        <w:rPr>
          <w:rFonts w:eastAsia="Calibri" w:hint="eastAsia"/>
          <w:color w:val="000000"/>
          <w:sz w:val="24"/>
          <w:rtl/>
        </w:rPr>
        <w:t>חקירה</w:t>
      </w:r>
      <w:r w:rsidRPr="007E5741">
        <w:rPr>
          <w:rFonts w:eastAsia="Calibri"/>
          <w:color w:val="000000"/>
          <w:sz w:val="24"/>
          <w:rtl/>
        </w:rPr>
        <w:t xml:space="preserve"> </w:t>
      </w:r>
      <w:r w:rsidRPr="007E5741">
        <w:rPr>
          <w:rFonts w:eastAsia="Calibri" w:hint="eastAsia"/>
          <w:color w:val="000000"/>
          <w:sz w:val="24"/>
          <w:rtl/>
        </w:rPr>
        <w:t>כל</w:t>
      </w:r>
      <w:r w:rsidRPr="007E5741">
        <w:rPr>
          <w:rFonts w:eastAsia="Calibri"/>
          <w:color w:val="000000"/>
          <w:sz w:val="24"/>
          <w:rtl/>
        </w:rPr>
        <w:t xml:space="preserve"> </w:t>
      </w:r>
      <w:r w:rsidRPr="007E5741">
        <w:rPr>
          <w:rFonts w:eastAsia="Calibri" w:hint="eastAsia"/>
          <w:color w:val="000000"/>
          <w:sz w:val="24"/>
          <w:rtl/>
        </w:rPr>
        <w:t>שנה</w:t>
      </w:r>
      <w:r w:rsidRPr="007E5741">
        <w:rPr>
          <w:rFonts w:eastAsia="Calibri"/>
          <w:color w:val="000000"/>
          <w:sz w:val="24"/>
          <w:rtl/>
        </w:rPr>
        <w:t>.</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sz w:val="24"/>
          <w:rtl/>
        </w:rPr>
      </w:pPr>
      <w:r w:rsidRPr="007E5741">
        <w:rPr>
          <w:rFonts w:eastAsia="Calibri" w:hint="cs"/>
          <w:color w:val="000000"/>
          <w:sz w:val="24"/>
          <w:rtl/>
        </w:rPr>
        <w:t>בתרשים שלהלן מפורט הסטטוס של 181 תיקי החקירה שנפתחו בשנים 2021 - 2025.</w:t>
      </w:r>
    </w:p>
    <w:p w:rsidR="007E5741" w:rsidRPr="007E5741" w:rsidP="002F4530">
      <w:pPr>
        <w:spacing w:line="269" w:lineRule="auto"/>
        <w:rPr>
          <w:rFonts w:eastAsia="Calibri"/>
          <w:color w:val="000000"/>
          <w:sz w:val="24"/>
          <w:rtl/>
        </w:rPr>
      </w:pPr>
    </w:p>
    <w:p w:rsidR="007E5741" w:rsidRPr="007E5741" w:rsidP="002F4530">
      <w:pPr>
        <w:keepNext/>
        <w:keepLines/>
        <w:spacing w:line="269" w:lineRule="auto"/>
        <w:jc w:val="center"/>
        <w:rPr>
          <w:rFonts w:eastAsia="Calibri"/>
          <w:b/>
          <w:bCs/>
          <w:color w:val="000000"/>
          <w:sz w:val="24"/>
          <w:rtl/>
        </w:rPr>
      </w:pPr>
      <w:r w:rsidRPr="007E5741">
        <w:rPr>
          <w:rFonts w:eastAsia="Calibri" w:hint="eastAsia"/>
          <w:color w:val="000000"/>
          <w:sz w:val="24"/>
          <w:rtl/>
        </w:rPr>
        <w:t>תרשים</w:t>
      </w:r>
      <w:r w:rsidRPr="007E5741">
        <w:rPr>
          <w:rFonts w:eastAsia="Calibri"/>
          <w:color w:val="000000"/>
          <w:sz w:val="24"/>
          <w:rtl/>
        </w:rPr>
        <w:t xml:space="preserve"> 35: </w:t>
      </w:r>
      <w:r w:rsidRPr="007E5741">
        <w:rPr>
          <w:rFonts w:eastAsia="Calibri" w:hint="eastAsia"/>
          <w:b/>
          <w:bCs/>
          <w:color w:val="000000"/>
          <w:sz w:val="24"/>
          <w:rtl/>
        </w:rPr>
        <w:t>סטטוס</w:t>
      </w:r>
      <w:r w:rsidRPr="007E5741">
        <w:rPr>
          <w:rFonts w:eastAsia="Calibri"/>
          <w:b/>
          <w:bCs/>
          <w:color w:val="000000"/>
          <w:sz w:val="24"/>
          <w:rtl/>
        </w:rPr>
        <w:t xml:space="preserve"> </w:t>
      </w:r>
      <w:r w:rsidRPr="007E5741">
        <w:rPr>
          <w:rFonts w:eastAsia="Calibri" w:hint="eastAsia"/>
          <w:b/>
          <w:bCs/>
          <w:color w:val="000000"/>
          <w:sz w:val="24"/>
          <w:rtl/>
        </w:rPr>
        <w:t>תיקי</w:t>
      </w:r>
      <w:r w:rsidRPr="007E5741">
        <w:rPr>
          <w:rFonts w:eastAsia="Calibri"/>
          <w:b/>
          <w:bCs/>
          <w:color w:val="000000"/>
          <w:sz w:val="24"/>
          <w:rtl/>
        </w:rPr>
        <w:t xml:space="preserve"> </w:t>
      </w:r>
      <w:r w:rsidRPr="007E5741">
        <w:rPr>
          <w:rFonts w:eastAsia="Calibri" w:hint="eastAsia"/>
          <w:b/>
          <w:bCs/>
          <w:color w:val="000000"/>
          <w:sz w:val="24"/>
          <w:rtl/>
        </w:rPr>
        <w:t>החקירה</w:t>
      </w:r>
      <w:r w:rsidRPr="007E5741">
        <w:rPr>
          <w:rFonts w:eastAsia="Calibri" w:hint="cs"/>
          <w:b/>
          <w:bCs/>
          <w:color w:val="000000"/>
          <w:sz w:val="24"/>
          <w:rtl/>
        </w:rPr>
        <w:t>,</w:t>
      </w:r>
      <w:r w:rsidRPr="007E5741">
        <w:rPr>
          <w:rFonts w:eastAsia="Calibri"/>
          <w:b/>
          <w:bCs/>
          <w:color w:val="000000"/>
          <w:sz w:val="24"/>
          <w:rtl/>
        </w:rPr>
        <w:t xml:space="preserve"> 2021 - 2025</w:t>
      </w:r>
      <w:r w:rsidRPr="007E5741">
        <w:rPr>
          <w:rFonts w:eastAsia="Calibri" w:hint="cs"/>
          <w:b/>
          <w:bCs/>
          <w:color w:val="000000"/>
          <w:sz w:val="24"/>
          <w:rtl/>
        </w:rPr>
        <w:t xml:space="preserve"> (מספר התיקים </w:t>
      </w:r>
    </w:p>
    <w:p w:rsidR="007E5741" w:rsidRPr="007E5741" w:rsidP="002F4530">
      <w:pPr>
        <w:keepNext/>
        <w:keepLines/>
        <w:spacing w:line="269" w:lineRule="auto"/>
        <w:jc w:val="center"/>
        <w:rPr>
          <w:rFonts w:eastAsia="Calibri"/>
          <w:b/>
          <w:bCs/>
          <w:color w:val="000000"/>
          <w:sz w:val="24"/>
          <w:rtl/>
        </w:rPr>
      </w:pPr>
      <w:r w:rsidRPr="007E5741">
        <w:rPr>
          <w:rFonts w:eastAsia="Calibri" w:hint="cs"/>
          <w:b/>
          <w:bCs/>
          <w:color w:val="000000"/>
          <w:sz w:val="24"/>
          <w:rtl/>
        </w:rPr>
        <w:t>ושיעורם מכלל תיקי החקירה שנפתחו בשנים אלה)</w:t>
      </w:r>
    </w:p>
    <w:p w:rsidR="007E5741" w:rsidRPr="007E5741" w:rsidP="002F4530">
      <w:pPr>
        <w:spacing w:line="269" w:lineRule="auto"/>
        <w:jc w:val="center"/>
        <w:rPr>
          <w:rFonts w:eastAsia="Calibri"/>
          <w:color w:val="000000"/>
          <w:sz w:val="24"/>
          <w:rtl/>
        </w:rPr>
      </w:pPr>
      <w:r w:rsidRPr="007E5741">
        <w:rPr>
          <w:rFonts w:eastAsia="Calibri"/>
          <w:noProof/>
          <w:color w:val="000000"/>
          <w:sz w:val="24"/>
        </w:rPr>
        <w:drawing>
          <wp:inline distT="0" distB="0" distL="0" distR="0">
            <wp:extent cx="4584700" cy="2755900"/>
            <wp:effectExtent l="0" t="0" r="6350" b="6350"/>
            <wp:docPr id="51" name="תמונה 51" descr="התרשים מתאר את סטטוס תיקי החקירה בשנים 2021 - 2025 (מספר התיקים ושיעורם מכלל תיקי החקירה שנפתחו בשנים אל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5"/>
                    <pic:cNvPicPr>
                      <a:picLocks noChangeAspect="1" noChangeArrowheads="1"/>
                    </pic:cNvPicPr>
                  </pic:nvPicPr>
                  <pic:blipFill>
                    <a:blip xmlns:r="http://schemas.openxmlformats.org/officeDocument/2006/relationships" r:embed="rId57">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007E5741" w:rsidRPr="007E5741" w:rsidP="002F4530">
      <w:pPr>
        <w:spacing w:line="269" w:lineRule="auto"/>
        <w:rPr>
          <w:rFonts w:eastAsia="Calibri"/>
          <w:color w:val="000000"/>
          <w:szCs w:val="20"/>
          <w:rtl/>
        </w:rPr>
      </w:pPr>
      <w:r w:rsidRPr="007E5741">
        <w:rPr>
          <w:rFonts w:eastAsia="Calibri" w:hint="eastAsia"/>
          <w:color w:val="000000"/>
          <w:szCs w:val="20"/>
          <w:rtl/>
        </w:rPr>
        <w:t>על</w:t>
      </w:r>
      <w:r w:rsidRPr="007E5741">
        <w:rPr>
          <w:rFonts w:eastAsia="Calibri"/>
          <w:color w:val="000000"/>
          <w:szCs w:val="20"/>
          <w:rtl/>
        </w:rPr>
        <w:t xml:space="preserve"> פי </w:t>
      </w:r>
      <w:r w:rsidRPr="007E5741">
        <w:rPr>
          <w:rFonts w:eastAsia="Calibri" w:hint="eastAsia"/>
          <w:color w:val="000000"/>
          <w:szCs w:val="20"/>
          <w:rtl/>
        </w:rPr>
        <w:t>נתוני</w:t>
      </w:r>
      <w:r w:rsidRPr="007E5741">
        <w:rPr>
          <w:rFonts w:eastAsia="Calibri"/>
          <w:color w:val="000000"/>
          <w:szCs w:val="20"/>
          <w:rtl/>
        </w:rPr>
        <w:t xml:space="preserve"> אגף הפיקוח,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sz w:val="24"/>
          <w:rtl/>
        </w:rPr>
      </w:pPr>
      <w:r w:rsidRPr="007E5741">
        <w:rPr>
          <w:rFonts w:eastAsia="Calibri" w:hint="cs"/>
          <w:color w:val="000000"/>
          <w:sz w:val="24"/>
          <w:rtl/>
        </w:rPr>
        <w:t xml:space="preserve">מהתרשים עולה כי 76 תיקים (42% מהתיקים) נסגרו (ובהם תיקים שנסגרו לאחר שהוגשו בהם תביעות ותיקים שנסגרו בשל חוסר ראיות); 53 תיקים (כ-29%) נמצאים בשלב של המלצות וקבלת החלטות בתיק; ב-39 תיקים (כ-21%) הוגשה תביעה; 9 תיקים (5%) נמצאים בשלב של חקירה; </w:t>
      </w:r>
      <w:r w:rsidR="00C3124C">
        <w:rPr>
          <w:rFonts w:eastAsia="Calibri"/>
          <w:color w:val="000000"/>
          <w:sz w:val="24"/>
          <w:rtl/>
        </w:rPr>
        <w:br/>
      </w:r>
      <w:r w:rsidRPr="007E5741">
        <w:rPr>
          <w:rFonts w:eastAsia="Calibri" w:hint="cs"/>
          <w:color w:val="000000"/>
          <w:sz w:val="24"/>
          <w:rtl/>
        </w:rPr>
        <w:t>3 תיקים (2%) נמצאים בשלב של טיפול בעיצום; ותיק אחד (1%) נמצא בשלב של השלמת חקירה.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sz w:val="24"/>
          <w:rtl/>
        </w:rPr>
      </w:pPr>
      <w:r w:rsidRPr="007E5741">
        <w:rPr>
          <w:rFonts w:eastAsia="Calibri" w:hint="eastAsia"/>
          <w:color w:val="000000"/>
          <w:sz w:val="24"/>
          <w:rtl/>
        </w:rPr>
        <w:t>עוד</w:t>
      </w:r>
      <w:r w:rsidRPr="007E5741">
        <w:rPr>
          <w:rFonts w:eastAsia="Calibri"/>
          <w:color w:val="000000"/>
          <w:sz w:val="24"/>
          <w:rtl/>
        </w:rPr>
        <w:t xml:space="preserve"> </w:t>
      </w:r>
      <w:r w:rsidRPr="007E5741">
        <w:rPr>
          <w:rFonts w:eastAsia="Calibri" w:hint="eastAsia"/>
          <w:color w:val="000000"/>
          <w:sz w:val="24"/>
          <w:rtl/>
        </w:rPr>
        <w:t>עולה</w:t>
      </w:r>
      <w:r w:rsidRPr="007E5741">
        <w:rPr>
          <w:rFonts w:eastAsia="Calibri"/>
          <w:color w:val="000000"/>
          <w:sz w:val="24"/>
          <w:rtl/>
        </w:rPr>
        <w:t xml:space="preserve"> </w:t>
      </w:r>
      <w:r w:rsidRPr="007E5741">
        <w:rPr>
          <w:rFonts w:eastAsia="Calibri" w:hint="eastAsia"/>
          <w:color w:val="000000"/>
          <w:sz w:val="24"/>
          <w:rtl/>
        </w:rPr>
        <w:t>מנתוני</w:t>
      </w:r>
      <w:r w:rsidRPr="007E5741">
        <w:rPr>
          <w:rFonts w:eastAsia="Calibri"/>
          <w:color w:val="000000"/>
          <w:sz w:val="24"/>
          <w:rtl/>
        </w:rPr>
        <w:t xml:space="preserve"> אגף הפיקוח כי מתוך 238 המעורבים</w:t>
      </w:r>
      <w:r>
        <w:rPr>
          <w:rFonts w:eastAsia="Calibri"/>
          <w:color w:val="000000"/>
          <w:sz w:val="24"/>
          <w:vertAlign w:val="superscript"/>
          <w:rtl/>
        </w:rPr>
        <w:footnoteReference w:id="165"/>
      </w:r>
      <w:r w:rsidRPr="007E5741">
        <w:rPr>
          <w:rFonts w:eastAsia="Calibri"/>
          <w:color w:val="000000"/>
          <w:sz w:val="24"/>
          <w:rtl/>
        </w:rPr>
        <w:t xml:space="preserve"> ב</w:t>
      </w:r>
      <w:r w:rsidRPr="007E5741">
        <w:rPr>
          <w:rFonts w:eastAsia="Calibri" w:hint="cs"/>
          <w:color w:val="000000"/>
          <w:sz w:val="24"/>
          <w:rtl/>
        </w:rPr>
        <w:t xml:space="preserve">-181 </w:t>
      </w:r>
      <w:r w:rsidRPr="007E5741">
        <w:rPr>
          <w:rFonts w:eastAsia="Calibri"/>
          <w:color w:val="000000"/>
          <w:sz w:val="24"/>
          <w:rtl/>
        </w:rPr>
        <w:t xml:space="preserve">תיקי החקירה בשנים </w:t>
      </w:r>
      <w:r w:rsidRPr="007E5741">
        <w:rPr>
          <w:rFonts w:eastAsia="Calibri" w:hint="cs"/>
          <w:color w:val="000000"/>
          <w:sz w:val="24"/>
          <w:rtl/>
        </w:rPr>
        <w:t>אלו,</w:t>
      </w:r>
      <w:r w:rsidRPr="007E5741">
        <w:rPr>
          <w:rFonts w:eastAsia="Calibri"/>
          <w:color w:val="000000"/>
          <w:sz w:val="24"/>
          <w:rtl/>
        </w:rPr>
        <w:t xml:space="preserve"> 21 </w:t>
      </w:r>
      <w:r w:rsidRPr="007E5741">
        <w:rPr>
          <w:rFonts w:eastAsia="Calibri" w:hint="cs"/>
          <w:color w:val="000000"/>
          <w:sz w:val="24"/>
          <w:rtl/>
        </w:rPr>
        <w:t>מה</w:t>
      </w:r>
      <w:r w:rsidRPr="007E5741">
        <w:rPr>
          <w:rFonts w:eastAsia="Calibri"/>
          <w:color w:val="000000"/>
          <w:sz w:val="24"/>
          <w:rtl/>
        </w:rPr>
        <w:t>מעורבים</w:t>
      </w:r>
      <w:r w:rsidRPr="007E5741">
        <w:rPr>
          <w:rFonts w:eastAsia="Calibri" w:hint="cs"/>
          <w:color w:val="000000"/>
          <w:sz w:val="24"/>
          <w:rtl/>
        </w:rPr>
        <w:t xml:space="preserve"> (כ-9%)</w:t>
      </w:r>
      <w:r w:rsidRPr="007E5741">
        <w:rPr>
          <w:rFonts w:eastAsia="Calibri"/>
          <w:color w:val="000000"/>
          <w:sz w:val="24"/>
          <w:rtl/>
        </w:rPr>
        <w:t xml:space="preserve"> </w:t>
      </w:r>
      <w:r w:rsidRPr="007E5741">
        <w:rPr>
          <w:rFonts w:eastAsia="Calibri" w:hint="cs"/>
          <w:color w:val="000000"/>
          <w:sz w:val="24"/>
          <w:rtl/>
        </w:rPr>
        <w:t xml:space="preserve">ביצעו את העבירה יותר מפעם אחת, ומהם רוב המעורבים (כ-71%) ביצעו את העבירה פעמיים, וחלקם - שלוש ואף ארבע פעמים.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sz w:val="24"/>
          <w:rtl/>
        </w:rPr>
      </w:pPr>
      <w:r w:rsidRPr="007E5741">
        <w:rPr>
          <w:rFonts w:eastAsia="Calibri" w:hint="cs"/>
          <w:color w:val="000000"/>
          <w:sz w:val="24"/>
          <w:rtl/>
        </w:rPr>
        <w:t xml:space="preserve">בתרשים שלהלן מתואר פילוח המרחבים </w:t>
      </w:r>
      <w:bookmarkStart w:id="48" w:name="_Hlk218609725"/>
      <w:r w:rsidRPr="007E5741">
        <w:rPr>
          <w:rFonts w:eastAsia="Calibri" w:hint="cs"/>
          <w:color w:val="000000"/>
          <w:sz w:val="24"/>
          <w:rtl/>
        </w:rPr>
        <w:t xml:space="preserve">(תל אביב, ירושלים וחיפה והצפון) </w:t>
      </w:r>
      <w:bookmarkEnd w:id="48"/>
      <w:r w:rsidRPr="007E5741">
        <w:rPr>
          <w:rFonts w:eastAsia="Calibri" w:hint="cs"/>
          <w:color w:val="000000"/>
          <w:sz w:val="24"/>
          <w:rtl/>
        </w:rPr>
        <w:t>שבהם בוצעו העבירות בשנים 2021 - 2025.</w:t>
      </w:r>
    </w:p>
    <w:p w:rsidR="007E5741" w:rsidRPr="007E5741" w:rsidP="002F4530">
      <w:pPr>
        <w:keepNext/>
        <w:keepLines/>
        <w:spacing w:line="269" w:lineRule="auto"/>
        <w:jc w:val="center"/>
        <w:rPr>
          <w:rFonts w:eastAsia="Calibri"/>
          <w:b/>
          <w:bCs/>
          <w:color w:val="000000"/>
          <w:sz w:val="24"/>
          <w:rtl/>
        </w:rPr>
      </w:pPr>
      <w:r w:rsidRPr="007E5741">
        <w:rPr>
          <w:rFonts w:eastAsia="Calibri" w:hint="eastAsia"/>
          <w:color w:val="000000"/>
          <w:sz w:val="24"/>
          <w:rtl/>
        </w:rPr>
        <w:t>תרשים</w:t>
      </w:r>
      <w:r w:rsidRPr="007E5741">
        <w:rPr>
          <w:rFonts w:eastAsia="Calibri"/>
          <w:color w:val="000000"/>
          <w:sz w:val="24"/>
          <w:rtl/>
        </w:rPr>
        <w:t xml:space="preserve"> 36:</w:t>
      </w:r>
      <w:r w:rsidRPr="007E5741">
        <w:rPr>
          <w:rFonts w:eastAsia="Calibri"/>
          <w:b/>
          <w:bCs/>
          <w:color w:val="000000"/>
          <w:sz w:val="24"/>
          <w:rtl/>
        </w:rPr>
        <w:t xml:space="preserve"> המרחבים (תל אביב, ירושלים</w:t>
      </w:r>
      <w:r w:rsidRPr="007E5741">
        <w:rPr>
          <w:rFonts w:eastAsia="Calibri" w:hint="cs"/>
          <w:b/>
          <w:bCs/>
          <w:color w:val="000000"/>
          <w:sz w:val="24"/>
          <w:rtl/>
        </w:rPr>
        <w:t xml:space="preserve"> </w:t>
      </w:r>
      <w:r w:rsidRPr="007E5741">
        <w:rPr>
          <w:rFonts w:eastAsia="Calibri"/>
          <w:b/>
          <w:bCs/>
          <w:color w:val="000000"/>
          <w:sz w:val="24"/>
          <w:rtl/>
        </w:rPr>
        <w:t xml:space="preserve">וחיפה והצפון) </w:t>
      </w:r>
      <w:r w:rsidRPr="007E5741">
        <w:rPr>
          <w:rFonts w:eastAsia="Calibri" w:hint="cs"/>
          <w:b/>
          <w:bCs/>
          <w:color w:val="000000"/>
          <w:sz w:val="24"/>
          <w:rtl/>
        </w:rPr>
        <w:t>ש</w:t>
      </w:r>
      <w:r w:rsidRPr="007E5741">
        <w:rPr>
          <w:rFonts w:eastAsia="Calibri"/>
          <w:b/>
          <w:bCs/>
          <w:color w:val="000000"/>
          <w:sz w:val="24"/>
          <w:rtl/>
        </w:rPr>
        <w:t xml:space="preserve">בהם בוצעו העבירות, </w:t>
      </w:r>
    </w:p>
    <w:p w:rsidR="007E5741" w:rsidRPr="007E5741" w:rsidP="002F4530">
      <w:pPr>
        <w:keepNext/>
        <w:keepLines/>
        <w:spacing w:line="269" w:lineRule="auto"/>
        <w:jc w:val="center"/>
        <w:rPr>
          <w:rFonts w:eastAsia="Calibri"/>
          <w:b/>
          <w:bCs/>
          <w:color w:val="000000"/>
          <w:sz w:val="24"/>
          <w:rtl/>
        </w:rPr>
      </w:pPr>
      <w:r w:rsidRPr="007E5741">
        <w:rPr>
          <w:rFonts w:eastAsia="Calibri"/>
          <w:b/>
          <w:bCs/>
          <w:color w:val="000000"/>
          <w:sz w:val="24"/>
          <w:rtl/>
        </w:rPr>
        <w:t>2021 - 2025</w:t>
      </w:r>
    </w:p>
    <w:p w:rsidR="007E5741" w:rsidRPr="007E5741" w:rsidP="002F4530">
      <w:pPr>
        <w:spacing w:line="269" w:lineRule="auto"/>
        <w:jc w:val="center"/>
        <w:rPr>
          <w:rFonts w:eastAsia="Calibri"/>
          <w:color w:val="000000"/>
          <w:sz w:val="24"/>
          <w:rtl/>
        </w:rPr>
      </w:pPr>
      <w:r w:rsidRPr="007E5741">
        <w:rPr>
          <w:rFonts w:eastAsia="Calibri"/>
          <w:noProof/>
          <w:color w:val="000000"/>
          <w:sz w:val="24"/>
        </w:rPr>
        <w:drawing>
          <wp:inline distT="0" distB="0" distL="0" distR="0">
            <wp:extent cx="4584700" cy="2755900"/>
            <wp:effectExtent l="0" t="0" r="6350" b="6350"/>
            <wp:docPr id="28" name="תמונה 28" descr="התרשים מתאר את המרחבים (תל אביב, ירושלים והצפון) שבהם בוצעו העבירות 2021 -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6"/>
                    <pic:cNvPicPr>
                      <a:picLocks noChangeAspect="1" noChangeArrowheads="1"/>
                    </pic:cNvPicPr>
                  </pic:nvPicPr>
                  <pic:blipFill>
                    <a:blip xmlns:r="http://schemas.openxmlformats.org/officeDocument/2006/relationships" r:embed="rId58">
                      <a:extLst>
                        <a:ext xmlns:a="http://schemas.openxmlformats.org/drawingml/2006/main" uri="{28A0092B-C50C-407E-A947-70E740481C1C}">
                          <a14:useLocalDpi xmlns:a14="http://schemas.microsoft.com/office/drawing/2010/main" val="0"/>
                        </a:ext>
                      </a:extLst>
                    </a:blip>
                    <a:stretch>
                      <a:fillRect/>
                    </a:stretch>
                  </pic:blipFill>
                  <pic:spPr bwMode="auto">
                    <a:xfrm>
                      <a:off x="0" y="0"/>
                      <a:ext cx="4584700" cy="2755900"/>
                    </a:xfrm>
                    <a:prstGeom prst="rect">
                      <a:avLst/>
                    </a:prstGeom>
                    <a:noFill/>
                  </pic:spPr>
                </pic:pic>
              </a:graphicData>
            </a:graphic>
          </wp:inline>
        </w:drawing>
      </w:r>
    </w:p>
    <w:p w:rsidR="007E5741" w:rsidRPr="007E5741" w:rsidP="002F4530">
      <w:pPr>
        <w:spacing w:line="269" w:lineRule="auto"/>
        <w:rPr>
          <w:rFonts w:eastAsia="Calibri"/>
          <w:color w:val="000000"/>
          <w:szCs w:val="20"/>
          <w:rtl/>
        </w:rPr>
      </w:pPr>
      <w:r w:rsidRPr="007E5741">
        <w:rPr>
          <w:rFonts w:eastAsia="Calibri" w:hint="eastAsia"/>
          <w:color w:val="000000"/>
          <w:szCs w:val="20"/>
          <w:rtl/>
        </w:rPr>
        <w:t>על</w:t>
      </w:r>
      <w:r w:rsidRPr="007E5741">
        <w:rPr>
          <w:rFonts w:eastAsia="Calibri"/>
          <w:color w:val="000000"/>
          <w:szCs w:val="20"/>
          <w:rtl/>
        </w:rPr>
        <w:t xml:space="preserve"> פי </w:t>
      </w:r>
      <w:r w:rsidRPr="007E5741">
        <w:rPr>
          <w:rFonts w:eastAsia="Calibri" w:hint="eastAsia"/>
          <w:color w:val="000000"/>
          <w:szCs w:val="20"/>
          <w:rtl/>
        </w:rPr>
        <w:t>נתוני</w:t>
      </w:r>
      <w:r w:rsidRPr="007E5741">
        <w:rPr>
          <w:rFonts w:eastAsia="Calibri"/>
          <w:color w:val="000000"/>
          <w:szCs w:val="20"/>
          <w:rtl/>
        </w:rPr>
        <w:t xml:space="preserve"> אגף הפיקוח, בעיבוד משרד מבקר המדינה.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sz w:val="24"/>
          <w:rtl/>
        </w:rPr>
      </w:pPr>
      <w:r w:rsidRPr="007E5741">
        <w:rPr>
          <w:rFonts w:eastAsia="Calibri" w:hint="cs"/>
          <w:color w:val="000000"/>
          <w:sz w:val="24"/>
          <w:rtl/>
        </w:rPr>
        <w:t>מהתרשים עולה כי 91 מהעבירות (כמחצית) בוצעו במרחב ירושלים, 50 מהעבירות (כ-28%) - במרחב תל אביב ו-44 עבירות (כ-22%) - במרחב חיפה.</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color w:val="000000"/>
          <w:sz w:val="24"/>
          <w:rtl/>
        </w:rPr>
      </w:pPr>
      <w:r w:rsidRPr="007E5741">
        <w:rPr>
          <w:rFonts w:eastAsia="Calibri" w:hint="cs"/>
          <w:b/>
          <w:bCs/>
          <w:color w:val="000000"/>
          <w:sz w:val="24"/>
          <w:rtl/>
        </w:rPr>
        <w:t xml:space="preserve">מהאמור לעיל עולה כי </w:t>
      </w:r>
      <w:r w:rsidRPr="007E5741">
        <w:rPr>
          <w:rFonts w:eastAsia="Calibri"/>
          <w:b/>
          <w:bCs/>
          <w:color w:val="000000"/>
          <w:sz w:val="24"/>
          <w:rtl/>
        </w:rPr>
        <w:t xml:space="preserve">בשנים 2021 </w:t>
      </w:r>
      <w:r w:rsidRPr="007E5741">
        <w:rPr>
          <w:rFonts w:eastAsia="Calibri" w:hint="cs"/>
          <w:b/>
          <w:bCs/>
          <w:color w:val="000000"/>
          <w:sz w:val="24"/>
          <w:rtl/>
        </w:rPr>
        <w:t>-</w:t>
      </w:r>
      <w:r w:rsidRPr="007E5741">
        <w:rPr>
          <w:rFonts w:eastAsia="Calibri"/>
          <w:b/>
          <w:bCs/>
          <w:color w:val="000000"/>
          <w:sz w:val="24"/>
          <w:rtl/>
        </w:rPr>
        <w:t xml:space="preserve"> 202</w:t>
      </w:r>
      <w:r w:rsidRPr="007E5741">
        <w:rPr>
          <w:rFonts w:eastAsia="Calibri" w:hint="cs"/>
          <w:b/>
          <w:bCs/>
          <w:color w:val="000000"/>
          <w:sz w:val="24"/>
          <w:rtl/>
        </w:rPr>
        <w:t>4</w:t>
      </w:r>
      <w:r w:rsidRPr="007E5741">
        <w:rPr>
          <w:rFonts w:eastAsia="Calibri"/>
          <w:b/>
          <w:bCs/>
          <w:color w:val="000000"/>
          <w:sz w:val="24"/>
          <w:rtl/>
        </w:rPr>
        <w:t xml:space="preserve"> </w:t>
      </w:r>
      <w:r w:rsidRPr="007E5741">
        <w:rPr>
          <w:rFonts w:eastAsia="Calibri" w:hint="eastAsia"/>
          <w:b/>
          <w:bCs/>
          <w:color w:val="000000"/>
          <w:sz w:val="24"/>
          <w:rtl/>
        </w:rPr>
        <w:t>נפתחו</w:t>
      </w:r>
      <w:r w:rsidRPr="007E5741">
        <w:rPr>
          <w:rFonts w:eastAsia="Calibri"/>
          <w:b/>
          <w:bCs/>
          <w:color w:val="000000"/>
          <w:sz w:val="24"/>
          <w:rtl/>
        </w:rPr>
        <w:t xml:space="preserve"> בממוצע 37 </w:t>
      </w:r>
      <w:r w:rsidRPr="007E5741">
        <w:rPr>
          <w:rFonts w:eastAsia="Calibri" w:hint="eastAsia"/>
          <w:b/>
          <w:bCs/>
          <w:color w:val="000000"/>
          <w:sz w:val="24"/>
          <w:rtl/>
        </w:rPr>
        <w:t>תיקי</w:t>
      </w:r>
      <w:r w:rsidRPr="007E5741">
        <w:rPr>
          <w:rFonts w:eastAsia="Calibri"/>
          <w:b/>
          <w:bCs/>
          <w:color w:val="000000"/>
          <w:sz w:val="24"/>
          <w:rtl/>
        </w:rPr>
        <w:t xml:space="preserve"> </w:t>
      </w:r>
      <w:r w:rsidRPr="007E5741">
        <w:rPr>
          <w:rFonts w:eastAsia="Calibri" w:hint="eastAsia"/>
          <w:b/>
          <w:bCs/>
          <w:color w:val="000000"/>
          <w:sz w:val="24"/>
          <w:rtl/>
        </w:rPr>
        <w:t>חקירה</w:t>
      </w:r>
      <w:r w:rsidRPr="007E5741">
        <w:rPr>
          <w:rFonts w:eastAsia="Calibri"/>
          <w:b/>
          <w:bCs/>
          <w:color w:val="000000"/>
          <w:sz w:val="24"/>
          <w:rtl/>
        </w:rPr>
        <w:t xml:space="preserve"> </w:t>
      </w:r>
      <w:r w:rsidRPr="007E5741">
        <w:rPr>
          <w:rFonts w:eastAsia="Calibri" w:hint="eastAsia"/>
          <w:b/>
          <w:bCs/>
          <w:color w:val="000000"/>
          <w:sz w:val="24"/>
          <w:rtl/>
        </w:rPr>
        <w:t>כל</w:t>
      </w:r>
      <w:r w:rsidRPr="007E5741">
        <w:rPr>
          <w:rFonts w:eastAsia="Calibri"/>
          <w:b/>
          <w:bCs/>
          <w:color w:val="000000"/>
          <w:sz w:val="24"/>
          <w:rtl/>
        </w:rPr>
        <w:t xml:space="preserve"> </w:t>
      </w:r>
      <w:r w:rsidRPr="007E5741">
        <w:rPr>
          <w:rFonts w:eastAsia="Calibri" w:hint="eastAsia"/>
          <w:b/>
          <w:bCs/>
          <w:color w:val="000000"/>
          <w:sz w:val="24"/>
          <w:rtl/>
        </w:rPr>
        <w:t>שנה</w:t>
      </w:r>
      <w:r w:rsidRPr="007E5741">
        <w:rPr>
          <w:rFonts w:eastAsia="Calibri"/>
          <w:b/>
          <w:bCs/>
          <w:color w:val="000000"/>
          <w:sz w:val="24"/>
          <w:rtl/>
        </w:rPr>
        <w:t>.</w:t>
      </w:r>
      <w:r w:rsidRPr="007E5741">
        <w:rPr>
          <w:rFonts w:eastAsia="Calibri" w:hint="cs"/>
          <w:b/>
          <w:bCs/>
          <w:color w:val="000000"/>
          <w:sz w:val="24"/>
          <w:rtl/>
        </w:rPr>
        <w:t xml:space="preserve"> </w:t>
      </w:r>
      <w:r w:rsidRPr="007E5741">
        <w:rPr>
          <w:rFonts w:eastAsia="Calibri"/>
          <w:b/>
          <w:bCs/>
          <w:color w:val="000000"/>
          <w:sz w:val="24"/>
          <w:rtl/>
        </w:rPr>
        <w:t>מתוך 238 המעורבים ב</w:t>
      </w:r>
      <w:r w:rsidRPr="007E5741">
        <w:rPr>
          <w:rFonts w:eastAsia="Calibri" w:hint="cs"/>
          <w:b/>
          <w:bCs/>
          <w:color w:val="000000"/>
          <w:sz w:val="24"/>
          <w:rtl/>
        </w:rPr>
        <w:t xml:space="preserve">-181 </w:t>
      </w:r>
      <w:r w:rsidRPr="007E5741">
        <w:rPr>
          <w:rFonts w:eastAsia="Calibri"/>
          <w:b/>
          <w:bCs/>
          <w:color w:val="000000"/>
          <w:sz w:val="24"/>
          <w:rtl/>
        </w:rPr>
        <w:t xml:space="preserve">תיקי החקירה </w:t>
      </w:r>
      <w:r w:rsidRPr="007E5741">
        <w:rPr>
          <w:rFonts w:eastAsia="Calibri" w:hint="cs"/>
          <w:b/>
          <w:bCs/>
          <w:color w:val="000000"/>
          <w:sz w:val="24"/>
          <w:rtl/>
        </w:rPr>
        <w:t xml:space="preserve">שנפתחו </w:t>
      </w:r>
      <w:r w:rsidRPr="007E5741">
        <w:rPr>
          <w:rFonts w:eastAsia="Calibri"/>
          <w:b/>
          <w:bCs/>
          <w:color w:val="000000"/>
          <w:sz w:val="24"/>
          <w:rtl/>
        </w:rPr>
        <w:t xml:space="preserve">בשנים </w:t>
      </w:r>
      <w:r w:rsidRPr="007E5741">
        <w:rPr>
          <w:rFonts w:eastAsia="Calibri" w:hint="cs"/>
          <w:b/>
          <w:bCs/>
          <w:color w:val="000000"/>
          <w:sz w:val="24"/>
          <w:rtl/>
        </w:rPr>
        <w:t>2021 - 2024,</w:t>
      </w:r>
      <w:r w:rsidRPr="007E5741">
        <w:rPr>
          <w:rFonts w:eastAsia="Calibri"/>
          <w:b/>
          <w:bCs/>
          <w:color w:val="000000"/>
          <w:sz w:val="24"/>
          <w:rtl/>
        </w:rPr>
        <w:t xml:space="preserve"> 21 </w:t>
      </w:r>
      <w:r w:rsidRPr="007E5741">
        <w:rPr>
          <w:rFonts w:eastAsia="Calibri" w:hint="cs"/>
          <w:b/>
          <w:bCs/>
          <w:color w:val="000000"/>
          <w:sz w:val="24"/>
          <w:rtl/>
        </w:rPr>
        <w:t>מה</w:t>
      </w:r>
      <w:r w:rsidRPr="007E5741">
        <w:rPr>
          <w:rFonts w:eastAsia="Calibri"/>
          <w:b/>
          <w:bCs/>
          <w:color w:val="000000"/>
          <w:sz w:val="24"/>
          <w:rtl/>
        </w:rPr>
        <w:t>מעורבים</w:t>
      </w:r>
      <w:r w:rsidRPr="007E5741">
        <w:rPr>
          <w:rFonts w:eastAsia="Calibri" w:hint="cs"/>
          <w:b/>
          <w:bCs/>
          <w:color w:val="000000"/>
          <w:sz w:val="24"/>
          <w:rtl/>
        </w:rPr>
        <w:t xml:space="preserve"> (כ-9%)</w:t>
      </w:r>
      <w:r w:rsidRPr="007E5741">
        <w:rPr>
          <w:rFonts w:eastAsia="Calibri"/>
          <w:b/>
          <w:bCs/>
          <w:color w:val="000000"/>
          <w:sz w:val="24"/>
          <w:rtl/>
        </w:rPr>
        <w:t xml:space="preserve"> </w:t>
      </w:r>
      <w:r w:rsidRPr="007E5741">
        <w:rPr>
          <w:rFonts w:eastAsia="Calibri" w:hint="cs"/>
          <w:b/>
          <w:bCs/>
          <w:color w:val="000000"/>
          <w:sz w:val="24"/>
          <w:rtl/>
        </w:rPr>
        <w:t>ביצעו את העבירה יותר מפעם אחת. 76 תיקי חקירה (42% מהתיקים) נסגרו (ובהם תיקים שנסגרו לאחר שהוגשו בהם תביעות ותיקים שנסגרו בשל חוסר ראיות). 91 מהעבירות (כמחצית) בוצעו במרחב ירושלים.</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color w:val="000000"/>
          <w:sz w:val="24"/>
          <w:rtl/>
        </w:rPr>
      </w:pPr>
      <w:r w:rsidRPr="007E5741">
        <w:rPr>
          <w:rFonts w:eastAsia="Calibri" w:hint="cs"/>
          <w:color w:val="000000"/>
          <w:sz w:val="24"/>
          <w:rtl/>
        </w:rPr>
        <w:t>בתשובתו מסר משרד האנרגיה כי הוא מכיר היטב את תופעת הספקים הפיראטים ועושה כל שביכולתו כדי להוקיע ולמגר את התופעה. המשרד פועל לשם כך הן בהתאם ליכולותיו והן בסיוע של גורמים נוספים, לרבות רשות המיסים בישראל והמינהל האזרחי.</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ascii="David" w:eastAsia="Calibri" w:hAnsi="David"/>
          <w:b/>
          <w:bCs/>
          <w:rtl/>
        </w:rPr>
      </w:pPr>
      <w:r w:rsidRPr="007E5741">
        <w:rPr>
          <w:rFonts w:eastAsia="Calibri" w:hint="cs"/>
          <w:b/>
          <w:bCs/>
          <w:color w:val="000000"/>
          <w:sz w:val="24"/>
          <w:rtl/>
        </w:rPr>
        <w:t xml:space="preserve">על אגף הפיקוח </w:t>
      </w:r>
      <w:r w:rsidRPr="007E5741">
        <w:rPr>
          <w:rFonts w:ascii="David" w:eastAsia="Calibri" w:hAnsi="David" w:hint="cs"/>
          <w:b/>
          <w:bCs/>
          <w:rtl/>
        </w:rPr>
        <w:t>במינהל הדלק להמשיך ביתר שאת בפעולות אכיפה בגין עבירות של ביצוע פעולת ספק גז ללא רישיון, וזאת כדי למנוע אספקת גז מסוכנת לציבור מבחינה בטיחותית.</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4"/>
        <w:rPr>
          <w:rFonts w:eastAsia="Times New Roman"/>
          <w:bCs/>
          <w:spacing w:val="40"/>
          <w:rtl/>
        </w:rPr>
      </w:pPr>
      <w:r w:rsidRPr="007E5741">
        <w:rPr>
          <w:rFonts w:eastAsia="Times New Roman" w:hint="cs"/>
          <w:bCs/>
          <w:spacing w:val="40"/>
          <w:rtl/>
        </w:rPr>
        <w:t>הברחת מכלי גז מאיו"ש</w:t>
      </w:r>
    </w:p>
    <w:p w:rsidR="007E5741" w:rsidRPr="007E5741" w:rsidP="002F4530">
      <w:pPr>
        <w:rPr>
          <w:rFonts w:eastAsia="Calibri"/>
          <w:rtl/>
        </w:rPr>
      </w:pPr>
    </w:p>
    <w:p w:rsidR="007E5741" w:rsidRPr="007E5741" w:rsidP="002F4530">
      <w:pPr>
        <w:spacing w:line="269" w:lineRule="auto"/>
        <w:rPr>
          <w:rFonts w:ascii="David" w:eastAsia="Calibri" w:hAnsi="David"/>
          <w:rtl/>
        </w:rPr>
      </w:pPr>
      <w:r w:rsidRPr="007E5741">
        <w:rPr>
          <w:rFonts w:ascii="David" w:eastAsia="Calibri" w:hAnsi="David" w:hint="eastAsia"/>
          <w:rtl/>
        </w:rPr>
        <w:t>מפגישה</w:t>
      </w:r>
      <w:r w:rsidRPr="007E5741">
        <w:rPr>
          <w:rFonts w:ascii="David" w:eastAsia="Calibri" w:hAnsi="David"/>
          <w:rtl/>
        </w:rPr>
        <w:t xml:space="preserve"> של צוות הביקורת עם אגף הפיקוח באוקטובר 2025 עלה כי מחיר בלון גז ביהודה ושומרון (להלן - </w:t>
      </w:r>
      <w:r w:rsidRPr="007E5741">
        <w:rPr>
          <w:rFonts w:ascii="David" w:eastAsia="Calibri" w:hAnsi="David" w:hint="eastAsia"/>
          <w:rtl/>
        </w:rPr>
        <w:t>איו״ש</w:t>
      </w:r>
      <w:r w:rsidRPr="007E5741">
        <w:rPr>
          <w:rFonts w:ascii="David" w:eastAsia="Calibri" w:hAnsi="David"/>
          <w:rtl/>
        </w:rPr>
        <w:t xml:space="preserve">) (כ-70 ש"ח בממוצע למכל של 12 ק"ג) זול יותר </w:t>
      </w:r>
      <w:r w:rsidRPr="007E5741">
        <w:rPr>
          <w:rFonts w:ascii="David" w:eastAsia="Calibri" w:hAnsi="David" w:hint="eastAsia"/>
          <w:rtl/>
        </w:rPr>
        <w:t>מבישראל</w:t>
      </w:r>
      <w:r w:rsidRPr="007E5741">
        <w:rPr>
          <w:rFonts w:ascii="David" w:eastAsia="Calibri" w:hAnsi="David"/>
          <w:rtl/>
        </w:rPr>
        <w:t xml:space="preserve"> (130 - 150 ש"ח למכל 12 ק"ג). אגף הפיקוח</w:t>
      </w:r>
      <w:r w:rsidRPr="007E5741">
        <w:rPr>
          <w:rFonts w:ascii="David" w:eastAsia="Calibri" w:hAnsi="David" w:hint="cs"/>
          <w:rtl/>
        </w:rPr>
        <w:t xml:space="preserve"> מסר לצוות הביקורת כי הוא </w:t>
      </w:r>
      <w:r w:rsidRPr="007E5741">
        <w:rPr>
          <w:rFonts w:ascii="David" w:eastAsia="Calibri" w:hAnsi="David" w:hint="eastAsia"/>
          <w:rtl/>
        </w:rPr>
        <w:t>נחשף</w:t>
      </w:r>
      <w:r w:rsidRPr="007E5741">
        <w:rPr>
          <w:rFonts w:ascii="David" w:eastAsia="Calibri" w:hAnsi="David"/>
          <w:rtl/>
        </w:rPr>
        <w:t xml:space="preserve"> </w:t>
      </w:r>
      <w:r w:rsidRPr="007E5741">
        <w:rPr>
          <w:rFonts w:ascii="David" w:eastAsia="Calibri" w:hAnsi="David" w:hint="eastAsia"/>
          <w:rtl/>
        </w:rPr>
        <w:t>ל</w:t>
      </w:r>
      <w:r w:rsidRPr="007E5741">
        <w:rPr>
          <w:rFonts w:ascii="David" w:eastAsia="Calibri" w:hAnsi="David"/>
          <w:rtl/>
        </w:rPr>
        <w:t xml:space="preserve">כ-50 - 60 מקרים </w:t>
      </w:r>
      <w:r w:rsidRPr="007E5741">
        <w:rPr>
          <w:rFonts w:ascii="David" w:eastAsia="Calibri" w:hAnsi="David" w:hint="eastAsia"/>
          <w:rtl/>
        </w:rPr>
        <w:t>בשנה</w:t>
      </w:r>
      <w:r w:rsidRPr="007E5741">
        <w:rPr>
          <w:rFonts w:ascii="David" w:eastAsia="Calibri" w:hAnsi="David"/>
          <w:rtl/>
        </w:rPr>
        <w:t xml:space="preserve"> של הברחות מכלי גז </w:t>
      </w:r>
      <w:r w:rsidRPr="007E5741">
        <w:rPr>
          <w:rFonts w:ascii="David" w:eastAsia="Calibri" w:hAnsi="David" w:hint="eastAsia"/>
          <w:rtl/>
        </w:rPr>
        <w:t>מאיו</w:t>
      </w:r>
      <w:r w:rsidRPr="007E5741">
        <w:rPr>
          <w:rFonts w:ascii="David" w:eastAsia="Calibri" w:hAnsi="David"/>
          <w:rtl/>
        </w:rPr>
        <w:t xml:space="preserve">"ש </w:t>
      </w:r>
      <w:r w:rsidRPr="007E5741">
        <w:rPr>
          <w:rFonts w:ascii="David" w:eastAsia="Calibri" w:hAnsi="David" w:hint="eastAsia"/>
          <w:rtl/>
        </w:rPr>
        <w:t>לישראל</w:t>
      </w:r>
      <w:r w:rsidRPr="007E5741">
        <w:rPr>
          <w:rFonts w:ascii="David" w:eastAsia="Calibri" w:hAnsi="David" w:hint="cs"/>
          <w:rtl/>
        </w:rPr>
        <w:t>, אך הוא אינו יכול לאמוד את היקף התופעה</w:t>
      </w:r>
      <w:r w:rsidRPr="007E5741">
        <w:rPr>
          <w:rFonts w:ascii="David" w:eastAsia="Calibri" w:hAnsi="David"/>
          <w:rtl/>
        </w:rPr>
        <w:t xml:space="preserve">.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color w:val="FF0000"/>
          <w:sz w:val="24"/>
          <w:rtl/>
        </w:rPr>
      </w:pPr>
      <w:r w:rsidRPr="007E5741">
        <w:rPr>
          <w:rFonts w:ascii="David" w:eastAsia="Calibri" w:hAnsi="David" w:hint="eastAsia"/>
          <w:b/>
          <w:bCs/>
          <w:rtl/>
        </w:rPr>
        <w:t>בשנים</w:t>
      </w:r>
      <w:r w:rsidRPr="007E5741">
        <w:rPr>
          <w:rFonts w:ascii="David" w:eastAsia="Calibri" w:hAnsi="David"/>
          <w:b/>
          <w:bCs/>
          <w:rtl/>
        </w:rPr>
        <w:t xml:space="preserve"> 2021 </w:t>
      </w:r>
      <w:r w:rsidRPr="007E5741">
        <w:rPr>
          <w:rFonts w:ascii="David" w:eastAsia="Calibri" w:hAnsi="David" w:hint="cs"/>
          <w:b/>
          <w:bCs/>
          <w:rtl/>
        </w:rPr>
        <w:t>-</w:t>
      </w:r>
      <w:r w:rsidRPr="007E5741">
        <w:rPr>
          <w:rFonts w:ascii="David" w:eastAsia="Calibri" w:hAnsi="David"/>
          <w:b/>
          <w:bCs/>
          <w:rtl/>
        </w:rPr>
        <w:t xml:space="preserve"> 2025 נפתחו 10</w:t>
      </w:r>
      <w:r w:rsidRPr="007E5741">
        <w:rPr>
          <w:rFonts w:ascii="David" w:eastAsia="Calibri" w:hAnsi="David" w:hint="cs"/>
          <w:b/>
          <w:bCs/>
          <w:rtl/>
        </w:rPr>
        <w:t>2</w:t>
      </w:r>
      <w:r w:rsidRPr="007E5741">
        <w:rPr>
          <w:rFonts w:ascii="David" w:eastAsia="Calibri" w:hAnsi="David"/>
          <w:b/>
          <w:bCs/>
          <w:rtl/>
        </w:rPr>
        <w:t xml:space="preserve"> תיקי חקירה בגין </w:t>
      </w:r>
      <w:r w:rsidRPr="007E5741">
        <w:rPr>
          <w:rFonts w:ascii="David" w:eastAsia="Calibri" w:hAnsi="David" w:hint="cs"/>
          <w:b/>
          <w:bCs/>
          <w:rtl/>
        </w:rPr>
        <w:t>הברחת</w:t>
      </w:r>
      <w:r w:rsidRPr="007E5741">
        <w:rPr>
          <w:rFonts w:ascii="David" w:eastAsia="Calibri" w:hAnsi="David"/>
          <w:b/>
          <w:bCs/>
          <w:rtl/>
        </w:rPr>
        <w:t xml:space="preserve"> מכלי גז </w:t>
      </w:r>
      <w:r w:rsidRPr="007E5741">
        <w:rPr>
          <w:rFonts w:ascii="David" w:eastAsia="Calibri" w:hAnsi="David" w:hint="eastAsia"/>
          <w:b/>
          <w:bCs/>
          <w:rtl/>
        </w:rPr>
        <w:t>מאיו</w:t>
      </w:r>
      <w:r w:rsidRPr="007E5741">
        <w:rPr>
          <w:rFonts w:ascii="David" w:eastAsia="Calibri" w:hAnsi="David"/>
          <w:b/>
          <w:bCs/>
          <w:rtl/>
        </w:rPr>
        <w:t>"ש לישראל</w:t>
      </w:r>
      <w:r w:rsidRPr="007E5741">
        <w:rPr>
          <w:rFonts w:ascii="David" w:eastAsia="Calibri" w:hAnsi="David" w:hint="cs"/>
          <w:b/>
          <w:bCs/>
          <w:rtl/>
        </w:rPr>
        <w:t xml:space="preserve"> (בממוצע </w:t>
      </w:r>
      <w:r w:rsidR="00C3124C">
        <w:rPr>
          <w:rFonts w:eastAsia="Calibri"/>
          <w:color w:val="000000"/>
          <w:sz w:val="24"/>
          <w:rtl/>
        </w:rPr>
        <w:br/>
      </w:r>
      <w:bookmarkStart w:id="49" w:name="_GoBack"/>
      <w:bookmarkEnd w:id="49"/>
      <w:r w:rsidRPr="007E5741">
        <w:rPr>
          <w:rFonts w:ascii="David" w:eastAsia="Calibri" w:hAnsi="David" w:hint="cs"/>
          <w:b/>
          <w:bCs/>
          <w:rtl/>
        </w:rPr>
        <w:t>כ-20 תיקים לשנה)</w:t>
      </w:r>
      <w:r w:rsidRPr="007E5741">
        <w:rPr>
          <w:rFonts w:ascii="David" w:eastAsia="Calibri" w:hAnsi="David"/>
          <w:b/>
          <w:bCs/>
          <w:rtl/>
        </w:rPr>
        <w:t>, רובם ככולם על ידי ספקים לא מורשים. במרבית המקרים מדובר בהכנסה של כמה מכלים. אגף הפיקוח מסר לצוות הביקורת כי קשה</w:t>
      </w:r>
      <w:r w:rsidRPr="007E5741">
        <w:rPr>
          <w:rFonts w:ascii="David" w:eastAsia="Calibri" w:hAnsi="David" w:hint="cs"/>
          <w:b/>
          <w:bCs/>
          <w:rtl/>
        </w:rPr>
        <w:t xml:space="preserve"> לו</w:t>
      </w:r>
      <w:r w:rsidRPr="007E5741">
        <w:rPr>
          <w:rFonts w:ascii="David" w:eastAsia="Calibri" w:hAnsi="David"/>
          <w:b/>
          <w:bCs/>
          <w:rtl/>
        </w:rPr>
        <w:t xml:space="preserve"> מא</w:t>
      </w:r>
      <w:r w:rsidRPr="007E5741">
        <w:rPr>
          <w:rFonts w:ascii="David" w:eastAsia="Calibri" w:hAnsi="David" w:hint="cs"/>
          <w:b/>
          <w:bCs/>
          <w:rtl/>
        </w:rPr>
        <w:t>ו</w:t>
      </w:r>
      <w:r w:rsidRPr="007E5741">
        <w:rPr>
          <w:rFonts w:ascii="David" w:eastAsia="Calibri" w:hAnsi="David"/>
          <w:b/>
          <w:bCs/>
          <w:rtl/>
        </w:rPr>
        <w:t xml:space="preserve">ד לתפוס ספקים פיראטיים שמכניסים מכלי גז לישראל. </w:t>
      </w:r>
      <w:r w:rsidRPr="007E5741">
        <w:rPr>
          <w:rFonts w:ascii="David" w:eastAsia="Calibri" w:hAnsi="David" w:hint="cs"/>
          <w:b/>
          <w:bCs/>
          <w:rtl/>
        </w:rPr>
        <w:t>עם זאת,</w:t>
      </w:r>
      <w:r w:rsidRPr="007E5741">
        <w:rPr>
          <w:rFonts w:ascii="David" w:eastAsia="Calibri" w:hAnsi="David"/>
          <w:b/>
          <w:bCs/>
          <w:rtl/>
        </w:rPr>
        <w:t xml:space="preserve"> עלה </w:t>
      </w:r>
      <w:r w:rsidRPr="007E5741">
        <w:rPr>
          <w:rFonts w:ascii="David" w:eastAsia="Calibri" w:hAnsi="David" w:hint="eastAsia"/>
          <w:b/>
          <w:bCs/>
          <w:rtl/>
        </w:rPr>
        <w:t>כי</w:t>
      </w:r>
      <w:r w:rsidRPr="007E5741">
        <w:rPr>
          <w:rFonts w:ascii="David" w:eastAsia="Calibri" w:hAnsi="David"/>
          <w:b/>
          <w:bCs/>
          <w:rtl/>
        </w:rPr>
        <w:t xml:space="preserve"> לאגף הפיקוח </w:t>
      </w:r>
      <w:r w:rsidRPr="007E5741">
        <w:rPr>
          <w:rFonts w:ascii="David" w:eastAsia="Calibri" w:hAnsi="David" w:hint="cs"/>
          <w:b/>
          <w:bCs/>
          <w:rtl/>
        </w:rPr>
        <w:t xml:space="preserve">במינהל הדלק </w:t>
      </w:r>
      <w:r w:rsidRPr="007E5741">
        <w:rPr>
          <w:rFonts w:ascii="David" w:eastAsia="Calibri" w:hAnsi="David"/>
          <w:b/>
          <w:bCs/>
          <w:rtl/>
        </w:rPr>
        <w:t xml:space="preserve">אין מידע </w:t>
      </w:r>
      <w:r w:rsidRPr="007E5741">
        <w:rPr>
          <w:rFonts w:ascii="David" w:eastAsia="Calibri" w:hAnsi="David" w:hint="cs"/>
          <w:b/>
          <w:bCs/>
          <w:rtl/>
        </w:rPr>
        <w:t>בנוגע</w:t>
      </w:r>
      <w:r w:rsidRPr="007E5741">
        <w:rPr>
          <w:rFonts w:ascii="David" w:eastAsia="Calibri" w:hAnsi="David"/>
          <w:b/>
          <w:bCs/>
          <w:rtl/>
        </w:rPr>
        <w:t xml:space="preserve"> לכמות הגז </w:t>
      </w:r>
      <w:r w:rsidRPr="007E5741">
        <w:rPr>
          <w:rFonts w:ascii="David" w:eastAsia="Calibri" w:hAnsi="David" w:hint="cs"/>
          <w:b/>
          <w:bCs/>
          <w:rtl/>
        </w:rPr>
        <w:t>המוברחת</w:t>
      </w:r>
      <w:r w:rsidRPr="007E5741">
        <w:rPr>
          <w:rFonts w:ascii="David" w:eastAsia="Calibri" w:hAnsi="David"/>
          <w:b/>
          <w:bCs/>
          <w:rtl/>
        </w:rPr>
        <w:t xml:space="preserve"> באופן פיראטי </w:t>
      </w:r>
      <w:r w:rsidRPr="007E5741">
        <w:rPr>
          <w:rFonts w:ascii="David" w:eastAsia="Calibri" w:hAnsi="David" w:hint="eastAsia"/>
          <w:b/>
          <w:bCs/>
          <w:rtl/>
        </w:rPr>
        <w:t>מאיו</w:t>
      </w:r>
      <w:r w:rsidRPr="007E5741">
        <w:rPr>
          <w:rFonts w:ascii="David" w:eastAsia="Calibri" w:hAnsi="David"/>
          <w:b/>
          <w:bCs/>
          <w:rtl/>
        </w:rPr>
        <w:t>"ש לישראל</w:t>
      </w:r>
      <w:r w:rsidRPr="007E5741">
        <w:rPr>
          <w:rFonts w:ascii="David" w:eastAsia="Calibri" w:hAnsi="David" w:hint="cs"/>
          <w:b/>
          <w:bCs/>
          <w:rtl/>
        </w:rPr>
        <w:t>,</w:t>
      </w:r>
      <w:r w:rsidRPr="007E5741">
        <w:rPr>
          <w:rFonts w:ascii="David" w:eastAsia="Calibri" w:hAnsi="David"/>
          <w:b/>
          <w:bCs/>
          <w:rtl/>
        </w:rPr>
        <w:t xml:space="preserve"> ו</w:t>
      </w:r>
      <w:r w:rsidRPr="007E5741">
        <w:rPr>
          <w:rFonts w:ascii="David" w:eastAsia="Calibri" w:hAnsi="David" w:hint="cs"/>
          <w:b/>
          <w:bCs/>
          <w:rtl/>
        </w:rPr>
        <w:t>יש</w:t>
      </w:r>
      <w:r w:rsidRPr="007E5741">
        <w:rPr>
          <w:rFonts w:ascii="David" w:eastAsia="Calibri" w:hAnsi="David"/>
          <w:b/>
          <w:bCs/>
          <w:rtl/>
        </w:rPr>
        <w:t xml:space="preserve"> קושי של ממש לאמוד את התופעה בעיקר בשל היעדר סמכות פעולה </w:t>
      </w:r>
      <w:r w:rsidRPr="007E5741">
        <w:rPr>
          <w:rFonts w:ascii="David" w:eastAsia="Calibri" w:hAnsi="David" w:hint="eastAsia"/>
          <w:b/>
          <w:bCs/>
          <w:rtl/>
        </w:rPr>
        <w:t>באיו</w:t>
      </w:r>
      <w:r w:rsidRPr="007E5741">
        <w:rPr>
          <w:rFonts w:ascii="David" w:eastAsia="Calibri" w:hAnsi="David"/>
          <w:b/>
          <w:bCs/>
          <w:rtl/>
        </w:rPr>
        <w:t>"ש.</w:t>
      </w:r>
    </w:p>
    <w:p w:rsidR="007E5741" w:rsidRPr="007E5741" w:rsidP="002F4530">
      <w:pPr>
        <w:spacing w:line="269" w:lineRule="auto"/>
        <w:rPr>
          <w:rFonts w:eastAsia="Calibri"/>
          <w:color w:val="FF0000"/>
          <w:sz w:val="24"/>
          <w:rtl/>
        </w:rPr>
      </w:pPr>
      <w:r w:rsidRPr="007E5741">
        <w:rPr>
          <w:rFonts w:eastAsia="Calibri" w:hint="cs"/>
          <w:sz w:val="24"/>
          <w:rtl/>
        </w:rPr>
        <w:t>בתשובתו מסר משרד האנרגיה כי "ההסדר החקיקתי כיום אינו מאפשר למשרד לפעול ולאכוף פעילות פיראטית באזורים שאינם בתחומי המועצות הישראליות, שלרוב דווקא בהם, ככל הנראה ממוקדת הפעילות הפיראטית".</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rPr>
      </w:pPr>
      <w:r w:rsidRPr="007E5741">
        <w:rPr>
          <w:rFonts w:eastAsia="Calibri" w:hint="cs"/>
          <w:b/>
          <w:bCs/>
          <w:rtl/>
        </w:rPr>
        <w:t xml:space="preserve">על משרד האנרגיה לבחון דרכים לצמצום תופעת הספקים הפיראטיים, לרבות תופעת הכנסת מכלי גז מאיו"ש לארץ והגז הנמכר באופן פיראטי בישראל. על משרד האנרגיה לטפל בתופעה, ובכלל זה להוביל לגיבוש הסדרה חקיקתית שתאפשר לפעול כנגד פעילות זו, ככל הנדרש, להגביר את האכיפה נגד ספקים פיראטים ולשקול את החמרת הענישה. </w:t>
      </w:r>
    </w:p>
    <w:p w:rsidR="007E5741" w:rsidRPr="007E5741" w:rsidP="002F4530">
      <w:pPr>
        <w:keepNext/>
        <w:keepLines/>
        <w:spacing w:line="269" w:lineRule="auto"/>
        <w:ind w:left="-567"/>
        <w:rPr>
          <w:rFonts w:eastAsia="Calibri"/>
          <w:szCs w:val="20"/>
          <w:rtl/>
        </w:rPr>
      </w:pPr>
    </w:p>
    <w:p w:rsidR="007E5741" w:rsidRPr="007E5741" w:rsidP="002F4530">
      <w:pPr>
        <w:keepNext/>
        <w:keepLines/>
        <w:spacing w:line="269" w:lineRule="auto"/>
        <w:outlineLvl w:val="2"/>
        <w:rPr>
          <w:rFonts w:eastAsia="Times New Roman"/>
          <w:bCs/>
          <w:szCs w:val="28"/>
          <w:u w:val="single"/>
          <w:rtl/>
        </w:rPr>
      </w:pPr>
      <w:r w:rsidRPr="007E5741">
        <w:rPr>
          <w:rFonts w:eastAsia="Times New Roman" w:hint="cs"/>
          <w:bCs/>
          <w:szCs w:val="28"/>
          <w:u w:val="single"/>
          <w:rtl/>
        </w:rPr>
        <w:t>סיכום</w:t>
      </w:r>
    </w:p>
    <w:p w:rsidR="007E5741" w:rsidRPr="007E5741" w:rsidP="002F4530">
      <w:pPr>
        <w:rPr>
          <w:rFonts w:eastAsia="Calibri"/>
          <w:rtl/>
        </w:rPr>
      </w:pPr>
    </w:p>
    <w:p w:rsidR="007E5741" w:rsidRPr="007E5741" w:rsidP="002F4530">
      <w:pPr>
        <w:spacing w:line="269" w:lineRule="auto"/>
        <w:rPr>
          <w:rFonts w:eastAsia="Calibri"/>
          <w:b/>
          <w:bCs/>
          <w:rtl/>
        </w:rPr>
      </w:pPr>
      <w:r w:rsidRPr="007E5741">
        <w:rPr>
          <w:rFonts w:eastAsia="Calibri" w:hint="cs"/>
          <w:b/>
          <w:bCs/>
          <w:rtl/>
        </w:rPr>
        <w:t xml:space="preserve">מדיניות משק הגפ"ם בישראל ותכנונו נובעים </w:t>
      </w:r>
      <w:r w:rsidRPr="007E5741">
        <w:rPr>
          <w:rFonts w:eastAsia="Calibri" w:hint="eastAsia"/>
          <w:b/>
          <w:bCs/>
          <w:rtl/>
        </w:rPr>
        <w:t>מהמדיניות</w:t>
      </w:r>
      <w:r w:rsidRPr="007E5741">
        <w:rPr>
          <w:rFonts w:eastAsia="Calibri"/>
          <w:b/>
          <w:bCs/>
          <w:rtl/>
        </w:rPr>
        <w:t xml:space="preserve"> הכוללת </w:t>
      </w:r>
      <w:r w:rsidRPr="007E5741">
        <w:rPr>
          <w:rFonts w:eastAsia="Calibri" w:hint="eastAsia"/>
          <w:b/>
          <w:bCs/>
          <w:rtl/>
        </w:rPr>
        <w:t>של</w:t>
      </w:r>
      <w:r w:rsidRPr="007E5741">
        <w:rPr>
          <w:rFonts w:eastAsia="Calibri"/>
          <w:b/>
          <w:bCs/>
          <w:rtl/>
        </w:rPr>
        <w:t xml:space="preserve"> </w:t>
      </w:r>
      <w:r w:rsidRPr="007E5741">
        <w:rPr>
          <w:rFonts w:eastAsia="Calibri" w:hint="eastAsia"/>
          <w:b/>
          <w:bCs/>
          <w:rtl/>
        </w:rPr>
        <w:t>מדינת</w:t>
      </w:r>
      <w:r w:rsidRPr="007E5741">
        <w:rPr>
          <w:rFonts w:eastAsia="Calibri"/>
          <w:b/>
          <w:bCs/>
          <w:rtl/>
        </w:rPr>
        <w:t xml:space="preserve"> ישראל </w:t>
      </w:r>
      <w:r w:rsidRPr="007E5741">
        <w:rPr>
          <w:rFonts w:eastAsia="Calibri" w:hint="cs"/>
          <w:b/>
          <w:bCs/>
          <w:rtl/>
        </w:rPr>
        <w:t>להפחתת התלות בדלקים מזהמים ולהפחתת פליטות גזי חממה, בהתאם להתחייבויותיה ב</w:t>
      </w:r>
      <w:r w:rsidRPr="007E5741">
        <w:rPr>
          <w:rFonts w:eastAsia="Calibri"/>
          <w:b/>
          <w:bCs/>
          <w:rtl/>
        </w:rPr>
        <w:t xml:space="preserve">הסכם פריז. </w:t>
      </w:r>
      <w:r w:rsidRPr="007E5741">
        <w:rPr>
          <w:rFonts w:eastAsia="Calibri" w:hint="cs"/>
          <w:b/>
          <w:bCs/>
          <w:rtl/>
        </w:rPr>
        <w:t>החלטת הממשלה העיקרית העולה בקנה אחד עם מדיניות זו התקבלה במרץ 2022, ו</w:t>
      </w:r>
      <w:r w:rsidRPr="007E5741">
        <w:rPr>
          <w:rFonts w:eastAsia="Calibri"/>
          <w:b/>
          <w:bCs/>
          <w:rtl/>
        </w:rPr>
        <w:t>תכליתה להביא להפסקת זיקוק הנפט והפעילות של התעשייה הפטרוכימית במפרץ חיפה</w:t>
      </w:r>
      <w:r w:rsidRPr="007E5741">
        <w:rPr>
          <w:rFonts w:eastAsia="Calibri" w:hint="cs"/>
          <w:b/>
          <w:bCs/>
          <w:rtl/>
        </w:rPr>
        <w:t xml:space="preserve">, לרבות הפסקת ייצור הגפ"ם בבז"ן.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rtl/>
        </w:rPr>
      </w:pPr>
      <w:r w:rsidRPr="007E5741">
        <w:rPr>
          <w:rFonts w:eastAsia="Calibri" w:hint="cs"/>
          <w:b/>
          <w:bCs/>
          <w:rtl/>
        </w:rPr>
        <w:t>מימוש ההחלטה ייצור אתגרים רבים, ובהם הבטחת אספקה רציפה של גפ"ם למשק באמצעות תשתיות ליבוא ולאחסון של גפ"ם, בכמות מספקת ובפיזור גיאוגרפי, ושמירה על מחירי הגפ"ם במשק, שיישען בעיקר על יבוא הגפ"ם מחו"ל. אתגרים אלו התעצמו במבצע עם כלביא שבו הייתה פגיעה בבז"ן בד בבד עם תקלות במתקני בז"א, תוך יצירת</w:t>
      </w:r>
      <w:r w:rsidRPr="007E5741">
        <w:rPr>
          <w:rFonts w:eastAsia="Calibri"/>
          <w:b/>
          <w:bCs/>
          <w:rtl/>
        </w:rPr>
        <w:t xml:space="preserve"> סיכונים סבי</w:t>
      </w:r>
      <w:r w:rsidRPr="007E5741">
        <w:rPr>
          <w:rFonts w:eastAsia="Calibri" w:hint="eastAsia"/>
          <w:b/>
          <w:bCs/>
          <w:rtl/>
        </w:rPr>
        <w:t>בתיים</w:t>
      </w:r>
      <w:r w:rsidRPr="007E5741">
        <w:rPr>
          <w:rFonts w:eastAsia="Calibri"/>
          <w:b/>
          <w:bCs/>
          <w:rtl/>
        </w:rPr>
        <w:t xml:space="preserve"> </w:t>
      </w:r>
      <w:r w:rsidRPr="007E5741">
        <w:rPr>
          <w:rFonts w:eastAsia="Calibri" w:hint="eastAsia"/>
          <w:b/>
          <w:bCs/>
          <w:rtl/>
        </w:rPr>
        <w:t>לצד</w:t>
      </w:r>
      <w:r w:rsidRPr="007E5741">
        <w:rPr>
          <w:rFonts w:eastAsia="Calibri"/>
          <w:b/>
          <w:bCs/>
          <w:rtl/>
        </w:rPr>
        <w:t xml:space="preserve"> </w:t>
      </w:r>
      <w:r w:rsidRPr="007E5741">
        <w:rPr>
          <w:rFonts w:eastAsia="Calibri" w:hint="eastAsia"/>
          <w:b/>
          <w:bCs/>
          <w:rtl/>
        </w:rPr>
        <w:t>פגיעה</w:t>
      </w:r>
      <w:r w:rsidRPr="007E5741">
        <w:rPr>
          <w:rFonts w:eastAsia="Calibri" w:hint="cs"/>
          <w:b/>
          <w:bCs/>
          <w:rtl/>
        </w:rPr>
        <w:t xml:space="preserve"> בכושר הייצור של בתי הזיקוק, והדגישו את הצורך בהבטחת קיומן של תשתיות יבוא גפ"ם מספקות למשק.</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rtl/>
        </w:rPr>
      </w:pPr>
      <w:r w:rsidRPr="007E5741">
        <w:rPr>
          <w:rFonts w:eastAsia="Calibri" w:hint="cs"/>
          <w:b/>
          <w:bCs/>
          <w:rtl/>
        </w:rPr>
        <w:t xml:space="preserve">בדוח עלה כי אין גורם ממשלתי אחד המתכלל את משק הגפ"ם בכל הנוגע ליישום החלטת הממשלה 1231, הבוחן את </w:t>
      </w:r>
      <w:r w:rsidRPr="007E5741">
        <w:rPr>
          <w:rFonts w:eastAsia="Calibri"/>
          <w:b/>
          <w:bCs/>
          <w:rtl/>
        </w:rPr>
        <w:t>השלכות המעבר של משק הגפ"ם למוטה יבוא</w:t>
      </w:r>
      <w:r w:rsidRPr="007E5741">
        <w:rPr>
          <w:rFonts w:eastAsia="Calibri" w:hint="cs"/>
          <w:b/>
          <w:bCs/>
          <w:rtl/>
        </w:rPr>
        <w:t xml:space="preserve"> (לרבות סוגיית התחרות במשק הגפ"ם ומחירי הגפ"ם לצרכן הסופי)</w:t>
      </w:r>
      <w:r w:rsidRPr="007E5741">
        <w:rPr>
          <w:rFonts w:eastAsia="Calibri"/>
          <w:b/>
          <w:bCs/>
          <w:rtl/>
        </w:rPr>
        <w:t>, ואת ההיערכות הנדרשת לכך מבחינה תשתיתית</w:t>
      </w:r>
      <w:r w:rsidRPr="007E5741">
        <w:rPr>
          <w:rFonts w:eastAsia="Calibri" w:hint="cs"/>
          <w:b/>
          <w:bCs/>
          <w:rtl/>
        </w:rPr>
        <w:t>, כדי למנוע פגיעה ביתירות, בתחרות או במחירי הגפ"ם לצרכן הסופי. על</w:t>
      </w:r>
      <w:r w:rsidRPr="007E5741">
        <w:rPr>
          <w:rFonts w:eastAsia="Calibri"/>
          <w:b/>
          <w:bCs/>
          <w:rtl/>
        </w:rPr>
        <w:t xml:space="preserve"> המועצה הלאומית לכלכלה</w:t>
      </w:r>
      <w:r w:rsidRPr="007E5741">
        <w:rPr>
          <w:rFonts w:eastAsia="Calibri" w:hint="cs"/>
          <w:b/>
          <w:bCs/>
          <w:rtl/>
        </w:rPr>
        <w:t xml:space="preserve"> (העומדת בראש המינהלת לפיתוח מפרץ חיפה)</w:t>
      </w:r>
      <w:r w:rsidRPr="007E5741">
        <w:rPr>
          <w:rFonts w:eastAsia="Calibri"/>
          <w:b/>
          <w:bCs/>
          <w:rtl/>
        </w:rPr>
        <w:t xml:space="preserve">, </w:t>
      </w:r>
      <w:r w:rsidRPr="007E5741">
        <w:rPr>
          <w:rFonts w:eastAsia="Calibri" w:hint="cs"/>
          <w:b/>
          <w:bCs/>
          <w:rtl/>
        </w:rPr>
        <w:t>האמונה על יישום החלטת הממשלה 1231, ל</w:t>
      </w:r>
      <w:r w:rsidRPr="007E5741">
        <w:rPr>
          <w:rFonts w:eastAsia="Calibri"/>
          <w:b/>
          <w:bCs/>
          <w:rtl/>
        </w:rPr>
        <w:t xml:space="preserve">תכלל </w:t>
      </w:r>
      <w:r w:rsidRPr="007E5741">
        <w:rPr>
          <w:rFonts w:eastAsia="Calibri" w:hint="cs"/>
          <w:b/>
          <w:bCs/>
          <w:sz w:val="24"/>
          <w:rtl/>
        </w:rPr>
        <w:t>את ההיערכות הממשלתית לסגירת בז"ן ולוודא כי הגופים הרלוונטיים -</w:t>
      </w:r>
      <w:r w:rsidRPr="007E5741">
        <w:rPr>
          <w:rFonts w:eastAsia="Calibri" w:hint="cs"/>
          <w:b/>
          <w:bCs/>
          <w:rtl/>
        </w:rPr>
        <w:t xml:space="preserve"> משרד האוצר</w:t>
      </w:r>
      <w:r w:rsidRPr="007E5741">
        <w:rPr>
          <w:rFonts w:eastAsia="Calibri"/>
          <w:b/>
          <w:bCs/>
          <w:rtl/>
        </w:rPr>
        <w:t xml:space="preserve">, משרד האנרגיה ורשות התחרות </w:t>
      </w:r>
      <w:r w:rsidRPr="007E5741">
        <w:rPr>
          <w:rFonts w:eastAsia="Calibri" w:hint="cs"/>
          <w:b/>
          <w:bCs/>
          <w:rtl/>
        </w:rPr>
        <w:t xml:space="preserve">- </w:t>
      </w:r>
      <w:r w:rsidRPr="007E5741">
        <w:rPr>
          <w:rFonts w:eastAsia="Calibri" w:hint="cs"/>
          <w:b/>
          <w:bCs/>
          <w:sz w:val="24"/>
          <w:rtl/>
        </w:rPr>
        <w:t xml:space="preserve">מקדמים את הנושאים שבאחריותם הנוגעים למשק הגפ"ם, </w:t>
      </w:r>
      <w:r w:rsidRPr="007E5741">
        <w:rPr>
          <w:rFonts w:eastAsia="Calibri" w:hint="eastAsia"/>
          <w:b/>
          <w:bCs/>
          <w:sz w:val="24"/>
          <w:rtl/>
        </w:rPr>
        <w:t>תוך</w:t>
      </w:r>
      <w:r w:rsidRPr="007E5741">
        <w:rPr>
          <w:rFonts w:eastAsia="Calibri"/>
          <w:b/>
          <w:bCs/>
          <w:sz w:val="24"/>
          <w:rtl/>
        </w:rPr>
        <w:t xml:space="preserve"> יצירת האיזון בין הסיכונים הסביבתיים </w:t>
      </w:r>
      <w:r w:rsidRPr="007E5741">
        <w:rPr>
          <w:rFonts w:eastAsia="Calibri" w:hint="eastAsia"/>
          <w:b/>
          <w:bCs/>
          <w:sz w:val="24"/>
          <w:rtl/>
        </w:rPr>
        <w:t>לצרכים</w:t>
      </w:r>
      <w:r w:rsidRPr="007E5741">
        <w:rPr>
          <w:rFonts w:eastAsia="Calibri"/>
          <w:b/>
          <w:bCs/>
          <w:sz w:val="24"/>
          <w:rtl/>
        </w:rPr>
        <w:t xml:space="preserve"> </w:t>
      </w:r>
      <w:r w:rsidRPr="007E5741">
        <w:rPr>
          <w:rFonts w:eastAsia="Calibri" w:hint="eastAsia"/>
          <w:b/>
          <w:bCs/>
          <w:sz w:val="24"/>
          <w:rtl/>
        </w:rPr>
        <w:t>האנרגטיים</w:t>
      </w:r>
      <w:r w:rsidRPr="007E5741">
        <w:rPr>
          <w:rFonts w:eastAsia="Calibri"/>
          <w:b/>
          <w:bCs/>
          <w:rtl/>
        </w:rPr>
        <w:t xml:space="preserve">.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rtl/>
        </w:rPr>
      </w:pPr>
      <w:r w:rsidRPr="007E5741">
        <w:rPr>
          <w:rFonts w:eastAsia="Calibri" w:hint="cs"/>
          <w:b/>
          <w:bCs/>
          <w:rtl/>
        </w:rPr>
        <w:t>עוד עלה בדוח</w:t>
      </w:r>
      <w:r w:rsidRPr="007E5741">
        <w:rPr>
          <w:rFonts w:eastAsia="Calibri"/>
          <w:b/>
          <w:bCs/>
          <w:rtl/>
        </w:rPr>
        <w:t xml:space="preserve"> </w:t>
      </w:r>
      <w:r w:rsidRPr="007E5741">
        <w:rPr>
          <w:rFonts w:eastAsia="Calibri" w:hint="cs"/>
          <w:b/>
          <w:bCs/>
          <w:rtl/>
        </w:rPr>
        <w:t>כי יש</w:t>
      </w:r>
      <w:r w:rsidRPr="007E5741">
        <w:rPr>
          <w:rFonts w:eastAsia="Calibri"/>
          <w:b/>
          <w:bCs/>
          <w:rtl/>
        </w:rPr>
        <w:t xml:space="preserve"> </w:t>
      </w:r>
      <w:r w:rsidRPr="007E5741">
        <w:rPr>
          <w:rFonts w:eastAsia="Calibri" w:hint="cs"/>
          <w:b/>
          <w:bCs/>
          <w:rtl/>
        </w:rPr>
        <w:t xml:space="preserve">ריכוזיות גיאוגרפית, ואף שליטה, של הספקים הגדולים בכמה אזורים בארץ; נמצאו </w:t>
      </w:r>
      <w:r w:rsidRPr="007E5741">
        <w:rPr>
          <w:rFonts w:eastAsia="Calibri" w:hint="eastAsia"/>
          <w:b/>
          <w:bCs/>
          <w:rtl/>
        </w:rPr>
        <w:t>פערי</w:t>
      </w:r>
      <w:r w:rsidRPr="007E5741">
        <w:rPr>
          <w:rFonts w:eastAsia="Calibri" w:hint="cs"/>
          <w:b/>
          <w:bCs/>
          <w:rtl/>
        </w:rPr>
        <w:t>ם במחירי הגז בין ערים סמוכות בגוש דן, פערי מחירים בין מגזרים שונים, פערי מחירים בתוך אותה רשות מקומית (ירושלים); מעברי לקוחות מועטים בין ספקי גז</w:t>
      </w:r>
      <w:r w:rsidRPr="007E5741">
        <w:rPr>
          <w:rFonts w:eastAsia="Calibri"/>
          <w:rtl/>
        </w:rPr>
        <w:t xml:space="preserve"> </w:t>
      </w:r>
      <w:r w:rsidRPr="007E5741">
        <w:rPr>
          <w:rFonts w:eastAsia="Calibri" w:hint="cs"/>
          <w:b/>
          <w:bCs/>
          <w:rtl/>
        </w:rPr>
        <w:t xml:space="preserve">של </w:t>
      </w:r>
      <w:r w:rsidRPr="007E5741">
        <w:rPr>
          <w:rFonts w:eastAsia="Calibri"/>
          <w:b/>
          <w:bCs/>
          <w:rtl/>
        </w:rPr>
        <w:t>מרכזיית</w:t>
      </w:r>
      <w:r w:rsidRPr="007E5741">
        <w:rPr>
          <w:rFonts w:eastAsia="Calibri" w:hint="cs"/>
          <w:b/>
          <w:bCs/>
          <w:rtl/>
        </w:rPr>
        <w:t xml:space="preserve"> מכלים ושל</w:t>
      </w:r>
      <w:r w:rsidRPr="007E5741">
        <w:rPr>
          <w:rFonts w:eastAsia="Calibri"/>
          <w:b/>
          <w:bCs/>
          <w:rtl/>
        </w:rPr>
        <w:t xml:space="preserve"> מכל נייח</w:t>
      </w:r>
      <w:r w:rsidRPr="007E5741">
        <w:rPr>
          <w:rFonts w:eastAsia="Calibri" w:hint="cs"/>
          <w:b/>
          <w:bCs/>
          <w:rtl/>
        </w:rPr>
        <w:t xml:space="preserve">, בעיקר </w:t>
      </w:r>
      <w:r w:rsidRPr="007E5741">
        <w:rPr>
          <w:rFonts w:ascii="David" w:eastAsia="Calibri" w:hAnsi="David" w:hint="cs"/>
          <w:b/>
          <w:bCs/>
          <w:rtl/>
        </w:rPr>
        <w:t>מספקים גדולים אל ספקים גדולים אחרים.</w:t>
      </w:r>
      <w:r w:rsidRPr="007E5741">
        <w:rPr>
          <w:rFonts w:eastAsia="Calibri"/>
          <w:b/>
          <w:bCs/>
          <w:rtl/>
        </w:rPr>
        <w:t xml:space="preserve"> </w:t>
      </w:r>
    </w:p>
    <w:p w:rsidR="007E5741" w:rsidRPr="007E5741" w:rsidP="002F4530">
      <w:pPr>
        <w:keepNext/>
        <w:keepLines/>
        <w:spacing w:line="269" w:lineRule="auto"/>
        <w:ind w:left="-567"/>
        <w:rPr>
          <w:rFonts w:eastAsia="Calibri"/>
          <w:szCs w:val="20"/>
          <w:rtl/>
        </w:rPr>
      </w:pPr>
    </w:p>
    <w:p w:rsidR="007E5741" w:rsidRPr="007E5741" w:rsidP="002F4530">
      <w:pPr>
        <w:spacing w:line="269" w:lineRule="auto"/>
        <w:rPr>
          <w:rFonts w:eastAsia="Calibri"/>
          <w:b/>
          <w:bCs/>
          <w:u w:val="single"/>
          <w:rtl/>
        </w:rPr>
      </w:pPr>
      <w:r w:rsidRPr="007E5741">
        <w:rPr>
          <w:rFonts w:eastAsia="Calibri" w:hint="cs"/>
          <w:b/>
          <w:bCs/>
          <w:rtl/>
        </w:rPr>
        <w:t>על משרד האנרגיה ורשות התחרות לבחון את סוגיות הליבה במשק הגפ"ם שעלו בדוח זה בנושאי הריכוזיות במקטע השיווק, התחרותיות ופערי מחירים בין ספקים, בין מגזרים ובין רשויות מקומיות. נוסף על כך, על משרד האנרגיה להגביר את מנגנוני הפיקוח על פעילות ספקי גז הפועלים ללא רישיון.</w:t>
      </w:r>
    </w:p>
    <w:p w:rsidR="007E5741" w:rsidRPr="007E5741" w:rsidP="002F4530">
      <w:pPr>
        <w:keepNext/>
        <w:keepLines/>
        <w:spacing w:line="269" w:lineRule="auto"/>
        <w:ind w:left="-567"/>
        <w:rPr>
          <w:rFonts w:eastAsia="Calibri"/>
          <w:szCs w:val="20"/>
          <w:rtl/>
        </w:rPr>
      </w:pPr>
    </w:p>
    <w:p w:rsidR="00F954E4" w:rsidP="002F4530">
      <w:pPr>
        <w:spacing w:after="200" w:line="276" w:lineRule="auto"/>
        <w:rPr>
          <w:rFonts w:ascii="Calibri" w:hAnsi="Calibri" w:cs="Calibri"/>
          <w:b/>
          <w:bCs/>
          <w:color w:val="002060"/>
          <w:sz w:val="80"/>
          <w:szCs w:val="80"/>
        </w:rPr>
      </w:pPr>
      <w:r w:rsidRPr="007E5741">
        <w:rPr>
          <w:rFonts w:ascii="David" w:eastAsia="Calibri" w:hAnsi="David" w:hint="cs"/>
          <w:b/>
          <w:bCs/>
          <w:rtl/>
        </w:rPr>
        <w:t xml:space="preserve">בימי מלחמת חרבות ברזל ומבצע עם כלביא </w:t>
      </w:r>
      <w:r w:rsidRPr="007E5741">
        <w:rPr>
          <w:rFonts w:ascii="David" w:eastAsia="Calibri" w:hAnsi="David" w:hint="eastAsia"/>
          <w:b/>
          <w:bCs/>
          <w:rtl/>
        </w:rPr>
        <w:t>התחדדו</w:t>
      </w:r>
      <w:r w:rsidRPr="007E5741">
        <w:rPr>
          <w:rFonts w:ascii="David" w:eastAsia="Calibri" w:hAnsi="David"/>
          <w:b/>
          <w:bCs/>
          <w:rtl/>
        </w:rPr>
        <w:t xml:space="preserve"> </w:t>
      </w:r>
      <w:r w:rsidRPr="007E5741">
        <w:rPr>
          <w:rFonts w:ascii="David" w:eastAsia="Calibri" w:hAnsi="David" w:hint="eastAsia"/>
          <w:b/>
          <w:bCs/>
          <w:rtl/>
        </w:rPr>
        <w:t>הסיכונים</w:t>
      </w:r>
      <w:r w:rsidRPr="007E5741">
        <w:rPr>
          <w:rFonts w:ascii="David" w:eastAsia="Calibri" w:hAnsi="David"/>
          <w:b/>
          <w:bCs/>
          <w:rtl/>
        </w:rPr>
        <w:t xml:space="preserve"> </w:t>
      </w:r>
      <w:r w:rsidRPr="007E5741">
        <w:rPr>
          <w:rFonts w:ascii="David" w:eastAsia="Calibri" w:hAnsi="David" w:hint="eastAsia"/>
          <w:b/>
          <w:bCs/>
          <w:rtl/>
        </w:rPr>
        <w:t>הסביבתיים</w:t>
      </w:r>
      <w:r w:rsidRPr="007E5741">
        <w:rPr>
          <w:rFonts w:ascii="David" w:eastAsia="Calibri" w:hAnsi="David"/>
          <w:b/>
          <w:bCs/>
          <w:rtl/>
        </w:rPr>
        <w:t xml:space="preserve"> </w:t>
      </w:r>
      <w:r w:rsidRPr="007E5741">
        <w:rPr>
          <w:rFonts w:ascii="David" w:eastAsia="Calibri" w:hAnsi="David" w:hint="eastAsia"/>
          <w:b/>
          <w:bCs/>
          <w:rtl/>
        </w:rPr>
        <w:t>לצד</w:t>
      </w:r>
      <w:r w:rsidRPr="007E5741">
        <w:rPr>
          <w:rFonts w:eastAsia="Calibri"/>
          <w:rtl/>
        </w:rPr>
        <w:t xml:space="preserve"> </w:t>
      </w:r>
      <w:r w:rsidRPr="007E5741">
        <w:rPr>
          <w:rFonts w:ascii="David" w:eastAsia="Calibri" w:hAnsi="David"/>
          <w:b/>
          <w:bCs/>
          <w:rtl/>
        </w:rPr>
        <w:t>החשיבות של אסדרת פעילות משק הגפ"ם</w:t>
      </w:r>
      <w:r w:rsidRPr="007E5741">
        <w:rPr>
          <w:rFonts w:ascii="David" w:eastAsia="Calibri" w:hAnsi="David" w:hint="cs"/>
          <w:b/>
          <w:bCs/>
          <w:rtl/>
        </w:rPr>
        <w:t xml:space="preserve"> </w:t>
      </w:r>
      <w:r w:rsidRPr="007E5741">
        <w:rPr>
          <w:rFonts w:eastAsia="Calibri" w:hint="cs"/>
          <w:b/>
          <w:bCs/>
          <w:rtl/>
        </w:rPr>
        <w:t>על שר האנרגיה, עם שר האוצר והמועצה הלאומית לכלכלה</w:t>
      </w:r>
      <w:r w:rsidRPr="007E5741">
        <w:rPr>
          <w:rFonts w:ascii="David" w:eastAsia="Calibri" w:hAnsi="David" w:hint="cs"/>
          <w:b/>
          <w:bCs/>
          <w:rtl/>
        </w:rPr>
        <w:t xml:space="preserve"> למצוא את הדרכים שיבטיחו את מתן</w:t>
      </w:r>
      <w:r w:rsidRPr="007E5741">
        <w:rPr>
          <w:rFonts w:ascii="David" w:eastAsia="Calibri" w:hAnsi="David"/>
          <w:b/>
          <w:bCs/>
          <w:rtl/>
        </w:rPr>
        <w:t xml:space="preserve"> המענה הנדרש לסיכונים הסביבתיים ולאספקת הצרכים האנרגטיים של</w:t>
      </w:r>
      <w:r w:rsidRPr="007E5741">
        <w:rPr>
          <w:rFonts w:ascii="David" w:eastAsia="Calibri" w:hAnsi="David" w:hint="cs"/>
          <w:b/>
          <w:bCs/>
          <w:rtl/>
        </w:rPr>
        <w:t xml:space="preserve"> מדינת ישראל</w:t>
      </w:r>
      <w:r w:rsidRPr="007E5741">
        <w:rPr>
          <w:rFonts w:ascii="David" w:eastAsia="Calibri" w:hAnsi="David"/>
          <w:b/>
          <w:bCs/>
          <w:rtl/>
        </w:rPr>
        <w:t xml:space="preserve"> </w:t>
      </w:r>
      <w:r w:rsidRPr="007E5741">
        <w:rPr>
          <w:rFonts w:ascii="David" w:eastAsia="Calibri" w:hAnsi="David" w:hint="cs"/>
          <w:b/>
          <w:bCs/>
          <w:rtl/>
        </w:rPr>
        <w:t>על בסיס הלקחים ממלחמת חרבות ברזל ומבצע עם כלביא.</w:t>
      </w:r>
    </w:p>
    <w:sectPr w:rsidSect="006C2C6D">
      <w:headerReference w:type="first" r:id="rId59"/>
      <w:pgSz w:w="11906" w:h="16838"/>
      <w:pgMar w:top="1701" w:right="1985" w:bottom="1588" w:left="1701" w:header="709" w:footer="709" w:gutter="0"/>
      <w:cols w:space="708"/>
      <w:titlePg/>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EA9">
    <w:pPr>
      <w:pStyle w:val="Footer"/>
    </w:pPr>
    <w:r>
      <w:rPr>
        <w:noProof/>
      </w:rPr>
      <mc:AlternateContent>
        <mc:Choice Requires="wps">
          <w:drawing>
            <wp:anchor distT="0" distB="0" distL="114300" distR="114300" simplePos="0" relativeHeight="251658240" behindDoc="0" locked="0" layoutInCell="1" allowOverlap="1">
              <wp:simplePos x="0" y="0"/>
              <wp:positionH relativeFrom="page">
                <wp:posOffset>2186305</wp:posOffset>
              </wp:positionH>
              <wp:positionV relativeFrom="paragraph">
                <wp:posOffset>-1106170</wp:posOffset>
              </wp:positionV>
              <wp:extent cx="2959100" cy="273050"/>
              <wp:effectExtent l="0" t="0" r="0" b="0"/>
              <wp:wrapNone/>
              <wp:docPr id="10" name="תיבת טקסט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59100" cy="273050"/>
                      </a:xfrm>
                      <a:prstGeom prst="rect">
                        <a:avLst/>
                      </a:prstGeom>
                      <a:noFill/>
                      <a:ln w="6350">
                        <a:noFill/>
                      </a:ln>
                    </wps:spPr>
                    <wps:txbx>
                      <w:txbxContent>
                        <w:p w:rsidR="00A23EA9" w:rsidRPr="00A222E2" w:rsidP="00A222E2">
                          <w:pPr>
                            <w:jc w:val="center"/>
                            <w:rPr>
                              <w:rFonts w:ascii="Calibri" w:hAnsi="Calibri" w:cs="Calibri"/>
                              <w:color w:val="FFFFFF" w:themeColor="background1"/>
                              <w:spacing w:val="8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anchor>
          </w:drawing>
        </mc:Choice>
        <mc:Fallback>
          <w:pict>
            <v:shapetype id="_x0000_t202" coordsize="21600,21600" o:spt="202" path="m,l,21600r21600,l21600,xe">
              <v:stroke joinstyle="miter"/>
              <v:path gradientshapeok="t" o:connecttype="rect"/>
            </v:shapetype>
            <v:shape id="תיבת טקסט 10" o:spid="_x0000_s2063" type="#_x0000_t202" style="width:233pt;height:21.5pt;margin-top:-87.1pt;margin-left:172.15pt;mso-position-horizontal-relative:page;mso-wrap-distance-bottom:0;mso-wrap-distance-left:9pt;mso-wrap-distance-right:9pt;mso-wrap-distance-top:0;mso-wrap-style:square;position:absolute;visibility:visible;v-text-anchor:top;z-index:251659264" filled="f" stroked="f" strokeweight="0.5pt">
              <v:textbox>
                <w:txbxContent>
                  <w:p w:rsidR="00A23EA9" w:rsidRPr="00A222E2" w:rsidP="00A222E2">
                    <w:pPr>
                      <w:jc w:val="center"/>
                      <w:rPr>
                        <w:rFonts w:ascii="Calibri" w:hAnsi="Calibri" w:cs="Calibri"/>
                        <w:color w:val="FFFFFF" w:themeColor="background1"/>
                        <w:spacing w:val="80"/>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A23EA9" w:rsidP="00C23CC9">
      <w:pPr>
        <w:spacing w:line="240" w:lineRule="auto"/>
      </w:pPr>
      <w:r>
        <w:separator/>
      </w:r>
    </w:p>
  </w:footnote>
  <w:footnote w:type="continuationSeparator" w:id="1">
    <w:p w:rsidR="00A23EA9" w:rsidP="00C23CC9">
      <w:pPr>
        <w:spacing w:line="240" w:lineRule="auto"/>
      </w:pPr>
      <w:r>
        <w:continuationSeparator/>
      </w:r>
    </w:p>
  </w:footnote>
  <w:footnote w:id="2">
    <w:p w:rsidR="00A23EA9" w:rsidP="00165BE9">
      <w:pPr>
        <w:pStyle w:val="FootnoteText"/>
      </w:pPr>
      <w:r>
        <w:rPr>
          <w:rStyle w:val="FootnoteReference1"/>
        </w:rPr>
        <w:footnoteRef/>
      </w:r>
      <w:r>
        <w:rPr>
          <w:rtl/>
        </w:rPr>
        <w:t xml:space="preserve"> </w:t>
      </w:r>
      <w:r>
        <w:rPr>
          <w:rtl/>
        </w:rPr>
        <w:tab/>
      </w:r>
      <w:r>
        <w:rPr>
          <w:rFonts w:hint="cs"/>
          <w:rtl/>
        </w:rPr>
        <w:t>בעבר הופעלו שני בתי הזיקוק על ידי חברה ממשלתית אחת, ובהתאם להחלטת ממשלה היא פוצלה והופרטה בשנים 2006 - 2007.</w:t>
      </w:r>
    </w:p>
  </w:footnote>
  <w:footnote w:id="3">
    <w:p w:rsidR="00A23EA9" w:rsidP="00165BE9">
      <w:pPr>
        <w:pStyle w:val="FootnoteText"/>
      </w:pPr>
      <w:r>
        <w:rPr>
          <w:rStyle w:val="FootnoteReference1"/>
        </w:rPr>
        <w:footnoteRef/>
      </w:r>
      <w:r>
        <w:rPr>
          <w:rtl/>
        </w:rPr>
        <w:t xml:space="preserve"> </w:t>
      </w:r>
      <w:r>
        <w:rPr>
          <w:rtl/>
        </w:rPr>
        <w:tab/>
      </w:r>
      <w:r w:rsidRPr="00F40642">
        <w:rPr>
          <w:rtl/>
        </w:rPr>
        <w:t>קצא״א הי</w:t>
      </w:r>
      <w:r>
        <w:rPr>
          <w:rFonts w:hint="cs"/>
          <w:rtl/>
        </w:rPr>
        <w:t>א</w:t>
      </w:r>
      <w:r w:rsidRPr="00F40642">
        <w:rPr>
          <w:rtl/>
        </w:rPr>
        <w:t xml:space="preserve"> חברת תשתית אנרגיה ותיקה </w:t>
      </w:r>
      <w:r>
        <w:rPr>
          <w:rFonts w:hint="cs"/>
          <w:rtl/>
        </w:rPr>
        <w:t>שמ</w:t>
      </w:r>
      <w:r w:rsidRPr="00F40642">
        <w:rPr>
          <w:rtl/>
        </w:rPr>
        <w:t>מרץ 2020 מוגדרת חברה ממשלתית לפי חוק החברות הממשלתיות, התשל"ה-1975</w:t>
      </w:r>
      <w:r>
        <w:rPr>
          <w:rFonts w:hint="cs"/>
          <w:rtl/>
        </w:rPr>
        <w:t xml:space="preserve"> (להלן - חוק החברות הממשלתיות)</w:t>
      </w:r>
      <w:r w:rsidRPr="00F40642">
        <w:rPr>
          <w:rtl/>
        </w:rPr>
        <w:t>.</w:t>
      </w:r>
      <w:r>
        <w:rPr>
          <w:rFonts w:hint="cs"/>
          <w:rtl/>
        </w:rPr>
        <w:t xml:space="preserve"> </w:t>
      </w:r>
      <w:r w:rsidRPr="00F40642">
        <w:rPr>
          <w:rtl/>
        </w:rPr>
        <w:t>החברה פועלת ב</w:t>
      </w:r>
      <w:r>
        <w:rPr>
          <w:rFonts w:hint="cs"/>
          <w:rtl/>
        </w:rPr>
        <w:t>כמה</w:t>
      </w:r>
      <w:r w:rsidRPr="00F40642">
        <w:rPr>
          <w:rtl/>
        </w:rPr>
        <w:t xml:space="preserve"> </w:t>
      </w:r>
      <w:r>
        <w:rPr>
          <w:rFonts w:hint="cs"/>
          <w:rtl/>
        </w:rPr>
        <w:t>תחומי</w:t>
      </w:r>
      <w:r w:rsidRPr="00F40642">
        <w:rPr>
          <w:rtl/>
        </w:rPr>
        <w:t xml:space="preserve"> פעילות </w:t>
      </w:r>
      <w:r>
        <w:rPr>
          <w:rFonts w:hint="cs"/>
          <w:rtl/>
        </w:rPr>
        <w:t>עיקריים</w:t>
      </w:r>
      <w:r w:rsidRPr="00F40642">
        <w:rPr>
          <w:rtl/>
        </w:rPr>
        <w:t xml:space="preserve"> ב</w:t>
      </w:r>
      <w:r>
        <w:rPr>
          <w:rFonts w:hint="cs"/>
          <w:rtl/>
        </w:rPr>
        <w:t>שדה</w:t>
      </w:r>
      <w:r w:rsidRPr="00F40642">
        <w:rPr>
          <w:rtl/>
        </w:rPr>
        <w:t xml:space="preserve"> האנרגיה וב</w:t>
      </w:r>
      <w:r>
        <w:rPr>
          <w:rFonts w:hint="cs"/>
          <w:rtl/>
        </w:rPr>
        <w:t>כלל זה</w:t>
      </w:r>
      <w:r w:rsidRPr="00F40642">
        <w:rPr>
          <w:rtl/>
        </w:rPr>
        <w:t xml:space="preserve"> שירותי פריקה, ניפוק, אחסון ומילוי </w:t>
      </w:r>
      <w:r>
        <w:rPr>
          <w:rFonts w:hint="cs"/>
          <w:rtl/>
        </w:rPr>
        <w:t xml:space="preserve">של </w:t>
      </w:r>
      <w:r w:rsidRPr="00F40642">
        <w:rPr>
          <w:rtl/>
        </w:rPr>
        <w:t>מכלים מיטלטלים של גפ"ם.</w:t>
      </w:r>
    </w:p>
  </w:footnote>
  <w:footnote w:id="4">
    <w:p w:rsidR="00A23EA9" w:rsidRPr="00DB4075" w:rsidP="00165BE9">
      <w:pPr>
        <w:pStyle w:val="FootnoteText"/>
        <w:rPr>
          <w:rtl/>
        </w:rPr>
      </w:pPr>
      <w:r w:rsidRPr="00DB4075">
        <w:rPr>
          <w:rStyle w:val="FootnoteReference1"/>
        </w:rPr>
        <w:footnoteRef/>
      </w:r>
      <w:r>
        <w:rPr>
          <w:rFonts w:hint="cs"/>
          <w:rtl/>
        </w:rPr>
        <w:t xml:space="preserve"> </w:t>
      </w:r>
      <w:r>
        <w:rPr>
          <w:rtl/>
        </w:rPr>
        <w:tab/>
      </w:r>
      <w:r w:rsidRPr="00DB4075">
        <w:rPr>
          <w:rFonts w:hint="cs"/>
          <w:rtl/>
        </w:rPr>
        <w:t>"ספק גז" הוא מי שעוסק במכירה או בשיווק של גז, ובלבד שהוא בעל רישיון לפי חוק הגז, למעט בית זיקוק.</w:t>
      </w:r>
    </w:p>
  </w:footnote>
  <w:footnote w:id="5">
    <w:p w:rsidR="00A23EA9" w:rsidP="00165BE9">
      <w:pPr>
        <w:pStyle w:val="FootnoteText"/>
      </w:pPr>
      <w:r>
        <w:rPr>
          <w:rStyle w:val="FootnoteReference1"/>
        </w:rPr>
        <w:footnoteRef/>
      </w:r>
      <w:r>
        <w:rPr>
          <w:rtl/>
        </w:rPr>
        <w:t xml:space="preserve"> </w:t>
      </w:r>
      <w:r>
        <w:rPr>
          <w:rtl/>
        </w:rPr>
        <w:tab/>
      </w:r>
      <w:r>
        <w:rPr>
          <w:rFonts w:hint="cs"/>
          <w:rtl/>
        </w:rPr>
        <w:t>ובהם ארבעה ספקים גדולים: פזגז בע"מ, החברה האמריקאית ישראלית לגז בע"מ (אמישראגז), אלקטרה פאוור סופרגז בע"מ, דורגז החדשה בע"מ.</w:t>
      </w:r>
    </w:p>
  </w:footnote>
  <w:footnote w:id="6">
    <w:p w:rsidR="00A23EA9" w:rsidRPr="009F641D" w:rsidP="00165BE9">
      <w:pPr>
        <w:pStyle w:val="FootnoteText"/>
        <w:rPr>
          <w:rtl/>
        </w:rPr>
      </w:pPr>
      <w:r>
        <w:rPr>
          <w:rStyle w:val="FootnoteReference1"/>
        </w:rPr>
        <w:footnoteRef/>
      </w:r>
      <w:r>
        <w:rPr>
          <w:rtl/>
        </w:rPr>
        <w:t xml:space="preserve"> </w:t>
      </w:r>
      <w:r>
        <w:rPr>
          <w:rtl/>
        </w:rPr>
        <w:tab/>
        <w:t xml:space="preserve">מערכת אספקה המבוססת על </w:t>
      </w:r>
      <w:r w:rsidRPr="0065416D">
        <w:rPr>
          <w:rStyle w:val="Strong"/>
          <w:rtl/>
        </w:rPr>
        <w:t xml:space="preserve">מכל לחץ קבוע </w:t>
      </w:r>
      <w:r>
        <w:rPr>
          <w:rFonts w:hint="cs"/>
          <w:rtl/>
        </w:rPr>
        <w:t>בנפח 500 - 50,000 ליטר</w:t>
      </w:r>
      <w:r>
        <w:rPr>
          <w:rStyle w:val="Strong"/>
          <w:rFonts w:hint="cs"/>
          <w:rtl/>
        </w:rPr>
        <w:t>,</w:t>
      </w:r>
      <w:r w:rsidRPr="0065416D">
        <w:rPr>
          <w:rStyle w:val="Strong"/>
          <w:rtl/>
        </w:rPr>
        <w:t xml:space="preserve"> המותקן באתר הצרכן</w:t>
      </w:r>
      <w:r>
        <w:rPr>
          <w:rtl/>
        </w:rPr>
        <w:t xml:space="preserve"> (או במרכזי</w:t>
      </w:r>
      <w:r>
        <w:rPr>
          <w:rFonts w:hint="cs"/>
          <w:rtl/>
        </w:rPr>
        <w:t>יה</w:t>
      </w:r>
      <w:r>
        <w:rPr>
          <w:rtl/>
        </w:rPr>
        <w:t xml:space="preserve"> שכונתית) ומחובר בצנרת קבועה למערכת החלוקה הפנימית</w:t>
      </w:r>
      <w:r>
        <w:rPr>
          <w:rFonts w:hint="cs"/>
          <w:rtl/>
        </w:rPr>
        <w:t>.</w:t>
      </w:r>
    </w:p>
  </w:footnote>
  <w:footnote w:id="7">
    <w:p w:rsidR="00A23EA9" w:rsidP="00165BE9">
      <w:pPr>
        <w:pStyle w:val="FootnoteText"/>
      </w:pPr>
      <w:r>
        <w:rPr>
          <w:rStyle w:val="FootnoteReference1"/>
        </w:rPr>
        <w:footnoteRef/>
      </w:r>
      <w:r>
        <w:rPr>
          <w:rtl/>
        </w:rPr>
        <w:t xml:space="preserve"> </w:t>
      </w:r>
      <w:r>
        <w:rPr>
          <w:rtl/>
        </w:rPr>
        <w:tab/>
        <w:t xml:space="preserve">מערכת </w:t>
      </w:r>
      <w:r w:rsidRPr="009B49EA">
        <w:rPr>
          <w:rtl/>
        </w:rPr>
        <w:t>המורכבת מ</w:t>
      </w:r>
      <w:r>
        <w:rPr>
          <w:rStyle w:val="Strong"/>
          <w:rFonts w:hint="cs"/>
          <w:rtl/>
        </w:rPr>
        <w:t>כמה</w:t>
      </w:r>
      <w:r w:rsidRPr="0065416D">
        <w:rPr>
          <w:rStyle w:val="Strong"/>
          <w:rtl/>
        </w:rPr>
        <w:t xml:space="preserve"> מכלי גפ״</w:t>
      </w:r>
      <w:r>
        <w:rPr>
          <w:rStyle w:val="Strong"/>
          <w:rFonts w:hint="cs"/>
          <w:rtl/>
        </w:rPr>
        <w:t>ם</w:t>
      </w:r>
      <w:r w:rsidRPr="0065416D">
        <w:rPr>
          <w:rStyle w:val="Strong"/>
          <w:rtl/>
        </w:rPr>
        <w:t xml:space="preserve"> ניידים (בד</w:t>
      </w:r>
      <w:r>
        <w:rPr>
          <w:rStyle w:val="Strong"/>
          <w:rFonts w:hint="cs"/>
          <w:rtl/>
        </w:rPr>
        <w:t xml:space="preserve">רך </w:t>
      </w:r>
      <w:r w:rsidRPr="0065416D">
        <w:rPr>
          <w:rStyle w:val="Strong"/>
          <w:rtl/>
        </w:rPr>
        <w:t>כ</w:t>
      </w:r>
      <w:r>
        <w:rPr>
          <w:rStyle w:val="Strong"/>
          <w:rFonts w:hint="cs"/>
          <w:rtl/>
        </w:rPr>
        <w:t xml:space="preserve">לל במשקל </w:t>
      </w:r>
      <w:r w:rsidRPr="0065416D">
        <w:rPr>
          <w:rStyle w:val="Strong"/>
          <w:rtl/>
        </w:rPr>
        <w:t>48</w:t>
      </w:r>
      <w:r>
        <w:rPr>
          <w:rStyle w:val="Strong"/>
          <w:rtl/>
        </w:rPr>
        <w:t xml:space="preserve"> </w:t>
      </w:r>
      <w:r w:rsidRPr="0065416D">
        <w:rPr>
          <w:rStyle w:val="Strong"/>
          <w:rtl/>
        </w:rPr>
        <w:t>ק״ג)</w:t>
      </w:r>
      <w:r w:rsidRPr="0065416D">
        <w:rPr>
          <w:b/>
          <w:rtl/>
        </w:rPr>
        <w:t xml:space="preserve"> המחוברים</w:t>
      </w:r>
      <w:r>
        <w:rPr>
          <w:rtl/>
        </w:rPr>
        <w:t xml:space="preserve"> יחד באמצעות מסגרת וצנרת משותפת, ומתפקדים כמקור אספקה אחד</w:t>
      </w:r>
      <w:r>
        <w:t>.</w:t>
      </w:r>
    </w:p>
  </w:footnote>
  <w:footnote w:id="8">
    <w:p w:rsidR="00A23EA9" w:rsidP="00165BE9">
      <w:pPr>
        <w:pStyle w:val="FootnoteText"/>
        <w:rPr>
          <w:rtl/>
        </w:rPr>
      </w:pPr>
      <w:r>
        <w:rPr>
          <w:rStyle w:val="FootnoteReference1"/>
        </w:rPr>
        <w:footnoteRef/>
      </w:r>
      <w:r>
        <w:rPr>
          <w:rtl/>
        </w:rPr>
        <w:t xml:space="preserve"> </w:t>
      </w:r>
      <w:r>
        <w:rPr>
          <w:rtl/>
        </w:rPr>
        <w:tab/>
      </w:r>
      <w:r>
        <w:rPr>
          <w:rFonts w:hint="cs"/>
          <w:rtl/>
        </w:rPr>
        <w:t xml:space="preserve">חברת </w:t>
      </w:r>
      <w:r>
        <w:t>Vitol</w:t>
      </w:r>
      <w:r>
        <w:rPr>
          <w:rFonts w:hint="cs"/>
          <w:rtl/>
        </w:rPr>
        <w:t>.</w:t>
      </w:r>
    </w:p>
  </w:footnote>
  <w:footnote w:id="9">
    <w:p w:rsidR="00A23EA9" w:rsidP="00165BE9">
      <w:pPr>
        <w:pStyle w:val="FootnoteText"/>
        <w:rPr>
          <w:rtl/>
        </w:rPr>
      </w:pPr>
      <w:r>
        <w:rPr>
          <w:rStyle w:val="FootnoteReference1"/>
        </w:rPr>
        <w:footnoteRef/>
      </w:r>
      <w:r>
        <w:rPr>
          <w:rtl/>
        </w:rPr>
        <w:t xml:space="preserve"> </w:t>
      </w:r>
      <w:r>
        <w:rPr>
          <w:rtl/>
        </w:rPr>
        <w:tab/>
      </w:r>
      <w:r w:rsidRPr="00D06654">
        <w:rPr>
          <w:rtl/>
        </w:rPr>
        <w:t xml:space="preserve">הריח החד של אתיל מרקפטן משמש אמצעי זיהוי ראשוני </w:t>
      </w:r>
      <w:r>
        <w:rPr>
          <w:rFonts w:hint="cs"/>
          <w:rtl/>
        </w:rPr>
        <w:t xml:space="preserve">למניעת </w:t>
      </w:r>
      <w:r w:rsidRPr="00D06654">
        <w:rPr>
          <w:rtl/>
        </w:rPr>
        <w:t>תקלות ולפעול</w:t>
      </w:r>
      <w:r>
        <w:rPr>
          <w:rFonts w:hint="cs"/>
          <w:rtl/>
        </w:rPr>
        <w:t>ה</w:t>
      </w:r>
      <w:r w:rsidRPr="00D06654">
        <w:rPr>
          <w:rtl/>
        </w:rPr>
        <w:t xml:space="preserve"> </w:t>
      </w:r>
      <w:r w:rsidRPr="00D06654">
        <w:rPr>
          <w:rFonts w:hint="cs"/>
          <w:rtl/>
        </w:rPr>
        <w:t>מ</w:t>
      </w:r>
      <w:r>
        <w:rPr>
          <w:rFonts w:hint="cs"/>
          <w:rtl/>
        </w:rPr>
        <w:t>י</w:t>
      </w:r>
      <w:r w:rsidRPr="00D06654">
        <w:rPr>
          <w:rFonts w:hint="cs"/>
          <w:rtl/>
        </w:rPr>
        <w:t>די</w:t>
      </w:r>
      <w:r>
        <w:rPr>
          <w:rFonts w:hint="cs"/>
          <w:rtl/>
        </w:rPr>
        <w:t>ת</w:t>
      </w:r>
      <w:r w:rsidRPr="00D06654">
        <w:rPr>
          <w:rtl/>
        </w:rPr>
        <w:t xml:space="preserve"> במקרה של דליפת גז</w:t>
      </w:r>
      <w:r>
        <w:rPr>
          <w:rFonts w:hint="cs"/>
          <w:rtl/>
        </w:rPr>
        <w:t>.</w:t>
      </w:r>
    </w:p>
  </w:footnote>
  <w:footnote w:id="10">
    <w:p w:rsidR="00A23EA9" w:rsidRPr="005A739F" w:rsidP="00165BE9">
      <w:pPr>
        <w:pStyle w:val="FootnoteText"/>
        <w:rPr>
          <w:rtl/>
        </w:rPr>
      </w:pPr>
      <w:r>
        <w:rPr>
          <w:rStyle w:val="FootnoteReference1"/>
        </w:rPr>
        <w:footnoteRef/>
      </w:r>
      <w:r>
        <w:rPr>
          <w:rtl/>
        </w:rPr>
        <w:t xml:space="preserve"> </w:t>
      </w:r>
      <w:r>
        <w:rPr>
          <w:rtl/>
        </w:rPr>
        <w:tab/>
      </w:r>
      <w:r>
        <w:rPr>
          <w:rFonts w:hint="cs"/>
          <w:rtl/>
        </w:rPr>
        <w:t>מתוך אתר משרד האנרגיה.</w:t>
      </w:r>
    </w:p>
  </w:footnote>
  <w:footnote w:id="11">
    <w:p w:rsidR="00A23EA9" w:rsidP="00165BE9">
      <w:pPr>
        <w:pStyle w:val="FootnoteText"/>
      </w:pPr>
      <w:r>
        <w:rPr>
          <w:rStyle w:val="FootnoteReference1"/>
        </w:rPr>
        <w:footnoteRef/>
      </w:r>
      <w:r>
        <w:rPr>
          <w:rtl/>
        </w:rPr>
        <w:t xml:space="preserve"> </w:t>
      </w:r>
      <w:r>
        <w:rPr>
          <w:rtl/>
        </w:rPr>
        <w:tab/>
        <w:t>ועדת הפיקוח על המחירים הי</w:t>
      </w:r>
      <w:r>
        <w:rPr>
          <w:rFonts w:hint="cs"/>
          <w:rtl/>
        </w:rPr>
        <w:t>א</w:t>
      </w:r>
      <w:r>
        <w:rPr>
          <w:rtl/>
        </w:rPr>
        <w:t xml:space="preserve"> ועדה בין</w:t>
      </w:r>
      <w:r>
        <w:rPr>
          <w:rFonts w:hint="cs"/>
          <w:rtl/>
        </w:rPr>
        <w:t>-</w:t>
      </w:r>
      <w:r>
        <w:rPr>
          <w:rtl/>
        </w:rPr>
        <w:t xml:space="preserve">משרדית </w:t>
      </w:r>
      <w:r>
        <w:rPr>
          <w:rFonts w:hint="cs"/>
          <w:rtl/>
        </w:rPr>
        <w:t>ה</w:t>
      </w:r>
      <w:r>
        <w:rPr>
          <w:rtl/>
        </w:rPr>
        <w:t>פועלת מכוח חוק פיקוח על מחירי מצרכים ושירותים, התשנ"ו-1996</w:t>
      </w:r>
      <w:r>
        <w:rPr>
          <w:rFonts w:ascii="Arial" w:hAnsi="Arial" w:cs="Arial" w:hint="cs"/>
          <w:rtl/>
        </w:rPr>
        <w:t>​</w:t>
      </w:r>
      <w:r>
        <w:rPr>
          <w:rtl/>
        </w:rPr>
        <w:t>.</w:t>
      </w:r>
      <w:r>
        <w:rPr>
          <w:rFonts w:hint="cs"/>
          <w:rtl/>
        </w:rPr>
        <w:t xml:space="preserve"> </w:t>
      </w:r>
      <w:r>
        <w:rPr>
          <w:rtl/>
        </w:rPr>
        <w:t>בוועדה ארבעה חברים</w:t>
      </w:r>
      <w:r>
        <w:rPr>
          <w:rFonts w:hint="cs"/>
          <w:rtl/>
        </w:rPr>
        <w:t>:</w:t>
      </w:r>
      <w:r>
        <w:rPr>
          <w:rtl/>
        </w:rPr>
        <w:t xml:space="preserve"> </w:t>
      </w:r>
      <w:r>
        <w:rPr>
          <w:rFonts w:hint="cs"/>
          <w:rtl/>
        </w:rPr>
        <w:t>שניים מ</w:t>
      </w:r>
      <w:r>
        <w:rPr>
          <w:rtl/>
        </w:rPr>
        <w:t>משרד האוצר (כולל יו"ר הוועדה)</w:t>
      </w:r>
      <w:r>
        <w:rPr>
          <w:rFonts w:hint="cs"/>
          <w:rtl/>
        </w:rPr>
        <w:t xml:space="preserve"> ושניים מהמ</w:t>
      </w:r>
      <w:r>
        <w:rPr>
          <w:rtl/>
        </w:rPr>
        <w:t>שרד הממשלתי הרל</w:t>
      </w:r>
      <w:r>
        <w:rPr>
          <w:rFonts w:hint="cs"/>
          <w:rtl/>
        </w:rPr>
        <w:t>וו</w:t>
      </w:r>
      <w:r>
        <w:rPr>
          <w:rtl/>
        </w:rPr>
        <w:t xml:space="preserve">נטי לתחום הפיקוח (אחד מהם </w:t>
      </w:r>
      <w:r>
        <w:rPr>
          <w:rFonts w:hint="cs"/>
          <w:rtl/>
        </w:rPr>
        <w:t>הוא</w:t>
      </w:r>
      <w:r>
        <w:rPr>
          <w:rtl/>
        </w:rPr>
        <w:t xml:space="preserve"> המפקח על המחירים של אותו ענף)</w:t>
      </w:r>
      <w:r>
        <w:rPr>
          <w:rFonts w:hint="cs"/>
          <w:rtl/>
        </w:rPr>
        <w:t>.</w:t>
      </w:r>
    </w:p>
  </w:footnote>
  <w:footnote w:id="12">
    <w:p w:rsidR="00A23EA9" w:rsidP="00165BE9">
      <w:pPr>
        <w:pStyle w:val="FootnoteText"/>
      </w:pPr>
      <w:r>
        <w:rPr>
          <w:rStyle w:val="FootnoteReference1"/>
        </w:rPr>
        <w:footnoteRef/>
      </w:r>
      <w:r>
        <w:rPr>
          <w:rtl/>
        </w:rPr>
        <w:t xml:space="preserve"> </w:t>
      </w:r>
      <w:r>
        <w:rPr>
          <w:rtl/>
        </w:rPr>
        <w:tab/>
        <w:t>צו פיקוח על מחירי מצרכים ושירותים (מחיר מרבי לגפ"ם בשער בית זיקוק),</w:t>
      </w:r>
      <w:r>
        <w:rPr>
          <w:rFonts w:hint="cs"/>
          <w:rtl/>
        </w:rPr>
        <w:t xml:space="preserve"> ה</w:t>
      </w:r>
      <w:r>
        <w:rPr>
          <w:rtl/>
        </w:rPr>
        <w:t>תש"ס-2000</w:t>
      </w:r>
      <w:r>
        <w:rPr>
          <w:rFonts w:hint="cs"/>
          <w:rtl/>
        </w:rPr>
        <w:t xml:space="preserve">. יצוין כי </w:t>
      </w:r>
      <w:r w:rsidRPr="008C7903">
        <w:rPr>
          <w:rtl/>
        </w:rPr>
        <w:t xml:space="preserve">תעריפי קצא"א עבור השירותים הנ"ל </w:t>
      </w:r>
      <w:r>
        <w:rPr>
          <w:rFonts w:hint="cs"/>
          <w:rtl/>
        </w:rPr>
        <w:t>לגפ</w:t>
      </w:r>
      <w:r>
        <w:rPr>
          <w:rtl/>
        </w:rPr>
        <w:t>"</w:t>
      </w:r>
      <w:r>
        <w:rPr>
          <w:rFonts w:hint="cs"/>
          <w:rtl/>
        </w:rPr>
        <w:t xml:space="preserve">ם מיובא </w:t>
      </w:r>
      <w:r w:rsidRPr="008C7903">
        <w:rPr>
          <w:rtl/>
        </w:rPr>
        <w:t>ידועים למשרד האנרגיה ול</w:t>
      </w:r>
      <w:r>
        <w:rPr>
          <w:rFonts w:hint="cs"/>
          <w:rtl/>
        </w:rPr>
        <w:t>מאסדר</w:t>
      </w:r>
      <w:r w:rsidRPr="008C7903">
        <w:rPr>
          <w:rtl/>
        </w:rPr>
        <w:t>ים נוספים, אך</w:t>
      </w:r>
      <w:r>
        <w:rPr>
          <w:rFonts w:hint="cs"/>
          <w:rtl/>
        </w:rPr>
        <w:t xml:space="preserve"> הם</w:t>
      </w:r>
      <w:r w:rsidRPr="008C7903">
        <w:rPr>
          <w:rtl/>
        </w:rPr>
        <w:t xml:space="preserve"> אינם מפקחים על</w:t>
      </w:r>
      <w:r>
        <w:rPr>
          <w:rFonts w:hint="cs"/>
          <w:rtl/>
        </w:rPr>
        <w:t>יהם</w:t>
      </w:r>
      <w:r w:rsidRPr="008C7903">
        <w:rPr>
          <w:rtl/>
        </w:rPr>
        <w:t>.</w:t>
      </w:r>
    </w:p>
  </w:footnote>
  <w:footnote w:id="13">
    <w:p w:rsidR="00A23EA9" w:rsidRPr="0001668B" w:rsidP="00897977">
      <w:pPr>
        <w:pStyle w:val="71"/>
        <w:jc w:val="left"/>
      </w:pPr>
      <w:r w:rsidRPr="00625E9B">
        <w:rPr>
          <w:rStyle w:val="FootnoteReference1"/>
          <w:rFonts w:ascii="Times New Roman" w:hAnsi="Times New Roman" w:cs="Times New Roman"/>
          <w:sz w:val="20"/>
          <w:szCs w:val="20"/>
        </w:rPr>
        <w:footnoteRef/>
      </w:r>
      <w:r w:rsidRPr="00625E9B">
        <w:rPr>
          <w:rFonts w:ascii="Times New Roman" w:hAnsi="Times New Roman" w:cs="Times New Roman"/>
          <w:sz w:val="20"/>
          <w:szCs w:val="20"/>
          <w:rtl/>
        </w:rPr>
        <w:t xml:space="preserve"> </w:t>
      </w:r>
      <w:r>
        <w:rPr>
          <w:rFonts w:ascii="Times New Roman" w:hAnsi="Times New Roman" w:cs="Times New Roman"/>
          <w:sz w:val="20"/>
          <w:szCs w:val="20"/>
          <w:rtl/>
        </w:rPr>
        <w:tab/>
      </w:r>
      <w:r>
        <w:rPr>
          <w:rtl/>
        </w:rPr>
        <w:tab/>
      </w:r>
      <w:r w:rsidRPr="00E90C04">
        <w:rPr>
          <w:rFonts w:ascii="Times New Roman" w:hAnsi="Times New Roman" w:cs="David"/>
          <w:color w:val="auto"/>
          <w:sz w:val="20"/>
          <w:szCs w:val="20"/>
          <w:rtl/>
        </w:rPr>
        <w:t xml:space="preserve">הסכם פריז הושג בתאריך 12.12.15 ונכנס לתוקף ב-4.11.16. ראו באתר </w:t>
      </w:r>
      <w:r w:rsidRPr="00E90C04">
        <w:rPr>
          <w:rFonts w:ascii="Times New Roman" w:hAnsi="Times New Roman" w:cs="David"/>
          <w:color w:val="auto"/>
          <w:sz w:val="20"/>
          <w:szCs w:val="20"/>
        </w:rPr>
        <w:t>UNFCCC</w:t>
      </w:r>
      <w:r>
        <w:rPr>
          <w:rFonts w:ascii="David" w:hAnsi="David" w:cs="David"/>
          <w:sz w:val="20"/>
          <w:szCs w:val="20"/>
        </w:rPr>
        <w:tab/>
      </w:r>
      <w:hyperlink r:id="rId1" w:history="1">
        <w:r w:rsidRPr="00165BE9">
          <w:rPr>
            <w:rStyle w:val="Hyperlink"/>
            <w:rFonts w:ascii="Times New Roman" w:hAnsi="Times New Roman" w:cs="Times New Roman"/>
            <w:sz w:val="20"/>
            <w:szCs w:val="20"/>
          </w:rPr>
          <w:t>https://unfccc.int/node/61087</w:t>
        </w:r>
      </w:hyperlink>
      <w:r w:rsidRPr="0001668B">
        <w:rPr>
          <w:rFonts w:hint="cs"/>
          <w:rtl/>
        </w:rPr>
        <w:t xml:space="preserve"> </w:t>
      </w:r>
    </w:p>
  </w:footnote>
  <w:footnote w:id="14">
    <w:p w:rsidR="00A23EA9" w:rsidRPr="00080B64" w:rsidP="00165BE9">
      <w:pPr>
        <w:pStyle w:val="FootnoteText"/>
        <w:ind w:left="424" w:hanging="424"/>
      </w:pPr>
      <w:r>
        <w:rPr>
          <w:rStyle w:val="FootnoteReference1"/>
        </w:rPr>
        <w:footnoteRef/>
      </w:r>
      <w:r>
        <w:rPr>
          <w:rtl/>
        </w:rPr>
        <w:t xml:space="preserve"> </w:t>
      </w:r>
      <w:r>
        <w:rPr>
          <w:rtl/>
        </w:rPr>
        <w:tab/>
      </w:r>
      <w:r>
        <w:rPr>
          <w:rtl/>
        </w:rPr>
        <w:tab/>
      </w:r>
      <w:r w:rsidRPr="003F0A2E">
        <w:rPr>
          <w:rFonts w:hint="eastAsia"/>
          <w:rtl/>
        </w:rPr>
        <w:t>מבקר</w:t>
      </w:r>
      <w:r w:rsidRPr="003F0A2E">
        <w:rPr>
          <w:rtl/>
        </w:rPr>
        <w:t xml:space="preserve"> ה</w:t>
      </w:r>
      <w:r w:rsidRPr="003F0A2E">
        <w:rPr>
          <w:rFonts w:hint="eastAsia"/>
          <w:rtl/>
        </w:rPr>
        <w:t>מדינה</w:t>
      </w:r>
      <w:r w:rsidRPr="003F0A2E">
        <w:rPr>
          <w:rtl/>
        </w:rPr>
        <w:t>,</w:t>
      </w:r>
      <w:r w:rsidRPr="003F0A2E">
        <w:rPr>
          <w:rFonts w:hint="cs"/>
          <w:b/>
          <w:bCs/>
          <w:rtl/>
        </w:rPr>
        <w:t xml:space="preserve"> </w:t>
      </w:r>
      <w:r w:rsidRPr="003F0A2E">
        <w:rPr>
          <w:rFonts w:hint="eastAsia"/>
          <w:b/>
          <w:bCs/>
          <w:rtl/>
        </w:rPr>
        <w:t>דוח</w:t>
      </w:r>
      <w:r w:rsidRPr="003F0A2E">
        <w:rPr>
          <w:b/>
          <w:bCs/>
          <w:rtl/>
        </w:rPr>
        <w:t xml:space="preserve"> ביקורת </w:t>
      </w:r>
      <w:r w:rsidRPr="003F0A2E">
        <w:rPr>
          <w:rFonts w:hint="eastAsia"/>
          <w:b/>
          <w:bCs/>
          <w:rtl/>
        </w:rPr>
        <w:t>מיוחד</w:t>
      </w:r>
      <w:r w:rsidRPr="003F0A2E">
        <w:rPr>
          <w:b/>
          <w:bCs/>
          <w:rtl/>
        </w:rPr>
        <w:t xml:space="preserve"> - </w:t>
      </w:r>
      <w:r w:rsidRPr="003F0A2E">
        <w:rPr>
          <w:rFonts w:hint="eastAsia"/>
          <w:b/>
          <w:bCs/>
          <w:rtl/>
        </w:rPr>
        <w:t>פעולות</w:t>
      </w:r>
      <w:r w:rsidRPr="003F0A2E">
        <w:rPr>
          <w:b/>
          <w:bCs/>
          <w:rtl/>
        </w:rPr>
        <w:t xml:space="preserve"> ממשלת ישראל והיערכותה למשבר האקלים </w:t>
      </w:r>
      <w:r w:rsidRPr="003F0A2E">
        <w:rPr>
          <w:rFonts w:hint="cs"/>
          <w:rtl/>
        </w:rPr>
        <w:t>(2021</w:t>
      </w:r>
      <w:r>
        <w:rPr>
          <w:rFonts w:hint="cs"/>
          <w:rtl/>
        </w:rPr>
        <w:t>).</w:t>
      </w:r>
    </w:p>
  </w:footnote>
  <w:footnote w:id="15">
    <w:p w:rsidR="00A23EA9" w:rsidRPr="00885118" w:rsidP="006114CB">
      <w:pPr>
        <w:pStyle w:val="FootnoteText"/>
        <w:ind w:left="708" w:hanging="708"/>
      </w:pPr>
      <w:r w:rsidRPr="00625E9B">
        <w:rPr>
          <w:rStyle w:val="FootnoteReference1"/>
          <w:rFonts w:cs="Times New Roman"/>
        </w:rPr>
        <w:footnoteRef/>
      </w:r>
      <w:r w:rsidRPr="00885118">
        <w:rPr>
          <w:rtl/>
        </w:rPr>
        <w:t xml:space="preserve"> </w:t>
      </w:r>
      <w:r>
        <w:rPr>
          <w:rtl/>
        </w:rPr>
        <w:tab/>
      </w:r>
      <w:r w:rsidRPr="00885118">
        <w:rPr>
          <w:rtl/>
        </w:rPr>
        <w:tab/>
      </w:r>
      <w:r w:rsidRPr="00E90C04">
        <w:rPr>
          <w:rtl/>
        </w:rPr>
        <w:t>הוועדה כללה נציגים מכל משרדי הממשלה הרלוונטיים</w:t>
      </w:r>
      <w:r>
        <w:rPr>
          <w:rFonts w:hint="cs"/>
          <w:rtl/>
        </w:rPr>
        <w:t>,</w:t>
      </w:r>
      <w:r w:rsidRPr="00E90C04">
        <w:rPr>
          <w:rtl/>
        </w:rPr>
        <w:t xml:space="preserve"> וב</w:t>
      </w:r>
      <w:r>
        <w:rPr>
          <w:rFonts w:hint="cs"/>
          <w:rtl/>
        </w:rPr>
        <w:t>כללם</w:t>
      </w:r>
      <w:r w:rsidRPr="00E90C04">
        <w:rPr>
          <w:rtl/>
        </w:rPr>
        <w:t xml:space="preserve"> משרדי האוצר, הכלכלה</w:t>
      </w:r>
      <w:r>
        <w:rPr>
          <w:rFonts w:hint="cs"/>
          <w:rtl/>
        </w:rPr>
        <w:t xml:space="preserve"> והתעשייה</w:t>
      </w:r>
      <w:r w:rsidRPr="00E90C04">
        <w:rPr>
          <w:rtl/>
        </w:rPr>
        <w:t>, האנרגיה, התחבורה</w:t>
      </w:r>
      <w:r>
        <w:rPr>
          <w:rFonts w:hint="cs"/>
          <w:rtl/>
        </w:rPr>
        <w:t xml:space="preserve"> והבטיחות בדרכים</w:t>
      </w:r>
      <w:r w:rsidRPr="00E90C04">
        <w:rPr>
          <w:rtl/>
        </w:rPr>
        <w:t>, הפנים, הבינוי והשיכון, החוץ והחקלאות</w:t>
      </w:r>
      <w:r>
        <w:rPr>
          <w:rFonts w:hint="cs"/>
          <w:rtl/>
        </w:rPr>
        <w:t xml:space="preserve"> ופיתוח הכפר (כשמו אז)</w:t>
      </w:r>
      <w:r w:rsidRPr="00E90C04">
        <w:rPr>
          <w:rtl/>
        </w:rPr>
        <w:t>, רשות החשמל וגופים ממשלתיים כגון הל</w:t>
      </w:r>
      <w:r>
        <w:rPr>
          <w:rFonts w:hint="cs"/>
          <w:rtl/>
        </w:rPr>
        <w:t>שכה המרכזית לסטטיסטיקה</w:t>
      </w:r>
      <w:r w:rsidRPr="00E90C04">
        <w:rPr>
          <w:rtl/>
        </w:rPr>
        <w:t xml:space="preserve"> ומ</w:t>
      </w:r>
      <w:r>
        <w:rPr>
          <w:rFonts w:hint="cs"/>
          <w:rtl/>
        </w:rPr>
        <w:t>י</w:t>
      </w:r>
      <w:r w:rsidRPr="00E90C04">
        <w:rPr>
          <w:rtl/>
        </w:rPr>
        <w:t>נהלת תחליפי הנפט. נוסף על כך</w:t>
      </w:r>
      <w:r>
        <w:rPr>
          <w:rFonts w:hint="cs"/>
          <w:rtl/>
        </w:rPr>
        <w:t>,</w:t>
      </w:r>
      <w:r w:rsidRPr="00E90C04">
        <w:rPr>
          <w:rtl/>
        </w:rPr>
        <w:t xml:space="preserve"> השתתפו בה נציגי ארגונים שאינם ממשלתיים, נציגי חברת החשמל, נציגי השלטון המקומי, התאחדות התעשיינים, ארגוני סביבה וחברה אזרחית ו</w:t>
      </w:r>
      <w:r>
        <w:rPr>
          <w:rFonts w:hint="cs"/>
          <w:rtl/>
        </w:rPr>
        <w:t xml:space="preserve">אנשי </w:t>
      </w:r>
      <w:r w:rsidRPr="00E90C04">
        <w:rPr>
          <w:rtl/>
        </w:rPr>
        <w:t>אקדמיה. במסגרת הוועדה הוקמו שישה צוותי עבודה עיקריים אשר התמקדו בהפחתת גזי חממה בתחומים האלה: ייצור חשמל</w:t>
      </w:r>
      <w:r>
        <w:rPr>
          <w:rFonts w:hint="cs"/>
          <w:rtl/>
        </w:rPr>
        <w:t>,</w:t>
      </w:r>
      <w:r w:rsidRPr="00E90C04">
        <w:rPr>
          <w:rtl/>
        </w:rPr>
        <w:t xml:space="preserve"> התייעלות אנרגטית במבנים</w:t>
      </w:r>
      <w:r>
        <w:rPr>
          <w:rFonts w:hint="cs"/>
          <w:rtl/>
        </w:rPr>
        <w:t>,</w:t>
      </w:r>
      <w:r w:rsidRPr="00E90C04">
        <w:rPr>
          <w:rtl/>
        </w:rPr>
        <w:t xml:space="preserve"> תעשייה</w:t>
      </w:r>
      <w:r>
        <w:rPr>
          <w:rFonts w:hint="cs"/>
          <w:rtl/>
        </w:rPr>
        <w:t>,</w:t>
      </w:r>
      <w:r w:rsidRPr="00E90C04">
        <w:rPr>
          <w:rtl/>
        </w:rPr>
        <w:t xml:space="preserve"> תחבורה</w:t>
      </w:r>
      <w:r>
        <w:rPr>
          <w:rFonts w:hint="cs"/>
          <w:rtl/>
        </w:rPr>
        <w:t>,</w:t>
      </w:r>
      <w:r w:rsidRPr="00E90C04">
        <w:rPr>
          <w:rtl/>
        </w:rPr>
        <w:t xml:space="preserve"> פסולת </w:t>
      </w:r>
      <w:r>
        <w:rPr>
          <w:rFonts w:hint="cs"/>
          <w:rtl/>
        </w:rPr>
        <w:t>ו</w:t>
      </w:r>
      <w:r w:rsidRPr="00E90C04">
        <w:rPr>
          <w:rtl/>
        </w:rPr>
        <w:t xml:space="preserve">חקלאות; </w:t>
      </w:r>
      <w:r>
        <w:rPr>
          <w:rFonts w:hint="cs"/>
          <w:rtl/>
        </w:rPr>
        <w:t>ו</w:t>
      </w:r>
      <w:r w:rsidRPr="00E90C04">
        <w:rPr>
          <w:rtl/>
        </w:rPr>
        <w:t xml:space="preserve">צוות לתמיכה </w:t>
      </w:r>
      <w:r>
        <w:rPr>
          <w:rFonts w:hint="cs"/>
          <w:rtl/>
        </w:rPr>
        <w:t>ב</w:t>
      </w:r>
      <w:r w:rsidRPr="00E90C04">
        <w:rPr>
          <w:rtl/>
        </w:rPr>
        <w:t>חדשנות טכנולוגית ישראלית ו</w:t>
      </w:r>
      <w:r>
        <w:rPr>
          <w:rFonts w:hint="cs"/>
          <w:rtl/>
        </w:rPr>
        <w:t>ב</w:t>
      </w:r>
      <w:r w:rsidRPr="00E90C04">
        <w:rPr>
          <w:rtl/>
        </w:rPr>
        <w:t>הטמע</w:t>
      </w:r>
      <w:r>
        <w:rPr>
          <w:rFonts w:hint="cs"/>
          <w:rtl/>
        </w:rPr>
        <w:t>ת</w:t>
      </w:r>
      <w:r w:rsidRPr="00E90C04">
        <w:rPr>
          <w:rtl/>
        </w:rPr>
        <w:t>ה.</w:t>
      </w:r>
    </w:p>
  </w:footnote>
  <w:footnote w:id="16">
    <w:p w:rsidR="00A23EA9" w:rsidP="006114CB">
      <w:pPr>
        <w:pStyle w:val="FootnoteText"/>
        <w:rPr>
          <w:rtl/>
        </w:rPr>
      </w:pPr>
      <w:r>
        <w:rPr>
          <w:rStyle w:val="FootnoteReference1"/>
        </w:rPr>
        <w:footnoteRef/>
      </w:r>
      <w:r>
        <w:rPr>
          <w:rtl/>
        </w:rPr>
        <w:t xml:space="preserve"> </w:t>
      </w:r>
      <w:r>
        <w:rPr>
          <w:rtl/>
        </w:rPr>
        <w:tab/>
      </w:r>
      <w:r w:rsidRPr="003F0A2E">
        <w:rPr>
          <w:rtl/>
        </w:rPr>
        <w:t>המשרד להגנת הסביבה,</w:t>
      </w:r>
      <w:r w:rsidRPr="003F0A2E">
        <w:rPr>
          <w:rFonts w:hint="cs"/>
          <w:rtl/>
        </w:rPr>
        <w:t xml:space="preserve"> </w:t>
      </w:r>
      <w:r w:rsidRPr="003F0A2E">
        <w:rPr>
          <w:b/>
          <w:bCs/>
          <w:rtl/>
        </w:rPr>
        <w:t>דוח בחינת הפוטנציאל להפחתת פליטות גזי חממה והמלצה ליעד לאומי לישראל</w:t>
      </w:r>
      <w:r w:rsidRPr="003F0A2E">
        <w:rPr>
          <w:rtl/>
        </w:rPr>
        <w:t xml:space="preserve"> (ספטמבר 2015)</w:t>
      </w:r>
      <w:r>
        <w:rPr>
          <w:rFonts w:hint="cs"/>
          <w:rtl/>
        </w:rPr>
        <w:t>.</w:t>
      </w:r>
    </w:p>
  </w:footnote>
  <w:footnote w:id="17">
    <w:p w:rsidR="00A23EA9" w:rsidRPr="00F4158C" w:rsidP="006114CB">
      <w:pPr>
        <w:pStyle w:val="FootnoteText"/>
        <w:rPr>
          <w:rtl/>
        </w:rPr>
      </w:pPr>
      <w:r>
        <w:rPr>
          <w:rStyle w:val="FootnoteReference1"/>
        </w:rPr>
        <w:footnoteRef/>
      </w:r>
      <w:r>
        <w:rPr>
          <w:rtl/>
        </w:rPr>
        <w:t xml:space="preserve"> </w:t>
      </w:r>
      <w:r>
        <w:rPr>
          <w:rtl/>
        </w:rPr>
        <w:tab/>
      </w:r>
      <w:r w:rsidRPr="00204BA0">
        <w:rPr>
          <w:rtl/>
        </w:rPr>
        <w:t xml:space="preserve">החלטת </w:t>
      </w:r>
      <w:r>
        <w:rPr>
          <w:rFonts w:hint="cs"/>
          <w:rtl/>
        </w:rPr>
        <w:t>ה</w:t>
      </w:r>
      <w:r w:rsidRPr="00204BA0">
        <w:rPr>
          <w:rtl/>
        </w:rPr>
        <w:t>ממשלה 542</w:t>
      </w:r>
      <w:r>
        <w:rPr>
          <w:rFonts w:hint="cs"/>
          <w:rtl/>
        </w:rPr>
        <w:t>,</w:t>
      </w:r>
      <w:r w:rsidRPr="00204BA0">
        <w:rPr>
          <w:rtl/>
        </w:rPr>
        <w:t xml:space="preserve"> </w:t>
      </w:r>
      <w:r>
        <w:rPr>
          <w:rFonts w:hint="cs"/>
          <w:rtl/>
        </w:rPr>
        <w:t>״</w:t>
      </w:r>
      <w:r w:rsidRPr="00204BA0">
        <w:rPr>
          <w:rtl/>
        </w:rPr>
        <w:t>הפחתת פליטות גזי חממה וייעול צריכת ה</w:t>
      </w:r>
      <w:r>
        <w:rPr>
          <w:rtl/>
        </w:rPr>
        <w:t>אנרגיה</w:t>
      </w:r>
      <w:r w:rsidRPr="00204BA0">
        <w:rPr>
          <w:rtl/>
        </w:rPr>
        <w:t xml:space="preserve"> במשק</w:t>
      </w:r>
      <w:r>
        <w:rPr>
          <w:rFonts w:hint="cs"/>
          <w:rtl/>
        </w:rPr>
        <w:t>״</w:t>
      </w:r>
      <w:r w:rsidRPr="00204BA0">
        <w:rPr>
          <w:rtl/>
        </w:rPr>
        <w:t xml:space="preserve"> </w:t>
      </w:r>
      <w:r>
        <w:rPr>
          <w:rFonts w:hint="cs"/>
          <w:rtl/>
        </w:rPr>
        <w:t>(</w:t>
      </w:r>
      <w:r w:rsidRPr="00204BA0">
        <w:rPr>
          <w:rtl/>
        </w:rPr>
        <w:t>20.9.15</w:t>
      </w:r>
      <w:r>
        <w:rPr>
          <w:rFonts w:hint="cs"/>
          <w:rtl/>
        </w:rPr>
        <w:t>)</w:t>
      </w:r>
      <w:r w:rsidRPr="00204BA0">
        <w:rPr>
          <w:rtl/>
        </w:rPr>
        <w:t xml:space="preserve">. יש לציין כי יעדי ההפחתה שהתקבלו בהחלטה זו מתווספים ליעד שבהחלטת </w:t>
      </w:r>
      <w:r>
        <w:rPr>
          <w:rFonts w:hint="cs"/>
          <w:rtl/>
        </w:rPr>
        <w:t>ה</w:t>
      </w:r>
      <w:r w:rsidRPr="00204BA0">
        <w:rPr>
          <w:rtl/>
        </w:rPr>
        <w:t>ממשלה 4450 משנת 2009 להשגת 10% אנרגיות מתחדשות עד שנת 2020.</w:t>
      </w:r>
    </w:p>
  </w:footnote>
  <w:footnote w:id="18">
    <w:p w:rsidR="00A23EA9" w:rsidP="006114CB">
      <w:pPr>
        <w:pStyle w:val="FootnoteText"/>
      </w:pPr>
      <w:r>
        <w:rPr>
          <w:rStyle w:val="FootnoteReference1"/>
        </w:rPr>
        <w:footnoteRef/>
      </w:r>
      <w:r>
        <w:rPr>
          <w:rtl/>
        </w:rPr>
        <w:t xml:space="preserve"> </w:t>
      </w:r>
      <w:r>
        <w:rPr>
          <w:rtl/>
        </w:rPr>
        <w:tab/>
      </w:r>
      <w:r>
        <w:rPr>
          <w:rFonts w:hint="cs"/>
          <w:rtl/>
        </w:rPr>
        <w:t>החלטת הממשלה 1403, ״תכנית לאומית ליישום היעדים להפחתת פליטות גזי חממה ולהתייעלות אנרגטית״ (10.4.16).</w:t>
      </w:r>
    </w:p>
  </w:footnote>
  <w:footnote w:id="19">
    <w:p w:rsidR="00A23EA9" w:rsidP="006114CB">
      <w:pPr>
        <w:pStyle w:val="FootnoteText"/>
        <w:rPr>
          <w:rtl/>
        </w:rPr>
      </w:pPr>
      <w:r>
        <w:rPr>
          <w:rStyle w:val="FootnoteReference1"/>
        </w:rPr>
        <w:footnoteRef/>
      </w:r>
      <w:r>
        <w:rPr>
          <w:rtl/>
        </w:rPr>
        <w:t xml:space="preserve"> </w:t>
      </w:r>
      <w:r>
        <w:rPr>
          <w:rtl/>
        </w:rPr>
        <w:tab/>
      </w:r>
      <w:r>
        <w:rPr>
          <w:rFonts w:hint="cs"/>
          <w:rtl/>
        </w:rPr>
        <w:t>החלטת הממשלה 465, ״קידום אנרגיה מתחדשת במשק החשמל ותיקון החלטות ממשלה״ (25.10.20).</w:t>
      </w:r>
    </w:p>
  </w:footnote>
  <w:footnote w:id="20">
    <w:p w:rsidR="00A23EA9" w:rsidP="006114CB">
      <w:pPr>
        <w:pStyle w:val="FootnoteText"/>
        <w:rPr>
          <w:rtl/>
        </w:rPr>
      </w:pPr>
      <w:r>
        <w:rPr>
          <w:rStyle w:val="FootnoteReference1"/>
        </w:rPr>
        <w:footnoteRef/>
      </w:r>
      <w:r>
        <w:rPr>
          <w:rtl/>
        </w:rPr>
        <w:t xml:space="preserve"> </w:t>
      </w:r>
      <w:r>
        <w:rPr>
          <w:rtl/>
        </w:rPr>
        <w:tab/>
      </w:r>
      <w:r>
        <w:rPr>
          <w:rFonts w:hint="cs"/>
          <w:rtl/>
        </w:rPr>
        <w:t>החלטת הממשלה 171, ״מעבר לכלכלה דלת פחמן״ (</w:t>
      </w:r>
      <w:r w:rsidRPr="006828CA">
        <w:rPr>
          <w:rtl/>
        </w:rPr>
        <w:t>25.7.21</w:t>
      </w:r>
      <w:r>
        <w:rPr>
          <w:rFonts w:hint="cs"/>
          <w:rtl/>
        </w:rPr>
        <w:t>).</w:t>
      </w:r>
    </w:p>
  </w:footnote>
  <w:footnote w:id="21">
    <w:p w:rsidR="00A23EA9" w:rsidP="006114CB">
      <w:pPr>
        <w:pStyle w:val="FootnoteText"/>
        <w:ind w:left="448" w:hanging="437"/>
      </w:pPr>
      <w:r>
        <w:rPr>
          <w:rStyle w:val="FootnoteReference1"/>
        </w:rPr>
        <w:footnoteRef/>
      </w:r>
      <w:r>
        <w:rPr>
          <w:rtl/>
        </w:rPr>
        <w:tab/>
      </w:r>
      <w:r>
        <w:rPr>
          <w:rtl/>
        </w:rPr>
        <w:tab/>
      </w:r>
      <w:r w:rsidRPr="003F0A2E">
        <w:rPr>
          <w:rFonts w:hint="cs"/>
          <w:rtl/>
        </w:rPr>
        <w:t>החלטת הממשלה 1231, ״אסטרטגיה לפיתוח ולקידום מפרץ חיפה ותיקון החלטת ממשלה</w:t>
      </w:r>
      <w:r>
        <w:rPr>
          <w:rFonts w:hint="cs"/>
          <w:rtl/>
        </w:rPr>
        <w:t>״ (</w:t>
      </w:r>
      <w:r w:rsidRPr="005C40CD">
        <w:rPr>
          <w:rtl/>
        </w:rPr>
        <w:t>6.3.22</w:t>
      </w:r>
      <w:r>
        <w:rPr>
          <w:rFonts w:hint="cs"/>
          <w:rtl/>
        </w:rPr>
        <w:t>).</w:t>
      </w:r>
    </w:p>
  </w:footnote>
  <w:footnote w:id="22">
    <w:p w:rsidR="00A23EA9" w:rsidP="006114CB">
      <w:pPr>
        <w:pStyle w:val="FootnoteText"/>
        <w:ind w:left="708" w:hanging="697"/>
      </w:pPr>
      <w:r>
        <w:rPr>
          <w:rStyle w:val="FootnoteReference1"/>
        </w:rPr>
        <w:footnoteRef/>
      </w:r>
      <w:r>
        <w:rPr>
          <w:rtl/>
        </w:rPr>
        <w:tab/>
      </w:r>
      <w:r>
        <w:rPr>
          <w:rtl/>
        </w:rPr>
        <w:tab/>
      </w:r>
      <w:r w:rsidRPr="003F0A2E">
        <w:rPr>
          <w:rFonts w:hint="cs"/>
          <w:rtl/>
        </w:rPr>
        <w:t>החלטת הממשלה 1261, ״תמחור פליטות מזהמים מקומיים וגזי חממה וביטול החלטת ממשלה</w:t>
      </w:r>
      <w:r>
        <w:rPr>
          <w:rFonts w:hint="cs"/>
          <w:rtl/>
        </w:rPr>
        <w:t xml:space="preserve">״ </w:t>
      </w:r>
      <w:r w:rsidRPr="005C40CD">
        <w:rPr>
          <w:rtl/>
        </w:rPr>
        <w:t>(14.1.24)</w:t>
      </w:r>
      <w:r>
        <w:rPr>
          <w:rFonts w:hint="cs"/>
          <w:rtl/>
        </w:rPr>
        <w:t>.</w:t>
      </w:r>
      <w:r w:rsidRPr="005C40CD">
        <w:rPr>
          <w:rtl/>
        </w:rPr>
        <w:t xml:space="preserve"> </w:t>
      </w:r>
      <w:r>
        <w:rPr>
          <w:rFonts w:ascii="David" w:hAnsi="David" w:hint="cs"/>
          <w:rtl/>
        </w:rPr>
        <w:t xml:space="preserve">מדובר בעלייה של כ-274% בסכום </w:t>
      </w:r>
      <w:r w:rsidRPr="009C0BF1">
        <w:rPr>
          <w:rFonts w:ascii="David" w:hAnsi="David" w:hint="cs"/>
          <w:rtl/>
        </w:rPr>
        <w:t xml:space="preserve">המס </w:t>
      </w:r>
      <w:r>
        <w:rPr>
          <w:rFonts w:ascii="David" w:hAnsi="David" w:hint="cs"/>
          <w:rtl/>
        </w:rPr>
        <w:t>והבלו בתוך חמש שנים.</w:t>
      </w:r>
    </w:p>
  </w:footnote>
  <w:footnote w:id="23">
    <w:p w:rsidR="00A23EA9" w:rsidRPr="000545F3" w:rsidP="006114CB">
      <w:pPr>
        <w:pStyle w:val="FootnoteText"/>
        <w:rPr>
          <w:rtl/>
        </w:rPr>
      </w:pPr>
      <w:r>
        <w:rPr>
          <w:rStyle w:val="FootnoteReference1"/>
        </w:rPr>
        <w:footnoteRef/>
      </w:r>
      <w:r>
        <w:rPr>
          <w:rtl/>
        </w:rPr>
        <w:t xml:space="preserve"> </w:t>
      </w:r>
      <w:r>
        <w:rPr>
          <w:rtl/>
        </w:rPr>
        <w:tab/>
      </w:r>
      <w:r w:rsidRPr="000545F3">
        <w:rPr>
          <w:rFonts w:hint="cs"/>
          <w:rtl/>
        </w:rPr>
        <w:t>ראו</w:t>
      </w:r>
      <w:r>
        <w:rPr>
          <w:rFonts w:hint="cs"/>
          <w:rtl/>
        </w:rPr>
        <w:t>,</w:t>
      </w:r>
      <w:r w:rsidRPr="000545F3">
        <w:rPr>
          <w:rFonts w:hint="cs"/>
          <w:rtl/>
        </w:rPr>
        <w:t xml:space="preserve"> למשל,</w:t>
      </w:r>
      <w:r>
        <w:rPr>
          <w:rFonts w:hint="cs"/>
          <w:b/>
          <w:bCs/>
          <w:rtl/>
        </w:rPr>
        <w:t xml:space="preserve"> </w:t>
      </w:r>
      <w:r w:rsidRPr="00625E9B">
        <w:rPr>
          <w:rFonts w:hint="eastAsia"/>
          <w:rtl/>
        </w:rPr>
        <w:t>מבקר</w:t>
      </w:r>
      <w:r w:rsidRPr="00625E9B">
        <w:rPr>
          <w:rtl/>
        </w:rPr>
        <w:t xml:space="preserve"> המדינה</w:t>
      </w:r>
      <w:r>
        <w:rPr>
          <w:rFonts w:hint="cs"/>
          <w:rtl/>
        </w:rPr>
        <w:t xml:space="preserve">, </w:t>
      </w:r>
      <w:r w:rsidRPr="00625E9B">
        <w:rPr>
          <w:rFonts w:hint="eastAsia"/>
          <w:b/>
          <w:bCs/>
          <w:rtl/>
        </w:rPr>
        <w:t>דוח</w:t>
      </w:r>
      <w:r w:rsidRPr="00625E9B">
        <w:rPr>
          <w:b/>
          <w:bCs/>
          <w:rtl/>
        </w:rPr>
        <w:t xml:space="preserve"> שנתי 64א</w:t>
      </w:r>
      <w:r>
        <w:rPr>
          <w:rFonts w:hint="cs"/>
          <w:rtl/>
        </w:rPr>
        <w:t xml:space="preserve"> (2013), "הבטחת אספקת גז טבעי", עמ' 251 - 282; </w:t>
      </w:r>
      <w:r w:rsidRPr="00625E9B">
        <w:rPr>
          <w:rFonts w:hint="eastAsia"/>
          <w:b/>
          <w:bCs/>
          <w:rtl/>
        </w:rPr>
        <w:t>דוח</w:t>
      </w:r>
      <w:r w:rsidRPr="00625E9B">
        <w:rPr>
          <w:b/>
          <w:bCs/>
          <w:rtl/>
        </w:rPr>
        <w:t xml:space="preserve"> שנתי 67א</w:t>
      </w:r>
      <w:r>
        <w:rPr>
          <w:rFonts w:hint="cs"/>
          <w:rtl/>
        </w:rPr>
        <w:t xml:space="preserve"> (2016), "תש"ן - פיתוח ואחזקת תשתיות, אחזקת דלקים ואחסנתם", עמ' 1055 - 1087.</w:t>
      </w:r>
    </w:p>
  </w:footnote>
  <w:footnote w:id="24">
    <w:p w:rsidR="00A23EA9" w:rsidRPr="008756BF" w:rsidP="006114CB">
      <w:pPr>
        <w:pStyle w:val="FootnoteText"/>
        <w:rPr>
          <w:rtl/>
        </w:rPr>
      </w:pPr>
      <w:r>
        <w:rPr>
          <w:rStyle w:val="FootnoteReference1"/>
        </w:rPr>
        <w:footnoteRef/>
      </w:r>
      <w:r>
        <w:rPr>
          <w:rtl/>
        </w:rPr>
        <w:t xml:space="preserve"> </w:t>
      </w:r>
      <w:r>
        <w:rPr>
          <w:rtl/>
        </w:rPr>
        <w:tab/>
      </w:r>
      <w:r w:rsidRPr="003F0A2E">
        <w:rPr>
          <w:rFonts w:hint="cs"/>
          <w:rtl/>
        </w:rPr>
        <w:t>משרד האנרגיה, "יעדי משק האנרגיה לשנת 2030 - מסמך מדיניות" (מרץ 2019</w:t>
      </w:r>
      <w:r>
        <w:rPr>
          <w:rFonts w:hint="cs"/>
          <w:rtl/>
        </w:rPr>
        <w:t xml:space="preserve">). ראו גם </w:t>
      </w:r>
      <w:r w:rsidRPr="00625E9B">
        <w:rPr>
          <w:rFonts w:hint="eastAsia"/>
          <w:rtl/>
        </w:rPr>
        <w:t>מבקר</w:t>
      </w:r>
      <w:r w:rsidRPr="00625E9B">
        <w:rPr>
          <w:rtl/>
        </w:rPr>
        <w:t xml:space="preserve"> המדינה,</w:t>
      </w:r>
      <w:r>
        <w:rPr>
          <w:rFonts w:hint="cs"/>
          <w:b/>
          <w:bCs/>
          <w:rtl/>
        </w:rPr>
        <w:t xml:space="preserve"> </w:t>
      </w:r>
      <w:r w:rsidRPr="00625E9B">
        <w:rPr>
          <w:rFonts w:hint="eastAsia"/>
          <w:b/>
          <w:bCs/>
          <w:rtl/>
        </w:rPr>
        <w:t>דוח</w:t>
      </w:r>
      <w:r w:rsidRPr="00625E9B">
        <w:rPr>
          <w:b/>
          <w:bCs/>
          <w:rtl/>
        </w:rPr>
        <w:t xml:space="preserve"> שנתי 71א</w:t>
      </w:r>
      <w:r>
        <w:rPr>
          <w:rFonts w:hint="cs"/>
          <w:rtl/>
        </w:rPr>
        <w:t xml:space="preserve"> (2020), "קידום אנרגיות מתחדשות והפחתת התלות בדלקים", עמ' 253 - 352.</w:t>
      </w:r>
    </w:p>
  </w:footnote>
  <w:footnote w:id="25">
    <w:p w:rsidR="00A23EA9" w:rsidP="006114CB">
      <w:pPr>
        <w:pStyle w:val="FootnoteText"/>
        <w:rPr>
          <w:rtl/>
        </w:rPr>
      </w:pPr>
      <w:r>
        <w:rPr>
          <w:rStyle w:val="FootnoteReference1"/>
        </w:rPr>
        <w:footnoteRef/>
      </w:r>
      <w:r>
        <w:rPr>
          <w:rtl/>
        </w:rPr>
        <w:t xml:space="preserve"> </w:t>
      </w:r>
      <w:r>
        <w:rPr>
          <w:rtl/>
        </w:rPr>
        <w:tab/>
      </w:r>
      <w:r w:rsidRPr="003F0A2E">
        <w:rPr>
          <w:rFonts w:hint="cs"/>
          <w:rtl/>
        </w:rPr>
        <w:t>משרד האנרגיה, "מפת הדרכים למשק אנרגיה דל פחמן עד שנת 2050" (נוסח להתייחסות הציבור) (אפריל 2021)</w:t>
      </w:r>
      <w:r>
        <w:rPr>
          <w:rFonts w:hint="cs"/>
          <w:rtl/>
        </w:rPr>
        <w:t>.</w:t>
      </w:r>
    </w:p>
  </w:footnote>
  <w:footnote w:id="26">
    <w:p w:rsidR="00A23EA9" w:rsidP="006114CB">
      <w:pPr>
        <w:pStyle w:val="FootnoteText"/>
        <w:rPr>
          <w:rtl/>
        </w:rPr>
      </w:pPr>
      <w:r>
        <w:rPr>
          <w:rStyle w:val="FootnoteReference1"/>
        </w:rPr>
        <w:footnoteRef/>
      </w:r>
      <w:r>
        <w:rPr>
          <w:rtl/>
        </w:rPr>
        <w:t xml:space="preserve"> </w:t>
      </w:r>
      <w:r>
        <w:rPr>
          <w:rtl/>
        </w:rPr>
        <w:tab/>
      </w:r>
      <w:r w:rsidRPr="003F0A2E">
        <w:t>TASC</w:t>
      </w:r>
      <w:r w:rsidRPr="003F0A2E">
        <w:rPr>
          <w:rFonts w:hint="cs"/>
          <w:rtl/>
        </w:rPr>
        <w:t xml:space="preserve">, </w:t>
      </w:r>
      <w:r w:rsidRPr="003F0A2E">
        <w:rPr>
          <w:rFonts w:hint="eastAsia"/>
          <w:b/>
          <w:bCs/>
          <w:rtl/>
        </w:rPr>
        <w:t>עתיד</w:t>
      </w:r>
      <w:r w:rsidRPr="003F0A2E">
        <w:rPr>
          <w:b/>
          <w:bCs/>
          <w:rtl/>
        </w:rPr>
        <w:t xml:space="preserve"> משק הדלק הישראלי - עבודה אסטרטגית, דוח מסכם</w:t>
      </w:r>
      <w:r w:rsidRPr="003F0A2E">
        <w:rPr>
          <w:rFonts w:hint="cs"/>
          <w:rtl/>
        </w:rPr>
        <w:t xml:space="preserve"> (יוני 2024)</w:t>
      </w:r>
      <w:r>
        <w:rPr>
          <w:rFonts w:hint="cs"/>
          <w:rtl/>
        </w:rPr>
        <w:t xml:space="preserve"> (להלן - </w:t>
      </w:r>
      <w:r w:rsidRPr="00762D09">
        <w:t>TASC</w:t>
      </w:r>
      <w:r>
        <w:rPr>
          <w:rFonts w:hint="cs"/>
          <w:rtl/>
        </w:rPr>
        <w:t>, עתיד משק הדלק)</w:t>
      </w:r>
      <w:r w:rsidRPr="00794CF7">
        <w:rPr>
          <w:rFonts w:hint="cs"/>
          <w:rtl/>
        </w:rPr>
        <w:t>.</w:t>
      </w:r>
    </w:p>
  </w:footnote>
  <w:footnote w:id="27">
    <w:p w:rsidR="00A23EA9" w:rsidP="006114CB">
      <w:pPr>
        <w:pStyle w:val="FootnoteText"/>
      </w:pPr>
      <w:r>
        <w:rPr>
          <w:rStyle w:val="FootnoteReference1"/>
        </w:rPr>
        <w:footnoteRef/>
      </w:r>
      <w:r>
        <w:rPr>
          <w:rtl/>
        </w:rPr>
        <w:t xml:space="preserve"> </w:t>
      </w:r>
      <w:r>
        <w:rPr>
          <w:rtl/>
        </w:rPr>
        <w:tab/>
      </w:r>
      <w:r>
        <w:rPr>
          <w:rFonts w:hint="cs"/>
          <w:rtl/>
        </w:rPr>
        <w:t xml:space="preserve">התרחיש הציג תחזית המתבססת על הנחות מרכזיות לעניין צריכת כלל סוגי התזקיקים במשק. לפי תרחיש זה, יהיה בין השנים 2023 ל-2050 גידול בהיקף צריכת הגפ"ם, בשל עליה הדרגתית בצריכה ברש"פ, לצד ירידה קלה בצריכה הביתית והמסחרית. יצוין כי בעבודה הוצג תרחיש נוסף (שכונה תרחיש "בינוני"- עמידה ביעדי הממשלה) לפיו תחול ירידה קלה החל מ-2030 בצריכה הביתית של גפ"ם, לצד שמירה על אותם היקפי צריכה במגזר המסחרי. </w:t>
      </w:r>
    </w:p>
  </w:footnote>
  <w:footnote w:id="28">
    <w:p w:rsidR="00A23EA9" w:rsidP="006114CB">
      <w:pPr>
        <w:pStyle w:val="FootnoteText"/>
        <w:rPr>
          <w:rtl/>
        </w:rPr>
      </w:pPr>
      <w:r>
        <w:rPr>
          <w:rStyle w:val="FootnoteReference1"/>
        </w:rPr>
        <w:footnoteRef/>
      </w:r>
      <w:r>
        <w:rPr>
          <w:rtl/>
        </w:rPr>
        <w:t xml:space="preserve"> </w:t>
      </w:r>
      <w:r>
        <w:rPr>
          <w:rtl/>
        </w:rPr>
        <w:tab/>
      </w:r>
      <w:r>
        <w:rPr>
          <w:rFonts w:hint="cs"/>
          <w:rtl/>
        </w:rPr>
        <w:t xml:space="preserve">החלטת הממשלה 1231. </w:t>
      </w:r>
    </w:p>
  </w:footnote>
  <w:footnote w:id="29">
    <w:p w:rsidR="00A23EA9" w:rsidP="006114CB">
      <w:pPr>
        <w:pStyle w:val="FootnoteText"/>
        <w:ind w:left="424" w:hanging="424"/>
        <w:rPr>
          <w:rtl/>
        </w:rPr>
      </w:pPr>
      <w:r>
        <w:rPr>
          <w:rStyle w:val="FootnoteReference1"/>
        </w:rPr>
        <w:footnoteRef/>
      </w:r>
      <w:r>
        <w:rPr>
          <w:rtl/>
        </w:rPr>
        <w:t xml:space="preserve"> </w:t>
      </w:r>
      <w:r>
        <w:rPr>
          <w:rtl/>
        </w:rPr>
        <w:tab/>
      </w:r>
      <w:r>
        <w:tab/>
      </w:r>
      <w:r w:rsidRPr="003F0A2E">
        <w:rPr>
          <w:rFonts w:hint="cs"/>
          <w:rtl/>
        </w:rPr>
        <w:t>מינהל הדלק והגז במשרד האנרגיה, "צמצום השימוש בגפ"ם - ריכוז המלצות וטענות" (13.3.25).</w:t>
      </w:r>
    </w:p>
  </w:footnote>
  <w:footnote w:id="30">
    <w:p w:rsidR="00A23EA9" w:rsidP="006114CB">
      <w:pPr>
        <w:pStyle w:val="FootnoteText"/>
        <w:rPr>
          <w:rtl/>
        </w:rPr>
      </w:pPr>
      <w:r>
        <w:rPr>
          <w:rStyle w:val="FootnoteReference1"/>
        </w:rPr>
        <w:footnoteRef/>
      </w:r>
      <w:r>
        <w:rPr>
          <w:rtl/>
        </w:rPr>
        <w:t xml:space="preserve"> </w:t>
      </w:r>
      <w:r>
        <w:rPr>
          <w:rtl/>
        </w:rPr>
        <w:tab/>
      </w:r>
      <w:r>
        <w:rPr>
          <w:rFonts w:hint="cs"/>
          <w:rtl/>
        </w:rPr>
        <w:t>בדוח סיכום שנת 2024 של המינהלת לפיתוח מפרץ חיפה שפורסם במרץ 2025 עודכן תאריך היעד עד למחצית שנת 2030.</w:t>
      </w:r>
    </w:p>
  </w:footnote>
  <w:footnote w:id="31">
    <w:p w:rsidR="00A23EA9" w:rsidP="006114CB">
      <w:pPr>
        <w:pStyle w:val="FootnoteText"/>
      </w:pPr>
      <w:r>
        <w:rPr>
          <w:rStyle w:val="FootnoteReference1"/>
        </w:rPr>
        <w:footnoteRef/>
      </w:r>
      <w:r>
        <w:rPr>
          <w:rtl/>
        </w:rPr>
        <w:t xml:space="preserve"> </w:t>
      </w:r>
      <w:r>
        <w:rPr>
          <w:rtl/>
        </w:rPr>
        <w:tab/>
      </w:r>
      <w:r>
        <w:rPr>
          <w:rFonts w:hint="cs"/>
          <w:rtl/>
        </w:rPr>
        <w:t>ראו פירוט בהמשך פרק זה ובפרק "תשתיות ליבוא ולאחסון של גפ"ם".</w:t>
      </w:r>
    </w:p>
  </w:footnote>
  <w:footnote w:id="32">
    <w:p w:rsidR="00A23EA9" w:rsidP="006114CB">
      <w:pPr>
        <w:pStyle w:val="FootnoteText"/>
        <w:rPr>
          <w:rtl/>
        </w:rPr>
      </w:pPr>
      <w:r>
        <w:rPr>
          <w:rStyle w:val="FootnoteReference1"/>
        </w:rPr>
        <w:footnoteRef/>
      </w:r>
      <w:r>
        <w:rPr>
          <w:rtl/>
        </w:rPr>
        <w:t xml:space="preserve"> </w:t>
      </w:r>
      <w:r>
        <w:rPr>
          <w:rtl/>
        </w:rPr>
        <w:tab/>
      </w:r>
      <w:r w:rsidRPr="006C2928">
        <w:rPr>
          <w:rFonts w:hint="cs"/>
          <w:rtl/>
        </w:rPr>
        <w:t>רשות ההגבלים העסקיים, "דוח סופי - אספקת גפ"ם למשקי בית באמצעות מערכת גז מרכזית" (23.1.17)</w:t>
      </w:r>
      <w:r>
        <w:rPr>
          <w:rFonts w:hint="cs"/>
          <w:rtl/>
        </w:rPr>
        <w:t>.</w:t>
      </w:r>
    </w:p>
  </w:footnote>
  <w:footnote w:id="33">
    <w:p w:rsidR="00A23EA9" w:rsidP="006114CB">
      <w:pPr>
        <w:pStyle w:val="FootnoteText"/>
      </w:pPr>
      <w:r>
        <w:rPr>
          <w:rStyle w:val="FootnoteReference1"/>
        </w:rPr>
        <w:footnoteRef/>
      </w:r>
      <w:r>
        <w:rPr>
          <w:rtl/>
        </w:rPr>
        <w:t xml:space="preserve"> </w:t>
      </w:r>
      <w:r>
        <w:rPr>
          <w:rtl/>
        </w:rPr>
        <w:tab/>
      </w:r>
      <w:r>
        <w:rPr>
          <w:rFonts w:hint="cs"/>
          <w:rtl/>
        </w:rPr>
        <w:t>ראו פירוט להסתייגות בהמשך פרק זה.</w:t>
      </w:r>
    </w:p>
  </w:footnote>
  <w:footnote w:id="34">
    <w:p w:rsidR="00A23EA9" w:rsidP="006114CB">
      <w:pPr>
        <w:pStyle w:val="FootnoteText"/>
      </w:pPr>
      <w:r>
        <w:rPr>
          <w:rStyle w:val="FootnoteReference1"/>
        </w:rPr>
        <w:footnoteRef/>
      </w:r>
      <w:r>
        <w:rPr>
          <w:rtl/>
        </w:rPr>
        <w:t xml:space="preserve"> </w:t>
      </w:r>
      <w:r>
        <w:rPr>
          <w:rtl/>
        </w:rPr>
        <w:tab/>
      </w:r>
      <w:r w:rsidRPr="00625E9B">
        <w:rPr>
          <w:rFonts w:hint="eastAsia"/>
          <w:rtl/>
        </w:rPr>
        <w:t>ועדת</w:t>
      </w:r>
      <w:r w:rsidRPr="00625E9B">
        <w:rPr>
          <w:rtl/>
        </w:rPr>
        <w:t xml:space="preserve"> ההיגוי של הת</w:t>
      </w:r>
      <w:r>
        <w:rPr>
          <w:rFonts w:hint="cs"/>
          <w:rtl/>
        </w:rPr>
        <w:t>ו</w:t>
      </w:r>
      <w:r w:rsidRPr="00625E9B">
        <w:rPr>
          <w:rFonts w:hint="eastAsia"/>
          <w:rtl/>
        </w:rPr>
        <w:t>כנית</w:t>
      </w:r>
      <w:r w:rsidRPr="00625E9B">
        <w:rPr>
          <w:rtl/>
        </w:rPr>
        <w:t xml:space="preserve"> האסטרטגית לפיתוח מפרץ חיפה</w:t>
      </w:r>
      <w:r>
        <w:rPr>
          <w:rFonts w:hint="cs"/>
          <w:rtl/>
        </w:rPr>
        <w:t>,</w:t>
      </w:r>
      <w:r w:rsidRPr="00625E9B">
        <w:rPr>
          <w:rtl/>
        </w:rPr>
        <w:t xml:space="preserve"> </w:t>
      </w:r>
      <w:r>
        <w:rPr>
          <w:rFonts w:hint="cs"/>
          <w:rtl/>
        </w:rPr>
        <w:t>המינהלת לפיתוח מפרץ חיפה,</w:t>
      </w:r>
      <w:r w:rsidRPr="00625E9B">
        <w:rPr>
          <w:b/>
          <w:bCs/>
          <w:rtl/>
        </w:rPr>
        <w:t xml:space="preserve"> דוח סיכום שנת 2024</w:t>
      </w:r>
      <w:r>
        <w:rPr>
          <w:rFonts w:hint="cs"/>
          <w:rtl/>
        </w:rPr>
        <w:t xml:space="preserve"> (מרץ 2025) (להלן - המינהלת לפיתוח מפרץ חיפה, </w:t>
      </w:r>
      <w:r w:rsidRPr="00625E9B">
        <w:rPr>
          <w:rtl/>
        </w:rPr>
        <w:t>דוח סיכום 2024</w:t>
      </w:r>
      <w:r>
        <w:rPr>
          <w:rFonts w:hint="cs"/>
          <w:rtl/>
        </w:rPr>
        <w:t>).</w:t>
      </w:r>
    </w:p>
  </w:footnote>
  <w:footnote w:id="35">
    <w:p w:rsidR="00A23EA9" w:rsidP="006114CB">
      <w:pPr>
        <w:pStyle w:val="FootnoteText"/>
        <w:rPr>
          <w:rtl/>
        </w:rPr>
      </w:pPr>
      <w:r>
        <w:rPr>
          <w:rStyle w:val="FootnoteReference1"/>
        </w:rPr>
        <w:footnoteRef/>
      </w:r>
      <w:r>
        <w:rPr>
          <w:rtl/>
        </w:rPr>
        <w:t xml:space="preserve"> </w:t>
      </w:r>
      <w:r>
        <w:rPr>
          <w:rtl/>
        </w:rPr>
        <w:tab/>
      </w:r>
      <w:r>
        <w:rPr>
          <w:rFonts w:hint="cs"/>
          <w:rtl/>
        </w:rPr>
        <w:t>היעד הקודם בתוכנית העבודה של ועדת ההיגוי לסיכום שנת 2023 היה סוף שנת 2029.</w:t>
      </w:r>
    </w:p>
  </w:footnote>
  <w:footnote w:id="36">
    <w:p w:rsidR="00A23EA9" w:rsidP="006114CB">
      <w:pPr>
        <w:pStyle w:val="FootnoteText"/>
      </w:pPr>
      <w:r>
        <w:rPr>
          <w:rStyle w:val="FootnoteReference1"/>
        </w:rPr>
        <w:footnoteRef/>
      </w:r>
      <w:r>
        <w:rPr>
          <w:rtl/>
        </w:rPr>
        <w:t xml:space="preserve"> </w:t>
      </w:r>
      <w:r>
        <w:rPr>
          <w:rtl/>
        </w:rPr>
        <w:tab/>
      </w:r>
      <w:r>
        <w:rPr>
          <w:rFonts w:hint="cs"/>
          <w:rtl/>
        </w:rPr>
        <w:t>גפ"ם אולפיני מכיל ריכוז גבוה של אולפינים. אולפינים הם קבוצה של פחמימנים בלתי רוויים. הם חיוניים בתעשייה הכימית והפטרוכימית ומשמשים חומר גלם למגוון רחב של מוצרים ושימושים. הם מגיבים בקלות לתהליכים כימיים, דבר שהופך אותם למרכיב מרכזי בייצור חומרים פלסטיים, כימיקלים וחומרים מתקדמים אחרים.</w:t>
      </w:r>
    </w:p>
  </w:footnote>
  <w:footnote w:id="37">
    <w:p w:rsidR="00A23EA9" w:rsidP="006114CB">
      <w:pPr>
        <w:pStyle w:val="FootnoteText"/>
        <w:rPr>
          <w:rtl/>
        </w:rPr>
      </w:pPr>
      <w:r>
        <w:rPr>
          <w:rStyle w:val="FootnoteReference1"/>
        </w:rPr>
        <w:footnoteRef/>
      </w:r>
      <w:r>
        <w:rPr>
          <w:rtl/>
        </w:rPr>
        <w:t xml:space="preserve"> </w:t>
      </w:r>
      <w:r>
        <w:rPr>
          <w:rtl/>
        </w:rPr>
        <w:tab/>
      </w:r>
      <w:r>
        <w:rPr>
          <w:rFonts w:hint="cs"/>
          <w:rtl/>
        </w:rPr>
        <w:t>החלטת ועדת שרים לענייני הפרטה מח/20, ״הפרטת בתי זיקוק לנפט בע"מ״ (26.12.04).</w:t>
      </w:r>
      <w:r>
        <w:rPr>
          <w:rtl/>
        </w:rPr>
        <w:t xml:space="preserve"> </w:t>
      </w:r>
    </w:p>
  </w:footnote>
  <w:footnote w:id="38">
    <w:p w:rsidR="00A23EA9" w:rsidP="006114CB">
      <w:pPr>
        <w:pStyle w:val="FootnoteText"/>
        <w:rPr>
          <w:rtl/>
        </w:rPr>
      </w:pPr>
      <w:r>
        <w:rPr>
          <w:rStyle w:val="FootnoteReference1"/>
        </w:rPr>
        <w:footnoteRef/>
      </w:r>
      <w:r>
        <w:rPr>
          <w:rtl/>
        </w:rPr>
        <w:t xml:space="preserve"> </w:t>
      </w:r>
      <w:r>
        <w:rPr>
          <w:rtl/>
        </w:rPr>
        <w:tab/>
      </w:r>
      <w:r>
        <w:rPr>
          <w:rFonts w:hint="cs"/>
          <w:rtl/>
        </w:rPr>
        <w:t>הסדר זה קיבל את אישור רשות ההגבלים העסקיים.</w:t>
      </w:r>
    </w:p>
  </w:footnote>
  <w:footnote w:id="39">
    <w:p w:rsidR="00A23EA9" w:rsidP="006114CB">
      <w:pPr>
        <w:pStyle w:val="FootnoteText"/>
      </w:pPr>
      <w:r>
        <w:rPr>
          <w:rStyle w:val="FootnoteReference1"/>
        </w:rPr>
        <w:footnoteRef/>
      </w:r>
      <w:r>
        <w:rPr>
          <w:rtl/>
        </w:rPr>
        <w:t xml:space="preserve"> </w:t>
      </w:r>
      <w:r>
        <w:rPr>
          <w:rtl/>
        </w:rPr>
        <w:tab/>
      </w:r>
      <w:r>
        <w:rPr>
          <w:rFonts w:hint="cs"/>
          <w:rtl/>
        </w:rPr>
        <w:t xml:space="preserve">מתוך אתר האינטרנט של בז"א, </w:t>
      </w:r>
      <w:hyperlink r:id="rId2" w:anchor="area1" w:history="1">
        <w:r w:rsidRPr="001635BE">
          <w:rPr>
            <w:rStyle w:val="Hyperlink"/>
          </w:rPr>
          <w:t>arf.co.il/areas-of-activity#area1</w:t>
        </w:r>
      </w:hyperlink>
      <w:r>
        <w:rPr>
          <w:rFonts w:hint="cs"/>
          <w:rtl/>
        </w:rPr>
        <w:t xml:space="preserve">. </w:t>
      </w:r>
    </w:p>
  </w:footnote>
  <w:footnote w:id="40">
    <w:p w:rsidR="00A23EA9" w:rsidP="006114CB">
      <w:pPr>
        <w:pStyle w:val="FootnoteText"/>
        <w:rPr>
          <w:rtl/>
        </w:rPr>
      </w:pPr>
      <w:r>
        <w:rPr>
          <w:rStyle w:val="FootnoteReference1"/>
        </w:rPr>
        <w:footnoteRef/>
      </w:r>
      <w:r>
        <w:rPr>
          <w:rtl/>
        </w:rPr>
        <w:t xml:space="preserve"> </w:t>
      </w:r>
      <w:r>
        <w:rPr>
          <w:rtl/>
        </w:rPr>
        <w:tab/>
      </w:r>
      <w:r>
        <w:rPr>
          <w:rFonts w:hint="cs"/>
          <w:sz w:val="24"/>
          <w:rtl/>
        </w:rPr>
        <w:t>ת"י 1134, גז פחמימני מעובה (גפ"ם), מאפשר לספק לשוק גפ"ם המכיל עד 20% אולפינים.</w:t>
      </w:r>
    </w:p>
  </w:footnote>
  <w:footnote w:id="41">
    <w:p w:rsidR="00A23EA9" w:rsidP="006114CB">
      <w:pPr>
        <w:pStyle w:val="FootnoteText"/>
        <w:rPr>
          <w:rtl/>
        </w:rPr>
      </w:pPr>
      <w:r>
        <w:rPr>
          <w:rStyle w:val="FootnoteReference1"/>
        </w:rPr>
        <w:footnoteRef/>
      </w:r>
      <w:r>
        <w:rPr>
          <w:rtl/>
        </w:rPr>
        <w:t xml:space="preserve"> </w:t>
      </w:r>
      <w:r>
        <w:rPr>
          <w:rtl/>
        </w:rPr>
        <w:tab/>
      </w:r>
      <w:r w:rsidRPr="006C2928">
        <w:rPr>
          <w:rFonts w:hint="cs"/>
          <w:rtl/>
        </w:rPr>
        <w:t>בז"א, "פתרון לסוגיית הפרופילן בהקשר של סגירת בז"ן - טיוטת נייר עמדה של בז"א (לא מחייב)״ (10.11.25</w:t>
      </w:r>
      <w:r>
        <w:rPr>
          <w:rFonts w:hint="cs"/>
          <w:rtl/>
        </w:rPr>
        <w:t>) (להלן - בז״א, פתרון לבעיית הפרופילן).</w:t>
      </w:r>
    </w:p>
  </w:footnote>
  <w:footnote w:id="42">
    <w:p w:rsidR="00A23EA9" w:rsidP="006114CB">
      <w:pPr>
        <w:pStyle w:val="FootnoteText"/>
      </w:pPr>
      <w:r>
        <w:rPr>
          <w:rStyle w:val="FootnoteReference1"/>
        </w:rPr>
        <w:footnoteRef/>
      </w:r>
      <w:r>
        <w:rPr>
          <w:rtl/>
        </w:rPr>
        <w:t xml:space="preserve"> </w:t>
      </w:r>
      <w:r>
        <w:rPr>
          <w:rtl/>
        </w:rPr>
        <w:tab/>
      </w:r>
      <w:r>
        <w:rPr>
          <w:rFonts w:hint="cs"/>
          <w:rtl/>
        </w:rPr>
        <w:t>מדובר בכ-4,000 נסיעות בשנה של מכליות כביש הנוסעות הלוך ושוב מאשדוד לחיפה.</w:t>
      </w:r>
    </w:p>
  </w:footnote>
  <w:footnote w:id="43">
    <w:p w:rsidR="00A23EA9" w:rsidP="00897977">
      <w:pPr>
        <w:pStyle w:val="FootnoteText"/>
        <w:jc w:val="left"/>
      </w:pPr>
      <w:r>
        <w:rPr>
          <w:rStyle w:val="FootnoteReference1"/>
        </w:rPr>
        <w:footnoteRef/>
      </w:r>
      <w:r>
        <w:rPr>
          <w:rtl/>
        </w:rPr>
        <w:t xml:space="preserve"> </w:t>
      </w:r>
      <w:r>
        <w:rPr>
          <w:rtl/>
        </w:rPr>
        <w:tab/>
      </w:r>
      <w:r>
        <w:rPr>
          <w:rFonts w:hint="cs"/>
          <w:rtl/>
        </w:rPr>
        <w:t xml:space="preserve">מתוך אתר האינטרנט של המינהלת לפיתוח מפרץ חיפה במשרד ראש הממשלה, </w:t>
      </w:r>
      <w:hyperlink r:id="rId3" w:history="1">
        <w:r w:rsidRPr="001635BE">
          <w:rPr>
            <w:rStyle w:val="Hyperlink"/>
          </w:rPr>
          <w:t>www.gov.il/he/pages/s24</w:t>
        </w:r>
      </w:hyperlink>
      <w:r>
        <w:rPr>
          <w:rFonts w:hint="cs"/>
          <w:rtl/>
        </w:rPr>
        <w:t xml:space="preserve">. </w:t>
      </w:r>
    </w:p>
  </w:footnote>
  <w:footnote w:id="44">
    <w:p w:rsidR="00A23EA9" w:rsidP="006114CB">
      <w:pPr>
        <w:pStyle w:val="FootnoteText"/>
        <w:rPr>
          <w:rtl/>
        </w:rPr>
      </w:pPr>
      <w:r>
        <w:rPr>
          <w:rStyle w:val="FootnoteReference1"/>
        </w:rPr>
        <w:footnoteRef/>
      </w:r>
      <w:r>
        <w:rPr>
          <w:rtl/>
        </w:rPr>
        <w:t xml:space="preserve"> </w:t>
      </w:r>
      <w:r>
        <w:rPr>
          <w:rtl/>
        </w:rPr>
        <w:tab/>
      </w:r>
      <w:r>
        <w:rPr>
          <w:rFonts w:hint="cs"/>
          <w:rtl/>
        </w:rPr>
        <w:t xml:space="preserve">ראו הרחבה בפרק </w:t>
      </w:r>
      <w:r w:rsidRPr="00455AAA">
        <w:rPr>
          <w:rtl/>
        </w:rPr>
        <w:t>"תשתיות גפ"ם</w:t>
      </w:r>
      <w:r w:rsidRPr="00625E9B">
        <w:rPr>
          <w:rtl/>
        </w:rPr>
        <w:t xml:space="preserve"> </w:t>
      </w:r>
      <w:r w:rsidRPr="00CB67A7">
        <w:rPr>
          <w:rFonts w:hint="cs"/>
          <w:rtl/>
        </w:rPr>
        <w:t>בדרום</w:t>
      </w:r>
      <w:r w:rsidRPr="00455AAA">
        <w:rPr>
          <w:rtl/>
        </w:rPr>
        <w:t>".</w:t>
      </w:r>
      <w:r>
        <w:rPr>
          <w:rFonts w:hint="cs"/>
          <w:rtl/>
        </w:rPr>
        <w:t xml:space="preserve"> </w:t>
      </w:r>
    </w:p>
  </w:footnote>
  <w:footnote w:id="45">
    <w:p w:rsidR="00A23EA9" w:rsidP="006114CB">
      <w:pPr>
        <w:pStyle w:val="FootnoteText"/>
      </w:pPr>
      <w:r>
        <w:rPr>
          <w:rStyle w:val="FootnoteReference1"/>
        </w:rPr>
        <w:footnoteRef/>
      </w:r>
      <w:r>
        <w:rPr>
          <w:rtl/>
        </w:rPr>
        <w:t xml:space="preserve"> </w:t>
      </w:r>
      <w:r>
        <w:rPr>
          <w:rtl/>
        </w:rPr>
        <w:tab/>
      </w:r>
      <w:r>
        <w:rPr>
          <w:rFonts w:hint="cs"/>
          <w:rtl/>
        </w:rPr>
        <w:t>שריפת גפ"ם גורמת להפסד של כ-500 דולר לטונה.</w:t>
      </w:r>
    </w:p>
  </w:footnote>
  <w:footnote w:id="46">
    <w:p w:rsidR="00A23EA9" w:rsidP="006114CB">
      <w:pPr>
        <w:pStyle w:val="FootnoteText"/>
        <w:rPr>
          <w:rtl/>
        </w:rPr>
      </w:pPr>
      <w:r>
        <w:rPr>
          <w:rStyle w:val="FootnoteReference1"/>
        </w:rPr>
        <w:footnoteRef/>
      </w:r>
      <w:r>
        <w:rPr>
          <w:rtl/>
        </w:rPr>
        <w:t xml:space="preserve"> </w:t>
      </w:r>
      <w:r>
        <w:rPr>
          <w:rtl/>
        </w:rPr>
        <w:tab/>
      </w:r>
      <w:r>
        <w:rPr>
          <w:rFonts w:hint="cs"/>
          <w:rtl/>
        </w:rPr>
        <w:t>לפי התקן הישראלי, שיעור האולפינים בגפ"ם הוא עד 20% בנפח.</w:t>
      </w:r>
    </w:p>
  </w:footnote>
  <w:footnote w:id="47">
    <w:p w:rsidR="00A23EA9" w:rsidP="006114CB">
      <w:pPr>
        <w:pStyle w:val="FootnoteText"/>
        <w:rPr>
          <w:rtl/>
        </w:rPr>
      </w:pPr>
      <w:r>
        <w:rPr>
          <w:rStyle w:val="FootnoteReference1"/>
        </w:rPr>
        <w:footnoteRef/>
      </w:r>
      <w:r>
        <w:rPr>
          <w:rtl/>
        </w:rPr>
        <w:t xml:space="preserve"> </w:t>
      </w:r>
      <w:r>
        <w:rPr>
          <w:rtl/>
        </w:rPr>
        <w:tab/>
      </w:r>
      <w:r w:rsidRPr="006C2928">
        <w:rPr>
          <w:rFonts w:hint="cs"/>
          <w:rtl/>
        </w:rPr>
        <w:t>בז"א, "פתרון לסוגיית הפרופילן בהקשר של סגירת בז"ן - טיוטת נייר עמדה של בז"א (לא מחייב), 10.11.2025"</w:t>
      </w:r>
      <w:r>
        <w:rPr>
          <w:rFonts w:hint="cs"/>
          <w:rtl/>
        </w:rPr>
        <w:t>.</w:t>
      </w:r>
    </w:p>
  </w:footnote>
  <w:footnote w:id="48">
    <w:p w:rsidR="00A23EA9" w:rsidP="006114CB">
      <w:pPr>
        <w:pStyle w:val="FootnoteText"/>
      </w:pPr>
      <w:r>
        <w:rPr>
          <w:rStyle w:val="FootnoteReference1"/>
        </w:rPr>
        <w:footnoteRef/>
      </w:r>
      <w:r>
        <w:rPr>
          <w:rtl/>
        </w:rPr>
        <w:t xml:space="preserve"> </w:t>
      </w:r>
      <w:r>
        <w:rPr>
          <w:rtl/>
        </w:rPr>
        <w:tab/>
      </w:r>
      <w:r>
        <w:rPr>
          <w:rFonts w:hint="cs"/>
          <w:rtl/>
        </w:rPr>
        <w:t xml:space="preserve">ראו הרחבה בפרק </w:t>
      </w:r>
      <w:r w:rsidRPr="00455AAA">
        <w:rPr>
          <w:rtl/>
        </w:rPr>
        <w:t>"תשתיות גפ"ם</w:t>
      </w:r>
      <w:r w:rsidRPr="00625E9B">
        <w:rPr>
          <w:rtl/>
        </w:rPr>
        <w:t xml:space="preserve"> </w:t>
      </w:r>
      <w:r w:rsidRPr="00CB67A7">
        <w:rPr>
          <w:rFonts w:hint="cs"/>
          <w:rtl/>
        </w:rPr>
        <w:t>בדרום</w:t>
      </w:r>
      <w:r w:rsidRPr="00F67075">
        <w:rPr>
          <w:rtl/>
        </w:rPr>
        <w:t>"</w:t>
      </w:r>
      <w:r>
        <w:rPr>
          <w:rFonts w:hint="cs"/>
          <w:rtl/>
        </w:rPr>
        <w:t>.</w:t>
      </w:r>
    </w:p>
  </w:footnote>
  <w:footnote w:id="49">
    <w:p w:rsidR="00A23EA9" w:rsidP="006114CB">
      <w:pPr>
        <w:pStyle w:val="FootnoteText"/>
        <w:rPr>
          <w:rtl/>
        </w:rPr>
      </w:pPr>
      <w:r>
        <w:rPr>
          <w:rStyle w:val="FootnoteReference1"/>
        </w:rPr>
        <w:footnoteRef/>
      </w:r>
      <w:r>
        <w:rPr>
          <w:rtl/>
        </w:rPr>
        <w:t xml:space="preserve"> </w:t>
      </w:r>
      <w:r>
        <w:rPr>
          <w:rtl/>
        </w:rPr>
        <w:tab/>
      </w:r>
      <w:r>
        <w:rPr>
          <w:rFonts w:hint="cs"/>
          <w:rtl/>
        </w:rPr>
        <w:t>מיהול - ערבוב מבוקר של גפ"ם אולפיני עם גזים או רכיבים אחרים (בדרך כלל פרופאן או בוטאן) כדי להתאים את תכונות הגפ"ם לדרישות התקן ולשימוש.</w:t>
      </w:r>
    </w:p>
  </w:footnote>
  <w:footnote w:id="50">
    <w:p w:rsidR="00A23EA9" w:rsidP="006114CB">
      <w:pPr>
        <w:pStyle w:val="FootnoteText"/>
      </w:pPr>
      <w:r>
        <w:rPr>
          <w:rStyle w:val="FootnoteReference1"/>
        </w:rPr>
        <w:footnoteRef/>
      </w:r>
      <w:r>
        <w:rPr>
          <w:rtl/>
        </w:rPr>
        <w:t xml:space="preserve"> </w:t>
      </w:r>
      <w:r>
        <w:rPr>
          <w:rtl/>
        </w:rPr>
        <w:tab/>
      </w:r>
      <w:r>
        <w:rPr>
          <w:rFonts w:hint="cs"/>
          <w:rtl/>
        </w:rPr>
        <w:t>הידרוגנציה - תהליך כימי של הוספת מימן לאולפינים כדי להפוך אותם לפרפינים רוויים, כך שייצרו פחות ריאקציות כימיות.</w:t>
      </w:r>
    </w:p>
  </w:footnote>
  <w:footnote w:id="51">
    <w:p w:rsidR="00A23EA9" w:rsidP="006114CB">
      <w:pPr>
        <w:pStyle w:val="FootnoteText"/>
        <w:rPr>
          <w:rtl/>
        </w:rPr>
      </w:pPr>
      <w:r>
        <w:rPr>
          <w:rStyle w:val="FootnoteReference1"/>
        </w:rPr>
        <w:footnoteRef/>
      </w:r>
      <w:r>
        <w:rPr>
          <w:rtl/>
        </w:rPr>
        <w:t xml:space="preserve"> </w:t>
      </w:r>
      <w:r>
        <w:rPr>
          <w:rtl/>
        </w:rPr>
        <w:tab/>
      </w:r>
      <w:r w:rsidRPr="006C2928">
        <w:rPr>
          <w:rFonts w:hint="cs"/>
          <w:rtl/>
        </w:rPr>
        <w:t xml:space="preserve">ראו בנושא זה </w:t>
      </w:r>
      <w:r w:rsidRPr="006C2928">
        <w:rPr>
          <w:rFonts w:hint="eastAsia"/>
          <w:b/>
          <w:bCs/>
          <w:rtl/>
        </w:rPr>
        <w:t>מבקר</w:t>
      </w:r>
      <w:r w:rsidRPr="006C2928">
        <w:rPr>
          <w:b/>
          <w:bCs/>
          <w:rtl/>
        </w:rPr>
        <w:t xml:space="preserve"> </w:t>
      </w:r>
      <w:r w:rsidRPr="006C2928">
        <w:rPr>
          <w:rFonts w:hint="eastAsia"/>
          <w:b/>
          <w:bCs/>
          <w:rtl/>
        </w:rPr>
        <w:t>המדינה</w:t>
      </w:r>
      <w:r w:rsidRPr="006C2928">
        <w:rPr>
          <w:rFonts w:hint="cs"/>
          <w:b/>
          <w:bCs/>
          <w:rtl/>
        </w:rPr>
        <w:t xml:space="preserve"> </w:t>
      </w:r>
      <w:r w:rsidRPr="006C2928">
        <w:rPr>
          <w:rFonts w:hint="cs"/>
          <w:rtl/>
        </w:rPr>
        <w:t>(2026), "</w:t>
      </w:r>
      <w:r w:rsidRPr="006C2928">
        <w:rPr>
          <w:rtl/>
        </w:rPr>
        <w:t>היערכות למצבי חירום במשק האנרגיה בראי מלחמת חרבות ברזל ומבצע עם כלביא - דלקים</w:t>
      </w:r>
      <w:r w:rsidRPr="006C2928">
        <w:rPr>
          <w:rFonts w:hint="cs"/>
          <w:rtl/>
        </w:rPr>
        <w:t>,</w:t>
      </w:r>
      <w:r w:rsidRPr="006C2928">
        <w:rPr>
          <w:rtl/>
        </w:rPr>
        <w:t xml:space="preserve"> </w:t>
      </w:r>
      <w:r w:rsidRPr="006C2928">
        <w:rPr>
          <w:rFonts w:hint="cs"/>
          <w:rtl/>
        </w:rPr>
        <w:t>ג</w:t>
      </w:r>
      <w:r w:rsidRPr="006C2928">
        <w:rPr>
          <w:rtl/>
        </w:rPr>
        <w:t>פ</w:t>
      </w:r>
      <w:r w:rsidRPr="006C2928">
        <w:rPr>
          <w:rFonts w:hint="cs"/>
          <w:rtl/>
        </w:rPr>
        <w:t>"ם</w:t>
      </w:r>
      <w:r w:rsidRPr="006C2928">
        <w:rPr>
          <w:rtl/>
        </w:rPr>
        <w:t xml:space="preserve"> וגז טבעי</w:t>
      </w:r>
      <w:r w:rsidRPr="006C2928">
        <w:rPr>
          <w:rFonts w:hint="cs"/>
          <w:rtl/>
        </w:rPr>
        <w:t xml:space="preserve">". </w:t>
      </w:r>
    </w:p>
  </w:footnote>
  <w:footnote w:id="52">
    <w:p w:rsidR="00A23EA9" w:rsidP="006114CB">
      <w:pPr>
        <w:pStyle w:val="FootnoteText"/>
        <w:rPr>
          <w:rtl/>
        </w:rPr>
      </w:pPr>
      <w:r>
        <w:rPr>
          <w:rStyle w:val="FootnoteReference1"/>
        </w:rPr>
        <w:footnoteRef/>
      </w:r>
      <w:r>
        <w:rPr>
          <w:rtl/>
        </w:rPr>
        <w:t xml:space="preserve"> </w:t>
      </w:r>
      <w:r>
        <w:rPr>
          <w:rtl/>
        </w:rPr>
        <w:tab/>
      </w:r>
      <w:r>
        <w:rPr>
          <w:rFonts w:hint="cs"/>
          <w:rtl/>
        </w:rPr>
        <w:t>בתי זיקוק לנפט בע"מ, "דוח מיידי על אירוע או עניין החורגים מעסקי התאגיד הרגילים" (15.6.25).</w:t>
      </w:r>
    </w:p>
  </w:footnote>
  <w:footnote w:id="53">
    <w:p w:rsidR="00A23EA9" w:rsidP="006114CB">
      <w:pPr>
        <w:pStyle w:val="FootnoteText"/>
      </w:pPr>
      <w:r>
        <w:rPr>
          <w:rStyle w:val="FootnoteReference1"/>
        </w:rPr>
        <w:footnoteRef/>
      </w:r>
      <w:r>
        <w:rPr>
          <w:rtl/>
        </w:rPr>
        <w:t xml:space="preserve"> </w:t>
      </w:r>
      <w:r>
        <w:rPr>
          <w:rtl/>
        </w:rPr>
        <w:tab/>
      </w:r>
      <w:r>
        <w:rPr>
          <w:rFonts w:hint="cs"/>
          <w:rtl/>
        </w:rPr>
        <w:t>בתי זיקוק לנפט בע"מ, "דוח מיידי על אירוע או עניין החורגים מעסקי התאגיד הרגילים" (16.6.25).</w:t>
      </w:r>
    </w:p>
  </w:footnote>
  <w:footnote w:id="54">
    <w:p w:rsidR="00A23EA9" w:rsidP="006114CB">
      <w:pPr>
        <w:pStyle w:val="FootnoteText"/>
      </w:pPr>
      <w:r>
        <w:rPr>
          <w:rStyle w:val="FootnoteReference1"/>
        </w:rPr>
        <w:footnoteRef/>
      </w:r>
      <w:r>
        <w:rPr>
          <w:rtl/>
        </w:rPr>
        <w:t xml:space="preserve"> </w:t>
      </w:r>
      <w:r>
        <w:rPr>
          <w:rtl/>
        </w:rPr>
        <w:tab/>
      </w:r>
      <w:r>
        <w:rPr>
          <w:rFonts w:hint="cs"/>
          <w:rtl/>
        </w:rPr>
        <w:t>בתי זיקוק לנפט בע"מ, "דוח מיידי על אירוע או עניין החורגים מעסקי התאגיד הרגילים" (29.6.25).</w:t>
      </w:r>
    </w:p>
  </w:footnote>
  <w:footnote w:id="55">
    <w:p w:rsidR="00A23EA9" w:rsidP="006114CB">
      <w:pPr>
        <w:pStyle w:val="FootnoteText"/>
        <w:rPr>
          <w:rtl/>
        </w:rPr>
      </w:pPr>
      <w:r>
        <w:rPr>
          <w:rStyle w:val="FootnoteReference1"/>
        </w:rPr>
        <w:footnoteRef/>
      </w:r>
      <w:r>
        <w:rPr>
          <w:rtl/>
        </w:rPr>
        <w:t xml:space="preserve"> </w:t>
      </w:r>
      <w:r>
        <w:rPr>
          <w:rtl/>
        </w:rPr>
        <w:tab/>
      </w:r>
      <w:r>
        <w:rPr>
          <w:rFonts w:hint="cs"/>
          <w:rtl/>
        </w:rPr>
        <w:t>הכוונה להפעלה של חלק מהמתקנים ולייצור של חלק מהתוצרים ובכמות מוגבלת.</w:t>
      </w:r>
    </w:p>
  </w:footnote>
  <w:footnote w:id="56">
    <w:p w:rsidR="00A23EA9" w:rsidP="006114CB">
      <w:pPr>
        <w:pStyle w:val="FootnoteText"/>
        <w:rPr>
          <w:rtl/>
        </w:rPr>
      </w:pPr>
      <w:r>
        <w:rPr>
          <w:rStyle w:val="FootnoteReference1"/>
        </w:rPr>
        <w:footnoteRef/>
      </w:r>
      <w:r>
        <w:rPr>
          <w:rtl/>
        </w:rPr>
        <w:t xml:space="preserve"> </w:t>
      </w:r>
      <w:r>
        <w:rPr>
          <w:rtl/>
        </w:rPr>
        <w:tab/>
      </w:r>
      <w:r>
        <w:rPr>
          <w:rFonts w:hint="cs"/>
          <w:rtl/>
        </w:rPr>
        <w:t>בתי זיקוק לנפט בע"מ, "דוח מיידי למידע מהותי כללי" (11.8.25); בתי זיקוק לנפט בע"מ, "מצגת משקיעים - סיכום רבעון שני 2025" (11.8.25).</w:t>
      </w:r>
    </w:p>
  </w:footnote>
  <w:footnote w:id="57">
    <w:p w:rsidR="00A23EA9" w:rsidP="006114CB">
      <w:pPr>
        <w:pStyle w:val="FootnoteText"/>
        <w:rPr>
          <w:rtl/>
        </w:rPr>
      </w:pPr>
      <w:r>
        <w:rPr>
          <w:rStyle w:val="FootnoteReference1"/>
        </w:rPr>
        <w:footnoteRef/>
      </w:r>
      <w:r>
        <w:rPr>
          <w:rtl/>
        </w:rPr>
        <w:t xml:space="preserve"> </w:t>
      </w:r>
      <w:r>
        <w:rPr>
          <w:rtl/>
        </w:rPr>
        <w:tab/>
      </w:r>
      <w:r w:rsidRPr="008E675F">
        <w:rPr>
          <w:rFonts w:hint="eastAsia"/>
          <w:rtl/>
        </w:rPr>
        <w:t>בתי</w:t>
      </w:r>
      <w:r w:rsidRPr="008E675F">
        <w:rPr>
          <w:rtl/>
        </w:rPr>
        <w:t xml:space="preserve"> זיקוק לנפט בע"מ</w:t>
      </w:r>
      <w:r>
        <w:rPr>
          <w:rFonts w:hint="cs"/>
          <w:rtl/>
        </w:rPr>
        <w:t>, "דוח מיידי למידע מהותי כללי" (27.5.25); בית זיקוק אשדוד בע"מ, "מצגת משקיעים - דוחות כספיים רבעון ראשון לשנת 2025" (27.5.25).</w:t>
      </w:r>
    </w:p>
  </w:footnote>
  <w:footnote w:id="58">
    <w:p w:rsidR="00A23EA9" w:rsidP="006114CB">
      <w:pPr>
        <w:pStyle w:val="FootnoteText"/>
      </w:pPr>
      <w:r>
        <w:rPr>
          <w:rStyle w:val="FootnoteReference1"/>
        </w:rPr>
        <w:footnoteRef/>
      </w:r>
      <w:r>
        <w:rPr>
          <w:rtl/>
        </w:rPr>
        <w:t xml:space="preserve"> </w:t>
      </w:r>
      <w:r>
        <w:rPr>
          <w:rtl/>
        </w:rPr>
        <w:tab/>
      </w:r>
      <w:r>
        <w:rPr>
          <w:rFonts w:hint="cs"/>
          <w:rtl/>
        </w:rPr>
        <w:t>בית זיקוק אשדוד בע"מ, "מצגת משקיעים - דוחות כספיים רבעון שני לשנת 2025" (20.8.25).</w:t>
      </w:r>
    </w:p>
  </w:footnote>
  <w:footnote w:id="59">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"דוח מיידי על אירוע או עניין החורגים מעסקי התאגיד הרגילים" (14.7.25).</w:t>
      </w:r>
    </w:p>
  </w:footnote>
  <w:footnote w:id="60">
    <w:p w:rsidR="00A23EA9" w:rsidP="006114CB">
      <w:pPr>
        <w:pStyle w:val="FootnoteText"/>
        <w:rPr>
          <w:rtl/>
        </w:rPr>
      </w:pPr>
      <w:r>
        <w:rPr>
          <w:rStyle w:val="FootnoteReference1"/>
        </w:rPr>
        <w:footnoteRef/>
      </w:r>
      <w:r>
        <w:rPr>
          <w:rtl/>
        </w:rPr>
        <w:t xml:space="preserve"> </w:t>
      </w:r>
      <w:r>
        <w:rPr>
          <w:rtl/>
        </w:rPr>
        <w:tab/>
      </w:r>
      <w:r>
        <w:rPr>
          <w:rFonts w:hint="cs"/>
          <w:rtl/>
        </w:rPr>
        <w:t>סעיף 9(ג) לצו.</w:t>
      </w:r>
    </w:p>
  </w:footnote>
  <w:footnote w:id="61">
    <w:p w:rsidR="00A23EA9" w:rsidP="006114CB">
      <w:pPr>
        <w:pStyle w:val="FootnoteText"/>
      </w:pPr>
      <w:r>
        <w:rPr>
          <w:rStyle w:val="FootnoteReference1"/>
        </w:rPr>
        <w:footnoteRef/>
      </w:r>
      <w:r>
        <w:rPr>
          <w:rtl/>
        </w:rPr>
        <w:t xml:space="preserve"> </w:t>
      </w:r>
      <w:r>
        <w:rPr>
          <w:rtl/>
        </w:rPr>
        <w:tab/>
      </w:r>
      <w:r w:rsidRPr="006C2928">
        <w:rPr>
          <w:rFonts w:hint="cs"/>
          <w:rtl/>
        </w:rPr>
        <w:t xml:space="preserve">משרד הביטחון, רשות חירום לאומית, ומשרד האנרגיה, רשות עליונה לדלק וגפ"ם, </w:t>
      </w:r>
      <w:r w:rsidRPr="006C2928">
        <w:rPr>
          <w:rFonts w:ascii="David" w:hAnsi="David" w:hint="cs"/>
          <w:rtl/>
        </w:rPr>
        <w:t xml:space="preserve">"הגדרת עדיפויות וניהול ביקושי גפ"ם בחירום </w:t>
      </w:r>
      <w:r>
        <w:rPr>
          <w:rFonts w:ascii="David" w:hAnsi="David" w:hint="cs"/>
          <w:rtl/>
        </w:rPr>
        <w:t>-</w:t>
      </w:r>
      <w:r w:rsidRPr="006C2928">
        <w:rPr>
          <w:rFonts w:ascii="David" w:hAnsi="David" w:hint="cs"/>
          <w:rtl/>
        </w:rPr>
        <w:t xml:space="preserve"> נהלים בין-משרדיים</w:t>
      </w:r>
      <w:r w:rsidRPr="006C2928">
        <w:rPr>
          <w:rFonts w:hint="cs"/>
          <w:rtl/>
        </w:rPr>
        <w:t xml:space="preserve"> (פברואר 2023)"</w:t>
      </w:r>
      <w:r>
        <w:rPr>
          <w:rFonts w:hint="cs"/>
          <w:rtl/>
        </w:rPr>
        <w:t>.</w:t>
      </w:r>
    </w:p>
  </w:footnote>
  <w:footnote w:id="62">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"דוח מיידי למידע מהותי כללי" (20.8.25); בית זיקוק אשדוד בע"מ, "מצגת משקיעים - דוחות כספיים רבעון שני לשנת 2025" (20.8.25).</w:t>
      </w:r>
    </w:p>
  </w:footnote>
  <w:footnote w:id="63">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"דוח מיידי על אירוע או עניין החורגים מעסקי התאגיד הרגילים" (14.7.25).</w:t>
      </w:r>
    </w:p>
  </w:footnote>
  <w:footnote w:id="64">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"דוח מיידי על אירוע או עניין החורגים מעסקי התאגיד הרגילים" (27.7.25).</w:t>
      </w:r>
    </w:p>
  </w:footnote>
  <w:footnote w:id="65">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"דוח מיידי על אירוע או עניין החורגים מעסקי התאגיד הרגילים" (4.8.25).</w:t>
      </w:r>
    </w:p>
  </w:footnote>
  <w:footnote w:id="66">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"הפעלה של מתקני החברה" (11.8.25).</w:t>
      </w:r>
    </w:p>
  </w:footnote>
  <w:footnote w:id="67">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"דוח מיידי למידע מהותי כללי" (20.8.25); בית זיקוק אשדוד בע"מ, "מצגת משקיעים - דוחות כספיים רבעון שני לשנת 2025" (20.8.25).</w:t>
      </w:r>
    </w:p>
  </w:footnote>
  <w:footnote w:id="68">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"דוח מיידי למידע מהותי כללי" (20.8.25); בית זיקוק אשדוד בע"מ, "מצגת משקיעים - דוחות כספיים רבעון שני לשנת 2025" (20.8.25).</w:t>
      </w:r>
    </w:p>
  </w:footnote>
  <w:footnote w:id="69">
    <w:p w:rsidR="00A23EA9" w:rsidP="006114CB">
      <w:pPr>
        <w:pStyle w:val="FootnoteText"/>
        <w:rPr>
          <w:rtl/>
        </w:rPr>
      </w:pPr>
      <w:r>
        <w:rPr>
          <w:rStyle w:val="FootnoteReference1"/>
        </w:rPr>
        <w:footnoteRef/>
      </w:r>
      <w:r>
        <w:rPr>
          <w:rtl/>
        </w:rPr>
        <w:t xml:space="preserve"> </w:t>
      </w:r>
      <w:r>
        <w:rPr>
          <w:rtl/>
        </w:rPr>
        <w:tab/>
      </w:r>
      <w:r>
        <w:rPr>
          <w:rFonts w:hint="cs"/>
          <w:rtl/>
        </w:rPr>
        <w:t>בית זיקוק אשדוד בע"מ, "דוח מיידי למידע מהותי כללי" (26.11.25); בית זיקוק אשדוד בע"מ, "מצגת משקיעים - דוחות כספיים רבעון שלישי לשנת 2025" (26.11.25).</w:t>
      </w:r>
    </w:p>
  </w:footnote>
  <w:footnote w:id="70">
    <w:p w:rsidR="00A23EA9" w:rsidP="006114CB">
      <w:pPr>
        <w:pStyle w:val="FootnoteText"/>
        <w:rPr>
          <w:rtl/>
        </w:rPr>
      </w:pPr>
      <w:r>
        <w:rPr>
          <w:rStyle w:val="FootnoteReference1"/>
        </w:rPr>
        <w:footnoteRef/>
      </w:r>
      <w:r>
        <w:rPr>
          <w:rtl/>
        </w:rPr>
        <w:t xml:space="preserve"> </w:t>
      </w:r>
      <w:r>
        <w:rPr>
          <w:rtl/>
        </w:rPr>
        <w:tab/>
      </w:r>
      <w:r w:rsidRPr="006C2928">
        <w:rPr>
          <w:rFonts w:hint="cs"/>
          <w:rtl/>
        </w:rPr>
        <w:t xml:space="preserve">משרד הביטחון, רשות חירום לאומית, ומשרד האנרגיה, רשות עליונה לדלק וגפ"ם, </w:t>
      </w:r>
      <w:r w:rsidRPr="006C2928">
        <w:rPr>
          <w:rFonts w:ascii="David" w:hAnsi="David" w:hint="cs"/>
          <w:rtl/>
        </w:rPr>
        <w:t>"הגדרת עדיפויות וניהול ביקושי גפ"ם בחירום - נהלים בין-משרדיים (טיוטה מס' 1)</w:t>
      </w:r>
      <w:r w:rsidRPr="006C2928">
        <w:rPr>
          <w:rFonts w:ascii="David" w:hAnsi="David"/>
          <w:rtl/>
        </w:rPr>
        <w:t>"</w:t>
      </w:r>
      <w:r w:rsidRPr="006C2928">
        <w:rPr>
          <w:rFonts w:hint="cs"/>
          <w:rtl/>
        </w:rPr>
        <w:t xml:space="preserve"> (אוגוסט 2025)</w:t>
      </w:r>
      <w:r>
        <w:rPr>
          <w:rFonts w:hint="cs"/>
          <w:rtl/>
        </w:rPr>
        <w:t>.</w:t>
      </w:r>
    </w:p>
  </w:footnote>
  <w:footnote w:id="71">
    <w:p w:rsidR="00A23EA9" w:rsidP="006114CB">
      <w:pPr>
        <w:pStyle w:val="FootnoteText"/>
      </w:pPr>
      <w:r>
        <w:rPr>
          <w:rStyle w:val="FootnoteReference1"/>
        </w:rPr>
        <w:footnoteRef/>
      </w:r>
      <w:r>
        <w:rPr>
          <w:rtl/>
        </w:rPr>
        <w:t xml:space="preserve"> </w:t>
      </w:r>
      <w:r>
        <w:rPr>
          <w:rtl/>
        </w:rPr>
        <w:tab/>
      </w:r>
      <w:r w:rsidRPr="006C2928">
        <w:rPr>
          <w:rFonts w:hint="cs"/>
          <w:rtl/>
        </w:rPr>
        <w:t xml:space="preserve">משרד הביטחון, רשות חירום לאומית, ומשרד האנרגיה, רשות עליונה לדלק וגפ"ם, </w:t>
      </w:r>
      <w:r w:rsidRPr="006C2928">
        <w:rPr>
          <w:rFonts w:ascii="David" w:hAnsi="David" w:hint="cs"/>
          <w:rtl/>
        </w:rPr>
        <w:t>"הגדרת עדיפויות וניהול ביקושי גפ"ם בחירום - נהלים בין-משרדיים</w:t>
      </w:r>
      <w:r w:rsidRPr="006C2928">
        <w:rPr>
          <w:rFonts w:ascii="David" w:hAnsi="David"/>
          <w:rtl/>
        </w:rPr>
        <w:t>"</w:t>
      </w:r>
      <w:r w:rsidRPr="006C2928">
        <w:rPr>
          <w:rFonts w:hint="cs"/>
          <w:rtl/>
        </w:rPr>
        <w:t xml:space="preserve"> (פברואר 2023)</w:t>
      </w:r>
      <w:r>
        <w:rPr>
          <w:rFonts w:hint="cs"/>
          <w:rtl/>
        </w:rPr>
        <w:t>.</w:t>
      </w:r>
    </w:p>
  </w:footnote>
  <w:footnote w:id="72">
    <w:p w:rsidR="00A23EA9" w:rsidRPr="00757D31" w:rsidP="006114CB">
      <w:pPr>
        <w:pStyle w:val="FootnoteText"/>
        <w:rPr>
          <w:b/>
          <w:bCs/>
          <w:rtl/>
        </w:rPr>
      </w:pPr>
      <w:r>
        <w:rPr>
          <w:rStyle w:val="FootnoteReference1"/>
        </w:rPr>
        <w:footnoteRef/>
      </w:r>
      <w:r>
        <w:rPr>
          <w:rtl/>
        </w:rPr>
        <w:t xml:space="preserve"> </w:t>
      </w:r>
      <w:r>
        <w:rPr>
          <w:rtl/>
        </w:rPr>
        <w:tab/>
      </w:r>
      <w:r w:rsidRPr="00625E9B">
        <w:rPr>
          <w:rFonts w:hint="eastAsia"/>
          <w:rtl/>
        </w:rPr>
        <w:t>מבקר</w:t>
      </w:r>
      <w:r w:rsidRPr="00625E9B">
        <w:rPr>
          <w:rtl/>
        </w:rPr>
        <w:t xml:space="preserve"> המדינה</w:t>
      </w:r>
      <w:r>
        <w:rPr>
          <w:rFonts w:hint="cs"/>
          <w:rtl/>
        </w:rPr>
        <w:t xml:space="preserve">, </w:t>
      </w:r>
      <w:r w:rsidRPr="00625E9B">
        <w:rPr>
          <w:rFonts w:hint="eastAsia"/>
          <w:b/>
          <w:bCs/>
          <w:rtl/>
        </w:rPr>
        <w:t>דוח</w:t>
      </w:r>
      <w:r w:rsidRPr="00625E9B">
        <w:rPr>
          <w:b/>
          <w:bCs/>
          <w:rtl/>
        </w:rPr>
        <w:t xml:space="preserve"> ש</w:t>
      </w:r>
      <w:r w:rsidRPr="00625E9B">
        <w:rPr>
          <w:rFonts w:hint="eastAsia"/>
          <w:b/>
          <w:bCs/>
          <w:rtl/>
        </w:rPr>
        <w:t>נתי</w:t>
      </w:r>
      <w:r w:rsidRPr="00375EB9">
        <w:rPr>
          <w:rFonts w:hint="cs"/>
          <w:b/>
          <w:bCs/>
          <w:rtl/>
        </w:rPr>
        <w:t xml:space="preserve"> </w:t>
      </w:r>
      <w:r w:rsidRPr="00625E9B">
        <w:rPr>
          <w:b/>
          <w:bCs/>
          <w:rtl/>
        </w:rPr>
        <w:t>68א</w:t>
      </w:r>
      <w:r>
        <w:rPr>
          <w:rFonts w:hint="cs"/>
          <w:rtl/>
        </w:rPr>
        <w:t xml:space="preserve"> </w:t>
      </w:r>
      <w:r w:rsidRPr="00757D31">
        <w:rPr>
          <w:rFonts w:hint="cs"/>
          <w:rtl/>
        </w:rPr>
        <w:t>(2017)</w:t>
      </w:r>
      <w:r>
        <w:rPr>
          <w:rFonts w:hint="cs"/>
          <w:rtl/>
        </w:rPr>
        <w:t>,</w:t>
      </w:r>
      <w:r>
        <w:rPr>
          <w:rFonts w:hint="cs"/>
          <w:b/>
          <w:bCs/>
          <w:rtl/>
        </w:rPr>
        <w:t xml:space="preserve"> </w:t>
      </w:r>
      <w:bookmarkStart w:id="18" w:name="OLE_LINK5"/>
      <w:r w:rsidRPr="00757D31">
        <w:rPr>
          <w:rFonts w:hint="cs"/>
          <w:rtl/>
        </w:rPr>
        <w:t>"משק הגפ"ם (גז בישול) -</w:t>
      </w:r>
      <w:r>
        <w:rPr>
          <w:rFonts w:hint="cs"/>
          <w:b/>
          <w:bCs/>
          <w:rtl/>
        </w:rPr>
        <w:t xml:space="preserve"> </w:t>
      </w:r>
      <w:r w:rsidRPr="00757D31">
        <w:rPr>
          <w:rFonts w:hint="cs"/>
          <w:rtl/>
        </w:rPr>
        <w:t xml:space="preserve">תחרותיות והיבטים בבטיחות", </w:t>
      </w:r>
      <w:bookmarkEnd w:id="18"/>
      <w:r w:rsidRPr="00757D31">
        <w:rPr>
          <w:rFonts w:hint="cs"/>
          <w:rtl/>
        </w:rPr>
        <w:t>עמ' 533</w:t>
      </w:r>
      <w:r>
        <w:rPr>
          <w:rFonts w:hint="cs"/>
          <w:rtl/>
        </w:rPr>
        <w:t xml:space="preserve"> - 574</w:t>
      </w:r>
      <w:r w:rsidRPr="00757D31">
        <w:rPr>
          <w:rFonts w:hint="cs"/>
          <w:rtl/>
        </w:rPr>
        <w:t>.</w:t>
      </w:r>
      <w:r>
        <w:rPr>
          <w:rFonts w:hint="cs"/>
          <w:b/>
          <w:bCs/>
          <w:rtl/>
        </w:rPr>
        <w:t xml:space="preserve"> </w:t>
      </w:r>
    </w:p>
  </w:footnote>
  <w:footnote w:id="73">
    <w:p w:rsidR="00A23EA9" w:rsidP="006114CB">
      <w:pPr>
        <w:pStyle w:val="FootnoteText"/>
      </w:pPr>
      <w:r>
        <w:rPr>
          <w:rStyle w:val="FootnoteReference1"/>
        </w:rPr>
        <w:footnoteRef/>
      </w:r>
      <w:r>
        <w:rPr>
          <w:rtl/>
        </w:rPr>
        <w:t xml:space="preserve"> </w:t>
      </w:r>
      <w:r>
        <w:rPr>
          <w:rtl/>
        </w:rPr>
        <w:tab/>
      </w:r>
      <w:r>
        <w:rPr>
          <w:rFonts w:hint="cs"/>
          <w:rtl/>
        </w:rPr>
        <w:t xml:space="preserve">תקופת החורף לפי קצא"א היא בין 1.10 ל-31.3. </w:t>
      </w:r>
    </w:p>
  </w:footnote>
  <w:footnote w:id="74">
    <w:p w:rsidR="00A23EA9" w:rsidP="006114CB">
      <w:pPr>
        <w:pStyle w:val="FootnoteText"/>
      </w:pPr>
      <w:r>
        <w:rPr>
          <w:rStyle w:val="FootnoteReference1"/>
        </w:rPr>
        <w:footnoteRef/>
      </w:r>
      <w:r>
        <w:rPr>
          <w:rtl/>
        </w:rPr>
        <w:t xml:space="preserve"> </w:t>
      </w:r>
      <w:r>
        <w:rPr>
          <w:rtl/>
        </w:rPr>
        <w:tab/>
      </w:r>
      <w:r>
        <w:rPr>
          <w:rFonts w:hint="cs"/>
          <w:rtl/>
        </w:rPr>
        <w:t>קבוצת דור, "מתווה דור למתן מענה למשק הגפ"ם לפני ואחרי סגירת בז"ן" (מאי 2025).</w:t>
      </w:r>
    </w:p>
  </w:footnote>
  <w:footnote w:id="75">
    <w:p w:rsidR="00A23EA9" w:rsidP="006114CB">
      <w:pPr>
        <w:pStyle w:val="FootnoteText"/>
        <w:rPr>
          <w:rtl/>
        </w:rPr>
      </w:pPr>
      <w:r>
        <w:rPr>
          <w:rStyle w:val="FootnoteReference1"/>
        </w:rPr>
        <w:footnoteRef/>
      </w:r>
      <w:r>
        <w:rPr>
          <w:rtl/>
        </w:rPr>
        <w:t xml:space="preserve"> </w:t>
      </w:r>
      <w:r>
        <w:rPr>
          <w:rtl/>
        </w:rPr>
        <w:tab/>
      </w:r>
      <w:r>
        <w:rPr>
          <w:rFonts w:hint="cs"/>
          <w:rtl/>
        </w:rPr>
        <w:t>אוניות אלה הן בגודל המתאים להפלגה קצרה המשמשת להובלה אזורית ושינוע לנמלים קטנים כגון נמל קצא"א. ה</w:t>
      </w:r>
      <w:r w:rsidRPr="00FB3893">
        <w:rPr>
          <w:rtl/>
        </w:rPr>
        <w:t>ספק משלח את ה</w:t>
      </w:r>
      <w:r>
        <w:rPr>
          <w:rtl/>
        </w:rPr>
        <w:t>גפ"ם</w:t>
      </w:r>
      <w:r w:rsidRPr="00FB3893">
        <w:rPr>
          <w:rtl/>
        </w:rPr>
        <w:t xml:space="preserve"> מנפחי אחסון גדולים שיש לו ב</w:t>
      </w:r>
      <w:r>
        <w:rPr>
          <w:rFonts w:hint="cs"/>
          <w:rtl/>
        </w:rPr>
        <w:t>ט</w:t>
      </w:r>
      <w:r w:rsidRPr="00FB3893">
        <w:rPr>
          <w:rtl/>
        </w:rPr>
        <w:t>ור</w:t>
      </w:r>
      <w:r>
        <w:rPr>
          <w:rFonts w:hint="cs"/>
          <w:rtl/>
        </w:rPr>
        <w:t>ק</w:t>
      </w:r>
      <w:r w:rsidRPr="00FB3893">
        <w:rPr>
          <w:rtl/>
        </w:rPr>
        <w:t>יה</w:t>
      </w:r>
      <w:r>
        <w:rPr>
          <w:rFonts w:hint="cs"/>
          <w:rtl/>
        </w:rPr>
        <w:t>.</w:t>
      </w:r>
    </w:p>
  </w:footnote>
  <w:footnote w:id="76">
    <w:p w:rsidR="00A23EA9" w:rsidP="006114CB">
      <w:pPr>
        <w:pStyle w:val="FootnoteText"/>
        <w:rPr>
          <w:rtl/>
        </w:rPr>
      </w:pPr>
      <w:r>
        <w:rPr>
          <w:rStyle w:val="FootnoteReference1"/>
        </w:rPr>
        <w:footnoteRef/>
      </w:r>
      <w:r>
        <w:rPr>
          <w:rtl/>
        </w:rPr>
        <w:t xml:space="preserve"> </w:t>
      </w:r>
      <w:r>
        <w:rPr>
          <w:rtl/>
        </w:rPr>
        <w:tab/>
      </w:r>
      <w:r>
        <w:rPr>
          <w:rFonts w:hint="cs"/>
          <w:rtl/>
        </w:rPr>
        <w:t>שוקע של מכלית (</w:t>
      </w:r>
      <w:r>
        <w:t>Draft/Draught</w:t>
      </w:r>
      <w:r>
        <w:rPr>
          <w:rFonts w:hint="cs"/>
          <w:rtl/>
        </w:rPr>
        <w:t>) הוא המרחק האנכי בין קו המים החיצוני שבו הספינה צפה ובין החלק התחתון ביותר של גוף הספינה. כלומר כמה עמוק יושב גוף הספינה בתוך המים. נתון זה חשוב למכליות ולכל כלי שיט גדול מכמה סיבות: (1) הוא קובע עד כמה הספינה יכולה לשוט במים רדודים; (2) הוא משתנה בהתאם למשקל המטען שהמכלית נושאת - כשהיא ריקה השוקע קטן, וכשהיא מלאה השוקע גדול יותר; (3) השוקע משפיע על חישובי יציבות, בטיחות, ועל מגבלות כניסה לנמלים ותעלות. המשמעות של שוקע עד 7 מטרים היא שהחלק התחתון של גוף המכלית נמצא 7 מטרים מתחת לפני המים כשהיא טעונה עד הגבול המותר. לכן היא זקוקה לעומק של יותר מ-7 מטרים כדי לשוט בבטחה עם מרווח ביטחון (</w:t>
      </w:r>
      <w:r>
        <w:t>Under Keel Clearance</w:t>
      </w:r>
      <w:r>
        <w:rPr>
          <w:rFonts w:hint="cs"/>
          <w:rtl/>
        </w:rPr>
        <w:t>).</w:t>
      </w:r>
    </w:p>
  </w:footnote>
  <w:footnote w:id="77">
    <w:p w:rsidR="00A23EA9" w:rsidP="006114CB">
      <w:pPr>
        <w:pStyle w:val="FootnoteText"/>
        <w:rPr>
          <w:rtl/>
        </w:rPr>
      </w:pPr>
      <w:r>
        <w:rPr>
          <w:rStyle w:val="FootnoteReference1"/>
        </w:rPr>
        <w:footnoteRef/>
      </w:r>
      <w:r>
        <w:rPr>
          <w:rtl/>
        </w:rPr>
        <w:t xml:space="preserve"> </w:t>
      </w:r>
      <w:r>
        <w:rPr>
          <w:rtl/>
        </w:rPr>
        <w:tab/>
      </w:r>
      <w:r w:rsidRPr="00762D09">
        <w:t>TASC</w:t>
      </w:r>
      <w:r>
        <w:rPr>
          <w:rFonts w:hint="cs"/>
          <w:rtl/>
        </w:rPr>
        <w:t>, עתיד משק הדלק</w:t>
      </w:r>
      <w:r w:rsidRPr="00794CF7">
        <w:rPr>
          <w:rFonts w:hint="cs"/>
          <w:rtl/>
        </w:rPr>
        <w:t>.</w:t>
      </w:r>
    </w:p>
  </w:footnote>
  <w:footnote w:id="78">
    <w:p w:rsidR="00A23EA9" w:rsidRPr="00DB4075" w:rsidP="006114CB">
      <w:pPr>
        <w:pStyle w:val="FootnoteText"/>
        <w:rPr>
          <w:rtl/>
        </w:rPr>
      </w:pPr>
      <w:r w:rsidRPr="00DB4075">
        <w:rPr>
          <w:rStyle w:val="FootnoteReference1"/>
        </w:rPr>
        <w:footnoteRef/>
      </w:r>
      <w:r>
        <w:rPr>
          <w:rFonts w:hint="cs"/>
          <w:rtl/>
        </w:rPr>
        <w:t xml:space="preserve"> </w:t>
      </w:r>
      <w:r>
        <w:rPr>
          <w:rtl/>
        </w:rPr>
        <w:tab/>
      </w:r>
      <w:r w:rsidRPr="00DB4075">
        <w:rPr>
          <w:rFonts w:hint="cs"/>
          <w:rtl/>
        </w:rPr>
        <w:t>"ספק גז" הוא מי שעוסק במכירה או בשיווק של גז, ובלבד שהוא בעל רישיון לפי חוק הגז, למעט בית זיקוק.</w:t>
      </w:r>
    </w:p>
  </w:footnote>
  <w:footnote w:id="79">
    <w:p w:rsidR="00A23EA9" w:rsidRPr="00DB4075" w:rsidP="006114CB">
      <w:pPr>
        <w:pStyle w:val="FootnoteText"/>
      </w:pPr>
      <w:r w:rsidRPr="00DB4075">
        <w:rPr>
          <w:rStyle w:val="FootnoteReference1"/>
        </w:rPr>
        <w:footnoteRef/>
      </w:r>
      <w:r>
        <w:rPr>
          <w:rFonts w:hint="cs"/>
          <w:rtl/>
        </w:rPr>
        <w:t xml:space="preserve"> </w:t>
      </w:r>
      <w:r>
        <w:rPr>
          <w:rtl/>
        </w:rPr>
        <w:tab/>
      </w:r>
      <w:r w:rsidRPr="00DB4075">
        <w:rPr>
          <w:rFonts w:hint="cs"/>
          <w:rtl/>
        </w:rPr>
        <w:t>לא כל הספקים מזמינים גז משני בתי הזיקוק; אם למשל המרחק הג</w:t>
      </w:r>
      <w:r>
        <w:rPr>
          <w:rFonts w:hint="cs"/>
          <w:rtl/>
        </w:rPr>
        <w:t>י</w:t>
      </w:r>
      <w:r w:rsidRPr="00DB4075">
        <w:rPr>
          <w:rFonts w:hint="cs"/>
          <w:rtl/>
        </w:rPr>
        <w:t>אוגרפי בין הספק לבית הזיקוק גדול מדי הוא</w:t>
      </w:r>
      <w:r>
        <w:rPr>
          <w:rFonts w:hint="cs"/>
          <w:rtl/>
        </w:rPr>
        <w:t xml:space="preserve"> </w:t>
      </w:r>
      <w:r w:rsidRPr="00DB4075">
        <w:rPr>
          <w:rFonts w:hint="cs"/>
          <w:rtl/>
        </w:rPr>
        <w:t>יזמין גז רק מבית הזיקוק הקרוב אליו.</w:t>
      </w:r>
    </w:p>
  </w:footnote>
  <w:footnote w:id="80">
    <w:p w:rsidR="00A23EA9" w:rsidP="006114CB">
      <w:pPr>
        <w:pStyle w:val="FootnoteText"/>
      </w:pPr>
      <w:r>
        <w:rPr>
          <w:rStyle w:val="FootnoteReference1"/>
        </w:rPr>
        <w:footnoteRef/>
      </w:r>
      <w:r>
        <w:rPr>
          <w:rtl/>
        </w:rPr>
        <w:t xml:space="preserve"> </w:t>
      </w:r>
      <w:r>
        <w:rPr>
          <w:rtl/>
        </w:rPr>
        <w:tab/>
      </w:r>
      <w:r>
        <w:rPr>
          <w:rFonts w:hint="cs"/>
          <w:rtl/>
        </w:rPr>
        <w:t>לפי התקנות, "חודש מחסור" הוא "חודש שבו אין בידי בית זיקוק לספק את מלוא הביקוש ממנו לגז".</w:t>
      </w:r>
    </w:p>
  </w:footnote>
  <w:footnote w:id="81">
    <w:p w:rsidR="00A23EA9" w:rsidP="006114CB">
      <w:pPr>
        <w:pStyle w:val="FootnoteText"/>
      </w:pPr>
      <w:r>
        <w:rPr>
          <w:rStyle w:val="FootnoteReference1"/>
        </w:rPr>
        <w:footnoteRef/>
      </w:r>
      <w:r>
        <w:rPr>
          <w:rtl/>
        </w:rPr>
        <w:t xml:space="preserve"> </w:t>
      </w:r>
      <w:r>
        <w:rPr>
          <w:rtl/>
        </w:rPr>
        <w:tab/>
      </w:r>
      <w:r>
        <w:rPr>
          <w:rFonts w:hint="cs"/>
          <w:rtl/>
        </w:rPr>
        <w:t>לפי תקנות ההקצבות, ספק חדש הוא ספק גז הרוכש מבתי הזיקוק גז במשך שנה או פחות ואינו תאגיד הקשור לספקי גז אחרים וכן ספק גז אחר שלא רכש גז מבתי הזיקוק במהלך תשעת החודשים שקדמו לבקשתו.</w:t>
      </w:r>
    </w:p>
  </w:footnote>
  <w:footnote w:id="82">
    <w:p w:rsidR="00A23EA9" w:rsidP="006114CB">
      <w:pPr>
        <w:pStyle w:val="FootnoteText"/>
      </w:pPr>
      <w:r>
        <w:rPr>
          <w:rStyle w:val="FootnoteReference1"/>
        </w:rPr>
        <w:footnoteRef/>
      </w:r>
      <w:r>
        <w:rPr>
          <w:rtl/>
        </w:rPr>
        <w:t xml:space="preserve"> </w:t>
      </w:r>
      <w:r>
        <w:rPr>
          <w:rtl/>
        </w:rPr>
        <w:tab/>
      </w:r>
      <w:r>
        <w:rPr>
          <w:rFonts w:hint="cs"/>
          <w:rtl/>
        </w:rPr>
        <w:t xml:space="preserve">לפי תקנות ההקצבות, ספק גז קטן הוא ספק שהמנהל הודיע עליו לבתי הזיקוק שהוא ספק גז למעלה משנה ואינו תאגיד קשור לספקי גז אחרים ושחלקו היחסי בגז שנופק לו בבית הזיקוק ביחס להיקף המכירות לשאר ספקי הגז בבתי הזיקוק, בשלושת החודשים שקדמו לחודש שלפני חודש המחסור, אינו עולה על 5%. </w:t>
      </w:r>
    </w:p>
  </w:footnote>
  <w:footnote w:id="83">
    <w:p w:rsidR="00A23EA9" w:rsidP="006114CB">
      <w:pPr>
        <w:pStyle w:val="FootnoteText"/>
      </w:pPr>
      <w:r>
        <w:rPr>
          <w:rStyle w:val="FootnoteReference1"/>
        </w:rPr>
        <w:footnoteRef/>
      </w:r>
      <w:r>
        <w:rPr>
          <w:rtl/>
        </w:rPr>
        <w:t xml:space="preserve"> </w:t>
      </w:r>
      <w:r>
        <w:rPr>
          <w:rtl/>
        </w:rPr>
        <w:tab/>
      </w:r>
      <w:r>
        <w:rPr>
          <w:rFonts w:hint="cs"/>
          <w:rtl/>
        </w:rPr>
        <w:t xml:space="preserve">בוטאן ופרופאן הם גזים דליקים המשמשים רכיבים עיקריים של הגפ"ם. </w:t>
      </w:r>
    </w:p>
  </w:footnote>
  <w:footnote w:id="84">
    <w:p w:rsidR="00A23EA9" w:rsidP="006114CB">
      <w:pPr>
        <w:pStyle w:val="FootnoteText"/>
        <w:rPr>
          <w:rtl/>
        </w:rPr>
      </w:pPr>
      <w:r>
        <w:rPr>
          <w:rStyle w:val="FootnoteReference1"/>
        </w:rPr>
        <w:footnoteRef/>
      </w:r>
      <w:r>
        <w:rPr>
          <w:rtl/>
        </w:rPr>
        <w:t xml:space="preserve"> </w:t>
      </w:r>
      <w:r>
        <w:rPr>
          <w:rtl/>
        </w:rPr>
        <w:tab/>
      </w:r>
      <w:r>
        <w:rPr>
          <w:rFonts w:hint="cs"/>
          <w:rtl/>
        </w:rPr>
        <w:t>יום העבודה הראשון בכל חודש.</w:t>
      </w:r>
    </w:p>
  </w:footnote>
  <w:footnote w:id="85">
    <w:p w:rsidR="00A23EA9" w:rsidP="006114CB">
      <w:pPr>
        <w:pStyle w:val="FootnoteText"/>
        <w:rPr>
          <w:rtl/>
        </w:rPr>
      </w:pPr>
      <w:r>
        <w:rPr>
          <w:rStyle w:val="FootnoteReference1"/>
        </w:rPr>
        <w:footnoteRef/>
      </w:r>
      <w:r>
        <w:rPr>
          <w:rtl/>
        </w:rPr>
        <w:t xml:space="preserve"> </w:t>
      </w:r>
      <w:r>
        <w:rPr>
          <w:rtl/>
        </w:rPr>
        <w:tab/>
      </w:r>
      <w:r>
        <w:rPr>
          <w:rFonts w:hint="cs"/>
          <w:rtl/>
        </w:rPr>
        <w:t>פריקה או טעינה של מטען והעברתו לכלי תובלה לשם הוצאתו מהנמל לאונייה או לשטח אחסון.</w:t>
      </w:r>
    </w:p>
  </w:footnote>
  <w:footnote w:id="86">
    <w:p w:rsidR="00A23EA9" w:rsidP="006114CB">
      <w:pPr>
        <w:pStyle w:val="FootnoteText"/>
      </w:pPr>
      <w:r>
        <w:rPr>
          <w:rStyle w:val="FootnoteReference1"/>
        </w:rPr>
        <w:footnoteRef/>
      </w:r>
      <w:r>
        <w:rPr>
          <w:rtl/>
        </w:rPr>
        <w:t xml:space="preserve"> </w:t>
      </w:r>
      <w:r>
        <w:rPr>
          <w:rtl/>
        </w:rPr>
        <w:tab/>
      </w:r>
      <w:r>
        <w:rPr>
          <w:rFonts w:hint="cs"/>
          <w:rtl/>
        </w:rPr>
        <w:t>כשהאונייה משתהה בעגינתה בנמל.</w:t>
      </w:r>
    </w:p>
  </w:footnote>
  <w:footnote w:id="87">
    <w:p w:rsidR="00A23EA9" w:rsidP="006114CB">
      <w:pPr>
        <w:pStyle w:val="FootnoteText"/>
        <w:rPr>
          <w:rtl/>
        </w:rPr>
      </w:pPr>
      <w:r>
        <w:rPr>
          <w:rStyle w:val="FootnoteReference1"/>
        </w:rPr>
        <w:footnoteRef/>
      </w:r>
      <w:r>
        <w:rPr>
          <w:rtl/>
        </w:rPr>
        <w:t xml:space="preserve"> </w:t>
      </w:r>
      <w:r>
        <w:rPr>
          <w:rtl/>
        </w:rPr>
        <w:tab/>
      </w:r>
      <w:r>
        <w:t>The National Economic Council, "The future of petrochemical industries in Haifa bay - Final report" (28.6.2018).</w:t>
      </w:r>
    </w:p>
  </w:footnote>
  <w:footnote w:id="88">
    <w:p w:rsidR="00A23EA9" w:rsidP="006114CB">
      <w:pPr>
        <w:pStyle w:val="FootnoteText"/>
        <w:rPr>
          <w:rtl/>
        </w:rPr>
      </w:pPr>
      <w:r>
        <w:rPr>
          <w:rStyle w:val="FootnoteReference1"/>
        </w:rPr>
        <w:footnoteRef/>
      </w:r>
      <w:r>
        <w:rPr>
          <w:rtl/>
        </w:rPr>
        <w:t xml:space="preserve"> </w:t>
      </w:r>
      <w:r>
        <w:rPr>
          <w:rtl/>
        </w:rPr>
        <w:tab/>
      </w:r>
      <w:r w:rsidRPr="00762D09">
        <w:t>TASC</w:t>
      </w:r>
      <w:r>
        <w:rPr>
          <w:rFonts w:hint="cs"/>
          <w:rtl/>
        </w:rPr>
        <w:t>, עתיד משק הדלק</w:t>
      </w:r>
      <w:r w:rsidRPr="00794CF7">
        <w:rPr>
          <w:rFonts w:hint="cs"/>
          <w:rtl/>
        </w:rPr>
        <w:t>.</w:t>
      </w:r>
    </w:p>
  </w:footnote>
  <w:footnote w:id="89">
    <w:p w:rsidR="00A23EA9" w:rsidP="006114CB">
      <w:pPr>
        <w:pStyle w:val="FootnoteText"/>
      </w:pPr>
      <w:r>
        <w:rPr>
          <w:rStyle w:val="FootnoteReference1"/>
        </w:rPr>
        <w:footnoteRef/>
      </w:r>
      <w:r>
        <w:rPr>
          <w:rtl/>
        </w:rPr>
        <w:t xml:space="preserve"> </w:t>
      </w:r>
      <w:r>
        <w:rPr>
          <w:rtl/>
        </w:rPr>
        <w:tab/>
      </w:r>
      <w:r>
        <w:rPr>
          <w:rFonts w:hint="cs"/>
          <w:rtl/>
        </w:rPr>
        <w:t>במועד סיום הביקורת התוספת בפועל היא 60 דולר בערכם בש"ח.</w:t>
      </w:r>
    </w:p>
  </w:footnote>
  <w:footnote w:id="90">
    <w:p w:rsidR="00A23EA9" w:rsidP="006114CB">
      <w:pPr>
        <w:pStyle w:val="FootnoteText"/>
      </w:pPr>
      <w:r>
        <w:rPr>
          <w:rStyle w:val="FootnoteReference1"/>
        </w:rPr>
        <w:footnoteRef/>
      </w:r>
      <w:r>
        <w:rPr>
          <w:rtl/>
        </w:rPr>
        <w:t xml:space="preserve"> </w:t>
      </w:r>
      <w:r>
        <w:rPr>
          <w:rtl/>
        </w:rPr>
        <w:tab/>
      </w:r>
      <w:r>
        <w:rPr>
          <w:rFonts w:hint="cs"/>
          <w:rtl/>
        </w:rPr>
        <w:t>ראו גם</w:t>
      </w:r>
      <w:r w:rsidRPr="00F36D4E">
        <w:rPr>
          <w:rFonts w:hint="eastAsia"/>
          <w:rtl/>
        </w:rPr>
        <w:t xml:space="preserve"> </w:t>
      </w:r>
      <w:r w:rsidRPr="00625E9B">
        <w:rPr>
          <w:rFonts w:hint="eastAsia"/>
          <w:rtl/>
        </w:rPr>
        <w:t>מבקר</w:t>
      </w:r>
      <w:r w:rsidRPr="00625E9B">
        <w:rPr>
          <w:rtl/>
        </w:rPr>
        <w:t xml:space="preserve"> המדינה</w:t>
      </w:r>
      <w:r>
        <w:rPr>
          <w:rFonts w:hint="cs"/>
          <w:rtl/>
        </w:rPr>
        <w:t>,</w:t>
      </w:r>
      <w:r w:rsidRPr="006C2928">
        <w:rPr>
          <w:rFonts w:hint="cs"/>
          <w:rtl/>
        </w:rPr>
        <w:t xml:space="preserve"> </w:t>
      </w:r>
      <w:r w:rsidRPr="006C2928">
        <w:rPr>
          <w:rFonts w:hint="eastAsia"/>
          <w:b/>
          <w:bCs/>
          <w:rtl/>
        </w:rPr>
        <w:t>דוח</w:t>
      </w:r>
      <w:r w:rsidRPr="006C2928">
        <w:rPr>
          <w:b/>
          <w:bCs/>
          <w:rtl/>
        </w:rPr>
        <w:t xml:space="preserve"> </w:t>
      </w:r>
      <w:r w:rsidRPr="006C2928">
        <w:rPr>
          <w:rFonts w:hint="eastAsia"/>
          <w:b/>
          <w:bCs/>
          <w:rtl/>
        </w:rPr>
        <w:t>שנתי</w:t>
      </w:r>
      <w:r w:rsidRPr="006C2928">
        <w:rPr>
          <w:b/>
          <w:bCs/>
          <w:rtl/>
        </w:rPr>
        <w:t xml:space="preserve"> 76ב </w:t>
      </w:r>
      <w:r w:rsidRPr="006C2928">
        <w:rPr>
          <w:rFonts w:hint="eastAsia"/>
          <w:b/>
          <w:bCs/>
          <w:rtl/>
        </w:rPr>
        <w:t>חלק</w:t>
      </w:r>
      <w:r w:rsidRPr="006C2928">
        <w:rPr>
          <w:b/>
          <w:bCs/>
          <w:rtl/>
        </w:rPr>
        <w:t xml:space="preserve"> </w:t>
      </w:r>
      <w:r w:rsidRPr="006C2928">
        <w:rPr>
          <w:rFonts w:hint="eastAsia"/>
          <w:b/>
          <w:bCs/>
          <w:rtl/>
        </w:rPr>
        <w:t>שלישי</w:t>
      </w:r>
      <w:r w:rsidRPr="006C2928">
        <w:rPr>
          <w:rFonts w:hint="cs"/>
          <w:rtl/>
        </w:rPr>
        <w:t xml:space="preserve"> (2026) "</w:t>
      </w:r>
      <w:r w:rsidRPr="006C2928">
        <w:rPr>
          <w:rtl/>
        </w:rPr>
        <w:t>היערכות למצבי חירום במשק האנרגיה בראי מלחמת</w:t>
      </w:r>
      <w:r w:rsidRPr="006C2928">
        <w:rPr>
          <w:rFonts w:hint="cs"/>
          <w:rtl/>
        </w:rPr>
        <w:t xml:space="preserve"> </w:t>
      </w:r>
      <w:r w:rsidRPr="006C2928">
        <w:rPr>
          <w:rtl/>
        </w:rPr>
        <w:t>חרבות ברזל ומבצע עם כלביא - דלקים, גפ"</w:t>
      </w:r>
      <w:r w:rsidRPr="006C2928">
        <w:rPr>
          <w:rFonts w:hint="cs"/>
          <w:rtl/>
        </w:rPr>
        <w:t>ם</w:t>
      </w:r>
      <w:r w:rsidRPr="006C2928">
        <w:rPr>
          <w:rtl/>
        </w:rPr>
        <w:t xml:space="preserve"> וגז טבעי"</w:t>
      </w:r>
      <w:r w:rsidRPr="006C2928">
        <w:rPr>
          <w:rFonts w:hint="cs"/>
          <w:rtl/>
        </w:rPr>
        <w:t>.</w:t>
      </w:r>
      <w:r w:rsidRPr="006C2928">
        <w:rPr>
          <w:rtl/>
        </w:rPr>
        <w:t xml:space="preserve"> </w:t>
      </w:r>
    </w:p>
  </w:footnote>
  <w:footnote w:id="91">
    <w:p w:rsidR="00A23EA9" w:rsidP="006114CB">
      <w:pPr>
        <w:pStyle w:val="FootnoteText"/>
      </w:pPr>
      <w:r>
        <w:rPr>
          <w:rStyle w:val="FootnoteReference1"/>
        </w:rPr>
        <w:footnoteRef/>
      </w:r>
      <w:r>
        <w:rPr>
          <w:rtl/>
        </w:rPr>
        <w:t xml:space="preserve"> </w:t>
      </w:r>
      <w:r>
        <w:rPr>
          <w:rtl/>
        </w:rPr>
        <w:tab/>
      </w:r>
      <w:r>
        <w:rPr>
          <w:rFonts w:hint="cs"/>
          <w:rtl/>
        </w:rPr>
        <w:t>ראו הרחבה להלן בפרק "תשתיות ליבוא ולאחסון של גפ"ם".</w:t>
      </w:r>
    </w:p>
  </w:footnote>
  <w:footnote w:id="92">
    <w:p w:rsidR="00A23EA9" w:rsidP="006114CB">
      <w:pPr>
        <w:pStyle w:val="FootnoteText"/>
        <w:rPr>
          <w:rtl/>
        </w:rPr>
      </w:pPr>
      <w:r>
        <w:rPr>
          <w:rStyle w:val="FootnoteReference1"/>
        </w:rPr>
        <w:footnoteRef/>
      </w:r>
      <w:r>
        <w:rPr>
          <w:rtl/>
        </w:rPr>
        <w:t xml:space="preserve"> </w:t>
      </w:r>
      <w:r>
        <w:rPr>
          <w:rtl/>
        </w:rPr>
        <w:tab/>
      </w:r>
      <w:r w:rsidRPr="00EF65A0">
        <w:rPr>
          <w:rFonts w:hint="cs"/>
          <w:rtl/>
        </w:rPr>
        <w:t>בפרק "תשתיות ליבוא ולאחסון של גפ"ם".</w:t>
      </w:r>
    </w:p>
  </w:footnote>
  <w:footnote w:id="93">
    <w:p w:rsidR="00A23EA9" w:rsidP="006114CB">
      <w:pPr>
        <w:pStyle w:val="FootnoteText"/>
        <w:rPr>
          <w:rtl/>
        </w:rPr>
      </w:pPr>
      <w:r>
        <w:rPr>
          <w:rStyle w:val="FootnoteReference1"/>
        </w:rPr>
        <w:footnoteRef/>
      </w:r>
      <w:r>
        <w:rPr>
          <w:rtl/>
        </w:rPr>
        <w:t xml:space="preserve"> </w:t>
      </w:r>
      <w:r>
        <w:rPr>
          <w:rtl/>
        </w:rPr>
        <w:tab/>
      </w:r>
      <w:r>
        <w:rPr>
          <w:rFonts w:hint="cs"/>
          <w:rtl/>
        </w:rPr>
        <w:t>הוועדה והמינהלת הוקמו מכוח החלטת הממשלה 1231 במועצה הלאומית לכלכלה, כגופים האמונים על יישומה של ההחלטה.</w:t>
      </w:r>
      <w:r w:rsidRPr="00570130">
        <w:rPr>
          <w:rtl/>
        </w:rPr>
        <w:t xml:space="preserve"> </w:t>
      </w:r>
      <w:r w:rsidRPr="003919E6">
        <w:rPr>
          <w:rtl/>
        </w:rPr>
        <w:t>המ</w:t>
      </w:r>
      <w:r>
        <w:rPr>
          <w:rFonts w:hint="cs"/>
          <w:rtl/>
        </w:rPr>
        <w:t>י</w:t>
      </w:r>
      <w:r w:rsidRPr="003919E6">
        <w:rPr>
          <w:rtl/>
        </w:rPr>
        <w:t>נהלת לפיתוח מפרץ חיפה הוקמה במשרד ראש הממשלה בקיץ 2022</w:t>
      </w:r>
      <w:r>
        <w:rPr>
          <w:rFonts w:hint="cs"/>
          <w:rtl/>
        </w:rPr>
        <w:t>,</w:t>
      </w:r>
      <w:r w:rsidRPr="003919E6">
        <w:rPr>
          <w:rtl/>
        </w:rPr>
        <w:t xml:space="preserve"> מטרתה היא יישום מלא של החלטת הממשלה</w:t>
      </w:r>
      <w:r>
        <w:rPr>
          <w:rFonts w:hint="cs"/>
          <w:rtl/>
        </w:rPr>
        <w:t>,</w:t>
      </w:r>
      <w:r w:rsidRPr="003919E6">
        <w:rPr>
          <w:rtl/>
        </w:rPr>
        <w:t xml:space="preserve"> </w:t>
      </w:r>
      <w:r>
        <w:rPr>
          <w:rFonts w:hint="cs"/>
          <w:rtl/>
        </w:rPr>
        <w:t>ותפקידה להיות</w:t>
      </w:r>
      <w:r w:rsidRPr="003919E6">
        <w:rPr>
          <w:rtl/>
        </w:rPr>
        <w:t xml:space="preserve"> גוף האינטגרציה המרכזי לתכנון ו</w:t>
      </w:r>
      <w:r>
        <w:rPr>
          <w:rFonts w:hint="cs"/>
          <w:rtl/>
        </w:rPr>
        <w:t>ל</w:t>
      </w:r>
      <w:r w:rsidRPr="003919E6">
        <w:rPr>
          <w:rtl/>
        </w:rPr>
        <w:t xml:space="preserve">יישום </w:t>
      </w:r>
      <w:r>
        <w:rPr>
          <w:rFonts w:hint="cs"/>
          <w:rtl/>
        </w:rPr>
        <w:t xml:space="preserve">של </w:t>
      </w:r>
      <w:r w:rsidRPr="003919E6">
        <w:rPr>
          <w:rtl/>
        </w:rPr>
        <w:t xml:space="preserve">ההחלטה על כל </w:t>
      </w:r>
      <w:r>
        <w:rPr>
          <w:rFonts w:hint="cs"/>
          <w:rtl/>
        </w:rPr>
        <w:t>סעיפיה</w:t>
      </w:r>
      <w:r w:rsidRPr="003919E6">
        <w:rPr>
          <w:rtl/>
        </w:rPr>
        <w:t xml:space="preserve"> ומול כל שותפי הפעילות.</w:t>
      </w:r>
      <w:r>
        <w:rPr>
          <w:rFonts w:hint="cs"/>
          <w:rtl/>
        </w:rPr>
        <w:t xml:space="preserve"> בראשות המינהלת עומדים יו"ר המועצה הלאומית לכלכלה וסגנו.</w:t>
      </w:r>
    </w:p>
  </w:footnote>
  <w:footnote w:id="94">
    <w:p w:rsidR="00A23EA9" w:rsidP="006114CB">
      <w:pPr>
        <w:pStyle w:val="FootnoteText"/>
      </w:pPr>
      <w:r>
        <w:rPr>
          <w:rStyle w:val="FootnoteReference1"/>
        </w:rPr>
        <w:footnoteRef/>
      </w:r>
      <w:r>
        <w:rPr>
          <w:rtl/>
        </w:rPr>
        <w:t xml:space="preserve"> </w:t>
      </w:r>
      <w:r>
        <w:rPr>
          <w:rtl/>
        </w:rPr>
        <w:tab/>
      </w:r>
      <w:r>
        <w:rPr>
          <w:rFonts w:hint="cs"/>
          <w:rtl/>
        </w:rPr>
        <w:t>אתר המינהלת לפיתוח מפרץ חיפה במשרד ראש הממשלה.</w:t>
      </w:r>
    </w:p>
  </w:footnote>
  <w:footnote w:id="95">
    <w:p w:rsidR="00A23EA9" w:rsidP="006114CB">
      <w:pPr>
        <w:pStyle w:val="FootnoteText"/>
      </w:pPr>
      <w:r>
        <w:rPr>
          <w:rStyle w:val="FootnoteReference1"/>
        </w:rPr>
        <w:footnoteRef/>
      </w:r>
      <w:r>
        <w:rPr>
          <w:rtl/>
        </w:rPr>
        <w:t xml:space="preserve"> </w:t>
      </w:r>
      <w:r>
        <w:rPr>
          <w:rtl/>
        </w:rPr>
        <w:tab/>
      </w:r>
      <w:r>
        <w:rPr>
          <w:rFonts w:hint="cs"/>
          <w:rtl/>
        </w:rPr>
        <w:t>מתחם יבור, שאושר בתמ"א 32 ובתמ"א 75 לאחסון גפ</w:t>
      </w:r>
      <w:r>
        <w:rPr>
          <w:rtl/>
        </w:rPr>
        <w:t>"</w:t>
      </w:r>
      <w:r>
        <w:rPr>
          <w:rFonts w:hint="cs"/>
          <w:rtl/>
        </w:rPr>
        <w:t>ם, נמצא ליד קיבוץ יסעור, כשמונה קילומטר מזרחית מקו החוף.</w:t>
      </w:r>
    </w:p>
  </w:footnote>
  <w:footnote w:id="96">
    <w:p w:rsidR="00A23EA9" w:rsidP="006114CB">
      <w:pPr>
        <w:pStyle w:val="FootnoteText"/>
      </w:pPr>
      <w:r>
        <w:rPr>
          <w:rStyle w:val="FootnoteReference1"/>
        </w:rPr>
        <w:footnoteRef/>
      </w:r>
      <w:r>
        <w:rPr>
          <w:rtl/>
        </w:rPr>
        <w:t xml:space="preserve"> </w:t>
      </w:r>
      <w:r>
        <w:rPr>
          <w:rtl/>
        </w:rPr>
        <w:tab/>
      </w:r>
      <w:r>
        <w:rPr>
          <w:rFonts w:hint="cs"/>
          <w:rtl/>
        </w:rPr>
        <w:t>מחנ"י נמסר כי צפי סיום הקמת המזח הוא ינואר 2028. לאחר מכן תידרש השלמת הקמת החלק היבשתי על ידי מפעיל המזח שייבחר. להערכת חנ"י, צפי זמן הקמת חלק זה הוא שנתיים-שלוש.</w:t>
      </w:r>
    </w:p>
  </w:footnote>
  <w:footnote w:id="97">
    <w:p w:rsidR="00A23EA9" w:rsidP="006114CB">
      <w:pPr>
        <w:pStyle w:val="FootnoteText"/>
      </w:pPr>
      <w:r>
        <w:rPr>
          <w:rStyle w:val="FootnoteReference1"/>
        </w:rPr>
        <w:footnoteRef/>
      </w:r>
      <w:r>
        <w:rPr>
          <w:rtl/>
        </w:rPr>
        <w:t xml:space="preserve"> </w:t>
      </w:r>
      <w:r>
        <w:rPr>
          <w:rtl/>
        </w:rPr>
        <w:tab/>
      </w:r>
      <w:r>
        <w:rPr>
          <w:rFonts w:hint="cs"/>
          <w:rtl/>
        </w:rPr>
        <w:t>תש"א היא חברה ממשלתית</w:t>
      </w:r>
      <w:r w:rsidRPr="00041495">
        <w:rPr>
          <w:rtl/>
        </w:rPr>
        <w:t xml:space="preserve"> </w:t>
      </w:r>
      <w:r>
        <w:rPr>
          <w:rFonts w:hint="cs"/>
          <w:rtl/>
        </w:rPr>
        <w:t>ה</w:t>
      </w:r>
      <w:r w:rsidRPr="00041495">
        <w:rPr>
          <w:rtl/>
        </w:rPr>
        <w:t xml:space="preserve">עוסקת בפריקה, </w:t>
      </w:r>
      <w:r>
        <w:rPr>
          <w:rFonts w:hint="cs"/>
          <w:rtl/>
        </w:rPr>
        <w:t>ב</w:t>
      </w:r>
      <w:r w:rsidRPr="00041495">
        <w:rPr>
          <w:rtl/>
        </w:rPr>
        <w:t>אחסון ו</w:t>
      </w:r>
      <w:r>
        <w:rPr>
          <w:rFonts w:hint="cs"/>
          <w:rtl/>
        </w:rPr>
        <w:t>ב</w:t>
      </w:r>
      <w:r w:rsidRPr="00041495">
        <w:rPr>
          <w:rtl/>
        </w:rPr>
        <w:t>טעינה של נפט גולמי ומוצריו (לרבות מזוט, סולר, קרוסין ובנזין)</w:t>
      </w:r>
      <w:r>
        <w:rPr>
          <w:rFonts w:hint="cs"/>
          <w:rtl/>
        </w:rPr>
        <w:t>, המפעילה תשתיות יבוא נמלי של נפט ומוצריו בחיפה ובאשקלון</w:t>
      </w:r>
      <w:r w:rsidRPr="00786B82">
        <w:rPr>
          <w:rFonts w:hint="cs"/>
          <w:rtl/>
        </w:rPr>
        <w:t xml:space="preserve">, ועשויה להיות הגורם שיפעיל את </w:t>
      </w:r>
      <w:r>
        <w:rPr>
          <w:rFonts w:hint="cs"/>
          <w:rtl/>
        </w:rPr>
        <w:t>מסוף</w:t>
      </w:r>
      <w:r w:rsidRPr="00786B82">
        <w:rPr>
          <w:rFonts w:hint="cs"/>
          <w:rtl/>
        </w:rPr>
        <w:t xml:space="preserve"> התזקיקים החדש לאחר השלמת הקמתו</w:t>
      </w:r>
      <w:r>
        <w:rPr>
          <w:rFonts w:hint="cs"/>
          <w:rtl/>
        </w:rPr>
        <w:t>.</w:t>
      </w:r>
    </w:p>
  </w:footnote>
  <w:footnote w:id="98">
    <w:p w:rsidR="00A23EA9" w:rsidP="006114CB">
      <w:pPr>
        <w:pStyle w:val="FootnoteText"/>
      </w:pPr>
      <w:r>
        <w:rPr>
          <w:rStyle w:val="FootnoteReference1"/>
        </w:rPr>
        <w:footnoteRef/>
      </w:r>
      <w:r>
        <w:rPr>
          <w:rtl/>
        </w:rPr>
        <w:t xml:space="preserve"> </w:t>
      </w:r>
      <w:r>
        <w:rPr>
          <w:rtl/>
        </w:rPr>
        <w:tab/>
      </w:r>
      <w:r>
        <w:rPr>
          <w:rFonts w:hint="cs"/>
          <w:rtl/>
        </w:rPr>
        <w:t xml:space="preserve">המינהלת לפיתוח מפרץ חיפה, </w:t>
      </w:r>
      <w:r w:rsidRPr="005640FE">
        <w:rPr>
          <w:rtl/>
        </w:rPr>
        <w:t>דוח סיכום 2024</w:t>
      </w:r>
      <w:r>
        <w:rPr>
          <w:rFonts w:hint="cs"/>
          <w:rtl/>
        </w:rPr>
        <w:t>.</w:t>
      </w:r>
    </w:p>
  </w:footnote>
  <w:footnote w:id="99">
    <w:p w:rsidR="00A23EA9" w:rsidP="006114CB">
      <w:pPr>
        <w:pStyle w:val="FootnoteText"/>
        <w:rPr>
          <w:rtl/>
        </w:rPr>
      </w:pPr>
      <w:r>
        <w:rPr>
          <w:rStyle w:val="FootnoteReference1"/>
        </w:rPr>
        <w:footnoteRef/>
      </w:r>
      <w:r>
        <w:rPr>
          <w:rtl/>
        </w:rPr>
        <w:t xml:space="preserve"> </w:t>
      </w:r>
      <w:r>
        <w:rPr>
          <w:rtl/>
        </w:rPr>
        <w:tab/>
      </w:r>
      <w:r>
        <w:rPr>
          <w:rFonts w:hint="cs"/>
          <w:rtl/>
        </w:rPr>
        <w:t xml:space="preserve">החלטת הממשלה 4045 (6.4.26). </w:t>
      </w:r>
    </w:p>
  </w:footnote>
  <w:footnote w:id="100">
    <w:p w:rsidR="00A23EA9" w:rsidP="006114CB">
      <w:pPr>
        <w:pStyle w:val="FootnoteText"/>
        <w:rPr>
          <w:rtl/>
        </w:rPr>
      </w:pPr>
      <w:r>
        <w:rPr>
          <w:rStyle w:val="FootnoteReference1"/>
        </w:rPr>
        <w:footnoteRef/>
      </w:r>
      <w:r>
        <w:rPr>
          <w:rtl/>
        </w:rPr>
        <w:t xml:space="preserve"> </w:t>
      </w:r>
      <w:r>
        <w:rPr>
          <w:rtl/>
        </w:rPr>
        <w:tab/>
      </w:r>
      <w:r>
        <w:rPr>
          <w:rFonts w:hint="cs"/>
          <w:rtl/>
        </w:rPr>
        <w:t>חברת דור כימיקלים.</w:t>
      </w:r>
    </w:p>
  </w:footnote>
  <w:footnote w:id="101">
    <w:p w:rsidR="00A23EA9" w:rsidP="006114CB">
      <w:pPr>
        <w:pStyle w:val="FootnoteText"/>
      </w:pPr>
      <w:r>
        <w:rPr>
          <w:rStyle w:val="FootnoteReference1"/>
        </w:rPr>
        <w:footnoteRef/>
      </w:r>
      <w:r>
        <w:rPr>
          <w:rtl/>
        </w:rPr>
        <w:t xml:space="preserve"> </w:t>
      </w:r>
      <w:r>
        <w:rPr>
          <w:rtl/>
        </w:rPr>
        <w:tab/>
      </w:r>
      <w:r>
        <w:rPr>
          <w:rFonts w:hint="cs"/>
          <w:rtl/>
        </w:rPr>
        <w:t>קבוצת דור, מתווה למשק הגפ״ם.</w:t>
      </w:r>
    </w:p>
  </w:footnote>
  <w:footnote w:id="102">
    <w:p w:rsidR="00A23EA9" w:rsidP="006114CB">
      <w:pPr>
        <w:pStyle w:val="FootnoteText"/>
      </w:pPr>
      <w:r>
        <w:rPr>
          <w:rStyle w:val="FootnoteReference1"/>
        </w:rPr>
        <w:footnoteRef/>
      </w:r>
      <w:r>
        <w:rPr>
          <w:rtl/>
        </w:rPr>
        <w:t xml:space="preserve"> </w:t>
      </w:r>
      <w:r>
        <w:rPr>
          <w:rtl/>
        </w:rPr>
        <w:tab/>
      </w:r>
      <w:r>
        <w:rPr>
          <w:rFonts w:hint="cs"/>
          <w:rtl/>
        </w:rPr>
        <w:t>ל</w:t>
      </w:r>
      <w:r w:rsidRPr="00B944F3">
        <w:rPr>
          <w:rtl/>
        </w:rPr>
        <w:t>חברה הפטרוכימית</w:t>
      </w:r>
      <w:r>
        <w:rPr>
          <w:rFonts w:hint="cs"/>
          <w:rtl/>
        </w:rPr>
        <w:t xml:space="preserve"> מתקן אחסון גפ</w:t>
      </w:r>
      <w:r>
        <w:rPr>
          <w:rtl/>
        </w:rPr>
        <w:t>"</w:t>
      </w:r>
      <w:r>
        <w:rPr>
          <w:rFonts w:hint="cs"/>
          <w:rtl/>
        </w:rPr>
        <w:t xml:space="preserve">ם של 600 טון בסמוך לנמל הכימיקלים, וצנרת הזרמת גז </w:t>
      </w:r>
      <w:r>
        <w:t>C4</w:t>
      </w:r>
      <w:r>
        <w:rPr>
          <w:rFonts w:hint="cs"/>
          <w:rtl/>
        </w:rPr>
        <w:t xml:space="preserve"> לחברת בז"ן.</w:t>
      </w:r>
    </w:p>
  </w:footnote>
  <w:footnote w:id="103">
    <w:p w:rsidR="00A23EA9" w:rsidP="006114CB">
      <w:pPr>
        <w:pStyle w:val="FootnoteText"/>
      </w:pPr>
      <w:r>
        <w:rPr>
          <w:rStyle w:val="FootnoteReference1"/>
        </w:rPr>
        <w:footnoteRef/>
      </w:r>
      <w:r>
        <w:rPr>
          <w:rtl/>
        </w:rPr>
        <w:t xml:space="preserve"> </w:t>
      </w:r>
      <w:r>
        <w:rPr>
          <w:rtl/>
        </w:rPr>
        <w:tab/>
      </w:r>
      <w:r>
        <w:rPr>
          <w:rFonts w:hint="cs"/>
          <w:rtl/>
        </w:rPr>
        <w:t xml:space="preserve">מנגש </w:t>
      </w:r>
      <w:r w:rsidRPr="00381F38">
        <w:rPr>
          <w:rtl/>
        </w:rPr>
        <w:t>הוא האזור התחום והמיועד לאורך רציף הנמל שבו אני</w:t>
      </w:r>
      <w:r>
        <w:rPr>
          <w:rFonts w:hint="cs"/>
          <w:rtl/>
        </w:rPr>
        <w:t>י</w:t>
      </w:r>
      <w:r w:rsidRPr="00381F38">
        <w:rPr>
          <w:rtl/>
        </w:rPr>
        <w:t>ה עוגנת, נקשרת ומיישרת קו לצורך ביצוע פעולות תפעוליות</w:t>
      </w:r>
      <w:r>
        <w:rPr>
          <w:rFonts w:hint="cs"/>
          <w:rtl/>
        </w:rPr>
        <w:t>.</w:t>
      </w:r>
    </w:p>
  </w:footnote>
  <w:footnote w:id="104">
    <w:p w:rsidR="00A23EA9" w:rsidP="006114CB">
      <w:pPr>
        <w:pStyle w:val="FootnoteText"/>
        <w:rPr>
          <w:rtl/>
        </w:rPr>
      </w:pPr>
      <w:r>
        <w:rPr>
          <w:rStyle w:val="FootnoteReference1"/>
        </w:rPr>
        <w:footnoteRef/>
      </w:r>
      <w:r>
        <w:rPr>
          <w:rtl/>
        </w:rPr>
        <w:t xml:space="preserve"> </w:t>
      </w:r>
      <w:r>
        <w:rPr>
          <w:rtl/>
        </w:rPr>
        <w:tab/>
      </w:r>
      <w:r>
        <w:t>Royal Has</w:t>
      </w:r>
      <w:r w:rsidR="00086C69">
        <w:t>k</w:t>
      </w:r>
      <w:r>
        <w:t>oning DHV, "Report - Feasibility study for LPG import at chemical berth #3" (25.2.25).</w:t>
      </w:r>
    </w:p>
  </w:footnote>
  <w:footnote w:id="105">
    <w:p w:rsidR="00A23EA9" w:rsidP="006114CB">
      <w:pPr>
        <w:pStyle w:val="FootnoteText"/>
        <w:rPr>
          <w:rtl/>
        </w:rPr>
      </w:pPr>
      <w:r>
        <w:rPr>
          <w:rStyle w:val="FootnoteReference1"/>
        </w:rPr>
        <w:footnoteRef/>
      </w:r>
      <w:r>
        <w:rPr>
          <w:rtl/>
        </w:rPr>
        <w:t xml:space="preserve"> </w:t>
      </w:r>
      <w:r>
        <w:rPr>
          <w:rtl/>
        </w:rPr>
        <w:tab/>
        <w:t>חטיבת תפעול ובקרה בחנ"י, "פריקת גפ"ם במסוף כימיקלים - טווח קצר" (יוני 2025).</w:t>
      </w:r>
    </w:p>
  </w:footnote>
  <w:footnote w:id="106">
    <w:p w:rsidR="00A23EA9" w:rsidP="006114CB">
      <w:pPr>
        <w:pStyle w:val="FootnoteText"/>
        <w:rPr>
          <w:rtl/>
        </w:rPr>
      </w:pPr>
      <w:r>
        <w:rPr>
          <w:rStyle w:val="FootnoteReference1"/>
        </w:rPr>
        <w:footnoteRef/>
      </w:r>
      <w:r>
        <w:rPr>
          <w:rtl/>
        </w:rPr>
        <w:t xml:space="preserve"> </w:t>
      </w:r>
      <w:r>
        <w:rPr>
          <w:rtl/>
        </w:rPr>
        <w:tab/>
      </w:r>
      <w:r>
        <w:rPr>
          <w:rFonts w:hint="cs"/>
          <w:rtl/>
        </w:rPr>
        <w:t>עמדת האלוף רפי מילוא, מפקד פיקוד העורף, בנוגע להקמת תשתית יבוא גפ"ם בצפון בזמן מלחמה,</w:t>
      </w:r>
      <w:r w:rsidRPr="00DD0100">
        <w:rPr>
          <w:rFonts w:hint="cs"/>
          <w:rtl/>
        </w:rPr>
        <w:t xml:space="preserve"> </w:t>
      </w:r>
      <w:r>
        <w:rPr>
          <w:rFonts w:hint="cs"/>
          <w:rtl/>
        </w:rPr>
        <w:t>26.10.23.</w:t>
      </w:r>
    </w:p>
  </w:footnote>
  <w:footnote w:id="107">
    <w:p w:rsidR="00A23EA9" w:rsidP="001B37C0">
      <w:pPr>
        <w:pStyle w:val="FootnoteText"/>
      </w:pPr>
      <w:r>
        <w:rPr>
          <w:rStyle w:val="FootnoteReference1"/>
        </w:rPr>
        <w:footnoteRef/>
      </w:r>
      <w:r>
        <w:rPr>
          <w:rtl/>
        </w:rPr>
        <w:t xml:space="preserve"> </w:t>
      </w:r>
      <w:r>
        <w:rPr>
          <w:rtl/>
        </w:rPr>
        <w:tab/>
      </w:r>
      <w:r w:rsidRPr="007D6A05">
        <w:rPr>
          <w:rFonts w:hint="cs"/>
        </w:rPr>
        <w:t>P</w:t>
      </w:r>
      <w:r>
        <w:t>Q</w:t>
      </w:r>
      <w:r>
        <w:rPr>
          <w:rFonts w:hint="cs"/>
          <w:rtl/>
        </w:rPr>
        <w:t xml:space="preserve"> (</w:t>
      </w:r>
      <w:r w:rsidRPr="00B46951">
        <w:rPr>
          <w:rStyle w:val="Strong"/>
        </w:rPr>
        <w:t>Pre-Qualification</w:t>
      </w:r>
      <w:r>
        <w:rPr>
          <w:rStyle w:val="Strong"/>
          <w:rFonts w:hint="cs"/>
          <w:rtl/>
        </w:rPr>
        <w:t>) -</w:t>
      </w:r>
      <w:r w:rsidRPr="005215C0">
        <w:rPr>
          <w:rStyle w:val="Strong"/>
          <w:rFonts w:hint="cs"/>
          <w:rtl/>
        </w:rPr>
        <w:t xml:space="preserve"> </w:t>
      </w:r>
      <w:r w:rsidRPr="005215C0">
        <w:rPr>
          <w:rStyle w:val="Strong"/>
          <w:rtl/>
        </w:rPr>
        <w:t xml:space="preserve">בחינה מוקדמת של כשירות </w:t>
      </w:r>
      <w:r w:rsidRPr="005215C0">
        <w:rPr>
          <w:rStyle w:val="Strong"/>
          <w:rFonts w:hint="cs"/>
          <w:rtl/>
        </w:rPr>
        <w:t>המציע</w:t>
      </w:r>
      <w:r>
        <w:rPr>
          <w:rStyle w:val="Strong"/>
          <w:rFonts w:hint="cs"/>
          <w:rtl/>
        </w:rPr>
        <w:t>י</w:t>
      </w:r>
      <w:r w:rsidRPr="005215C0">
        <w:rPr>
          <w:rStyle w:val="Strong"/>
          <w:rFonts w:hint="cs"/>
          <w:rtl/>
        </w:rPr>
        <w:t xml:space="preserve">ם לפני הגשת ההצעות הטכניות והכספיות במכרז, </w:t>
      </w:r>
      <w:r>
        <w:rPr>
          <w:rStyle w:val="Strong"/>
          <w:rFonts w:hint="cs"/>
          <w:rtl/>
        </w:rPr>
        <w:t>כדי</w:t>
      </w:r>
      <w:r w:rsidRPr="005215C0">
        <w:rPr>
          <w:rStyle w:val="Strong"/>
          <w:rFonts w:hint="cs"/>
          <w:rtl/>
        </w:rPr>
        <w:t xml:space="preserve"> </w:t>
      </w:r>
      <w:r w:rsidRPr="007D6A05">
        <w:rPr>
          <w:rtl/>
        </w:rPr>
        <w:t xml:space="preserve">להבטיח שרק גופים בעלי </w:t>
      </w:r>
      <w:r w:rsidRPr="005215C0">
        <w:rPr>
          <w:rStyle w:val="Strong"/>
          <w:rtl/>
        </w:rPr>
        <w:t>ניסיון, יכולת מקצועית, חוסן פיננסי ועמידה בדרישות סף</w:t>
      </w:r>
      <w:r w:rsidRPr="007D6A05">
        <w:rPr>
          <w:rtl/>
        </w:rPr>
        <w:t xml:space="preserve"> יוכלו להשתתף במכרז עצמו</w:t>
      </w:r>
      <w:r>
        <w:rPr>
          <w:rFonts w:hint="cs"/>
          <w:rtl/>
        </w:rPr>
        <w:t>.</w:t>
      </w:r>
    </w:p>
  </w:footnote>
  <w:footnote w:id="108">
    <w:p w:rsidR="00A23EA9" w:rsidP="001B37C0">
      <w:pPr>
        <w:pStyle w:val="FootnoteText"/>
        <w:rPr>
          <w:rtl/>
        </w:rPr>
      </w:pPr>
      <w:r>
        <w:rPr>
          <w:rStyle w:val="FootnoteReference1"/>
        </w:rPr>
        <w:footnoteRef/>
      </w:r>
      <w:r>
        <w:rPr>
          <w:rtl/>
        </w:rPr>
        <w:t xml:space="preserve"> </w:t>
      </w:r>
      <w:r>
        <w:rPr>
          <w:rtl/>
        </w:rPr>
        <w:tab/>
      </w:r>
      <w:r w:rsidRPr="00E6467C">
        <w:rPr>
          <w:rtl/>
        </w:rPr>
        <w:t>על פי המודל, מדינת ישראל מחזיקה בבעלות על הנכסים ו</w:t>
      </w:r>
      <w:r>
        <w:rPr>
          <w:rFonts w:hint="cs"/>
          <w:rtl/>
        </w:rPr>
        <w:t xml:space="preserve">על </w:t>
      </w:r>
      <w:r w:rsidRPr="00E6467C">
        <w:rPr>
          <w:rtl/>
        </w:rPr>
        <w:t>התשתית האסטרטגית כמקרקע</w:t>
      </w:r>
      <w:r>
        <w:rPr>
          <w:rFonts w:hint="cs"/>
          <w:rtl/>
        </w:rPr>
        <w:t>ֵ</w:t>
      </w:r>
      <w:r w:rsidRPr="00E6467C">
        <w:rPr>
          <w:rtl/>
        </w:rPr>
        <w:t>י ייעוד באמצעות חברת נמלי ישראל. בהתאם לחוק רספ"ן, חברת נמלי ישראל,</w:t>
      </w:r>
      <w:r w:rsidRPr="00E6467C">
        <w:rPr>
          <w:rFonts w:ascii="Arial" w:hAnsi="Arial" w:cs="Arial" w:hint="cs"/>
          <w:rtl/>
        </w:rPr>
        <w:t> </w:t>
      </w:r>
      <w:r w:rsidRPr="00E6467C">
        <w:rPr>
          <w:rFonts w:ascii="David" w:hAnsi="David" w:hint="cs"/>
          <w:rtl/>
        </w:rPr>
        <w:t>שהיא</w:t>
      </w:r>
      <w:r w:rsidRPr="00E6467C">
        <w:rPr>
          <w:rtl/>
        </w:rPr>
        <w:t xml:space="preserve"> </w:t>
      </w:r>
      <w:r w:rsidRPr="00E6467C">
        <w:rPr>
          <w:rFonts w:ascii="David" w:hAnsi="David" w:hint="cs"/>
          <w:rtl/>
        </w:rPr>
        <w:t>חברה</w:t>
      </w:r>
      <w:r w:rsidRPr="00E6467C">
        <w:rPr>
          <w:rtl/>
        </w:rPr>
        <w:t xml:space="preserve"> </w:t>
      </w:r>
      <w:r w:rsidRPr="00E6467C">
        <w:rPr>
          <w:rFonts w:ascii="David" w:hAnsi="David" w:hint="cs"/>
          <w:rtl/>
        </w:rPr>
        <w:t>בבעלות</w:t>
      </w:r>
      <w:r w:rsidRPr="00E6467C">
        <w:rPr>
          <w:rtl/>
        </w:rPr>
        <w:t xml:space="preserve"> </w:t>
      </w:r>
      <w:r w:rsidRPr="00E6467C">
        <w:rPr>
          <w:rFonts w:ascii="David" w:hAnsi="David" w:hint="cs"/>
          <w:rtl/>
        </w:rPr>
        <w:t>ממשלתית</w:t>
      </w:r>
      <w:r w:rsidRPr="00E6467C">
        <w:rPr>
          <w:rtl/>
        </w:rPr>
        <w:t xml:space="preserve">, </w:t>
      </w:r>
      <w:r>
        <w:rPr>
          <w:rFonts w:ascii="David" w:hAnsi="David" w:hint="cs"/>
          <w:rtl/>
        </w:rPr>
        <w:t>היא</w:t>
      </w:r>
      <w:r w:rsidRPr="00E6467C">
        <w:rPr>
          <w:rtl/>
        </w:rPr>
        <w:t xml:space="preserve"> </w:t>
      </w:r>
      <w:r>
        <w:rPr>
          <w:rFonts w:ascii="David" w:hAnsi="David" w:hint="cs"/>
          <w:rtl/>
        </w:rPr>
        <w:t>ה</w:t>
      </w:r>
      <w:r w:rsidRPr="00E6467C">
        <w:rPr>
          <w:rFonts w:ascii="David" w:hAnsi="David" w:hint="cs"/>
          <w:rtl/>
        </w:rPr>
        <w:t>זרוע</w:t>
      </w:r>
      <w:r w:rsidRPr="00E6467C">
        <w:rPr>
          <w:rtl/>
        </w:rPr>
        <w:t xml:space="preserve"> </w:t>
      </w:r>
      <w:r>
        <w:rPr>
          <w:rFonts w:hint="cs"/>
          <w:rtl/>
        </w:rPr>
        <w:t xml:space="preserve">של </w:t>
      </w:r>
      <w:r w:rsidRPr="00E6467C">
        <w:rPr>
          <w:rFonts w:ascii="David" w:hAnsi="David" w:hint="cs"/>
          <w:rtl/>
        </w:rPr>
        <w:t>המדינה</w:t>
      </w:r>
      <w:r w:rsidRPr="00E6467C">
        <w:rPr>
          <w:rtl/>
        </w:rPr>
        <w:t xml:space="preserve"> </w:t>
      </w:r>
      <w:r w:rsidRPr="00E6467C">
        <w:rPr>
          <w:rFonts w:ascii="David" w:hAnsi="David" w:hint="cs"/>
          <w:rtl/>
        </w:rPr>
        <w:t>לפיתוח</w:t>
      </w:r>
      <w:r w:rsidRPr="00E6467C">
        <w:rPr>
          <w:rtl/>
        </w:rPr>
        <w:t xml:space="preserve"> </w:t>
      </w:r>
      <w:r w:rsidRPr="00E6467C">
        <w:rPr>
          <w:rFonts w:ascii="David" w:hAnsi="David" w:hint="cs"/>
          <w:rtl/>
        </w:rPr>
        <w:t>תשתיות</w:t>
      </w:r>
      <w:r w:rsidRPr="00E6467C">
        <w:rPr>
          <w:rtl/>
        </w:rPr>
        <w:t xml:space="preserve"> </w:t>
      </w:r>
      <w:r w:rsidRPr="00E6467C">
        <w:rPr>
          <w:rFonts w:ascii="David" w:hAnsi="David" w:hint="cs"/>
          <w:rtl/>
        </w:rPr>
        <w:t>הנמלים</w:t>
      </w:r>
      <w:r w:rsidRPr="00E6467C">
        <w:rPr>
          <w:rtl/>
        </w:rPr>
        <w:t xml:space="preserve"> </w:t>
      </w:r>
      <w:r w:rsidRPr="00E6467C">
        <w:rPr>
          <w:rFonts w:ascii="David" w:hAnsi="David" w:hint="cs"/>
          <w:rtl/>
        </w:rPr>
        <w:t>ולהחזקת</w:t>
      </w:r>
      <w:r w:rsidRPr="00E6467C">
        <w:rPr>
          <w:rtl/>
        </w:rPr>
        <w:t xml:space="preserve"> </w:t>
      </w:r>
      <w:r w:rsidRPr="00E6467C">
        <w:rPr>
          <w:rFonts w:ascii="David" w:hAnsi="David" w:hint="cs"/>
          <w:rtl/>
        </w:rPr>
        <w:t>הנ</w:t>
      </w:r>
      <w:r w:rsidRPr="00E6467C">
        <w:rPr>
          <w:rtl/>
        </w:rPr>
        <w:t>כסים במרחב הנמל, ולכן היא ה-</w:t>
      </w:r>
      <w:r w:rsidRPr="00E6467C">
        <w:t>landlord</w:t>
      </w:r>
      <w:r w:rsidRPr="00E6467C">
        <w:rPr>
          <w:rtl/>
        </w:rPr>
        <w:t xml:space="preserve"> בשטחי הנמל ובשטחי העורף הנמלי</w:t>
      </w:r>
      <w:r>
        <w:rPr>
          <w:rFonts w:hint="cs"/>
          <w:rtl/>
        </w:rPr>
        <w:t>, אך היא אינה החברה המפעילה את התשתיות.</w:t>
      </w:r>
    </w:p>
  </w:footnote>
  <w:footnote w:id="109">
    <w:p w:rsidR="00A23EA9" w:rsidP="001B37C0">
      <w:pPr>
        <w:pStyle w:val="FootnoteText"/>
        <w:rPr>
          <w:rtl/>
        </w:rPr>
      </w:pPr>
      <w:r>
        <w:rPr>
          <w:rStyle w:val="FootnoteReference1"/>
        </w:rPr>
        <w:footnoteRef/>
      </w:r>
      <w:r>
        <w:rPr>
          <w:rtl/>
        </w:rPr>
        <w:t xml:space="preserve"> </w:t>
      </w:r>
      <w:r>
        <w:rPr>
          <w:rtl/>
        </w:rPr>
        <w:tab/>
      </w:r>
      <w:r w:rsidRPr="00C60BE8">
        <w:rPr>
          <w:rFonts w:hint="cs"/>
          <w:rtl/>
        </w:rPr>
        <w:t xml:space="preserve">ראו בנושא זה מבקר המדינה, </w:t>
      </w:r>
      <w:r w:rsidRPr="00C60BE8">
        <w:rPr>
          <w:rFonts w:hint="cs"/>
          <w:b/>
          <w:bCs/>
          <w:rtl/>
        </w:rPr>
        <w:t>דוח שנתי 76ב חלק שלישי (2026),</w:t>
      </w:r>
      <w:r w:rsidRPr="00C60BE8">
        <w:rPr>
          <w:rFonts w:hint="cs"/>
          <w:rtl/>
        </w:rPr>
        <w:t xml:space="preserve"> "</w:t>
      </w:r>
      <w:r w:rsidRPr="00C60BE8">
        <w:rPr>
          <w:rtl/>
        </w:rPr>
        <w:t>היערכות למצבי חירום במשק האנרגיה בראי מלחמת חרבות ברזל ומבצע עם כלביא - דלקים</w:t>
      </w:r>
      <w:r w:rsidRPr="00C60BE8">
        <w:rPr>
          <w:rFonts w:hint="cs"/>
          <w:rtl/>
        </w:rPr>
        <w:t>,</w:t>
      </w:r>
      <w:r w:rsidRPr="00C60BE8">
        <w:rPr>
          <w:rtl/>
        </w:rPr>
        <w:t xml:space="preserve"> </w:t>
      </w:r>
      <w:r w:rsidRPr="00C60BE8">
        <w:rPr>
          <w:rFonts w:hint="cs"/>
          <w:rtl/>
        </w:rPr>
        <w:t>ג</w:t>
      </w:r>
      <w:r w:rsidRPr="00C60BE8">
        <w:rPr>
          <w:rtl/>
        </w:rPr>
        <w:t>פ</w:t>
      </w:r>
      <w:r w:rsidRPr="00C60BE8">
        <w:rPr>
          <w:rFonts w:hint="cs"/>
          <w:rtl/>
        </w:rPr>
        <w:t>"ם</w:t>
      </w:r>
      <w:r w:rsidRPr="00C60BE8">
        <w:rPr>
          <w:rtl/>
        </w:rPr>
        <w:t xml:space="preserve"> וגז טבעי</w:t>
      </w:r>
      <w:r w:rsidRPr="00C60BE8">
        <w:rPr>
          <w:rFonts w:hint="cs"/>
          <w:rtl/>
        </w:rPr>
        <w:t xml:space="preserve">". </w:t>
      </w:r>
    </w:p>
  </w:footnote>
  <w:footnote w:id="110">
    <w:p w:rsidR="00A23EA9" w:rsidRPr="00130D5F" w:rsidP="001B37C0">
      <w:pPr>
        <w:pStyle w:val="FootnoteText"/>
        <w:rPr>
          <w:rtl/>
        </w:rPr>
      </w:pPr>
      <w:r>
        <w:rPr>
          <w:rStyle w:val="FootnoteReference1"/>
        </w:rPr>
        <w:footnoteRef/>
      </w:r>
      <w:r>
        <w:rPr>
          <w:rtl/>
        </w:rPr>
        <w:t xml:space="preserve"> </w:t>
      </w:r>
      <w:r>
        <w:rPr>
          <w:rtl/>
        </w:rPr>
        <w:tab/>
      </w:r>
      <w:r w:rsidRPr="00C60BE8">
        <w:rPr>
          <w:rFonts w:hint="cs"/>
          <w:rtl/>
        </w:rPr>
        <w:t>מסקנות הצוות הבין</w:t>
      </w:r>
      <w:r>
        <w:rPr>
          <w:rFonts w:hint="cs"/>
          <w:rtl/>
        </w:rPr>
        <w:t>-</w:t>
      </w:r>
      <w:r w:rsidRPr="00C60BE8">
        <w:rPr>
          <w:rFonts w:hint="cs"/>
          <w:rtl/>
        </w:rPr>
        <w:t>משרדי, 2020.</w:t>
      </w:r>
      <w:r>
        <w:rPr>
          <w:rFonts w:hint="cs"/>
          <w:rtl/>
        </w:rPr>
        <w:t xml:space="preserve"> בצוות היו חברים </w:t>
      </w:r>
      <w:r w:rsidRPr="00135C12">
        <w:rPr>
          <w:rtl/>
        </w:rPr>
        <w:t>נציגים ממינהל הדלק, מאגף התקציבים במשרד האוצר ומרשות התחרות</w:t>
      </w:r>
      <w:r>
        <w:rPr>
          <w:rFonts w:hint="cs"/>
          <w:rtl/>
        </w:rPr>
        <w:t>.</w:t>
      </w:r>
    </w:p>
  </w:footnote>
  <w:footnote w:id="111">
    <w:p w:rsidR="00A23EA9" w:rsidP="001B37C0">
      <w:pPr>
        <w:pStyle w:val="FootnoteText"/>
      </w:pPr>
      <w:r>
        <w:rPr>
          <w:rStyle w:val="FootnoteReference1"/>
        </w:rPr>
        <w:footnoteRef/>
      </w:r>
      <w:r>
        <w:rPr>
          <w:rtl/>
        </w:rPr>
        <w:t xml:space="preserve"> </w:t>
      </w:r>
      <w:r>
        <w:rPr>
          <w:rtl/>
        </w:rPr>
        <w:tab/>
      </w:r>
      <w:r>
        <w:rPr>
          <w:rFonts w:hint="cs"/>
          <w:rtl/>
        </w:rPr>
        <w:t xml:space="preserve">כחיסרון </w:t>
      </w:r>
      <w:r>
        <w:rPr>
          <w:rtl/>
        </w:rPr>
        <w:t xml:space="preserve">ציין הצוות </w:t>
      </w:r>
      <w:r>
        <w:rPr>
          <w:rFonts w:hint="cs"/>
          <w:rtl/>
        </w:rPr>
        <w:t>ש</w:t>
      </w:r>
      <w:r>
        <w:rPr>
          <w:rtl/>
        </w:rPr>
        <w:t xml:space="preserve">המקשרים </w:t>
      </w:r>
      <w:r>
        <w:rPr>
          <w:rFonts w:hint="cs"/>
          <w:rtl/>
        </w:rPr>
        <w:t>יתחרו</w:t>
      </w:r>
      <w:r>
        <w:rPr>
          <w:rtl/>
        </w:rPr>
        <w:t xml:space="preserve"> </w:t>
      </w:r>
      <w:r>
        <w:rPr>
          <w:rFonts w:hint="cs"/>
          <w:rtl/>
        </w:rPr>
        <w:t>ב</w:t>
      </w:r>
      <w:r>
        <w:rPr>
          <w:rtl/>
        </w:rPr>
        <w:t>מערך ההזרמה והאחסון של תש"א מאשקלון לאשדוד, אך</w:t>
      </w:r>
      <w:r>
        <w:rPr>
          <w:rFonts w:hint="cs"/>
          <w:rtl/>
        </w:rPr>
        <w:t xml:space="preserve"> ציין</w:t>
      </w:r>
      <w:r>
        <w:rPr>
          <w:rtl/>
        </w:rPr>
        <w:t xml:space="preserve"> שחשש זה מופג משום שתעריפיה של החברה מפוקחים</w:t>
      </w:r>
      <w:r>
        <w:rPr>
          <w:rFonts w:hint="cs"/>
          <w:rtl/>
        </w:rPr>
        <w:t>,</w:t>
      </w:r>
      <w:r>
        <w:rPr>
          <w:rtl/>
        </w:rPr>
        <w:t xml:space="preserve"> כך שממילא מובטח לחברה כיסוי של עלויותיה באשקלון אם </w:t>
      </w:r>
      <w:r>
        <w:rPr>
          <w:rFonts w:hint="cs"/>
          <w:rtl/>
        </w:rPr>
        <w:t xml:space="preserve">היקף </w:t>
      </w:r>
      <w:r>
        <w:rPr>
          <w:rtl/>
        </w:rPr>
        <w:t xml:space="preserve">הפעילות בו </w:t>
      </w:r>
      <w:r>
        <w:rPr>
          <w:rFonts w:hint="cs"/>
          <w:rtl/>
        </w:rPr>
        <w:t>יֵרד</w:t>
      </w:r>
      <w:r>
        <w:rPr>
          <w:rtl/>
        </w:rPr>
        <w:t xml:space="preserve">. חיסרון נוסף שצוין הוא שכחברה ממשלתית שמרבית תעריפיה מפוקחים היא עלולה להיות מוטה להשקעות יתר. </w:t>
      </w:r>
    </w:p>
  </w:footnote>
  <w:footnote w:id="112">
    <w:p w:rsidR="00A23EA9" w:rsidP="001B37C0">
      <w:pPr>
        <w:pStyle w:val="FootnoteText"/>
        <w:rPr>
          <w:rtl/>
        </w:rPr>
      </w:pPr>
      <w:r>
        <w:rPr>
          <w:rStyle w:val="FootnoteReference1"/>
        </w:rPr>
        <w:footnoteRef/>
      </w:r>
      <w:r>
        <w:rPr>
          <w:rtl/>
        </w:rPr>
        <w:t xml:space="preserve"> </w:t>
      </w:r>
      <w:r>
        <w:rPr>
          <w:rtl/>
        </w:rPr>
        <w:tab/>
      </w:r>
      <w:r w:rsidRPr="00C60BE8">
        <w:rPr>
          <w:rFonts w:hint="cs"/>
          <w:rtl/>
        </w:rPr>
        <w:t>מסמך</w:t>
      </w:r>
      <w:r>
        <w:rPr>
          <w:rStyle w:val="Hyperlink"/>
          <w:rFonts w:hint="cs"/>
          <w:rtl/>
        </w:rPr>
        <w:t xml:space="preserve"> </w:t>
      </w:r>
      <w:r w:rsidRPr="00C60BE8">
        <w:rPr>
          <w:rStyle w:val="Hyperlink"/>
          <w:rFonts w:hint="cs"/>
          <w:rtl/>
        </w:rPr>
        <w:t>הפניה</w:t>
      </w:r>
      <w:r w:rsidRPr="00C60BE8">
        <w:rPr>
          <w:rFonts w:hint="cs"/>
          <w:rtl/>
        </w:rPr>
        <w:t xml:space="preserve"> לוועדת</w:t>
      </w:r>
      <w:r>
        <w:rPr>
          <w:rFonts w:hint="cs"/>
          <w:rtl/>
        </w:rPr>
        <w:t xml:space="preserve"> הפטור וחוות הדעת של מינהל הדלק, אפריל 2025.</w:t>
      </w:r>
    </w:p>
  </w:footnote>
  <w:footnote w:id="113">
    <w:p w:rsidR="00A23EA9" w:rsidP="001B37C0">
      <w:pPr>
        <w:pStyle w:val="FootnoteText"/>
        <w:rPr>
          <w:rtl/>
        </w:rPr>
      </w:pPr>
      <w:r>
        <w:rPr>
          <w:rStyle w:val="FootnoteReference1"/>
        </w:rPr>
        <w:footnoteRef/>
      </w:r>
      <w:r>
        <w:rPr>
          <w:rtl/>
        </w:rPr>
        <w:t xml:space="preserve"> </w:t>
      </w:r>
      <w:r>
        <w:rPr>
          <w:rtl/>
        </w:rPr>
        <w:tab/>
      </w:r>
      <w:r>
        <w:rPr>
          <w:rFonts w:hint="cs"/>
          <w:rtl/>
        </w:rPr>
        <w:t>ראו מבקר המדינה</w:t>
      </w:r>
      <w:r w:rsidRPr="00C60BE8">
        <w:rPr>
          <w:rFonts w:hint="cs"/>
          <w:rtl/>
        </w:rPr>
        <w:t>, דוח</w:t>
      </w:r>
      <w:r w:rsidRPr="00C60BE8">
        <w:rPr>
          <w:rStyle w:val="Hyperlink"/>
          <w:rFonts w:hint="cs"/>
          <w:rtl/>
        </w:rPr>
        <w:t xml:space="preserve"> מבקר המדינה</w:t>
      </w:r>
      <w:r w:rsidRPr="00C60BE8">
        <w:rPr>
          <w:rFonts w:hint="eastAsia"/>
          <w:b/>
          <w:bCs/>
          <w:rtl/>
        </w:rPr>
        <w:t xml:space="preserve"> </w:t>
      </w:r>
      <w:r w:rsidRPr="00625E9B">
        <w:rPr>
          <w:b/>
          <w:bCs/>
          <w:rtl/>
        </w:rPr>
        <w:t xml:space="preserve">- </w:t>
      </w:r>
      <w:r w:rsidRPr="00625E9B">
        <w:rPr>
          <w:rFonts w:hint="eastAsia"/>
          <w:b/>
          <w:bCs/>
          <w:rtl/>
        </w:rPr>
        <w:t>נובמבר</w:t>
      </w:r>
      <w:r w:rsidRPr="00625E9B">
        <w:rPr>
          <w:b/>
          <w:bCs/>
          <w:rtl/>
        </w:rPr>
        <w:t xml:space="preserve"> 2022</w:t>
      </w:r>
      <w:r>
        <w:rPr>
          <w:rFonts w:hint="cs"/>
          <w:rtl/>
        </w:rPr>
        <w:t xml:space="preserve">, "חברת תשתיות </w:t>
      </w:r>
      <w:r w:rsidRPr="00551DBC">
        <w:rPr>
          <w:rFonts w:hint="eastAsia"/>
          <w:rtl/>
        </w:rPr>
        <w:t>אנרגיה</w:t>
      </w:r>
      <w:r>
        <w:rPr>
          <w:rFonts w:hint="cs"/>
          <w:rtl/>
        </w:rPr>
        <w:t xml:space="preserve"> בע"מ - ביקורת פיננסית״, עמ׳ 1651 - 1736.</w:t>
      </w:r>
    </w:p>
  </w:footnote>
  <w:footnote w:id="114">
    <w:p w:rsidR="00A23EA9" w:rsidP="001B37C0">
      <w:pPr>
        <w:pStyle w:val="FootnoteText"/>
      </w:pPr>
      <w:r>
        <w:rPr>
          <w:rStyle w:val="FootnoteReference1"/>
        </w:rPr>
        <w:footnoteRef/>
      </w:r>
      <w:r>
        <w:rPr>
          <w:rtl/>
        </w:rPr>
        <w:t xml:space="preserve"> </w:t>
      </w:r>
      <w:r>
        <w:rPr>
          <w:rtl/>
        </w:rPr>
        <w:tab/>
      </w:r>
      <w:r>
        <w:rPr>
          <w:rFonts w:hint="cs"/>
          <w:rtl/>
        </w:rPr>
        <w:t>חנ"י נדרשת לחתום עם חח"י על הסכם להעברת הנכסים לידיה, אולם רק בתנאי שתובטח רציפות תפעולית, ולשם כך נדרשת החתימה גם עם תש"א כמפעילת המקשר או עם כל מפעיל אחר שיוחלט</w:t>
      </w:r>
      <w:r w:rsidRPr="0039287B">
        <w:rPr>
          <w:rFonts w:hint="cs"/>
          <w:rtl/>
        </w:rPr>
        <w:t xml:space="preserve"> </w:t>
      </w:r>
      <w:r>
        <w:rPr>
          <w:rFonts w:hint="cs"/>
          <w:rtl/>
        </w:rPr>
        <w:t>עליו.</w:t>
      </w:r>
    </w:p>
  </w:footnote>
  <w:footnote w:id="115">
    <w:p w:rsidR="00A23EA9" w:rsidP="001B37C0">
      <w:pPr>
        <w:pStyle w:val="FootnoteText"/>
      </w:pPr>
      <w:r>
        <w:rPr>
          <w:rStyle w:val="FootnoteReference1"/>
        </w:rPr>
        <w:footnoteRef/>
      </w:r>
      <w:r>
        <w:rPr>
          <w:rtl/>
        </w:rPr>
        <w:t xml:space="preserve"> </w:t>
      </w:r>
      <w:r>
        <w:rPr>
          <w:rtl/>
        </w:rPr>
        <w:tab/>
      </w:r>
      <w:r>
        <w:rPr>
          <w:rFonts w:hint="cs"/>
          <w:rtl/>
        </w:rPr>
        <w:t>נתחי השוק בתרשים אינם כוללים ספקים לא מורשים.</w:t>
      </w:r>
    </w:p>
  </w:footnote>
  <w:footnote w:id="116">
    <w:p w:rsidR="00A23EA9" w:rsidP="001B37C0">
      <w:pPr>
        <w:pStyle w:val="FootnoteText"/>
        <w:rPr>
          <w:rtl/>
        </w:rPr>
      </w:pPr>
      <w:r>
        <w:rPr>
          <w:rStyle w:val="FootnoteReference1"/>
        </w:rPr>
        <w:footnoteRef/>
      </w:r>
      <w:r>
        <w:rPr>
          <w:rtl/>
        </w:rPr>
        <w:t xml:space="preserve"> </w:t>
      </w:r>
      <w:r>
        <w:rPr>
          <w:rtl/>
        </w:rPr>
        <w:tab/>
      </w:r>
      <w:r w:rsidRPr="00DB4075">
        <w:rPr>
          <w:rFonts w:hint="cs"/>
          <w:rtl/>
        </w:rPr>
        <w:t>הלקוחות המוסדיים נחלקים לשני סוגים: לקוחות תעשייתיים, המשתמשים בגפ</w:t>
      </w:r>
      <w:r w:rsidRPr="00DB4075">
        <w:rPr>
          <w:rtl/>
        </w:rPr>
        <w:t>"</w:t>
      </w:r>
      <w:r w:rsidRPr="00DB4075">
        <w:rPr>
          <w:rFonts w:hint="cs"/>
          <w:rtl/>
        </w:rPr>
        <w:t xml:space="preserve">ם כמקור אנרגיה להפעלת קווי ייצור; </w:t>
      </w:r>
      <w:r>
        <w:rPr>
          <w:rFonts w:hint="cs"/>
          <w:rtl/>
        </w:rPr>
        <w:t>ו</w:t>
      </w:r>
      <w:r w:rsidRPr="00DB4075">
        <w:rPr>
          <w:rFonts w:hint="cs"/>
          <w:rtl/>
        </w:rPr>
        <w:t xml:space="preserve">לקוחות </w:t>
      </w:r>
      <w:r>
        <w:rPr>
          <w:rFonts w:hint="cs"/>
          <w:rtl/>
        </w:rPr>
        <w:t>גדול</w:t>
      </w:r>
      <w:r w:rsidRPr="00DB4075">
        <w:rPr>
          <w:rFonts w:hint="cs"/>
          <w:rtl/>
        </w:rPr>
        <w:t>ים,</w:t>
      </w:r>
      <w:r>
        <w:rPr>
          <w:rFonts w:hint="cs"/>
          <w:rtl/>
        </w:rPr>
        <w:t xml:space="preserve"> כגון קיבוצים ובתי חולים,</w:t>
      </w:r>
      <w:r w:rsidRPr="00DB4075">
        <w:rPr>
          <w:rFonts w:hint="cs"/>
          <w:rtl/>
        </w:rPr>
        <w:t xml:space="preserve"> המשתמשים בגפ</w:t>
      </w:r>
      <w:r w:rsidRPr="00DB4075">
        <w:rPr>
          <w:rtl/>
        </w:rPr>
        <w:t>"</w:t>
      </w:r>
      <w:r w:rsidRPr="00DB4075">
        <w:rPr>
          <w:rFonts w:hint="cs"/>
          <w:rtl/>
        </w:rPr>
        <w:t>ם לצורכי חימום ובישול, בדומה למשקי בית אך בהיקפים גדולים יותר.</w:t>
      </w:r>
    </w:p>
  </w:footnote>
  <w:footnote w:id="117">
    <w:p w:rsidR="00A23EA9" w:rsidP="001B37C0">
      <w:pPr>
        <w:pStyle w:val="FootnoteText"/>
        <w:rPr>
          <w:rtl/>
        </w:rPr>
      </w:pPr>
      <w:r>
        <w:rPr>
          <w:rStyle w:val="FootnoteReference1"/>
        </w:rPr>
        <w:footnoteRef/>
      </w:r>
      <w:r>
        <w:rPr>
          <w:rtl/>
        </w:rPr>
        <w:t xml:space="preserve"> </w:t>
      </w:r>
      <w:r>
        <w:rPr>
          <w:rtl/>
        </w:rPr>
        <w:tab/>
      </w:r>
      <w:r>
        <w:rPr>
          <w:rFonts w:hint="cs"/>
          <w:rtl/>
        </w:rPr>
        <w:t>הלקוחות הפרטיים הם בדרך כלל בנייני מגורים.</w:t>
      </w:r>
    </w:p>
  </w:footnote>
  <w:footnote w:id="118">
    <w:p w:rsidR="00A23EA9" w:rsidP="001B37C0">
      <w:pPr>
        <w:pStyle w:val="FootnoteText"/>
        <w:rPr>
          <w:rtl/>
        </w:rPr>
      </w:pPr>
      <w:r>
        <w:rPr>
          <w:rStyle w:val="FootnoteReference1"/>
        </w:rPr>
        <w:footnoteRef/>
      </w:r>
      <w:r>
        <w:rPr>
          <w:rtl/>
        </w:rPr>
        <w:t xml:space="preserve"> </w:t>
      </w:r>
      <w:r>
        <w:rPr>
          <w:rtl/>
        </w:rPr>
        <w:tab/>
      </w:r>
      <w:r>
        <w:rPr>
          <w:rFonts w:hint="cs"/>
          <w:rtl/>
        </w:rPr>
        <w:t>מינהל הדלק והגז במשרד האנרגיה, "בחינת רמת הריכוזיות בשוק הגפ"ם הביתי ובחיבור לבניינים חדשים" (17.3.24) (להלן - מינהל הדלק, בחינת רמת הריכוזיות).</w:t>
      </w:r>
    </w:p>
  </w:footnote>
  <w:footnote w:id="119">
    <w:p w:rsidR="00A23EA9" w:rsidP="001B37C0">
      <w:pPr>
        <w:pStyle w:val="FootnoteText"/>
        <w:rPr>
          <w:rtl/>
        </w:rPr>
      </w:pPr>
      <w:r>
        <w:rPr>
          <w:rStyle w:val="FootnoteReference1"/>
        </w:rPr>
        <w:footnoteRef/>
      </w:r>
      <w:r>
        <w:rPr>
          <w:rtl/>
        </w:rPr>
        <w:t xml:space="preserve"> </w:t>
      </w:r>
      <w:r>
        <w:rPr>
          <w:rtl/>
        </w:rPr>
        <w:tab/>
      </w:r>
      <w:r>
        <w:rPr>
          <w:rFonts w:hint="cs"/>
          <w:rtl/>
        </w:rPr>
        <w:t>הצעת חוק ממשלתית 1692, 18.12.23, ספר החוקים 3140, 18.12.23.</w:t>
      </w:r>
    </w:p>
  </w:footnote>
  <w:footnote w:id="120">
    <w:p w:rsidR="00A23EA9" w:rsidP="001B37C0">
      <w:pPr>
        <w:pStyle w:val="FootnoteText"/>
        <w:rPr>
          <w:rtl/>
        </w:rPr>
      </w:pPr>
      <w:r>
        <w:rPr>
          <w:rStyle w:val="FootnoteReference1"/>
        </w:rPr>
        <w:footnoteRef/>
      </w:r>
      <w:r>
        <w:rPr>
          <w:rtl/>
        </w:rPr>
        <w:t xml:space="preserve"> </w:t>
      </w:r>
      <w:r>
        <w:rPr>
          <w:rtl/>
        </w:rPr>
        <w:tab/>
      </w:r>
      <w:r>
        <w:rPr>
          <w:rFonts w:hint="cs"/>
          <w:rtl/>
        </w:rPr>
        <w:t>הצעת חוק ממשלתית 1692, 18.12.23, ספר החוקים 3140, 18.12.23.</w:t>
      </w:r>
    </w:p>
  </w:footnote>
  <w:footnote w:id="121">
    <w:p w:rsidR="00A23EA9" w:rsidP="001B37C0">
      <w:pPr>
        <w:pStyle w:val="FootnoteText"/>
      </w:pPr>
      <w:r>
        <w:rPr>
          <w:rStyle w:val="FootnoteReference1"/>
        </w:rPr>
        <w:footnoteRef/>
      </w:r>
      <w:r>
        <w:rPr>
          <w:rtl/>
        </w:rPr>
        <w:t xml:space="preserve"> </w:t>
      </w:r>
      <w:r>
        <w:rPr>
          <w:rtl/>
        </w:rPr>
        <w:tab/>
      </w:r>
      <w:r>
        <w:rPr>
          <w:rFonts w:hint="cs"/>
          <w:rtl/>
        </w:rPr>
        <w:t>שירותי אספקת הגז כוללים, בין היתר, התקנת מתקן גז, חיבור מתקן גז ואספקת מכל גז.</w:t>
      </w:r>
    </w:p>
  </w:footnote>
  <w:footnote w:id="122">
    <w:p w:rsidR="00A23EA9" w:rsidP="001B37C0">
      <w:pPr>
        <w:pStyle w:val="FootnoteText"/>
        <w:rPr>
          <w:rtl/>
        </w:rPr>
      </w:pPr>
      <w:r>
        <w:rPr>
          <w:rStyle w:val="FootnoteReference1"/>
        </w:rPr>
        <w:footnoteRef/>
      </w:r>
      <w:r>
        <w:rPr>
          <w:rtl/>
        </w:rPr>
        <w:t xml:space="preserve"> </w:t>
      </w:r>
      <w:r>
        <w:rPr>
          <w:rtl/>
        </w:rPr>
        <w:tab/>
      </w:r>
      <w:r>
        <w:rPr>
          <w:rFonts w:hint="cs"/>
          <w:rtl/>
        </w:rPr>
        <w:t>תיקון מס' 2 לחוק המקרקעין (החלפת ספק גז המספק גז באמצעות מערכת גז מרכזית), התשנ"א-1991.</w:t>
      </w:r>
    </w:p>
  </w:footnote>
  <w:footnote w:id="123">
    <w:p w:rsidR="00A23EA9" w:rsidP="001B37C0">
      <w:pPr>
        <w:pStyle w:val="FootnoteText"/>
      </w:pPr>
      <w:r>
        <w:rPr>
          <w:rStyle w:val="FootnoteReference1"/>
        </w:rPr>
        <w:footnoteRef/>
      </w:r>
      <w:r>
        <w:rPr>
          <w:rtl/>
        </w:rPr>
        <w:t xml:space="preserve"> </w:t>
      </w:r>
      <w:r>
        <w:rPr>
          <w:rtl/>
        </w:rPr>
        <w:tab/>
      </w:r>
      <w:r>
        <w:rPr>
          <w:rFonts w:hint="cs"/>
          <w:rtl/>
        </w:rPr>
        <w:t>הסכום התעדכן בתיקון התקנות בשנים 2020 - 2025.</w:t>
      </w:r>
    </w:p>
  </w:footnote>
  <w:footnote w:id="124">
    <w:p w:rsidR="00A23EA9" w:rsidP="001B37C0">
      <w:pPr>
        <w:pStyle w:val="FootnoteText"/>
        <w:rPr>
          <w:rtl/>
        </w:rPr>
      </w:pPr>
      <w:r>
        <w:rPr>
          <w:rStyle w:val="FootnoteReference1"/>
        </w:rPr>
        <w:footnoteRef/>
      </w:r>
      <w:r>
        <w:rPr>
          <w:rtl/>
        </w:rPr>
        <w:t xml:space="preserve"> </w:t>
      </w:r>
      <w:r>
        <w:rPr>
          <w:rtl/>
        </w:rPr>
        <w:tab/>
      </w:r>
      <w:r>
        <w:rPr>
          <w:rFonts w:hint="cs"/>
          <w:rtl/>
        </w:rPr>
        <w:t>מינהל הדלק, בחינת רמת הריכוזיות.</w:t>
      </w:r>
    </w:p>
  </w:footnote>
  <w:footnote w:id="125">
    <w:p w:rsidR="00A23EA9" w:rsidP="001B37C0">
      <w:pPr>
        <w:pStyle w:val="FootnoteText"/>
      </w:pPr>
      <w:r>
        <w:rPr>
          <w:rStyle w:val="FootnoteReference1"/>
        </w:rPr>
        <w:footnoteRef/>
      </w:r>
      <w:r>
        <w:rPr>
          <w:rtl/>
        </w:rPr>
        <w:t xml:space="preserve"> </w:t>
      </w:r>
      <w:r>
        <w:rPr>
          <w:rtl/>
        </w:rPr>
        <w:tab/>
      </w:r>
      <w:r>
        <w:rPr>
          <w:rFonts w:hint="cs"/>
          <w:rtl/>
        </w:rPr>
        <w:t xml:space="preserve">משרד האנרגיה והתשתיות, "ניתוח רמת המחירים בשוק הגפ"ם במגזר הביתי (נתוני 2016 - 2023)". </w:t>
      </w:r>
    </w:p>
  </w:footnote>
  <w:footnote w:id="126">
    <w:p w:rsidR="00A23EA9" w:rsidP="001B37C0">
      <w:pPr>
        <w:pStyle w:val="FootnoteText"/>
        <w:rPr>
          <w:rtl/>
        </w:rPr>
      </w:pPr>
      <w:r>
        <w:rPr>
          <w:rStyle w:val="FootnoteReference1"/>
        </w:rPr>
        <w:footnoteRef/>
      </w:r>
      <w:r>
        <w:rPr>
          <w:rtl/>
        </w:rPr>
        <w:t xml:space="preserve"> </w:t>
      </w:r>
      <w:r>
        <w:rPr>
          <w:rtl/>
        </w:rPr>
        <w:tab/>
      </w:r>
      <w:r w:rsidRPr="006308FC">
        <w:rPr>
          <w:rtl/>
        </w:rPr>
        <w:t>משרד מבקר המדינה לא בדק את הפריסה הג</w:t>
      </w:r>
      <w:r>
        <w:rPr>
          <w:rFonts w:hint="cs"/>
          <w:rtl/>
        </w:rPr>
        <w:t>י</w:t>
      </w:r>
      <w:r w:rsidRPr="006308FC">
        <w:rPr>
          <w:rtl/>
        </w:rPr>
        <w:t>אוגרפית של הספקים הקטנים.</w:t>
      </w:r>
    </w:p>
  </w:footnote>
  <w:footnote w:id="127">
    <w:p w:rsidR="00A23EA9" w:rsidP="001B37C0">
      <w:pPr>
        <w:pStyle w:val="FootnoteText"/>
        <w:rPr>
          <w:rtl/>
        </w:rPr>
      </w:pPr>
      <w:r>
        <w:rPr>
          <w:rStyle w:val="FootnoteReference1"/>
        </w:rPr>
        <w:footnoteRef/>
      </w:r>
      <w:r>
        <w:rPr>
          <w:rtl/>
        </w:rPr>
        <w:t xml:space="preserve"> </w:t>
      </w:r>
      <w:r>
        <w:rPr>
          <w:rtl/>
        </w:rPr>
        <w:tab/>
      </w:r>
      <w:r w:rsidRPr="000C151F">
        <w:rPr>
          <w:rFonts w:hint="cs"/>
          <w:rtl/>
        </w:rPr>
        <w:t>רן שהרבני, בנק ישראל, "מאפייני ענף הגז הביתי בישראל" (2020)</w:t>
      </w:r>
      <w:r>
        <w:rPr>
          <w:rFonts w:hint="cs"/>
          <w:rtl/>
        </w:rPr>
        <w:t>.</w:t>
      </w:r>
    </w:p>
  </w:footnote>
  <w:footnote w:id="128">
    <w:p w:rsidR="00A23EA9" w:rsidP="001B37C0">
      <w:pPr>
        <w:pStyle w:val="FootnoteText"/>
        <w:rPr>
          <w:rtl/>
        </w:rPr>
      </w:pPr>
      <w:r>
        <w:rPr>
          <w:rStyle w:val="FootnoteReference1"/>
        </w:rPr>
        <w:footnoteRef/>
      </w:r>
      <w:r>
        <w:rPr>
          <w:rtl/>
        </w:rPr>
        <w:t xml:space="preserve"> </w:t>
      </w:r>
      <w:r>
        <w:rPr>
          <w:rtl/>
        </w:rPr>
        <w:tab/>
      </w:r>
      <w:r w:rsidRPr="00E76311">
        <w:rPr>
          <w:rFonts w:hint="cs"/>
          <w:rtl/>
        </w:rPr>
        <w:t>בנק ישראל, חטיבת המחקר, "מאפייני ענף הגז הביתי בצובר בישראל: תיאוריה ונתונים" (סדרת מאמרים לדיון 09.2023, ספטמבר 2023)</w:t>
      </w:r>
      <w:r>
        <w:rPr>
          <w:rFonts w:hint="cs"/>
          <w:rtl/>
        </w:rPr>
        <w:t>.</w:t>
      </w:r>
    </w:p>
  </w:footnote>
  <w:footnote w:id="129">
    <w:p w:rsidR="00A23EA9" w:rsidP="001B37C0">
      <w:pPr>
        <w:pStyle w:val="FootnoteText"/>
        <w:rPr>
          <w:rtl/>
        </w:rPr>
      </w:pPr>
      <w:r>
        <w:rPr>
          <w:rStyle w:val="FootnoteReference1"/>
        </w:rPr>
        <w:footnoteRef/>
      </w:r>
      <w:r>
        <w:rPr>
          <w:rtl/>
        </w:rPr>
        <w:t xml:space="preserve"> </w:t>
      </w:r>
      <w:r>
        <w:rPr>
          <w:rtl/>
        </w:rPr>
        <w:tab/>
      </w:r>
      <w:r>
        <w:rPr>
          <w:rFonts w:hint="cs"/>
          <w:rtl/>
        </w:rPr>
        <w:t>מינהל הדלק, בחינת רמת הריכוזיות.</w:t>
      </w:r>
    </w:p>
  </w:footnote>
  <w:footnote w:id="130">
    <w:p w:rsidR="00A23EA9" w:rsidP="001B37C0">
      <w:pPr>
        <w:pStyle w:val="FootnoteText"/>
        <w:rPr>
          <w:rtl/>
        </w:rPr>
      </w:pPr>
      <w:r>
        <w:rPr>
          <w:rStyle w:val="FootnoteReference1"/>
        </w:rPr>
        <w:footnoteRef/>
      </w:r>
      <w:r>
        <w:rPr>
          <w:rtl/>
        </w:rPr>
        <w:t xml:space="preserve"> </w:t>
      </w:r>
      <w:r>
        <w:rPr>
          <w:rtl/>
        </w:rPr>
        <w:tab/>
      </w:r>
      <w:r w:rsidRPr="00E76311">
        <w:rPr>
          <w:rFonts w:hint="cs"/>
          <w:rtl/>
        </w:rPr>
        <w:t>משרד האנרגיה והתשתיות ומשרד האוצר, "ניתוח התחרות בשוק אספקת גפ"ם למשקי בית וחלופות לפתרון הבעיה התחרותית - קול קורא לשמיעת עמדות הציבור" (דצמבר 2025)</w:t>
      </w:r>
      <w:r>
        <w:rPr>
          <w:rFonts w:hint="cs"/>
          <w:rtl/>
        </w:rPr>
        <w:t xml:space="preserve"> (להלן - משרד האנרגיה ומשרד האוצר, קול קורא).</w:t>
      </w:r>
    </w:p>
  </w:footnote>
  <w:footnote w:id="131">
    <w:p w:rsidR="00A23EA9" w:rsidP="001B37C0">
      <w:pPr>
        <w:pStyle w:val="FootnoteText"/>
        <w:rPr>
          <w:rtl/>
        </w:rPr>
      </w:pPr>
      <w:r>
        <w:rPr>
          <w:rStyle w:val="FootnoteReference1"/>
        </w:rPr>
        <w:footnoteRef/>
      </w:r>
      <w:r>
        <w:rPr>
          <w:rtl/>
        </w:rPr>
        <w:t xml:space="preserve"> </w:t>
      </w:r>
      <w:r>
        <w:rPr>
          <w:rtl/>
        </w:rPr>
        <w:tab/>
      </w:r>
      <w:r>
        <w:rPr>
          <w:rFonts w:hint="cs"/>
          <w:rtl/>
        </w:rPr>
        <w:t>משרד האנרגיה ומשרד האוצר, קול קורא.</w:t>
      </w:r>
    </w:p>
  </w:footnote>
  <w:footnote w:id="132">
    <w:p w:rsidR="00A23EA9" w:rsidP="001B37C0">
      <w:pPr>
        <w:pStyle w:val="FootnoteText"/>
        <w:rPr>
          <w:rtl/>
        </w:rPr>
      </w:pPr>
      <w:r>
        <w:rPr>
          <w:rStyle w:val="FootnoteReference1"/>
        </w:rPr>
        <w:footnoteRef/>
      </w:r>
      <w:r>
        <w:rPr>
          <w:rtl/>
        </w:rPr>
        <w:t xml:space="preserve"> </w:t>
      </w:r>
      <w:r>
        <w:rPr>
          <w:rtl/>
        </w:rPr>
        <w:tab/>
      </w:r>
      <w:r w:rsidRPr="00465A0F">
        <w:rPr>
          <w:rtl/>
        </w:rPr>
        <w:t xml:space="preserve">משרד מבקר המדינה </w:t>
      </w:r>
      <w:r>
        <w:rPr>
          <w:rFonts w:hint="cs"/>
          <w:rtl/>
        </w:rPr>
        <w:t>טייב את</w:t>
      </w:r>
      <w:r w:rsidRPr="00465A0F">
        <w:rPr>
          <w:rtl/>
        </w:rPr>
        <w:t xml:space="preserve"> הנתונים שקיבל ממינהל הדלק והשמיט נתונים שלא תאמו </w:t>
      </w:r>
      <w:r>
        <w:rPr>
          <w:rFonts w:hint="cs"/>
          <w:rtl/>
        </w:rPr>
        <w:t xml:space="preserve">את </w:t>
      </w:r>
      <w:r w:rsidRPr="00465A0F">
        <w:rPr>
          <w:rtl/>
        </w:rPr>
        <w:t>טווח המחירים בכל אחד מאמצעי האספקה.</w:t>
      </w:r>
      <w:r>
        <w:rPr>
          <w:rFonts w:hint="cs"/>
          <w:rtl/>
        </w:rPr>
        <w:t xml:space="preserve"> הפעולות נעשו לאחר התייעצות עם מינהל הדלק. </w:t>
      </w:r>
      <w:r w:rsidRPr="00BA5E54">
        <w:rPr>
          <w:rtl/>
        </w:rPr>
        <w:t xml:space="preserve">השינויים מתייחסים למחירים הממוצעים של הספקים הגדולים כקבוצה ולמחירים הממוצעים של הספקים הקטנים כקבוצה ואינם משקפים בהכרח את מצבו של כל אחד מהספקים בנפרד. </w:t>
      </w:r>
      <w:r>
        <w:rPr>
          <w:rFonts w:hint="cs"/>
          <w:rtl/>
        </w:rPr>
        <w:t>י</w:t>
      </w:r>
      <w:r w:rsidRPr="00BA5E54">
        <w:rPr>
          <w:rtl/>
        </w:rPr>
        <w:t>יתכנו הבדלים בין הפרטים המרכיבים את הקבוצות.</w:t>
      </w:r>
    </w:p>
  </w:footnote>
  <w:footnote w:id="133">
    <w:p w:rsidR="00A23EA9" w:rsidP="004753CF">
      <w:pPr>
        <w:pStyle w:val="FootnoteText"/>
      </w:pPr>
      <w:r>
        <w:rPr>
          <w:rStyle w:val="FootnoteReference1"/>
        </w:rPr>
        <w:footnoteRef/>
      </w:r>
      <w:r>
        <w:rPr>
          <w:rtl/>
        </w:rPr>
        <w:t xml:space="preserve"> </w:t>
      </w:r>
      <w:r>
        <w:rPr>
          <w:rtl/>
        </w:rPr>
        <w:tab/>
      </w:r>
      <w:r>
        <w:rPr>
          <w:rFonts w:hint="cs"/>
          <w:rtl/>
        </w:rPr>
        <w:t>משרד האנרגיה ומשרד האוצר, קול קורא.</w:t>
      </w:r>
    </w:p>
  </w:footnote>
  <w:footnote w:id="134">
    <w:p w:rsidR="00A23EA9" w:rsidP="004753CF">
      <w:pPr>
        <w:pStyle w:val="FootnoteText"/>
      </w:pPr>
      <w:r>
        <w:rPr>
          <w:rStyle w:val="FootnoteReference1"/>
        </w:rPr>
        <w:footnoteRef/>
      </w:r>
      <w:r>
        <w:rPr>
          <w:rtl/>
        </w:rPr>
        <w:t xml:space="preserve"> </w:t>
      </w:r>
      <w:r>
        <w:rPr>
          <w:rtl/>
        </w:rPr>
        <w:tab/>
      </w:r>
      <w:r>
        <w:rPr>
          <w:rFonts w:hint="cs"/>
          <w:rtl/>
        </w:rPr>
        <w:t>אור יהודה, בני ברק, בת ים, גבעתיים, הרצלייה, חולון, פתח תקווה, קריית אונו, רמת גן, רמת השרון ותל אביב-יפו.</w:t>
      </w:r>
    </w:p>
  </w:footnote>
  <w:footnote w:id="135">
    <w:p w:rsidR="00A23EA9" w:rsidP="007E5741">
      <w:pPr>
        <w:pStyle w:val="FootnoteText"/>
      </w:pPr>
      <w:r>
        <w:rPr>
          <w:rStyle w:val="FootnoteReference1"/>
        </w:rPr>
        <w:footnoteRef/>
      </w:r>
      <w:r>
        <w:rPr>
          <w:rtl/>
        </w:rPr>
        <w:t xml:space="preserve"> </w:t>
      </w:r>
      <w:r>
        <w:rPr>
          <w:rtl/>
        </w:rPr>
        <w:tab/>
      </w:r>
      <w:r>
        <w:rPr>
          <w:rFonts w:hint="cs"/>
          <w:rtl/>
        </w:rPr>
        <w:t xml:space="preserve">צוות הביקורת </w:t>
      </w:r>
      <w:r w:rsidRPr="00A21232">
        <w:rPr>
          <w:rFonts w:hint="cs"/>
          <w:rtl/>
        </w:rPr>
        <w:t xml:space="preserve">ביצע חישוב </w:t>
      </w:r>
      <w:r>
        <w:rPr>
          <w:rFonts w:hint="cs"/>
          <w:rtl/>
        </w:rPr>
        <w:t>על בסיס המחיר המשוקלל למ"ק גפ"ם, אשר שקלל את המחיר הדו-חודשי שמשלמים הלקוחות (תשלום קבוע) ואת מחיר האספקה של מ"ק גפ"ם (מחיר משתנה).</w:t>
      </w:r>
    </w:p>
  </w:footnote>
  <w:footnote w:id="136">
    <w:p w:rsidR="00A23EA9" w:rsidP="007E5741">
      <w:pPr>
        <w:pStyle w:val="FootnoteText"/>
      </w:pPr>
      <w:r>
        <w:rPr>
          <w:rStyle w:val="FootnoteReference1"/>
        </w:rPr>
        <w:footnoteRef/>
      </w:r>
      <w:r>
        <w:rPr>
          <w:rtl/>
        </w:rPr>
        <w:t xml:space="preserve"> </w:t>
      </w:r>
      <w:r>
        <w:rPr>
          <w:rtl/>
        </w:rPr>
        <w:tab/>
      </w:r>
      <w:r>
        <w:rPr>
          <w:rFonts w:hint="cs"/>
          <w:rtl/>
        </w:rPr>
        <w:t>צוות הביקורת ביצע חישוב על בסיס המחיר המשוקלל למ"ק גפ"ם, אשר שקלל את המחיר הדו-חודשי שמשלמים הלקוחות (תשלום קבוע) ואת מחיר האספקה של מ"ק גפ"ם (מחיר משתנה).</w:t>
      </w:r>
    </w:p>
  </w:footnote>
  <w:footnote w:id="137">
    <w:p w:rsidR="00A23EA9" w:rsidP="007E5741">
      <w:pPr>
        <w:pStyle w:val="FootnoteText"/>
      </w:pPr>
      <w:r>
        <w:rPr>
          <w:rStyle w:val="FootnoteReference1"/>
        </w:rPr>
        <w:footnoteRef/>
      </w:r>
      <w:r>
        <w:rPr>
          <w:rtl/>
        </w:rPr>
        <w:t xml:space="preserve"> </w:t>
      </w:r>
      <w:r>
        <w:rPr>
          <w:rtl/>
        </w:rPr>
        <w:tab/>
      </w:r>
      <w:r>
        <w:rPr>
          <w:rFonts w:hint="cs"/>
          <w:rtl/>
        </w:rPr>
        <w:t>הטבות או הקלות הניתנות לגורם חדש בשוק כדי לעזור לו להתבסס ולהתחרות בגופים ותיקים וחזקים יותר.</w:t>
      </w:r>
    </w:p>
  </w:footnote>
  <w:footnote w:id="138">
    <w:p w:rsidR="00A23EA9" w:rsidP="007E5741">
      <w:pPr>
        <w:pStyle w:val="FootnoteText"/>
      </w:pPr>
      <w:r>
        <w:rPr>
          <w:rStyle w:val="FootnoteReference1"/>
        </w:rPr>
        <w:footnoteRef/>
      </w:r>
      <w:r>
        <w:rPr>
          <w:rtl/>
        </w:rPr>
        <w:t xml:space="preserve"> </w:t>
      </w:r>
      <w:r>
        <w:rPr>
          <w:rtl/>
        </w:rPr>
        <w:tab/>
      </w:r>
      <w:r>
        <w:rPr>
          <w:rFonts w:hint="cs"/>
          <w:rtl/>
        </w:rPr>
        <w:t>צוות הביקורת ביצע חישוב על בסיס המחיר המשוקלל למ"ק גפ"ם, אשר שקלל את המחיר הדו-חודשי שמשלמים הלקוחות (תשלום קבוע) ואת מחיר האספקה של מ"ק גפ"ם (מחיר משתנה).</w:t>
      </w:r>
    </w:p>
  </w:footnote>
  <w:footnote w:id="139">
    <w:p w:rsidR="00A23EA9" w:rsidP="007E5741">
      <w:pPr>
        <w:pStyle w:val="FootnoteText"/>
        <w:rPr>
          <w:rtl/>
        </w:rPr>
      </w:pPr>
      <w:r>
        <w:rPr>
          <w:rStyle w:val="FootnoteReference1"/>
        </w:rPr>
        <w:footnoteRef/>
      </w:r>
      <w:r>
        <w:rPr>
          <w:rtl/>
        </w:rPr>
        <w:t xml:space="preserve"> </w:t>
      </w:r>
      <w:r>
        <w:rPr>
          <w:rtl/>
        </w:rPr>
        <w:tab/>
      </w:r>
      <w:r>
        <w:rPr>
          <w:rFonts w:hint="cs"/>
          <w:rtl/>
        </w:rPr>
        <w:t>בני ברק, אלעד, מודיעין עילית וביתר עילית.</w:t>
      </w:r>
    </w:p>
  </w:footnote>
  <w:footnote w:id="140">
    <w:p w:rsidR="00A23EA9" w:rsidP="007E5741">
      <w:pPr>
        <w:pStyle w:val="FootnoteText"/>
        <w:rPr>
          <w:rtl/>
        </w:rPr>
      </w:pPr>
      <w:r>
        <w:rPr>
          <w:rStyle w:val="FootnoteReference1"/>
        </w:rPr>
        <w:footnoteRef/>
      </w:r>
      <w:r>
        <w:rPr>
          <w:rtl/>
        </w:rPr>
        <w:t xml:space="preserve"> </w:t>
      </w:r>
      <w:r>
        <w:rPr>
          <w:rtl/>
        </w:rPr>
        <w:tab/>
      </w:r>
      <w:r>
        <w:rPr>
          <w:rFonts w:hint="cs"/>
          <w:rtl/>
        </w:rPr>
        <w:t>אבו גוש, אבו סנאן, בסמת טבעון, יפיע, כפר יאסיף, כפר מנדא, עספייא, רהט ושפרעם.</w:t>
      </w:r>
    </w:p>
  </w:footnote>
  <w:footnote w:id="141">
    <w:p w:rsidR="00A23EA9" w:rsidP="007E5741">
      <w:pPr>
        <w:pStyle w:val="FootnoteText"/>
      </w:pPr>
      <w:r>
        <w:rPr>
          <w:rStyle w:val="FootnoteReference1"/>
        </w:rPr>
        <w:footnoteRef/>
      </w:r>
      <w:r>
        <w:rPr>
          <w:rtl/>
        </w:rPr>
        <w:t xml:space="preserve"> </w:t>
      </w:r>
      <w:r>
        <w:rPr>
          <w:rtl/>
        </w:rPr>
        <w:tab/>
      </w:r>
      <w:r>
        <w:rPr>
          <w:rFonts w:hint="cs"/>
          <w:rtl/>
        </w:rPr>
        <w:t>בני ברק, אלעד, מודיעין עילית וביתר עילית.</w:t>
      </w:r>
    </w:p>
  </w:footnote>
  <w:footnote w:id="142">
    <w:p w:rsidR="00A23EA9" w:rsidP="007E5741">
      <w:pPr>
        <w:pStyle w:val="FootnoteText"/>
        <w:rPr>
          <w:rtl/>
        </w:rPr>
      </w:pPr>
      <w:r>
        <w:rPr>
          <w:rStyle w:val="FootnoteReference1"/>
        </w:rPr>
        <w:footnoteRef/>
      </w:r>
      <w:r>
        <w:rPr>
          <w:rtl/>
        </w:rPr>
        <w:t xml:space="preserve"> </w:t>
      </w:r>
      <w:r>
        <w:rPr>
          <w:rtl/>
        </w:rPr>
        <w:tab/>
      </w:r>
      <w:r>
        <w:rPr>
          <w:rFonts w:hint="cs"/>
          <w:rtl/>
        </w:rPr>
        <w:t>אבו גוש, באקה אל-גרבייה, בית גַ'ן, ג'יש, דיר אל-אסד, דיר חנא, חורפיש, טובא-זנגרייה, טייבה, טמרה, יפיע, יירכא, כיסרא-</w:t>
      </w:r>
      <w:r w:rsidR="00086C69">
        <w:rPr>
          <w:rFonts w:hint="cs"/>
          <w:rtl/>
        </w:rPr>
        <w:t>ס</w:t>
      </w:r>
      <w:r>
        <w:rPr>
          <w:rFonts w:hint="cs"/>
          <w:rtl/>
        </w:rPr>
        <w:t>מיע, מר'אר, סח׳נין ופקיעין.</w:t>
      </w:r>
    </w:p>
  </w:footnote>
  <w:footnote w:id="143">
    <w:p w:rsidR="00A23EA9" w:rsidP="007E5741">
      <w:pPr>
        <w:pStyle w:val="FootnoteText"/>
        <w:rPr>
          <w:rtl/>
        </w:rPr>
      </w:pPr>
      <w:r>
        <w:rPr>
          <w:rStyle w:val="FootnoteReference1"/>
        </w:rPr>
        <w:footnoteRef/>
      </w:r>
      <w:r>
        <w:rPr>
          <w:rtl/>
        </w:rPr>
        <w:t xml:space="preserve"> </w:t>
      </w:r>
      <w:r>
        <w:rPr>
          <w:rtl/>
        </w:rPr>
        <w:tab/>
      </w:r>
      <w:r>
        <w:rPr>
          <w:rFonts w:hint="cs"/>
          <w:rtl/>
        </w:rPr>
        <w:t xml:space="preserve">יצוין כי המחיר המזערי והמחיר המרבי שדיווחו הספקים למינהל הדלק התייחסו לחודשים שונים בשנת הדיווח, ועל כן הפער הנכון לכל אחד מהחודשים היה נמוך יותר. </w:t>
      </w:r>
    </w:p>
  </w:footnote>
  <w:footnote w:id="144">
    <w:p w:rsidR="00A23EA9" w:rsidP="007E5741">
      <w:pPr>
        <w:pStyle w:val="FootnoteText"/>
        <w:rPr>
          <w:rtl/>
        </w:rPr>
      </w:pPr>
      <w:r>
        <w:rPr>
          <w:rStyle w:val="FootnoteReference1"/>
        </w:rPr>
        <w:footnoteRef/>
      </w:r>
      <w:r>
        <w:rPr>
          <w:rtl/>
        </w:rPr>
        <w:t xml:space="preserve"> </w:t>
      </w:r>
      <w:r>
        <w:rPr>
          <w:rtl/>
        </w:rPr>
        <w:tab/>
      </w:r>
      <w:r>
        <w:rPr>
          <w:rFonts w:hint="cs"/>
          <w:rtl/>
        </w:rPr>
        <w:t>משרד האנרגיה והתשתיות, "תוכנית להפחתת מחירי הגפ"ם במגזר הביתי" (27.4.26).</w:t>
      </w:r>
    </w:p>
  </w:footnote>
  <w:footnote w:id="145">
    <w:p w:rsidR="00A23EA9" w:rsidP="007E5741">
      <w:pPr>
        <w:pStyle w:val="FootnoteText"/>
      </w:pPr>
      <w:r>
        <w:rPr>
          <w:rStyle w:val="FootnoteReference1"/>
        </w:rPr>
        <w:footnoteRef/>
      </w:r>
      <w:r>
        <w:rPr>
          <w:rtl/>
        </w:rPr>
        <w:t xml:space="preserve"> </w:t>
      </w:r>
      <w:r>
        <w:rPr>
          <w:rtl/>
        </w:rPr>
        <w:tab/>
      </w:r>
      <w:r>
        <w:rPr>
          <w:rFonts w:hint="cs"/>
          <w:rtl/>
        </w:rPr>
        <w:t>למעט רכיב "שער בז"ן" המהווה 29% מהמחיר למ"ק.</w:t>
      </w:r>
    </w:p>
  </w:footnote>
  <w:footnote w:id="146">
    <w:p w:rsidR="00A23EA9" w:rsidP="007E5741">
      <w:pPr>
        <w:pStyle w:val="FootnoteText"/>
      </w:pPr>
      <w:r>
        <w:rPr>
          <w:rStyle w:val="FootnoteReference1"/>
        </w:rPr>
        <w:footnoteRef/>
      </w:r>
      <w:r>
        <w:rPr>
          <w:rtl/>
        </w:rPr>
        <w:t xml:space="preserve"> </w:t>
      </w:r>
      <w:r>
        <w:rPr>
          <w:rtl/>
        </w:rPr>
        <w:tab/>
      </w:r>
      <w:r>
        <w:rPr>
          <w:rFonts w:hint="cs"/>
          <w:rtl/>
        </w:rPr>
        <w:t>שירותי אספקת הגז כוללים, בין היתר, התקנת מתקן גז, חיבור מתקן גז ואספקת מכל גז.</w:t>
      </w:r>
    </w:p>
  </w:footnote>
  <w:footnote w:id="147">
    <w:p w:rsidR="00A23EA9" w:rsidP="007E5741">
      <w:pPr>
        <w:pStyle w:val="FootnoteText"/>
      </w:pPr>
      <w:r>
        <w:rPr>
          <w:rStyle w:val="FootnoteReference1"/>
        </w:rPr>
        <w:footnoteRef/>
      </w:r>
      <w:r>
        <w:rPr>
          <w:rtl/>
        </w:rPr>
        <w:t xml:space="preserve"> </w:t>
      </w:r>
      <w:r>
        <w:rPr>
          <w:rtl/>
        </w:rPr>
        <w:tab/>
      </w:r>
      <w:r>
        <w:rPr>
          <w:rFonts w:hint="cs"/>
          <w:rtl/>
        </w:rPr>
        <w:t xml:space="preserve">המתקנים כוללים מכל מיטלטל שקיבולו 12 ק"ג גפ"ם, מכל מיטלטל שקיבולו 48 ק"ג גפ"ם, מאגר גפ"ם </w:t>
      </w:r>
      <w:r w:rsidRPr="000F45DF">
        <w:rPr>
          <w:rFonts w:hint="cs"/>
          <w:rtl/>
        </w:rPr>
        <w:t>במרכזיית מכלים ומרכזיית מכל נייח</w:t>
      </w:r>
      <w:r w:rsidRPr="000F45DF">
        <w:rPr>
          <w:rtl/>
        </w:rPr>
        <w:t>.</w:t>
      </w:r>
    </w:p>
  </w:footnote>
  <w:footnote w:id="148">
    <w:p w:rsidR="00A23EA9" w:rsidP="007E5741">
      <w:pPr>
        <w:pStyle w:val="FootnoteText"/>
        <w:rPr>
          <w:rtl/>
        </w:rPr>
      </w:pPr>
      <w:r>
        <w:rPr>
          <w:rStyle w:val="FootnoteReference1"/>
        </w:rPr>
        <w:footnoteRef/>
      </w:r>
      <w:r>
        <w:rPr>
          <w:rtl/>
        </w:rPr>
        <w:t xml:space="preserve"> </w:t>
      </w:r>
      <w:r>
        <w:rPr>
          <w:rtl/>
        </w:rPr>
        <w:tab/>
      </w:r>
      <w:r>
        <w:rPr>
          <w:rFonts w:hint="cs"/>
          <w:rtl/>
        </w:rPr>
        <w:t>משרד האנרגיה ומשרד האוצר, קול קורא.</w:t>
      </w:r>
    </w:p>
  </w:footnote>
  <w:footnote w:id="149">
    <w:p w:rsidR="00A23EA9" w:rsidP="007E5741">
      <w:pPr>
        <w:pStyle w:val="FootnoteText"/>
      </w:pPr>
      <w:r>
        <w:rPr>
          <w:rStyle w:val="FootnoteReference1"/>
        </w:rPr>
        <w:footnoteRef/>
      </w:r>
      <w:r>
        <w:rPr>
          <w:rtl/>
        </w:rPr>
        <w:t xml:space="preserve"> </w:t>
      </w:r>
      <w:r>
        <w:rPr>
          <w:rtl/>
        </w:rPr>
        <w:tab/>
      </w:r>
      <w:r>
        <w:rPr>
          <w:rFonts w:hint="cs"/>
          <w:rtl/>
        </w:rPr>
        <w:t>מינהל הדלק חישב את מרווח המחיר על פי מחיר האספקה לצרכן כולל מע"ם בניכוי עלות הגפ"ם ברכישה מבית הזיקוק כולל מע"ם.</w:t>
      </w:r>
    </w:p>
  </w:footnote>
  <w:footnote w:id="150">
    <w:p w:rsidR="00A23EA9" w:rsidP="007E5741">
      <w:pPr>
        <w:pStyle w:val="FootnoteText"/>
      </w:pPr>
      <w:r>
        <w:rPr>
          <w:rStyle w:val="FootnoteReference1"/>
        </w:rPr>
        <w:footnoteRef/>
      </w:r>
      <w:r>
        <w:rPr>
          <w:rtl/>
        </w:rPr>
        <w:t xml:space="preserve"> </w:t>
      </w:r>
      <w:r>
        <w:rPr>
          <w:rtl/>
        </w:rPr>
        <w:tab/>
      </w:r>
      <w:r>
        <w:rPr>
          <w:rFonts w:ascii="David" w:hAnsi="David" w:hint="cs"/>
          <w:rtl/>
        </w:rPr>
        <w:t>המחיר הממוצע בארץ</w:t>
      </w:r>
      <w:r>
        <w:rPr>
          <w:rFonts w:hint="cs"/>
          <w:rtl/>
        </w:rPr>
        <w:t xml:space="preserve"> חושב באמצעות נתונים של משרד האנרגיה שהועברו לצוות הביקורת, לאחר שנוכו נתונים מחוץ לטווח שמסר מינהל הדלק.</w:t>
      </w:r>
    </w:p>
  </w:footnote>
  <w:footnote w:id="151">
    <w:p w:rsidR="00A23EA9" w:rsidP="007E5741">
      <w:pPr>
        <w:pStyle w:val="FootnoteText"/>
        <w:rPr>
          <w:rtl/>
        </w:rPr>
      </w:pPr>
      <w:r>
        <w:rPr>
          <w:rStyle w:val="FootnoteReference1"/>
        </w:rPr>
        <w:footnoteRef/>
      </w:r>
      <w:r>
        <w:rPr>
          <w:rtl/>
        </w:rPr>
        <w:t xml:space="preserve"> </w:t>
      </w:r>
      <w:r>
        <w:rPr>
          <w:rtl/>
        </w:rPr>
        <w:tab/>
      </w:r>
      <w:r>
        <w:rPr>
          <w:rFonts w:hint="cs"/>
          <w:rtl/>
        </w:rPr>
        <w:t>בהתבסס על נתוני מינהל הדלק המפורסמים באתר משרד האנרגיה, חושב המחיר הממוצע לטונה גפ"ם, כולל מע"ם ובלו, בשנת 2024 (2,784 ש"ח). לפיכך המחיר למכל 48 ק"ג הוא 133.67 ש"ח.</w:t>
      </w:r>
    </w:p>
  </w:footnote>
  <w:footnote w:id="152">
    <w:p w:rsidR="00A23EA9" w:rsidRPr="0072159E" w:rsidP="007E5741">
      <w:pPr>
        <w:pStyle w:val="FootnoteText"/>
        <w:rPr>
          <w:rtl/>
        </w:rPr>
      </w:pPr>
      <w:r>
        <w:rPr>
          <w:rStyle w:val="FootnoteReference1"/>
        </w:rPr>
        <w:footnoteRef/>
      </w:r>
      <w:r>
        <w:rPr>
          <w:rtl/>
        </w:rPr>
        <w:t xml:space="preserve"> </w:t>
      </w:r>
      <w:r>
        <w:rPr>
          <w:rtl/>
        </w:rPr>
        <w:tab/>
      </w:r>
      <w:bookmarkStart w:id="43" w:name="_Hlk220506314"/>
      <w:r>
        <w:rPr>
          <w:rFonts w:hint="cs"/>
          <w:rtl/>
        </w:rPr>
        <w:t xml:space="preserve">הוצאות מכירה ושיווק </w:t>
      </w:r>
      <w:bookmarkEnd w:id="43"/>
      <w:r>
        <w:rPr>
          <w:rFonts w:hint="cs"/>
          <w:rtl/>
        </w:rPr>
        <w:t xml:space="preserve">כוללות בעיקר עלויות שכר </w:t>
      </w:r>
      <w:r w:rsidRPr="0072159E">
        <w:rPr>
          <w:rFonts w:hint="cs"/>
          <w:rtl/>
        </w:rPr>
        <w:t xml:space="preserve">עבודה, </w:t>
      </w:r>
      <w:r w:rsidRPr="0072159E">
        <w:rPr>
          <w:rFonts w:hint="eastAsia"/>
          <w:rtl/>
        </w:rPr>
        <w:t>עלויות</w:t>
      </w:r>
      <w:r w:rsidRPr="0072159E">
        <w:rPr>
          <w:rtl/>
        </w:rPr>
        <w:t xml:space="preserve"> </w:t>
      </w:r>
      <w:r w:rsidRPr="0072159E">
        <w:rPr>
          <w:rFonts w:hint="eastAsia"/>
          <w:rtl/>
        </w:rPr>
        <w:t>הובלה</w:t>
      </w:r>
      <w:r w:rsidRPr="0072159E">
        <w:rPr>
          <w:rtl/>
        </w:rPr>
        <w:t xml:space="preserve"> </w:t>
      </w:r>
      <w:r w:rsidRPr="0072159E">
        <w:rPr>
          <w:rFonts w:hint="eastAsia"/>
          <w:rtl/>
        </w:rPr>
        <w:t>של</w:t>
      </w:r>
      <w:r w:rsidRPr="0072159E">
        <w:rPr>
          <w:rtl/>
        </w:rPr>
        <w:t xml:space="preserve"> </w:t>
      </w:r>
      <w:r w:rsidRPr="0072159E">
        <w:rPr>
          <w:rFonts w:hint="eastAsia"/>
          <w:rtl/>
        </w:rPr>
        <w:t>צובר</w:t>
      </w:r>
      <w:r w:rsidRPr="0072159E">
        <w:rPr>
          <w:rtl/>
        </w:rPr>
        <w:t xml:space="preserve"> </w:t>
      </w:r>
      <w:r w:rsidRPr="0072159E">
        <w:rPr>
          <w:rFonts w:hint="eastAsia"/>
          <w:rtl/>
        </w:rPr>
        <w:t>גז</w:t>
      </w:r>
      <w:r w:rsidRPr="0072159E">
        <w:rPr>
          <w:rtl/>
        </w:rPr>
        <w:t xml:space="preserve"> </w:t>
      </w:r>
      <w:r w:rsidRPr="0072159E">
        <w:rPr>
          <w:rFonts w:hint="eastAsia"/>
          <w:rtl/>
        </w:rPr>
        <w:t>ומכלי</w:t>
      </w:r>
      <w:r w:rsidRPr="0072159E">
        <w:rPr>
          <w:rtl/>
        </w:rPr>
        <w:t xml:space="preserve"> </w:t>
      </w:r>
      <w:r w:rsidRPr="0072159E">
        <w:rPr>
          <w:rFonts w:hint="eastAsia"/>
          <w:rtl/>
        </w:rPr>
        <w:t>גז</w:t>
      </w:r>
      <w:r w:rsidRPr="0072159E">
        <w:rPr>
          <w:rFonts w:hint="cs"/>
          <w:rtl/>
        </w:rPr>
        <w:t>, תשלומים לקבלנים ועלויות פרסום.</w:t>
      </w:r>
    </w:p>
  </w:footnote>
  <w:footnote w:id="153">
    <w:p w:rsidR="00A23EA9" w:rsidP="007E5741">
      <w:pPr>
        <w:pStyle w:val="FootnoteText"/>
      </w:pPr>
      <w:r w:rsidRPr="0072159E">
        <w:rPr>
          <w:rStyle w:val="FootnoteReference1"/>
        </w:rPr>
        <w:footnoteRef/>
      </w:r>
      <w:r w:rsidRPr="0072159E">
        <w:rPr>
          <w:rtl/>
        </w:rPr>
        <w:t xml:space="preserve"> </w:t>
      </w:r>
      <w:r w:rsidRPr="0072159E">
        <w:rPr>
          <w:rtl/>
        </w:rPr>
        <w:tab/>
      </w:r>
      <w:r w:rsidRPr="0072159E">
        <w:rPr>
          <w:rFonts w:hint="cs"/>
          <w:rtl/>
        </w:rPr>
        <w:t>הוצאות הנהלה וכלליות כוללות בעיקר הוצאות שכר עבודה, דמי ניהול, שירותים מקצועיים, ביטוח ועיבוד נתונים.</w:t>
      </w:r>
    </w:p>
  </w:footnote>
  <w:footnote w:id="154">
    <w:p w:rsidR="00A23EA9" w:rsidP="007E5741">
      <w:pPr>
        <w:pStyle w:val="FootnoteText"/>
      </w:pPr>
      <w:r>
        <w:rPr>
          <w:rStyle w:val="FootnoteReference1"/>
        </w:rPr>
        <w:footnoteRef/>
      </w:r>
      <w:r>
        <w:rPr>
          <w:rtl/>
        </w:rPr>
        <w:t xml:space="preserve"> </w:t>
      </w:r>
      <w:r>
        <w:rPr>
          <w:rtl/>
        </w:rPr>
        <w:tab/>
      </w:r>
      <w:r w:rsidRPr="007E5741">
        <w:rPr>
          <w:rFonts w:hint="cs"/>
          <w:color w:val="000000"/>
          <w:rtl/>
        </w:rPr>
        <w:t>בכ-3.4% מדיווחי החברות לשנת 2024 המחיר המרבי של מכלי 48 ק"ג הוא יותר מ-700 ש"ח (כולל מע"ם),</w:t>
      </w:r>
      <w:r>
        <w:rPr>
          <w:rFonts w:hint="cs"/>
          <w:rtl/>
        </w:rPr>
        <w:t xml:space="preserve"> </w:t>
      </w:r>
      <w:r w:rsidRPr="007E5741">
        <w:rPr>
          <w:rFonts w:hint="cs"/>
          <w:color w:val="000000"/>
          <w:rtl/>
        </w:rPr>
        <w:t xml:space="preserve">ובכ-8.6% המחיר המרבי הוא יותר מ-600 ש"ח (כולל מע"ם). </w:t>
      </w:r>
    </w:p>
  </w:footnote>
  <w:footnote w:id="155">
    <w:p w:rsidR="00A23EA9" w:rsidP="007E5741">
      <w:pPr>
        <w:pStyle w:val="FootnoteText"/>
      </w:pPr>
      <w:r>
        <w:rPr>
          <w:rStyle w:val="FootnoteReference1"/>
        </w:rPr>
        <w:footnoteRef/>
      </w:r>
      <w:r>
        <w:rPr>
          <w:rtl/>
        </w:rPr>
        <w:t xml:space="preserve"> </w:t>
      </w:r>
      <w:r>
        <w:rPr>
          <w:rtl/>
        </w:rPr>
        <w:tab/>
      </w:r>
      <w:r w:rsidRPr="007E5741">
        <w:rPr>
          <w:rFonts w:hint="cs"/>
          <w:color w:val="000000"/>
          <w:rtl/>
        </w:rPr>
        <w:t>ב-8% מדיווחי החברות לשנת 2024 המחיר המזערי של מכל 48 ק"ג הוא פחות מ-300 ש"ח (כולל מע"ם).</w:t>
      </w:r>
    </w:p>
  </w:footnote>
  <w:footnote w:id="156">
    <w:p w:rsidR="00A23EA9" w:rsidP="007E5741">
      <w:pPr>
        <w:pStyle w:val="FootnoteText"/>
      </w:pPr>
      <w:r>
        <w:rPr>
          <w:rStyle w:val="FootnoteReference1"/>
        </w:rPr>
        <w:footnoteRef/>
      </w:r>
      <w:r>
        <w:rPr>
          <w:rtl/>
        </w:rPr>
        <w:t xml:space="preserve"> </w:t>
      </w:r>
      <w:r>
        <w:rPr>
          <w:rtl/>
        </w:rPr>
        <w:tab/>
      </w:r>
      <w:r w:rsidRPr="006120C7">
        <w:rPr>
          <w:rtl/>
        </w:rPr>
        <w:t>מחיר טורפני (</w:t>
      </w:r>
      <w:r w:rsidRPr="006120C7">
        <w:t>predatory pricing</w:t>
      </w:r>
      <w:r w:rsidRPr="006120C7">
        <w:rPr>
          <w:rtl/>
        </w:rPr>
        <w:t>) הוא אסטרטגיה עסקית אנטי</w:t>
      </w:r>
      <w:r>
        <w:rPr>
          <w:rFonts w:hint="cs"/>
          <w:rtl/>
        </w:rPr>
        <w:t xml:space="preserve"> </w:t>
      </w:r>
      <w:r w:rsidRPr="006120C7">
        <w:rPr>
          <w:rtl/>
        </w:rPr>
        <w:t xml:space="preserve">תחרותית, </w:t>
      </w:r>
      <w:r>
        <w:rPr>
          <w:rFonts w:hint="cs"/>
          <w:rtl/>
        </w:rPr>
        <w:t>ש</w:t>
      </w:r>
      <w:r w:rsidRPr="006120C7">
        <w:rPr>
          <w:rtl/>
        </w:rPr>
        <w:t>בה חברה (</w:t>
      </w:r>
      <w:r>
        <w:rPr>
          <w:rFonts w:hint="cs"/>
          <w:rtl/>
        </w:rPr>
        <w:t>בדרך כלל</w:t>
      </w:r>
      <w:r w:rsidRPr="006120C7">
        <w:rPr>
          <w:rtl/>
        </w:rPr>
        <w:t xml:space="preserve"> מונופול) </w:t>
      </w:r>
      <w:r w:rsidRPr="00DC0612">
        <w:rPr>
          <w:rtl/>
        </w:rPr>
        <w:t>קובעת מחירים נמוכים באופן קיצוני</w:t>
      </w:r>
      <w:r w:rsidRPr="00DC0612">
        <w:rPr>
          <w:rFonts w:hint="cs"/>
          <w:rtl/>
        </w:rPr>
        <w:t>.</w:t>
      </w:r>
      <w:r w:rsidRPr="00DC0612">
        <w:rPr>
          <w:rtl/>
        </w:rPr>
        <w:t xml:space="preserve"> המטרה היא לייצר הפסדים למתחרים, להוציאם</w:t>
      </w:r>
      <w:r w:rsidRPr="00DC0612">
        <w:rPr>
          <w:rFonts w:hint="cs"/>
          <w:rtl/>
        </w:rPr>
        <w:t xml:space="preserve"> </w:t>
      </w:r>
      <w:r w:rsidRPr="00DC0612">
        <w:rPr>
          <w:rFonts w:hint="eastAsia"/>
          <w:rtl/>
        </w:rPr>
        <w:t>מהשוק</w:t>
      </w:r>
      <w:r w:rsidRPr="00DC0612">
        <w:rPr>
          <w:rtl/>
        </w:rPr>
        <w:t>, ולאחר</w:t>
      </w:r>
      <w:r w:rsidRPr="003D2676">
        <w:rPr>
          <w:rtl/>
        </w:rPr>
        <w:t xml:space="preserve"> מכן להעלות מחירים כדי ליהנות מכוח מונופוליסטי.</w:t>
      </w:r>
    </w:p>
  </w:footnote>
  <w:footnote w:id="157">
    <w:p w:rsidR="00A23EA9" w:rsidP="007E5741">
      <w:pPr>
        <w:pStyle w:val="FootnoteText"/>
        <w:rPr>
          <w:rtl/>
        </w:rPr>
      </w:pPr>
      <w:r>
        <w:rPr>
          <w:rStyle w:val="FootnoteReference1"/>
        </w:rPr>
        <w:footnoteRef/>
      </w:r>
      <w:r>
        <w:rPr>
          <w:rtl/>
        </w:rPr>
        <w:t xml:space="preserve"> </w:t>
      </w:r>
      <w:r>
        <w:rPr>
          <w:rtl/>
        </w:rPr>
        <w:tab/>
      </w:r>
      <w:r>
        <w:rPr>
          <w:rFonts w:hint="cs"/>
          <w:rtl/>
        </w:rPr>
        <w:t>מינהל הדלק, בחינת רמת הריכוזיות.</w:t>
      </w:r>
    </w:p>
  </w:footnote>
  <w:footnote w:id="158">
    <w:p w:rsidR="00A23EA9" w:rsidP="007E5741">
      <w:pPr>
        <w:pStyle w:val="FootnoteText"/>
        <w:rPr>
          <w:rtl/>
        </w:rPr>
      </w:pPr>
      <w:r>
        <w:rPr>
          <w:rStyle w:val="FootnoteReference1"/>
        </w:rPr>
        <w:footnoteRef/>
      </w:r>
      <w:r>
        <w:rPr>
          <w:rtl/>
        </w:rPr>
        <w:t xml:space="preserve"> </w:t>
      </w:r>
      <w:r>
        <w:rPr>
          <w:rtl/>
        </w:rPr>
        <w:tab/>
      </w:r>
      <w:r>
        <w:rPr>
          <w:rFonts w:hint="cs"/>
          <w:rtl/>
        </w:rPr>
        <w:t>מינהל הדלק, בחינת רמת הריכוזיות.</w:t>
      </w:r>
    </w:p>
  </w:footnote>
  <w:footnote w:id="159">
    <w:p w:rsidR="00A23EA9" w:rsidP="007E5741">
      <w:pPr>
        <w:pStyle w:val="FootnoteText"/>
      </w:pPr>
      <w:r>
        <w:rPr>
          <w:rStyle w:val="FootnoteReference1"/>
        </w:rPr>
        <w:footnoteRef/>
      </w:r>
      <w:r>
        <w:rPr>
          <w:rtl/>
        </w:rPr>
        <w:t xml:space="preserve"> </w:t>
      </w:r>
      <w:r>
        <w:rPr>
          <w:rtl/>
        </w:rPr>
        <w:tab/>
      </w:r>
      <w:r>
        <w:rPr>
          <w:rFonts w:hint="cs"/>
          <w:rtl/>
        </w:rPr>
        <w:t xml:space="preserve">ספקי הגז מדווחים למינהל הדלק על מספר הלקוחות שהם הוציאו להם חשבוניות בכל חודש. הספקים אינם מדווחים על מספר לקוחות כולל. זאת ועוד, מינהל הדלק מטייב נתונים מול הספקים. לבקשת צוות הביקורת עשה מינהל הדלק חישוב משוער של מספר הלקוחות הכולל. </w:t>
      </w:r>
    </w:p>
  </w:footnote>
  <w:footnote w:id="160">
    <w:p w:rsidR="00A23EA9" w:rsidP="007E5741">
      <w:pPr>
        <w:pStyle w:val="FootnoteText"/>
      </w:pPr>
      <w:r>
        <w:rPr>
          <w:rStyle w:val="FootnoteReference1"/>
        </w:rPr>
        <w:footnoteRef/>
      </w:r>
      <w:r>
        <w:rPr>
          <w:rtl/>
        </w:rPr>
        <w:t xml:space="preserve"> </w:t>
      </w:r>
      <w:r>
        <w:rPr>
          <w:rtl/>
        </w:rPr>
        <w:tab/>
      </w:r>
      <w:r>
        <w:rPr>
          <w:rFonts w:hint="cs"/>
          <w:rtl/>
        </w:rPr>
        <w:t xml:space="preserve">ספקי הגז מדווחים למינהל הדלק על מספר הלקוחות שהם הוציאו להם חשבוניות בכל חודש. הספקים אינם מדווחים על מספר לקוחות כולל. זאת ועוד, מינהל הדלק מטייב נתונים מול הספקים. לבקשת צוות הביקורת עשה מינהל הדלק חישוב משוער של מספר הלקוחות הכולל. </w:t>
      </w:r>
    </w:p>
  </w:footnote>
  <w:footnote w:id="161">
    <w:p w:rsidR="00A23EA9" w:rsidP="007E5741">
      <w:pPr>
        <w:pStyle w:val="FootnoteText"/>
        <w:rPr>
          <w:rtl/>
        </w:rPr>
      </w:pPr>
      <w:r>
        <w:rPr>
          <w:rStyle w:val="FootnoteReference1"/>
        </w:rPr>
        <w:footnoteRef/>
      </w:r>
      <w:r>
        <w:rPr>
          <w:rtl/>
        </w:rPr>
        <w:t xml:space="preserve"> </w:t>
      </w:r>
      <w:r>
        <w:rPr>
          <w:rtl/>
        </w:rPr>
        <w:tab/>
      </w:r>
      <w:r w:rsidRPr="00123669">
        <w:rPr>
          <w:rFonts w:hint="cs"/>
          <w:rtl/>
        </w:rPr>
        <w:t>ספר חוקים התשמ"ט, מס' 1273, מיום 7.4.89, עמ' 28</w:t>
      </w:r>
      <w:r>
        <w:rPr>
          <w:rFonts w:hint="cs"/>
          <w:rtl/>
        </w:rPr>
        <w:t>.</w:t>
      </w:r>
    </w:p>
  </w:footnote>
  <w:footnote w:id="162">
    <w:p w:rsidR="00A23EA9" w:rsidP="007E5741">
      <w:pPr>
        <w:pStyle w:val="FootnoteText"/>
      </w:pPr>
      <w:r w:rsidRPr="006B5DAE">
        <w:rPr>
          <w:rStyle w:val="FootnoteReference1"/>
        </w:rPr>
        <w:footnoteRef/>
      </w:r>
      <w:r w:rsidRPr="006B5DAE">
        <w:rPr>
          <w:rtl/>
        </w:rPr>
        <w:t xml:space="preserve"> </w:t>
      </w:r>
      <w:r w:rsidRPr="006B5DAE">
        <w:rPr>
          <w:rtl/>
        </w:rPr>
        <w:tab/>
      </w:r>
      <w:r w:rsidRPr="006B5DAE">
        <w:rPr>
          <w:rFonts w:hint="eastAsia"/>
          <w:rtl/>
        </w:rPr>
        <w:t>ה</w:t>
      </w:r>
      <w:r w:rsidRPr="006B5DAE">
        <w:rPr>
          <w:rFonts w:hint="cs"/>
          <w:rtl/>
        </w:rPr>
        <w:t xml:space="preserve">צעות </w:t>
      </w:r>
      <w:r w:rsidRPr="006B5DAE">
        <w:rPr>
          <w:rtl/>
        </w:rPr>
        <w:t>ח</w:t>
      </w:r>
      <w:r w:rsidRPr="006B5DAE">
        <w:rPr>
          <w:rFonts w:hint="cs"/>
          <w:rtl/>
        </w:rPr>
        <w:t>וק התשמ"ט מס' 1915, עמ' 23 - 24.</w:t>
      </w:r>
    </w:p>
  </w:footnote>
  <w:footnote w:id="163">
    <w:p w:rsidR="00A23EA9" w:rsidP="007E5741">
      <w:pPr>
        <w:pStyle w:val="FootnoteText"/>
      </w:pPr>
      <w:r>
        <w:rPr>
          <w:rStyle w:val="FootnoteReference1"/>
        </w:rPr>
        <w:footnoteRef/>
      </w:r>
      <w:r>
        <w:rPr>
          <w:rtl/>
        </w:rPr>
        <w:t xml:space="preserve"> </w:t>
      </w:r>
      <w:r>
        <w:rPr>
          <w:rtl/>
        </w:rPr>
        <w:tab/>
      </w:r>
      <w:r w:rsidRPr="00123669">
        <w:rPr>
          <w:rFonts w:hint="cs"/>
          <w:rtl/>
        </w:rPr>
        <w:t>מכתב מגב' בת שבע אבוחצירה, מנהלת מינהל הדלק והגז, לחברות הגז בעניין "עדכון גילוי דעת לעניין איסור קביעת תנאים הפוגעים בתחרות לפי סעיף 17ד לחוק"</w:t>
      </w:r>
      <w:r>
        <w:rPr>
          <w:rFonts w:hint="cs"/>
          <w:rtl/>
        </w:rPr>
        <w:t xml:space="preserve">, </w:t>
      </w:r>
      <w:r w:rsidRPr="00B8175F">
        <w:rPr>
          <w:rtl/>
        </w:rPr>
        <w:t>28.4.25</w:t>
      </w:r>
      <w:r>
        <w:rPr>
          <w:rFonts w:hint="cs"/>
          <w:rtl/>
        </w:rPr>
        <w:t>.</w:t>
      </w:r>
    </w:p>
  </w:footnote>
  <w:footnote w:id="164">
    <w:p w:rsidR="00A23EA9" w:rsidP="007E5741">
      <w:pPr>
        <w:pStyle w:val="FootnoteText"/>
      </w:pPr>
      <w:r>
        <w:rPr>
          <w:rStyle w:val="FootnoteReference1"/>
        </w:rPr>
        <w:footnoteRef/>
      </w:r>
      <w:r>
        <w:rPr>
          <w:rtl/>
        </w:rPr>
        <w:t xml:space="preserve"> </w:t>
      </w:r>
      <w:r>
        <w:rPr>
          <w:rtl/>
        </w:rPr>
        <w:tab/>
      </w:r>
      <w:r w:rsidRPr="00123669">
        <w:rPr>
          <w:rFonts w:hint="cs"/>
          <w:rtl/>
        </w:rPr>
        <w:t xml:space="preserve">ה"פ 68062-03-19 </w:t>
      </w:r>
      <w:r w:rsidRPr="00123669">
        <w:rPr>
          <w:rFonts w:hint="cs"/>
          <w:b/>
          <w:bCs/>
          <w:rtl/>
        </w:rPr>
        <w:t>החברה האמריקאית ישראלית לגז בע"מ נ' משרד האנרגיה והתשתיות</w:t>
      </w:r>
      <w:r>
        <w:rPr>
          <w:rFonts w:hint="cs"/>
          <w:rtl/>
        </w:rPr>
        <w:t xml:space="preserve"> </w:t>
      </w:r>
      <w:r w:rsidRPr="00626258">
        <w:rPr>
          <w:rFonts w:hint="cs"/>
          <w:rtl/>
        </w:rPr>
        <w:t>(פורסם באתר נבו)</w:t>
      </w:r>
      <w:r>
        <w:rPr>
          <w:rFonts w:hint="cs"/>
          <w:rtl/>
        </w:rPr>
        <w:t>.</w:t>
      </w:r>
    </w:p>
  </w:footnote>
  <w:footnote w:id="165">
    <w:p w:rsidR="00A23EA9" w:rsidP="007E5741">
      <w:pPr>
        <w:pStyle w:val="FootnoteText"/>
        <w:rPr>
          <w:rtl/>
        </w:rPr>
      </w:pPr>
      <w:r>
        <w:rPr>
          <w:rStyle w:val="FootnoteReference1"/>
        </w:rPr>
        <w:footnoteRef/>
      </w:r>
      <w:r>
        <w:rPr>
          <w:rtl/>
        </w:rPr>
        <w:t xml:space="preserve"> </w:t>
      </w:r>
      <w:r>
        <w:rPr>
          <w:rtl/>
        </w:rPr>
        <w:tab/>
      </w:r>
      <w:r>
        <w:rPr>
          <w:rFonts w:hint="cs"/>
          <w:rtl/>
        </w:rPr>
        <w:t>מעורבים בתיק הם אדם פרטי או תאגיד.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EA9" w:rsidRPr="0062451B" w:rsidP="001F4412">
    <w:pPr>
      <w:pStyle w:val="Header"/>
      <w:tabs>
        <w:tab w:val="clear" w:pos="8306"/>
        <w:tab w:val="right" w:pos="8504"/>
      </w:tabs>
      <w:ind w:right="-709"/>
      <w:jc w:val="right"/>
      <w:rPr>
        <w:rFonts w:asciiTheme="minorHAnsi" w:hAnsiTheme="minorHAnsi" w:cstheme="minorHAnsi"/>
        <w:color w:val="002060"/>
        <w:szCs w:val="20"/>
      </w:rPr>
    </w:pP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6432" behindDoc="0" locked="0" layoutInCell="1" allowOverlap="1">
              <wp:simplePos x="0" y="0"/>
              <wp:positionH relativeFrom="margin">
                <wp:posOffset>3796030</wp:posOffset>
              </wp:positionH>
              <wp:positionV relativeFrom="paragraph">
                <wp:posOffset>216535</wp:posOffset>
              </wp:positionV>
              <wp:extent cx="2224405" cy="285750"/>
              <wp:effectExtent l="0" t="0" r="0" b="0"/>
              <wp:wrapSquare wrapText="bothSides"/>
              <wp:docPr id="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2224405" cy="285750"/>
                      </a:xfrm>
                      <a:prstGeom prst="rect">
                        <a:avLst/>
                      </a:prstGeom>
                      <a:noFill/>
                      <a:ln w="9525">
                        <a:noFill/>
                        <a:miter lim="800000"/>
                        <a:headEnd/>
                        <a:tailEnd/>
                      </a:ln>
                    </wps:spPr>
                    <wps:txbx>
                      <w:txbxContent>
                        <w:p w:rsidR="00A23EA9" w:rsidRPr="001E204F" w:rsidP="00354F9A">
                          <w:pPr>
                            <w:rPr>
                              <w:rFonts w:ascii="Calibri" w:hAnsi="Calibri" w:cs="Calibri"/>
                              <w:color w:val="002060"/>
                              <w:szCs w:val="20"/>
                              <w:rtl/>
                            </w:rPr>
                          </w:pPr>
                          <w:r w:rsidRPr="00165BE9">
                            <w:rPr>
                              <w:rFonts w:ascii="Calibri" w:hAnsi="Calibri" w:cs="Calibri"/>
                              <w:color w:val="002060"/>
                              <w:szCs w:val="20"/>
                              <w:rtl/>
                            </w:rPr>
                            <w:t>משק הגפ"ם - תכנון, תשתיות ותחרותיות</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2049" type="#_x0000_t202" style="width:175.15pt;height:22.5pt;margin-top:17.05pt;margin-left:298.9pt;flip:x;mso-height-percent:0;mso-height-relative:margin;mso-position-horizontal-relative:margin;mso-width-percent:0;mso-width-relative:margin;mso-wrap-distance-bottom:3.6pt;mso-wrap-distance-left:9pt;mso-wrap-distance-right:9pt;mso-wrap-distance-top:3.6pt;mso-wrap-style:square;position:absolute;visibility:visible;v-text-anchor:top;z-index:251667456" filled="f" stroked="f">
              <v:textbox>
                <w:txbxContent>
                  <w:p w:rsidR="00A23EA9" w:rsidRPr="001E204F" w:rsidP="00354F9A">
                    <w:pPr>
                      <w:rPr>
                        <w:rFonts w:ascii="Calibri" w:hAnsi="Calibri" w:cs="Calibri"/>
                        <w:color w:val="002060"/>
                        <w:szCs w:val="20"/>
                        <w:rtl/>
                      </w:rPr>
                    </w:pPr>
                    <w:r w:rsidRPr="00165BE9">
                      <w:rPr>
                        <w:rFonts w:ascii="Calibri" w:hAnsi="Calibri" w:cs="Calibri"/>
                        <w:color w:val="002060"/>
                        <w:szCs w:val="20"/>
                        <w:rtl/>
                      </w:rPr>
                      <w:t>משק הגפ"ם - תכנון, תשתיות ותחרותיות</w:t>
                    </w:r>
                  </w:p>
                </w:txbxContent>
              </v:textbox>
              <w10:wrap type="square"/>
            </v:shape>
          </w:pict>
        </mc:Fallback>
      </mc:AlternateContent>
    </w:r>
    <w:r>
      <w:rPr>
        <w:rFonts w:asciiTheme="minorHAnsi" w:hAnsiTheme="minorHAnsi" w:cstheme="minorHAnsi"/>
        <w:noProof/>
        <w:color w:val="002060"/>
        <w:szCs w:val="20"/>
        <w:rtl/>
        <w:lang w:val="he-IL"/>
      </w:rP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4" name="מחבר ישר 4"/>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4" o:spid="_x0000_s2050" style="flip:y;mso-height-percent:0;mso-height-relative:margin;mso-width-percent:0;mso-width-relative:margin;mso-wrap-distance-bottom:0;mso-wrap-distance-left:9pt;mso-wrap-distance-right:9pt;mso-wrap-distance-top:0;mso-wrap-style:square;position:absolute;visibility:visible;z-index:251661312" from="-38.2pt,17.45pt" to="468.45pt,17.45pt" strokecolor="#4579b8"/>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4384"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6"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23EA9"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1"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51072" filled="f" stroked="f">
              <v:textbox>
                <w:txbxContent>
                  <w:p w:rsidR="00A23EA9" w:rsidRPr="0062451B" w:rsidP="0062451B">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62451B">
      <w:rPr>
        <w:rFonts w:asciiTheme="minorHAnsi" w:hAnsiTheme="minorHAnsi" w:cs="Times New Roman"/>
        <w:noProof/>
        <w:color w:val="002060"/>
        <w:szCs w:val="20"/>
        <w:rtl/>
      </w:rPr>
      <mc:AlternateContent>
        <mc:Choice Requires="wps">
          <w:drawing>
            <wp:anchor distT="45720" distB="45720" distL="114300" distR="114300" simplePos="0" relativeHeight="251662336"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17"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23EA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52"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63360" filled="f" stroked="f">
              <v:textbox>
                <w:txbxContent>
                  <w:p w:rsidR="00A23EA9" w:rsidRPr="0062451B">
                    <w:pPr>
                      <w:rPr>
                        <w:rFonts w:ascii="Calibri" w:hAnsi="Calibri" w:cs="Calibri"/>
                        <w:color w:val="002060"/>
                        <w:sz w:val="22"/>
                        <w:szCs w:val="22"/>
                        <w:rtl/>
                      </w:rPr>
                    </w:pPr>
                    <w:r w:rsidRPr="0062451B">
                      <w:rPr>
                        <w:rFonts w:ascii="Calibri" w:hAnsi="Calibri" w:cs="Calibri"/>
                        <w:color w:val="002060"/>
                        <w:sz w:val="22"/>
                        <w:szCs w:val="22"/>
                        <w:rtl/>
                      </w:rPr>
                      <w:t>מבקר המדינה</w:t>
                    </w:r>
                    <w:r>
                      <w:rPr>
                        <w:rFonts w:ascii="Calibri" w:hAnsi="Calibri" w:cs="Calibri" w:hint="cs"/>
                        <w:color w:val="002060"/>
                        <w:sz w:val="22"/>
                        <w:szCs w:val="22"/>
                        <w:rtl/>
                      </w:rPr>
                      <w:t xml:space="preserve"> | </w:t>
                    </w:r>
                    <w:r w:rsidRPr="001B7364">
                      <w:rPr>
                        <w:rFonts w:ascii="Calibri" w:hAnsi="Calibri" w:cs="Calibri" w:hint="cs"/>
                        <w:color w:val="002060"/>
                        <w:sz w:val="22"/>
                        <w:szCs w:val="22"/>
                        <w:rtl/>
                      </w:rPr>
                      <w:t xml:space="preserve">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62451B">
      <w:rPr>
        <w:rFonts w:asciiTheme="minorHAnsi" w:hAnsiTheme="minorHAnsi" w:cstheme="minorHAnsi"/>
        <w:color w:val="002060"/>
        <w:szCs w:val="20"/>
        <w:rtl/>
      </w:rPr>
      <w:fldChar w:fldCharType="begin"/>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Pr>
      <w:instrText>PAGE</w:instrText>
    </w:r>
    <w:r w:rsidRPr="0062451B">
      <w:rPr>
        <w:rFonts w:asciiTheme="minorHAnsi" w:hAnsiTheme="minorHAnsi" w:cstheme="minorHAnsi"/>
        <w:color w:val="002060"/>
        <w:szCs w:val="20"/>
        <w:rtl/>
      </w:rPr>
      <w:instrText xml:space="preserve">  \* </w:instrText>
    </w:r>
    <w:r w:rsidRPr="0062451B">
      <w:rPr>
        <w:rFonts w:asciiTheme="minorHAnsi" w:hAnsiTheme="minorHAnsi" w:cstheme="minorHAnsi"/>
        <w:color w:val="002060"/>
        <w:szCs w:val="20"/>
      </w:rPr>
      <w:instrText>MERGEFORMAT</w:instrText>
    </w:r>
    <w:r w:rsidRPr="0062451B">
      <w:rPr>
        <w:rFonts w:asciiTheme="minorHAnsi" w:hAnsiTheme="minorHAnsi" w:cstheme="minorHAnsi"/>
        <w:color w:val="002060"/>
        <w:szCs w:val="20"/>
        <w:rtl/>
      </w:rPr>
      <w:instrText xml:space="preserve"> </w:instrText>
    </w:r>
    <w:r w:rsidRPr="0062451B">
      <w:rPr>
        <w:rFonts w:asciiTheme="minorHAnsi" w:hAnsiTheme="minorHAnsi" w:cstheme="minorHAnsi"/>
        <w:color w:val="002060"/>
        <w:szCs w:val="20"/>
        <w:rtl/>
      </w:rPr>
      <w:fldChar w:fldCharType="separate"/>
    </w:r>
    <w:r w:rsidRPr="0062451B">
      <w:rPr>
        <w:rFonts w:asciiTheme="minorHAnsi" w:hAnsiTheme="minorHAnsi" w:cstheme="minorHAnsi"/>
        <w:noProof/>
        <w:color w:val="002060"/>
        <w:szCs w:val="20"/>
        <w:rtl/>
      </w:rPr>
      <w:t>2</w:t>
    </w:r>
    <w:r w:rsidRPr="0062451B">
      <w:rPr>
        <w:rFonts w:asciiTheme="minorHAnsi" w:hAnsiTheme="minorHAnsi" w:cstheme="minorHAnsi"/>
        <w:color w:val="002060"/>
        <w:szCs w:val="20"/>
        <w:rtl/>
      </w:rPr>
      <w:fldChar w:fldCharType="end"/>
    </w:r>
    <w:r w:rsidRPr="0062451B">
      <w:rPr>
        <w:rFonts w:asciiTheme="minorHAnsi" w:hAnsiTheme="minorHAnsi" w:cstheme="minorHAnsi"/>
        <w:color w:val="002060"/>
        <w:szCs w:val="2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EA9">
    <w:pPr>
      <w:pStyle w:val="Header"/>
    </w:pPr>
    <w:r>
      <w:rPr>
        <w:noProof/>
      </w:rPr>
      <mc:AlternateContent>
        <mc:Choice Requires="wpg">
          <w:drawing>
            <wp:anchor distT="0" distB="0" distL="114300" distR="114300" simplePos="0" relativeHeight="251658240" behindDoc="0" locked="0" layoutInCell="1" allowOverlap="1">
              <wp:simplePos x="0" y="0"/>
              <wp:positionH relativeFrom="margin">
                <wp:posOffset>1207770</wp:posOffset>
              </wp:positionH>
              <wp:positionV relativeFrom="paragraph">
                <wp:posOffset>-513715</wp:posOffset>
              </wp:positionV>
              <wp:extent cx="2959100" cy="10690225"/>
              <wp:effectExtent l="0" t="0" r="0" b="0"/>
              <wp:wrapNone/>
              <wp:docPr id="52" name="קבוצה 52"/>
              <wp:cNvGraphicFramePr/>
              <a:graphic xmlns:a="http://schemas.openxmlformats.org/drawingml/2006/main">
                <a:graphicData uri="http://schemas.microsoft.com/office/word/2010/wordprocessingGroup">
                  <wpg:wgp xmlns:wpg="http://schemas.microsoft.com/office/word/2010/wordprocessingGroup">
                    <wpg:cNvGrpSpPr/>
                    <wpg:grpSpPr>
                      <a:xfrm>
                        <a:off x="0" y="0"/>
                        <a:ext cx="2959100" cy="10690225"/>
                        <a:chOff x="-36098" y="0"/>
                        <a:chExt cx="2959100" cy="10690225"/>
                      </a:xfrm>
                    </wpg:grpSpPr>
                    <wpg:grpSp>
                      <wpg:cNvPr id="53" name="קבוצה 53"/>
                      <wpg:cNvGrpSpPr/>
                      <wpg:grpSpPr>
                        <a:xfrm>
                          <a:off x="-36098" y="0"/>
                          <a:ext cx="2959100" cy="3009900"/>
                          <a:chOff x="-36098" y="0"/>
                          <a:chExt cx="2959100" cy="3009900"/>
                        </a:xfrm>
                      </wpg:grpSpPr>
                      <wps:wsp xmlns:wps="http://schemas.microsoft.com/office/word/2010/wordprocessingShape">
                        <wps:cNvPr id="54" name="מלבן 54"/>
                        <wps:cNvSpPr/>
                        <wps:spPr>
                          <a:xfrm>
                            <a:off x="628650" y="0"/>
                            <a:ext cx="1691005" cy="246380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pic:pic xmlns:pic="http://schemas.openxmlformats.org/drawingml/2006/picture">
                        <pic:nvPicPr>
                          <pic:cNvPr id="55" name="גרפיקה 55"/>
                          <pic:cNvPicPr>
                            <a:picLocks noChangeAspect="1"/>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1038225" y="1438275"/>
                            <a:ext cx="871220" cy="570865"/>
                          </a:xfrm>
                          <a:prstGeom prst="rect">
                            <a:avLst/>
                          </a:prstGeom>
                        </pic:spPr>
                      </pic:pic>
                      <wps:wsp xmlns:wps="http://schemas.microsoft.com/office/word/2010/wordprocessingShape">
                        <wps:cNvPr id="56" name="מחבר ישר 56"/>
                        <wps:cNvCnPr/>
                        <wps:spPr>
                          <a:xfrm>
                            <a:off x="647700" y="3009900"/>
                            <a:ext cx="1676400" cy="0"/>
                          </a:xfrm>
                          <a:prstGeom prst="line">
                            <a:avLst/>
                          </a:prstGeom>
                          <a:ln w="25400">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57" name="תיבת טקסט 57"/>
                        <wps:cNvSpPr txBox="1"/>
                        <wps:spPr>
                          <a:xfrm>
                            <a:off x="-36098" y="2589628"/>
                            <a:ext cx="2959100" cy="273050"/>
                          </a:xfrm>
                          <a:prstGeom prst="rect">
                            <a:avLst/>
                          </a:prstGeom>
                          <a:noFill/>
                          <a:ln w="6350">
                            <a:noFill/>
                          </a:ln>
                        </wps:spPr>
                        <wps:txbx>
                          <w:txbxContent>
                            <w:p w:rsidR="00A23EA9"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g:grpSp>
                    <wpg:grpSp>
                      <wpg:cNvPr id="58" name="קבוצה 58"/>
                      <wpg:cNvGrpSpPr/>
                      <wpg:grpSpPr>
                        <a:xfrm>
                          <a:off x="219075" y="8324850"/>
                          <a:ext cx="2512060" cy="2365375"/>
                          <a:chOff x="0" y="0"/>
                          <a:chExt cx="2512060" cy="2365375"/>
                        </a:xfrm>
                      </wpg:grpSpPr>
                      <wps:wsp xmlns:wps="http://schemas.microsoft.com/office/word/2010/wordprocessingShape">
                        <wps:cNvPr id="59" name="tbMMHF"/>
                        <wps:cNvSpPr txBox="1"/>
                        <wps:spPr>
                          <a:xfrm>
                            <a:off x="0" y="180975"/>
                            <a:ext cx="2512060" cy="304800"/>
                          </a:xfrm>
                          <a:prstGeom prst="rect">
                            <a:avLst/>
                          </a:prstGeom>
                          <a:solidFill>
                            <a:schemeClr val="bg1"/>
                          </a:solidFill>
                          <a:ln w="6350">
                            <a:noFill/>
                          </a:ln>
                        </wps:spPr>
                        <wps:txbx>
                          <w:txbxContent>
                            <w:p w:rsidR="00A23EA9"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wps:wsp xmlns:wps="http://schemas.microsoft.com/office/word/2010/wordprocessingShape">
                        <wps:cNvPr id="60" name="מחבר ישר 60"/>
                        <wps:cNvCnPr/>
                        <wps:spPr>
                          <a:xfrm>
                            <a:off x="428625" y="0"/>
                            <a:ext cx="1676400" cy="0"/>
                          </a:xfrm>
                          <a:prstGeom prst="line">
                            <a:avLst/>
                          </a:prstGeom>
                          <a:ln w="15875">
                            <a:solidFill>
                              <a:srgbClr val="002060"/>
                            </a:solidFill>
                          </a:ln>
                        </wps:spPr>
                        <wps:style>
                          <a:lnRef idx="1">
                            <a:schemeClr val="accent1"/>
                          </a:lnRef>
                          <a:fillRef idx="0">
                            <a:schemeClr val="accent1"/>
                          </a:fillRef>
                          <a:effectRef idx="0">
                            <a:schemeClr val="accent1"/>
                          </a:effectRef>
                          <a:fontRef idx="minor">
                            <a:schemeClr val="tx1"/>
                          </a:fontRef>
                        </wps:style>
                        <wps:bodyPr/>
                      </wps:wsp>
                      <wps:wsp xmlns:wps="http://schemas.microsoft.com/office/word/2010/wordprocessingShape">
                        <wps:cNvPr id="61" name="מלבן 61"/>
                        <wps:cNvSpPr/>
                        <wps:spPr>
                          <a:xfrm>
                            <a:off x="409575" y="581025"/>
                            <a:ext cx="1691005" cy="1784350"/>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wpg:grpSp>
                  </wpg:wgp>
                </a:graphicData>
              </a:graphic>
            </wp:anchor>
          </w:drawing>
        </mc:Choice>
        <mc:Fallback>
          <w:pict>
            <v:group id="קבוצה 52" o:spid="_x0000_s2053" style="width:233pt;height:841.75pt;margin-top:-40.45pt;margin-left:95.1pt;mso-position-horizontal-relative:margin;position:absolute;z-index:251659264" coordorigin="-360,0" coordsize="29591,106902">
              <v:group id="קבוצה 53" o:spid="_x0000_s2054" style="width:29590;height:30099;left:-360;position:absolute" coordorigin="-360,0" coordsize="29591,30099">
                <v:rect id="מלבן 54" o:spid="_x0000_s2055" style="width:16910;height:24638;left:6286;mso-wrap-style:square;position:absolute;visibility:visible;v-text-anchor:middle" fillcolor="#002060"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גרפיקה 55" o:spid="_x0000_s2056" type="#_x0000_t75" style="width:8712;height:5709;left:10382;mso-wrap-style:square;position:absolute;top:14382;visibility:visible">
                  <v:imagedata r:id="rId3" o:title=""/>
                </v:shape>
                <v:line id="מחבר ישר 56" o:spid="_x0000_s2057" style="mso-wrap-style:square;position:absolute;visibility:visible" from="6477,30099" to="23241,30099" o:connectortype="straight" strokecolor="#002060" strokeweight="2pt"/>
                <v:shapetype id="_x0000_t202" coordsize="21600,21600" o:spt="202" path="m,l,21600r21600,l21600,xe">
                  <v:stroke joinstyle="miter"/>
                  <v:path gradientshapeok="t" o:connecttype="rect"/>
                </v:shapetype>
                <v:shape id="תיבת טקסט 57" o:spid="_x0000_s2058" type="#_x0000_t202" style="width:29590;height:2730;left:-360;mso-wrap-style:square;position:absolute;top:25896;visibility:visible;v-text-anchor:top" filled="f" stroked="f" strokeweight="0.5pt">
                  <v:textbox>
                    <w:txbxContent>
                      <w:p w:rsidR="00A23EA9" w:rsidRPr="00CD28D9" w:rsidP="0062451B">
                        <w:pPr>
                          <w:jc w:val="center"/>
                          <w:rPr>
                            <w:rFonts w:ascii="Calibri" w:hAnsi="Calibri" w:cs="Calibri"/>
                            <w:color w:val="002060"/>
                            <w:spacing w:val="80"/>
                          </w:rPr>
                        </w:pPr>
                        <w:r w:rsidRPr="00CD28D9">
                          <w:rPr>
                            <w:rFonts w:ascii="Calibri" w:hAnsi="Calibri" w:cs="Calibri"/>
                            <w:color w:val="002060"/>
                            <w:spacing w:val="80"/>
                            <w:rtl/>
                          </w:rPr>
                          <w:t>דוח מבקר המדינה</w:t>
                        </w:r>
                      </w:p>
                    </w:txbxContent>
                  </v:textbox>
                </v:shape>
              </v:group>
              <v:group id="קבוצה 58" o:spid="_x0000_s2059" style="width:25121;height:23654;left:2190;position:absolute;top:83248" coordsize="25120,23653">
                <v:shape id="tbMMHF" o:spid="_x0000_s2060" type="#_x0000_t202" style="width:25120;height:3048;mso-wrap-style:square;position:absolute;top:1809;visibility:visible;v-text-anchor:top" fillcolor="white" stroked="f" strokeweight="0.5pt">
                  <v:textbox>
                    <w:txbxContent>
                      <w:p w:rsidR="00A23EA9" w:rsidRPr="0062451B" w:rsidP="0062451B">
                        <w:pPr>
                          <w:spacing w:line="240" w:lineRule="auto"/>
                          <w:jc w:val="center"/>
                          <w:rPr>
                            <w:rFonts w:asciiTheme="minorHAnsi" w:hAnsiTheme="minorHAnsi" w:cstheme="minorHAnsi"/>
                            <w:color w:val="002060"/>
                            <w:spacing w:val="20"/>
                            <w:sz w:val="22"/>
                            <w:szCs w:val="22"/>
                            <w:rtl/>
                          </w:rPr>
                        </w:pP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tl/>
                          </w:rPr>
                          <w:t xml:space="preserve"> </w:t>
                        </w:r>
                        <w:r>
                          <w:rPr>
                            <w:rFonts w:asciiTheme="minorHAnsi" w:hAnsiTheme="minorHAnsi" w:cstheme="minorHAnsi" w:hint="cs"/>
                            <w:color w:val="002060"/>
                            <w:spacing w:val="20"/>
                            <w:sz w:val="22"/>
                            <w:szCs w:val="22"/>
                            <w:rtl/>
                          </w:rPr>
                          <w:t>תמוז</w:t>
                        </w:r>
                        <w:r w:rsidRPr="00E0338A">
                          <w:rPr>
                            <w:rFonts w:asciiTheme="minorHAnsi" w:hAnsiTheme="minorHAnsi" w:cstheme="minorHAnsi"/>
                            <w:color w:val="002060"/>
                            <w:spacing w:val="20"/>
                            <w:sz w:val="22"/>
                            <w:szCs w:val="22"/>
                            <w:rtl/>
                          </w:rPr>
                          <w:t xml:space="preserve"> התשפ"</w:t>
                        </w:r>
                        <w:r w:rsidRPr="00E0338A">
                          <w:rPr>
                            <w:rFonts w:asciiTheme="minorHAnsi" w:hAnsiTheme="minorHAnsi" w:cstheme="minorHAnsi" w:hint="cs"/>
                            <w:color w:val="002060"/>
                            <w:spacing w:val="20"/>
                            <w:sz w:val="22"/>
                            <w:szCs w:val="22"/>
                            <w:rtl/>
                          </w:rPr>
                          <w:t>ו</w:t>
                        </w:r>
                        <w:r w:rsidRPr="00E0338A">
                          <w:rPr>
                            <w:rFonts w:asciiTheme="minorHAnsi" w:hAnsiTheme="minorHAnsi" w:cstheme="minorHAnsi"/>
                            <w:color w:val="002060"/>
                            <w:spacing w:val="20"/>
                            <w:sz w:val="22"/>
                            <w:szCs w:val="22"/>
                            <w:rtl/>
                          </w:rPr>
                          <w:t xml:space="preserve"> </w:t>
                        </w:r>
                        <w:r w:rsidRPr="00E0338A">
                          <w:rPr>
                            <w:rFonts w:asciiTheme="minorHAnsi" w:hAnsiTheme="minorHAnsi" w:cstheme="minorHAnsi"/>
                            <w:color w:val="002060"/>
                            <w:spacing w:val="20"/>
                            <w:sz w:val="22"/>
                            <w:szCs w:val="22"/>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hint="cs"/>
                            <w:color w:val="002060"/>
                            <w:spacing w:val="20"/>
                            <w:sz w:val="22"/>
                            <w:szCs w:val="22"/>
                            <w:rtl/>
                          </w:rPr>
                          <w:t>יוני 2026</w:t>
                        </w:r>
                        <w:r w:rsidRPr="00E0338A">
                          <w:rPr>
                            <w:rFonts w:asciiTheme="minorHAnsi" w:hAnsiTheme="minorHAnsi" w:cstheme="minorHAnsi"/>
                            <w:color w:val="002060"/>
                            <w:spacing w:val="20"/>
                            <w:sz w:val="22"/>
                            <w:szCs w:val="22"/>
                            <w:rtl/>
                          </w:rPr>
                          <w:t xml:space="preserve"> </w:t>
                        </w:r>
                        <w:r w:rsidRPr="00E0338A">
                          <w:rPr>
                            <w:rFonts w:ascii="Wingdings" w:hAnsi="Wingdings" w:cstheme="minorHAnsi"/>
                            <w:color w:val="002060"/>
                            <w:spacing w:val="20"/>
                            <w:sz w:val="22"/>
                            <w:szCs w:val="22"/>
                          </w:rPr>
                          <w:sym w:font="Wingdings" w:char="F0A7"/>
                        </w:r>
                        <w:r w:rsidRPr="00E0338A">
                          <w:rPr>
                            <w:rFonts w:asciiTheme="minorHAnsi" w:hAnsiTheme="minorHAnsi" w:cstheme="minorHAnsi"/>
                            <w:color w:val="002060"/>
                            <w:spacing w:val="20"/>
                            <w:sz w:val="22"/>
                            <w:szCs w:val="22"/>
                          </w:rPr>
                          <w:softHyphen/>
                        </w:r>
                      </w:p>
                    </w:txbxContent>
                  </v:textbox>
                </v:shape>
                <v:line id="מחבר ישר 60" o:spid="_x0000_s2061" style="mso-wrap-style:square;position:absolute;visibility:visible" from="4286,0" to="21050,0" o:connectortype="straight" strokecolor="#002060" strokeweight="1.25pt"/>
                <v:rect id="מלבן 61" o:spid="_x0000_s2062" style="width:16910;height:17843;left:4095;mso-wrap-style:square;position:absolute;top:5810;visibility:visible;v-text-anchor:middle" fillcolor="#002060" stroked="f" strokeweight="2pt"/>
              </v:group>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A23EA9" w:rsidRPr="00165BE9" w:rsidP="00EF4539">
    <w:pPr>
      <w:pStyle w:val="Header"/>
      <w:tabs>
        <w:tab w:val="clear" w:pos="8306"/>
        <w:tab w:val="right" w:pos="8504"/>
      </w:tabs>
      <w:ind w:right="-709"/>
      <w:jc w:val="right"/>
      <w:rPr>
        <w:rFonts w:ascii="Calibri" w:hAnsi="Calibri" w:cs="Calibri"/>
        <w:color w:val="002060"/>
        <w:szCs w:val="20"/>
      </w:rPr>
    </w:pPr>
    <w:r w:rsidRPr="00165BE9">
      <w:rPr>
        <w:rFonts w:ascii="Calibri" w:hAnsi="Calibri" w:cs="Calibri"/>
        <w:noProof/>
        <w:color w:val="002060"/>
        <w:szCs w:val="20"/>
        <w:rtl/>
        <w:lang w:val="he-IL"/>
      </w:rPr>
      <mc:AlternateContent>
        <mc:Choice Requires="wps">
          <w:drawing>
            <wp:anchor distT="0" distB="0" distL="114300" distR="114300" simplePos="0" relativeHeight="251668480" behindDoc="0" locked="0" layoutInCell="1" allowOverlap="1">
              <wp:simplePos x="0" y="0"/>
              <wp:positionH relativeFrom="column">
                <wp:posOffset>-485140</wp:posOffset>
              </wp:positionH>
              <wp:positionV relativeFrom="paragraph">
                <wp:posOffset>221720</wp:posOffset>
              </wp:positionV>
              <wp:extent cx="6434455" cy="0"/>
              <wp:effectExtent l="0" t="0" r="0" b="0"/>
              <wp:wrapNone/>
              <wp:docPr id="19" name="מחבר ישר 19"/>
              <wp:cNvGraphicFramePr/>
              <a:graphic xmlns:a="http://schemas.openxmlformats.org/drawingml/2006/main">
                <a:graphicData uri="http://schemas.microsoft.com/office/word/2010/wordprocessingShape">
                  <wps:wsp xmlns:wps="http://schemas.microsoft.com/office/word/2010/wordprocessingShape">
                    <wps:cNvCnPr/>
                    <wps:spPr>
                      <a:xfrm flipV="1">
                        <a:off x="0" y="0"/>
                        <a:ext cx="6434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מחבר ישר 19" o:spid="_x0000_s2064" style="flip:y;mso-height-percent:0;mso-height-relative:margin;mso-width-percent:0;mso-width-relative:margin;mso-wrap-distance-bottom:0;mso-wrap-distance-left:9pt;mso-wrap-distance-right:9pt;mso-wrap-distance-top:0;mso-wrap-style:square;position:absolute;visibility:visible;z-index:251669504" from="-38.2pt,17.45pt" to="468.45pt,17.45pt" strokecolor="#4579b8"/>
          </w:pict>
        </mc:Fallback>
      </mc:AlternateContent>
    </w:r>
    <w:r w:rsidRPr="00165BE9">
      <w:rPr>
        <w:rFonts w:ascii="Calibri" w:hAnsi="Calibri" w:cs="Times New Roman"/>
        <w:noProof/>
        <w:color w:val="002060"/>
        <w:szCs w:val="20"/>
        <w:rtl/>
      </w:rPr>
      <mc:AlternateContent>
        <mc:Choice Requires="wps">
          <w:drawing>
            <wp:anchor distT="45720" distB="45720" distL="114300" distR="114300" simplePos="0" relativeHeight="251672576" behindDoc="1" locked="0" layoutInCell="1" allowOverlap="1">
              <wp:simplePos x="0" y="0"/>
              <wp:positionH relativeFrom="page">
                <wp:posOffset>515515</wp:posOffset>
              </wp:positionH>
              <wp:positionV relativeFrom="paragraph">
                <wp:posOffset>235585</wp:posOffset>
              </wp:positionV>
              <wp:extent cx="3164205" cy="285750"/>
              <wp:effectExtent l="0" t="0" r="0" b="0"/>
              <wp:wrapTight wrapText="bothSides">
                <wp:wrapPolygon>
                  <wp:start x="390" y="0"/>
                  <wp:lineTo x="390" y="20160"/>
                  <wp:lineTo x="21197" y="20160"/>
                  <wp:lineTo x="21197" y="0"/>
                  <wp:lineTo x="390" y="0"/>
                </wp:wrapPolygon>
              </wp:wrapTight>
              <wp:docPr id="21"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23EA9"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165BE9">
                            <w:rPr>
                              <w:rFonts w:ascii="Calibri" w:hAnsi="Calibri" w:cs="Calibri"/>
                              <w:color w:val="002060"/>
                              <w:spacing w:val="20"/>
                              <w:sz w:val="22"/>
                              <w:szCs w:val="22"/>
                            </w:rPr>
                            <w:t xml:space="preserve"> </w:t>
                          </w:r>
                          <w:r w:rsidRPr="00165BE9">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5" type="#_x0000_t202" style="width:249.15pt;height:22.5pt;margin-top:18.55pt;margin-left:40.6pt;flip:x;mso-height-percent:0;mso-height-relative:margin;mso-position-horizontal-relative:page;mso-width-percent:0;mso-width-relative:margin;mso-wrap-distance-bottom:3.6pt;mso-wrap-distance-left:9pt;mso-wrap-distance-right:9pt;mso-wrap-distance-top:3.6pt;mso-wrap-style:square;position:absolute;visibility:visible;v-text-anchor:top;z-index:-251642880" filled="f" stroked="f">
              <v:textbox>
                <w:txbxContent>
                  <w:p w:rsidR="004753CF" w:rsidRPr="0062451B" w:rsidP="00EF4539">
                    <w:pPr>
                      <w:jc w:val="right"/>
                      <w:rPr>
                        <w:rFonts w:ascii="Calibri" w:hAnsi="Calibri" w:cs="Calibri"/>
                        <w:color w:val="002060"/>
                        <w:szCs w:val="20"/>
                        <w:rtl/>
                      </w:rPr>
                    </w:pPr>
                    <w:r>
                      <w:rPr>
                        <w:rFonts w:ascii="Calibri" w:hAnsi="Calibri" w:cs="Calibri" w:hint="cs"/>
                        <w:color w:val="002060"/>
                        <w:szCs w:val="20"/>
                        <w:rtl/>
                      </w:rPr>
                      <w:t>תמוז</w:t>
                    </w:r>
                    <w:r w:rsidRPr="00E0338A">
                      <w:rPr>
                        <w:rFonts w:ascii="Calibri" w:hAnsi="Calibri" w:cs="Calibri" w:hint="cs"/>
                        <w:color w:val="002060"/>
                        <w:szCs w:val="20"/>
                        <w:rtl/>
                      </w:rPr>
                      <w:t xml:space="preserve"> התשפ"ו </w:t>
                    </w:r>
                    <w:r w:rsidRPr="00165BE9">
                      <w:rPr>
                        <w:rFonts w:ascii="Calibri" w:hAnsi="Calibri" w:cs="Calibri"/>
                        <w:color w:val="002060"/>
                        <w:spacing w:val="20"/>
                        <w:sz w:val="22"/>
                        <w:szCs w:val="22"/>
                      </w:rPr>
                      <w:t xml:space="preserve"> </w:t>
                    </w:r>
                    <w:r w:rsidRPr="00165BE9">
                      <w:rPr>
                        <w:rFonts w:ascii="Wingdings" w:hAnsi="Wingdings" w:cs="Calibri"/>
                        <w:color w:val="002060"/>
                        <w:spacing w:val="20"/>
                        <w:sz w:val="22"/>
                        <w:szCs w:val="22"/>
                      </w:rPr>
                      <w:sym w:font="Wingdings" w:char="F0A7"/>
                    </w:r>
                    <w:r w:rsidRPr="00E0338A">
                      <w:rPr>
                        <w:rFonts w:ascii="Calibri" w:hAnsi="Calibri" w:cs="Calibri" w:hint="cs"/>
                        <w:color w:val="002060"/>
                        <w:szCs w:val="20"/>
                        <w:rtl/>
                      </w:rPr>
                      <w:t>יוני 2026</w:t>
                    </w:r>
                    <w:r w:rsidRPr="0062451B">
                      <w:rPr>
                        <w:rFonts w:ascii="Calibri" w:hAnsi="Calibri" w:cs="Calibri" w:hint="cs"/>
                        <w:color w:val="002060"/>
                        <w:szCs w:val="20"/>
                        <w:rtl/>
                      </w:rPr>
                      <w:t xml:space="preserve"> </w:t>
                    </w:r>
                  </w:p>
                </w:txbxContent>
              </v:textbox>
              <w10:wrap type="tight"/>
            </v:shape>
          </w:pict>
        </mc:Fallback>
      </mc:AlternateContent>
    </w:r>
    <w:r w:rsidRPr="00165BE9">
      <w:rPr>
        <w:rFonts w:ascii="Calibri" w:hAnsi="Calibri" w:cs="Times New Roman"/>
        <w:noProof/>
        <w:color w:val="002060"/>
        <w:szCs w:val="20"/>
        <w:rtl/>
      </w:rPr>
      <mc:AlternateContent>
        <mc:Choice Requires="wps">
          <w:drawing>
            <wp:anchor distT="45720" distB="45720" distL="114300" distR="114300" simplePos="0" relativeHeight="251670528" behindDoc="0" locked="0" layoutInCell="1" allowOverlap="1">
              <wp:simplePos x="0" y="0"/>
              <wp:positionH relativeFrom="column">
                <wp:posOffset>2854325</wp:posOffset>
              </wp:positionH>
              <wp:positionV relativeFrom="paragraph">
                <wp:posOffset>-100965</wp:posOffset>
              </wp:positionV>
              <wp:extent cx="3164205" cy="285750"/>
              <wp:effectExtent l="0" t="0" r="0" b="0"/>
              <wp:wrapSquare wrapText="bothSides"/>
              <wp:docPr id="22" name="תיבת טקסט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flipH="1">
                        <a:off x="0" y="0"/>
                        <a:ext cx="3164205" cy="285750"/>
                      </a:xfrm>
                      <a:prstGeom prst="rect">
                        <a:avLst/>
                      </a:prstGeom>
                      <a:noFill/>
                      <a:ln w="9525">
                        <a:noFill/>
                        <a:miter lim="800000"/>
                        <a:headEnd/>
                        <a:tailEnd/>
                      </a:ln>
                    </wps:spPr>
                    <wps:txbx>
                      <w:txbxContent>
                        <w:p w:rsidR="00A23EA9"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2066" type="#_x0000_t202" style="width:249.15pt;height:22.5pt;margin-top:-7.95pt;margin-left:224.75pt;flip:x;mso-height-percent:0;mso-height-relative:margin;mso-width-percent:0;mso-width-relative:margin;mso-wrap-distance-bottom:3.6pt;mso-wrap-distance-left:9pt;mso-wrap-distance-right:9pt;mso-wrap-distance-top:3.6pt;mso-wrap-style:square;position:absolute;visibility:visible;v-text-anchor:top;z-index:251671552" filled="f" stroked="f">
              <v:textbox>
                <w:txbxContent>
                  <w:p w:rsidR="004753CF" w:rsidRPr="0062451B" w:rsidP="00EF4539">
                    <w:pPr>
                      <w:rPr>
                        <w:rFonts w:ascii="Calibri" w:hAnsi="Calibri" w:cs="Calibri"/>
                        <w:color w:val="002060"/>
                        <w:sz w:val="22"/>
                        <w:szCs w:val="22"/>
                        <w:rtl/>
                      </w:rPr>
                    </w:pPr>
                    <w:r w:rsidRPr="001B7364">
                      <w:rPr>
                        <w:rFonts w:ascii="Calibri" w:hAnsi="Calibri" w:cs="Calibri"/>
                        <w:color w:val="002060"/>
                        <w:sz w:val="22"/>
                        <w:szCs w:val="22"/>
                        <w:rtl/>
                      </w:rPr>
                      <w:t>מבקר המדינה</w:t>
                    </w:r>
                    <w:r w:rsidRPr="001B7364">
                      <w:rPr>
                        <w:rFonts w:ascii="Calibri" w:hAnsi="Calibri" w:cs="Calibri" w:hint="cs"/>
                        <w:color w:val="002060"/>
                        <w:sz w:val="22"/>
                        <w:szCs w:val="22"/>
                        <w:rtl/>
                      </w:rPr>
                      <w:t xml:space="preserve"> | דוח </w:t>
                    </w:r>
                    <w:r>
                      <w:rPr>
                        <w:rFonts w:ascii="Calibri" w:hAnsi="Calibri" w:cs="Calibri" w:hint="cs"/>
                        <w:color w:val="002060"/>
                        <w:sz w:val="22"/>
                        <w:szCs w:val="22"/>
                        <w:rtl/>
                      </w:rPr>
                      <w:t>מיוחד בתחום ה</w:t>
                    </w:r>
                    <w:r w:rsidRPr="001B7364">
                      <w:rPr>
                        <w:rFonts w:ascii="Calibri" w:hAnsi="Calibri" w:cs="Calibri" w:hint="cs"/>
                        <w:color w:val="002060"/>
                        <w:sz w:val="22"/>
                        <w:szCs w:val="22"/>
                        <w:rtl/>
                      </w:rPr>
                      <w:t>כלכלי</w:t>
                    </w:r>
                  </w:p>
                </w:txbxContent>
              </v:textbox>
              <w10:wrap type="square"/>
            </v:shape>
          </w:pict>
        </mc:Fallback>
      </mc:AlternateContent>
    </w:r>
    <w:r w:rsidRPr="00165BE9">
      <w:rPr>
        <w:rFonts w:ascii="Calibri" w:hAnsi="Calibri" w:cs="Calibri"/>
        <w:color w:val="002060"/>
        <w:szCs w:val="20"/>
        <w:rtl/>
      </w:rPr>
      <w:fldChar w:fldCharType="begin"/>
    </w:r>
    <w:r w:rsidRPr="00165BE9">
      <w:rPr>
        <w:rFonts w:ascii="Calibri" w:hAnsi="Calibri" w:cs="Calibri"/>
        <w:color w:val="002060"/>
        <w:szCs w:val="20"/>
        <w:rtl/>
      </w:rPr>
      <w:instrText xml:space="preserve"> </w:instrText>
    </w:r>
    <w:r w:rsidRPr="00165BE9">
      <w:rPr>
        <w:rFonts w:ascii="Calibri" w:hAnsi="Calibri" w:cs="Calibri"/>
        <w:color w:val="002060"/>
        <w:szCs w:val="20"/>
      </w:rPr>
      <w:instrText>PAGE</w:instrText>
    </w:r>
    <w:r w:rsidRPr="00165BE9">
      <w:rPr>
        <w:rFonts w:ascii="Calibri" w:hAnsi="Calibri" w:cs="Calibri"/>
        <w:color w:val="002060"/>
        <w:szCs w:val="20"/>
        <w:rtl/>
      </w:rPr>
      <w:instrText xml:space="preserve">  \* </w:instrText>
    </w:r>
    <w:r w:rsidRPr="00165BE9">
      <w:rPr>
        <w:rFonts w:ascii="Calibri" w:hAnsi="Calibri" w:cs="Calibri"/>
        <w:color w:val="002060"/>
        <w:szCs w:val="20"/>
      </w:rPr>
      <w:instrText>MERGEFORMAT</w:instrText>
    </w:r>
    <w:r w:rsidRPr="00165BE9">
      <w:rPr>
        <w:rFonts w:ascii="Calibri" w:hAnsi="Calibri" w:cs="Calibri"/>
        <w:color w:val="002060"/>
        <w:szCs w:val="20"/>
        <w:rtl/>
      </w:rPr>
      <w:instrText xml:space="preserve"> </w:instrText>
    </w:r>
    <w:r w:rsidRPr="00165BE9">
      <w:rPr>
        <w:rFonts w:ascii="Calibri" w:hAnsi="Calibri" w:cs="Calibri"/>
        <w:color w:val="002060"/>
        <w:szCs w:val="20"/>
        <w:rtl/>
      </w:rPr>
      <w:fldChar w:fldCharType="separate"/>
    </w:r>
    <w:r w:rsidRPr="00165BE9">
      <w:rPr>
        <w:rFonts w:ascii="Calibri" w:hAnsi="Calibri" w:cs="Calibri"/>
        <w:color w:val="002060"/>
        <w:szCs w:val="20"/>
        <w:rtl/>
      </w:rPr>
      <w:t>3</w:t>
    </w:r>
    <w:r w:rsidRPr="00165BE9">
      <w:rPr>
        <w:rFonts w:ascii="Calibri" w:hAnsi="Calibri" w:cs="Calibri"/>
        <w:color w:val="002060"/>
        <w:szCs w:val="20"/>
        <w:rtl/>
      </w:rPr>
      <w:fldChar w:fldCharType="end"/>
    </w:r>
    <w:r w:rsidRPr="00165BE9">
      <w:rPr>
        <w:rFonts w:ascii="Calibri" w:hAnsi="Calibri" w:cs="Calibri"/>
        <w:color w:val="002060"/>
        <w:szCs w:val="20"/>
        <w:rtl/>
      </w:rPr>
      <w:t xml:space="preserve"> </w:t>
    </w:r>
  </w:p>
  <w:p w:rsidR="00A23EA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0">
    <w:nsid w:val="088216AB"/>
    <w:multiLevelType w:val="hybridMultilevel"/>
    <w:tmpl w:val="BB7ADECA"/>
    <w:lvl w:ilvl="0">
      <w:start w:val="1"/>
      <w:numFmt w:val="hebrew1"/>
      <w:pStyle w:val="15"/>
      <w:lvlText w:val="%1."/>
      <w:lvlJc w:val="center"/>
      <w:pPr>
        <w:ind w:left="1915" w:hanging="360"/>
      </w:pPr>
    </w:lvl>
    <w:lvl w:ilvl="1" w:tentative="1">
      <w:start w:val="1"/>
      <w:numFmt w:val="lowerLetter"/>
      <w:lvlText w:val="%2."/>
      <w:lvlJc w:val="left"/>
      <w:pPr>
        <w:ind w:left="2635" w:hanging="360"/>
      </w:pPr>
    </w:lvl>
    <w:lvl w:ilvl="2" w:tentative="1">
      <w:start w:val="1"/>
      <w:numFmt w:val="lowerRoman"/>
      <w:lvlText w:val="%3."/>
      <w:lvlJc w:val="right"/>
      <w:pPr>
        <w:ind w:left="3355" w:hanging="180"/>
      </w:pPr>
    </w:lvl>
    <w:lvl w:ilvl="3" w:tentative="1">
      <w:start w:val="1"/>
      <w:numFmt w:val="decimal"/>
      <w:lvlText w:val="%4."/>
      <w:lvlJc w:val="left"/>
      <w:pPr>
        <w:ind w:left="4075" w:hanging="360"/>
      </w:pPr>
    </w:lvl>
    <w:lvl w:ilvl="4" w:tentative="1">
      <w:start w:val="1"/>
      <w:numFmt w:val="lowerLetter"/>
      <w:lvlText w:val="%5."/>
      <w:lvlJc w:val="left"/>
      <w:pPr>
        <w:ind w:left="4795" w:hanging="360"/>
      </w:pPr>
    </w:lvl>
    <w:lvl w:ilvl="5" w:tentative="1">
      <w:start w:val="1"/>
      <w:numFmt w:val="lowerRoman"/>
      <w:lvlText w:val="%6."/>
      <w:lvlJc w:val="right"/>
      <w:pPr>
        <w:ind w:left="5515" w:hanging="180"/>
      </w:pPr>
    </w:lvl>
    <w:lvl w:ilvl="6" w:tentative="1">
      <w:start w:val="1"/>
      <w:numFmt w:val="decimal"/>
      <w:lvlText w:val="%7."/>
      <w:lvlJc w:val="left"/>
      <w:pPr>
        <w:ind w:left="6235" w:hanging="360"/>
      </w:pPr>
    </w:lvl>
    <w:lvl w:ilvl="7" w:tentative="1">
      <w:start w:val="1"/>
      <w:numFmt w:val="lowerLetter"/>
      <w:lvlText w:val="%8."/>
      <w:lvlJc w:val="left"/>
      <w:pPr>
        <w:ind w:left="6955" w:hanging="360"/>
      </w:pPr>
    </w:lvl>
    <w:lvl w:ilvl="8" w:tentative="1">
      <w:start w:val="1"/>
      <w:numFmt w:val="lowerRoman"/>
      <w:lvlText w:val="%9."/>
      <w:lvlJc w:val="right"/>
      <w:pPr>
        <w:ind w:left="7675" w:hanging="180"/>
      </w:pPr>
    </w:lvl>
  </w:abstractNum>
  <w:abstractNum w:abstractNumId="1" w15:restartNumberingAfterBreak="0">
    <w:nsid w:val="19D41D32"/>
    <w:multiLevelType w:val="hybridMultilevel"/>
    <w:tmpl w:val="7500203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1E0F4B55"/>
    <w:multiLevelType w:val="hybridMultilevel"/>
    <w:tmpl w:val="A2CCDB9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2E51080C"/>
    <w:multiLevelType w:val="hybridMultilevel"/>
    <w:tmpl w:val="046884C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30D17255"/>
    <w:multiLevelType w:val="hybridMultilevel"/>
    <w:tmpl w:val="F1AE1FFC"/>
    <w:lvl w:ilvl="0">
      <w:start w:val="1"/>
      <w:numFmt w:val="decimal"/>
      <w:pStyle w:val="a39"/>
      <w:lvlText w:val="לוח %1:"/>
      <w:lvlJc w:val="left"/>
      <w:pPr>
        <w:ind w:left="185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5" w15:restartNumberingAfterBreak="0">
    <w:nsid w:val="316B14B9"/>
    <w:multiLevelType w:val="hybridMultilevel"/>
    <w:tmpl w:val="378E9214"/>
    <w:lvl w:ilvl="0">
      <w:start w:val="1"/>
      <w:numFmt w:val="decimal"/>
      <w:pStyle w:val="a37"/>
      <w:lvlText w:val="תמונה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6" w15:restartNumberingAfterBreak="0">
    <w:nsid w:val="325526FE"/>
    <w:multiLevelType w:val="multilevel"/>
    <w:tmpl w:val="F54267E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33A86F96"/>
    <w:multiLevelType w:val="hybridMultilevel"/>
    <w:tmpl w:val="220A2AB2"/>
    <w:lvl w:ilvl="0">
      <w:start w:val="1"/>
      <w:numFmt w:val="decimal"/>
      <w:pStyle w:val="a41"/>
      <w:lvlText w:val="מפה %1:"/>
      <w:lvlJc w:val="left"/>
      <w:pPr>
        <w:ind w:left="1858"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934" w:hanging="360"/>
      </w:pPr>
    </w:lvl>
    <w:lvl w:ilvl="2" w:tentative="1">
      <w:start w:val="1"/>
      <w:numFmt w:val="lowerRoman"/>
      <w:lvlText w:val="%3."/>
      <w:lvlJc w:val="right"/>
      <w:pPr>
        <w:ind w:left="3654" w:hanging="180"/>
      </w:pPr>
    </w:lvl>
    <w:lvl w:ilvl="3" w:tentative="1">
      <w:start w:val="1"/>
      <w:numFmt w:val="decimal"/>
      <w:lvlText w:val="%4."/>
      <w:lvlJc w:val="left"/>
      <w:pPr>
        <w:ind w:left="4374" w:hanging="360"/>
      </w:pPr>
    </w:lvl>
    <w:lvl w:ilvl="4" w:tentative="1">
      <w:start w:val="1"/>
      <w:numFmt w:val="lowerLetter"/>
      <w:lvlText w:val="%5."/>
      <w:lvlJc w:val="left"/>
      <w:pPr>
        <w:ind w:left="5094" w:hanging="360"/>
      </w:pPr>
    </w:lvl>
    <w:lvl w:ilvl="5" w:tentative="1">
      <w:start w:val="1"/>
      <w:numFmt w:val="lowerRoman"/>
      <w:lvlText w:val="%6."/>
      <w:lvlJc w:val="right"/>
      <w:pPr>
        <w:ind w:left="5814" w:hanging="180"/>
      </w:pPr>
    </w:lvl>
    <w:lvl w:ilvl="6" w:tentative="1">
      <w:start w:val="1"/>
      <w:numFmt w:val="decimal"/>
      <w:lvlText w:val="%7."/>
      <w:lvlJc w:val="left"/>
      <w:pPr>
        <w:ind w:left="6534" w:hanging="360"/>
      </w:pPr>
    </w:lvl>
    <w:lvl w:ilvl="7" w:tentative="1">
      <w:start w:val="1"/>
      <w:numFmt w:val="lowerLetter"/>
      <w:lvlText w:val="%8."/>
      <w:lvlJc w:val="left"/>
      <w:pPr>
        <w:ind w:left="7254" w:hanging="360"/>
      </w:pPr>
    </w:lvl>
    <w:lvl w:ilvl="8" w:tentative="1">
      <w:start w:val="1"/>
      <w:numFmt w:val="lowerRoman"/>
      <w:lvlText w:val="%9."/>
      <w:lvlJc w:val="right"/>
      <w:pPr>
        <w:ind w:left="7974" w:hanging="180"/>
      </w:pPr>
    </w:lvl>
  </w:abstractNum>
  <w:abstractNum w:abstractNumId="8" w15:restartNumberingAfterBreak="0">
    <w:nsid w:val="3A923526"/>
    <w:multiLevelType w:val="hybridMultilevel"/>
    <w:tmpl w:val="4E74417E"/>
    <w:lvl w:ilvl="0">
      <w:start w:val="1"/>
      <w:numFmt w:val="decimal"/>
      <w:pStyle w:val="a35"/>
      <w:lvlText w:val="תרשים %1:"/>
      <w:lvlJc w:val="left"/>
      <w:pPr>
        <w:ind w:left="1494" w:hanging="360"/>
      </w:pPr>
      <w:rPr>
        <w:rFonts w:ascii="Calibri" w:hAnsi="Calibri" w:cs="Calibri" w:hint="default"/>
        <w:b w:val="0"/>
        <w:bCs w:val="0"/>
        <w:i w:val="0"/>
        <w:iCs w:val="0"/>
        <w:color w:val="002060"/>
        <w:sz w:val="24"/>
        <w:szCs w:val="24"/>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abstractNum w:abstractNumId="9" w15:restartNumberingAfterBreak="0">
    <w:nsid w:val="40DC7E01"/>
    <w:multiLevelType w:val="hybridMultilevel"/>
    <w:tmpl w:val="5D24C320"/>
    <w:lvl w:ilvl="0">
      <w:start w:val="1"/>
      <w:numFmt w:val="decimal"/>
      <w:pStyle w:val="30"/>
      <w:lvlText w:val="%1.1.1"/>
      <w:lvlJc w:val="left"/>
      <w:pPr>
        <w:ind w:left="1854" w:hanging="360"/>
      </w:pPr>
      <w:rPr>
        <w:rFonts w:hint="default"/>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0" w15:restartNumberingAfterBreak="0">
    <w:nsid w:val="441A6670"/>
    <w:multiLevelType w:val="hybridMultilevel"/>
    <w:tmpl w:val="369C82D6"/>
    <w:lvl w:ilvl="0">
      <w:start w:val="1"/>
      <w:numFmt w:val="hebrew1"/>
      <w:pStyle w:val="32"/>
      <w:lvlText w:val="%1."/>
      <w:lvlJc w:val="center"/>
      <w:pPr>
        <w:ind w:left="2705" w:hanging="360"/>
      </w:pPr>
    </w:lvl>
    <w:lvl w:ilvl="1" w:tentative="1">
      <w:start w:val="1"/>
      <w:numFmt w:val="lowerLetter"/>
      <w:lvlText w:val="%2."/>
      <w:lvlJc w:val="left"/>
      <w:pPr>
        <w:ind w:left="3425" w:hanging="360"/>
      </w:pPr>
    </w:lvl>
    <w:lvl w:ilvl="2" w:tentative="1">
      <w:start w:val="1"/>
      <w:numFmt w:val="lowerRoman"/>
      <w:lvlText w:val="%3."/>
      <w:lvlJc w:val="right"/>
      <w:pPr>
        <w:ind w:left="4145" w:hanging="180"/>
      </w:pPr>
    </w:lvl>
    <w:lvl w:ilvl="3" w:tentative="1">
      <w:start w:val="1"/>
      <w:numFmt w:val="decimal"/>
      <w:lvlText w:val="%4."/>
      <w:lvlJc w:val="left"/>
      <w:pPr>
        <w:ind w:left="4865" w:hanging="360"/>
      </w:pPr>
    </w:lvl>
    <w:lvl w:ilvl="4" w:tentative="1">
      <w:start w:val="1"/>
      <w:numFmt w:val="lowerLetter"/>
      <w:lvlText w:val="%5."/>
      <w:lvlJc w:val="left"/>
      <w:pPr>
        <w:ind w:left="5585" w:hanging="360"/>
      </w:pPr>
    </w:lvl>
    <w:lvl w:ilvl="5" w:tentative="1">
      <w:start w:val="1"/>
      <w:numFmt w:val="lowerRoman"/>
      <w:lvlText w:val="%6."/>
      <w:lvlJc w:val="right"/>
      <w:pPr>
        <w:ind w:left="6305" w:hanging="180"/>
      </w:pPr>
    </w:lvl>
    <w:lvl w:ilvl="6" w:tentative="1">
      <w:start w:val="1"/>
      <w:numFmt w:val="decimal"/>
      <w:lvlText w:val="%7."/>
      <w:lvlJc w:val="left"/>
      <w:pPr>
        <w:ind w:left="7025" w:hanging="360"/>
      </w:pPr>
    </w:lvl>
    <w:lvl w:ilvl="7" w:tentative="1">
      <w:start w:val="1"/>
      <w:numFmt w:val="lowerLetter"/>
      <w:lvlText w:val="%8."/>
      <w:lvlJc w:val="left"/>
      <w:pPr>
        <w:ind w:left="7745" w:hanging="360"/>
      </w:pPr>
    </w:lvl>
    <w:lvl w:ilvl="8" w:tentative="1">
      <w:start w:val="1"/>
      <w:numFmt w:val="lowerRoman"/>
      <w:lvlText w:val="%9."/>
      <w:lvlJc w:val="right"/>
      <w:pPr>
        <w:ind w:left="8465" w:hanging="180"/>
      </w:pPr>
    </w:lvl>
  </w:abstractNum>
  <w:abstractNum w:abstractNumId="11" w15:restartNumberingAfterBreak="0">
    <w:nsid w:val="4DD35436"/>
    <w:multiLevelType w:val="hybridMultilevel"/>
    <w:tmpl w:val="EC1EC164"/>
    <w:lvl w:ilvl="0">
      <w:start w:val="1"/>
      <w:numFmt w:val="decimal"/>
      <w:pStyle w:val="20"/>
      <w:lvlText w:val="%1.1"/>
      <w:lvlJc w:val="left"/>
      <w:pPr>
        <w:ind w:left="1860" w:hanging="360"/>
      </w:pPr>
      <w:rPr>
        <w:rFonts w:hint="default"/>
      </w:rPr>
    </w:lvl>
    <w:lvl w:ilvl="1" w:tentative="1">
      <w:start w:val="1"/>
      <w:numFmt w:val="lowerLetter"/>
      <w:lvlText w:val="%2."/>
      <w:lvlJc w:val="left"/>
      <w:pPr>
        <w:ind w:left="2580" w:hanging="360"/>
      </w:pPr>
    </w:lvl>
    <w:lvl w:ilvl="2" w:tentative="1">
      <w:start w:val="1"/>
      <w:numFmt w:val="lowerRoman"/>
      <w:lvlText w:val="%3."/>
      <w:lvlJc w:val="right"/>
      <w:pPr>
        <w:ind w:left="3300" w:hanging="180"/>
      </w:pPr>
    </w:lvl>
    <w:lvl w:ilvl="3" w:tentative="1">
      <w:start w:val="1"/>
      <w:numFmt w:val="decimal"/>
      <w:lvlText w:val="%4."/>
      <w:lvlJc w:val="left"/>
      <w:pPr>
        <w:ind w:left="4020" w:hanging="360"/>
      </w:pPr>
    </w:lvl>
    <w:lvl w:ilvl="4" w:tentative="1">
      <w:start w:val="1"/>
      <w:numFmt w:val="lowerLetter"/>
      <w:lvlText w:val="%5."/>
      <w:lvlJc w:val="left"/>
      <w:pPr>
        <w:ind w:left="4740" w:hanging="360"/>
      </w:pPr>
    </w:lvl>
    <w:lvl w:ilvl="5" w:tentative="1">
      <w:start w:val="1"/>
      <w:numFmt w:val="lowerRoman"/>
      <w:lvlText w:val="%6."/>
      <w:lvlJc w:val="right"/>
      <w:pPr>
        <w:ind w:left="5460" w:hanging="180"/>
      </w:pPr>
    </w:lvl>
    <w:lvl w:ilvl="6" w:tentative="1">
      <w:start w:val="1"/>
      <w:numFmt w:val="decimal"/>
      <w:lvlText w:val="%7."/>
      <w:lvlJc w:val="left"/>
      <w:pPr>
        <w:ind w:left="6180" w:hanging="360"/>
      </w:pPr>
    </w:lvl>
    <w:lvl w:ilvl="7" w:tentative="1">
      <w:start w:val="1"/>
      <w:numFmt w:val="lowerLetter"/>
      <w:lvlText w:val="%8."/>
      <w:lvlJc w:val="left"/>
      <w:pPr>
        <w:ind w:left="6900" w:hanging="360"/>
      </w:pPr>
    </w:lvl>
    <w:lvl w:ilvl="8" w:tentative="1">
      <w:start w:val="1"/>
      <w:numFmt w:val="lowerRoman"/>
      <w:lvlText w:val="%9."/>
      <w:lvlJc w:val="right"/>
      <w:pPr>
        <w:ind w:left="7620" w:hanging="180"/>
      </w:pPr>
    </w:lvl>
  </w:abstractNum>
  <w:abstractNum w:abstractNumId="12" w15:restartNumberingAfterBreak="0">
    <w:nsid w:val="542D1910"/>
    <w:multiLevelType w:val="hybridMultilevel"/>
    <w:tmpl w:val="813A1B50"/>
    <w:lvl w:ilvl="0">
      <w:start w:val="1"/>
      <w:numFmt w:val="decimal"/>
      <w:lvlText w:val="%1."/>
      <w:lvlJc w:val="left"/>
      <w:pPr>
        <w:ind w:left="720" w:hanging="360"/>
      </w:pPr>
      <w:rPr>
        <w:rFonts w:ascii="David" w:hAnsi="David" w:cs="David"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665B09CB"/>
    <w:multiLevelType w:val="hybridMultilevel"/>
    <w:tmpl w:val="F98283A0"/>
    <w:lvl w:ilvl="0">
      <w:start w:val="1"/>
      <w:numFmt w:val="bullet"/>
      <w:pStyle w:val="50"/>
      <w:lvlText w:val=""/>
      <w:lvlJc w:val="left"/>
      <w:pPr>
        <w:ind w:left="1854" w:hanging="360"/>
      </w:pPr>
      <w:rPr>
        <w:rFonts w:ascii="Wingdings" w:hAnsi="Wingdings" w:hint="default"/>
        <w:color w:val="FFF400"/>
      </w:rPr>
    </w:lvl>
    <w:lvl w:ilvl="1" w:tentative="1">
      <w:start w:val="1"/>
      <w:numFmt w:val="lowerLetter"/>
      <w:lvlText w:val="%2."/>
      <w:lvlJc w:val="left"/>
      <w:pPr>
        <w:ind w:left="2574" w:hanging="360"/>
      </w:pPr>
    </w:lvl>
    <w:lvl w:ilvl="2" w:tentative="1">
      <w:start w:val="1"/>
      <w:numFmt w:val="lowerRoman"/>
      <w:lvlText w:val="%3."/>
      <w:lvlJc w:val="right"/>
      <w:pPr>
        <w:ind w:left="3294" w:hanging="180"/>
      </w:pPr>
    </w:lvl>
    <w:lvl w:ilvl="3" w:tentative="1">
      <w:start w:val="1"/>
      <w:numFmt w:val="decimal"/>
      <w:lvlText w:val="%4."/>
      <w:lvlJc w:val="left"/>
      <w:pPr>
        <w:ind w:left="4014" w:hanging="360"/>
      </w:pPr>
    </w:lvl>
    <w:lvl w:ilvl="4" w:tentative="1">
      <w:start w:val="1"/>
      <w:numFmt w:val="lowerLetter"/>
      <w:lvlText w:val="%5."/>
      <w:lvlJc w:val="left"/>
      <w:pPr>
        <w:ind w:left="4734" w:hanging="360"/>
      </w:pPr>
    </w:lvl>
    <w:lvl w:ilvl="5" w:tentative="1">
      <w:start w:val="1"/>
      <w:numFmt w:val="lowerRoman"/>
      <w:lvlText w:val="%6."/>
      <w:lvlJc w:val="right"/>
      <w:pPr>
        <w:ind w:left="5454" w:hanging="180"/>
      </w:pPr>
    </w:lvl>
    <w:lvl w:ilvl="6" w:tentative="1">
      <w:start w:val="1"/>
      <w:numFmt w:val="decimal"/>
      <w:lvlText w:val="%7."/>
      <w:lvlJc w:val="left"/>
      <w:pPr>
        <w:ind w:left="6174" w:hanging="360"/>
      </w:pPr>
    </w:lvl>
    <w:lvl w:ilvl="7" w:tentative="1">
      <w:start w:val="1"/>
      <w:numFmt w:val="lowerLetter"/>
      <w:lvlText w:val="%8."/>
      <w:lvlJc w:val="left"/>
      <w:pPr>
        <w:ind w:left="6894" w:hanging="360"/>
      </w:pPr>
    </w:lvl>
    <w:lvl w:ilvl="8" w:tentative="1">
      <w:start w:val="1"/>
      <w:numFmt w:val="lowerRoman"/>
      <w:lvlText w:val="%9."/>
      <w:lvlJc w:val="right"/>
      <w:pPr>
        <w:ind w:left="7614" w:hanging="180"/>
      </w:pPr>
    </w:lvl>
  </w:abstractNum>
  <w:abstractNum w:abstractNumId="14" w15:restartNumberingAfterBreak="0">
    <w:nsid w:val="6A7E252D"/>
    <w:multiLevelType w:val="multilevel"/>
    <w:tmpl w:val="1CF650F2"/>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5" w15:restartNumberingAfterBreak="0">
    <w:nsid w:val="75BC0C8C"/>
    <w:multiLevelType w:val="hybridMultilevel"/>
    <w:tmpl w:val="F21A97B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7E431D00"/>
    <w:multiLevelType w:val="hybridMultilevel"/>
    <w:tmpl w:val="7576C230"/>
    <w:lvl w:ilvl="0">
      <w:start w:val="1"/>
      <w:numFmt w:val="decimal"/>
      <w:pStyle w:val="13"/>
      <w:lvlText w:val="%1."/>
      <w:lvlJc w:val="left"/>
      <w:pPr>
        <w:ind w:left="1858" w:hanging="360"/>
      </w:pPr>
      <w:rPr>
        <w:rFonts w:ascii="Calibri" w:hAnsi="Calibri" w:cs="Calibri" w:hint="default"/>
        <w:b/>
        <w:bCs/>
        <w:i w:val="0"/>
        <w:iCs w:val="0"/>
        <w:color w:val="002060"/>
        <w:sz w:val="40"/>
        <w:szCs w:val="40"/>
      </w:rPr>
    </w:lvl>
    <w:lvl w:ilvl="1" w:tentative="1">
      <w:start w:val="1"/>
      <w:numFmt w:val="lowerLetter"/>
      <w:lvlText w:val="%2."/>
      <w:lvlJc w:val="left"/>
      <w:pPr>
        <w:ind w:left="2578" w:hanging="360"/>
      </w:pPr>
    </w:lvl>
    <w:lvl w:ilvl="2" w:tentative="1">
      <w:start w:val="1"/>
      <w:numFmt w:val="lowerRoman"/>
      <w:lvlText w:val="%3."/>
      <w:lvlJc w:val="right"/>
      <w:pPr>
        <w:ind w:left="3298" w:hanging="180"/>
      </w:pPr>
    </w:lvl>
    <w:lvl w:ilvl="3" w:tentative="1">
      <w:start w:val="1"/>
      <w:numFmt w:val="decimal"/>
      <w:lvlText w:val="%4."/>
      <w:lvlJc w:val="left"/>
      <w:pPr>
        <w:ind w:left="4018" w:hanging="360"/>
      </w:pPr>
    </w:lvl>
    <w:lvl w:ilvl="4" w:tentative="1">
      <w:start w:val="1"/>
      <w:numFmt w:val="lowerLetter"/>
      <w:lvlText w:val="%5."/>
      <w:lvlJc w:val="left"/>
      <w:pPr>
        <w:ind w:left="4738" w:hanging="360"/>
      </w:pPr>
    </w:lvl>
    <w:lvl w:ilvl="5" w:tentative="1">
      <w:start w:val="1"/>
      <w:numFmt w:val="lowerRoman"/>
      <w:lvlText w:val="%6."/>
      <w:lvlJc w:val="right"/>
      <w:pPr>
        <w:ind w:left="5458" w:hanging="180"/>
      </w:pPr>
    </w:lvl>
    <w:lvl w:ilvl="6" w:tentative="1">
      <w:start w:val="1"/>
      <w:numFmt w:val="decimal"/>
      <w:lvlText w:val="%7."/>
      <w:lvlJc w:val="left"/>
      <w:pPr>
        <w:ind w:left="6178" w:hanging="360"/>
      </w:pPr>
    </w:lvl>
    <w:lvl w:ilvl="7" w:tentative="1">
      <w:start w:val="1"/>
      <w:numFmt w:val="lowerLetter"/>
      <w:lvlText w:val="%8."/>
      <w:lvlJc w:val="left"/>
      <w:pPr>
        <w:ind w:left="6898" w:hanging="360"/>
      </w:pPr>
    </w:lvl>
    <w:lvl w:ilvl="8" w:tentative="1">
      <w:start w:val="1"/>
      <w:numFmt w:val="lowerRoman"/>
      <w:lvlText w:val="%9."/>
      <w:lvlJc w:val="right"/>
      <w:pPr>
        <w:ind w:left="7618" w:hanging="180"/>
      </w:pPr>
    </w:lvl>
  </w:abstractNum>
  <w:num w:numId="1">
    <w:abstractNumId w:val="16"/>
  </w:num>
  <w:num w:numId="2">
    <w:abstractNumId w:val="11"/>
  </w:num>
  <w:num w:numId="3">
    <w:abstractNumId w:val="9"/>
  </w:num>
  <w:num w:numId="4">
    <w:abstractNumId w:val="0"/>
  </w:num>
  <w:num w:numId="5">
    <w:abstractNumId w:val="10"/>
  </w:num>
  <w:num w:numId="6">
    <w:abstractNumId w:val="13"/>
  </w:num>
  <w:num w:numId="7">
    <w:abstractNumId w:val="8"/>
  </w:num>
  <w:num w:numId="8">
    <w:abstractNumId w:val="5"/>
  </w:num>
  <w:num w:numId="9">
    <w:abstractNumId w:val="4"/>
  </w:num>
  <w:num w:numId="10">
    <w:abstractNumId w:val="7"/>
  </w:num>
  <w:num w:numId="11">
    <w:abstractNumId w:val="14"/>
  </w:num>
  <w:num w:numId="12">
    <w:abstractNumId w:val="3"/>
  </w:num>
  <w:num w:numId="13">
    <w:abstractNumId w:val="2"/>
  </w:num>
  <w:num w:numId="14">
    <w:abstractNumId w:val="12"/>
  </w:num>
  <w:num w:numId="15">
    <w:abstractNumId w:val="6"/>
  </w:num>
  <w:num w:numId="16">
    <w:abstractNumId w:val="15"/>
  </w:num>
  <w:num w:numId="17">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stylePaneSortMethod w:val="name"/>
  <w:defaultTabStop w:val="720"/>
  <w:drawingGridHorizontalSpacing w:val="100"/>
  <w:displayHorizontalDrawingGridEvery w:val="2"/>
  <w:displayVerticalDrawingGridEvery w:val="2"/>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51B"/>
    <w:rsid w:val="00003B77"/>
    <w:rsid w:val="00011FD8"/>
    <w:rsid w:val="00013880"/>
    <w:rsid w:val="0001668B"/>
    <w:rsid w:val="0001735B"/>
    <w:rsid w:val="00041495"/>
    <w:rsid w:val="00042837"/>
    <w:rsid w:val="000501A4"/>
    <w:rsid w:val="000532AA"/>
    <w:rsid w:val="000545F3"/>
    <w:rsid w:val="00080B64"/>
    <w:rsid w:val="00086C69"/>
    <w:rsid w:val="000B1102"/>
    <w:rsid w:val="000C151F"/>
    <w:rsid w:val="000C7459"/>
    <w:rsid w:val="000E013E"/>
    <w:rsid w:val="000F1845"/>
    <w:rsid w:val="000F45DF"/>
    <w:rsid w:val="000F7725"/>
    <w:rsid w:val="00101D0F"/>
    <w:rsid w:val="00113E28"/>
    <w:rsid w:val="00114325"/>
    <w:rsid w:val="00123669"/>
    <w:rsid w:val="00127512"/>
    <w:rsid w:val="00130D5F"/>
    <w:rsid w:val="00135C12"/>
    <w:rsid w:val="001635BE"/>
    <w:rsid w:val="00165BE9"/>
    <w:rsid w:val="00166477"/>
    <w:rsid w:val="001730B0"/>
    <w:rsid w:val="001960B4"/>
    <w:rsid w:val="001A11E0"/>
    <w:rsid w:val="001A613C"/>
    <w:rsid w:val="001B2821"/>
    <w:rsid w:val="001B37C0"/>
    <w:rsid w:val="001B7364"/>
    <w:rsid w:val="001C057E"/>
    <w:rsid w:val="001C6185"/>
    <w:rsid w:val="001E204F"/>
    <w:rsid w:val="001E604F"/>
    <w:rsid w:val="001F4412"/>
    <w:rsid w:val="00203604"/>
    <w:rsid w:val="00204BA0"/>
    <w:rsid w:val="002064F7"/>
    <w:rsid w:val="00240887"/>
    <w:rsid w:val="00263521"/>
    <w:rsid w:val="002667BB"/>
    <w:rsid w:val="002A7D21"/>
    <w:rsid w:val="002C0FD0"/>
    <w:rsid w:val="002C1EE0"/>
    <w:rsid w:val="002C4139"/>
    <w:rsid w:val="002F4530"/>
    <w:rsid w:val="00301153"/>
    <w:rsid w:val="003079D5"/>
    <w:rsid w:val="00315B1D"/>
    <w:rsid w:val="00323027"/>
    <w:rsid w:val="00354F9A"/>
    <w:rsid w:val="0035691A"/>
    <w:rsid w:val="0037370B"/>
    <w:rsid w:val="00375EB9"/>
    <w:rsid w:val="0037752E"/>
    <w:rsid w:val="00380052"/>
    <w:rsid w:val="00381F38"/>
    <w:rsid w:val="003919E6"/>
    <w:rsid w:val="0039287B"/>
    <w:rsid w:val="0039415D"/>
    <w:rsid w:val="003A0726"/>
    <w:rsid w:val="003D18F4"/>
    <w:rsid w:val="003D2676"/>
    <w:rsid w:val="003D61C6"/>
    <w:rsid w:val="003E58C2"/>
    <w:rsid w:val="003F0A2E"/>
    <w:rsid w:val="00427065"/>
    <w:rsid w:val="00455AAA"/>
    <w:rsid w:val="00457C29"/>
    <w:rsid w:val="00465A0F"/>
    <w:rsid w:val="004753CF"/>
    <w:rsid w:val="004779AA"/>
    <w:rsid w:val="00496F3E"/>
    <w:rsid w:val="004A0385"/>
    <w:rsid w:val="004A2D92"/>
    <w:rsid w:val="004C7D9F"/>
    <w:rsid w:val="005006C5"/>
    <w:rsid w:val="005215C0"/>
    <w:rsid w:val="00551B42"/>
    <w:rsid w:val="00551DBC"/>
    <w:rsid w:val="00551FF7"/>
    <w:rsid w:val="005640FE"/>
    <w:rsid w:val="00570130"/>
    <w:rsid w:val="00574579"/>
    <w:rsid w:val="00580C5C"/>
    <w:rsid w:val="005A021D"/>
    <w:rsid w:val="005A739F"/>
    <w:rsid w:val="005C40CD"/>
    <w:rsid w:val="006114CB"/>
    <w:rsid w:val="006120C7"/>
    <w:rsid w:val="0062451B"/>
    <w:rsid w:val="00625E9B"/>
    <w:rsid w:val="00626258"/>
    <w:rsid w:val="00627184"/>
    <w:rsid w:val="006308FC"/>
    <w:rsid w:val="00634DAD"/>
    <w:rsid w:val="00640B60"/>
    <w:rsid w:val="006457EB"/>
    <w:rsid w:val="006531CB"/>
    <w:rsid w:val="0065416D"/>
    <w:rsid w:val="006614A6"/>
    <w:rsid w:val="006828CA"/>
    <w:rsid w:val="00694789"/>
    <w:rsid w:val="006B5DAE"/>
    <w:rsid w:val="006C193E"/>
    <w:rsid w:val="006C2928"/>
    <w:rsid w:val="006C2C6D"/>
    <w:rsid w:val="006D4161"/>
    <w:rsid w:val="006D786C"/>
    <w:rsid w:val="006E1414"/>
    <w:rsid w:val="006F285F"/>
    <w:rsid w:val="0072159E"/>
    <w:rsid w:val="0072219B"/>
    <w:rsid w:val="007474F0"/>
    <w:rsid w:val="00753ADE"/>
    <w:rsid w:val="00757D31"/>
    <w:rsid w:val="00762D09"/>
    <w:rsid w:val="007727E9"/>
    <w:rsid w:val="00773F61"/>
    <w:rsid w:val="00786B82"/>
    <w:rsid w:val="007929B3"/>
    <w:rsid w:val="00794CF7"/>
    <w:rsid w:val="00797747"/>
    <w:rsid w:val="007A4EBD"/>
    <w:rsid w:val="007B112B"/>
    <w:rsid w:val="007B5B26"/>
    <w:rsid w:val="007B691A"/>
    <w:rsid w:val="007C1FF6"/>
    <w:rsid w:val="007D61B8"/>
    <w:rsid w:val="007D6A05"/>
    <w:rsid w:val="007E5741"/>
    <w:rsid w:val="007F7FF2"/>
    <w:rsid w:val="00805B42"/>
    <w:rsid w:val="008102AD"/>
    <w:rsid w:val="008131AD"/>
    <w:rsid w:val="00837997"/>
    <w:rsid w:val="00867FC5"/>
    <w:rsid w:val="008756BF"/>
    <w:rsid w:val="00885118"/>
    <w:rsid w:val="00892F80"/>
    <w:rsid w:val="00897977"/>
    <w:rsid w:val="008B28EE"/>
    <w:rsid w:val="008B4F41"/>
    <w:rsid w:val="008C6F75"/>
    <w:rsid w:val="008C7903"/>
    <w:rsid w:val="008E3D8A"/>
    <w:rsid w:val="008E675F"/>
    <w:rsid w:val="009015B2"/>
    <w:rsid w:val="00906E90"/>
    <w:rsid w:val="00906FB1"/>
    <w:rsid w:val="0091051D"/>
    <w:rsid w:val="00933E1C"/>
    <w:rsid w:val="00936F84"/>
    <w:rsid w:val="00940851"/>
    <w:rsid w:val="009679D9"/>
    <w:rsid w:val="009B49EA"/>
    <w:rsid w:val="009B757F"/>
    <w:rsid w:val="009C0BF1"/>
    <w:rsid w:val="009C6066"/>
    <w:rsid w:val="009D73F5"/>
    <w:rsid w:val="009E1A3F"/>
    <w:rsid w:val="009E53CF"/>
    <w:rsid w:val="009F0BD3"/>
    <w:rsid w:val="009F641D"/>
    <w:rsid w:val="00A21232"/>
    <w:rsid w:val="00A222E2"/>
    <w:rsid w:val="00A23EA9"/>
    <w:rsid w:val="00A61AD5"/>
    <w:rsid w:val="00A73038"/>
    <w:rsid w:val="00A76C99"/>
    <w:rsid w:val="00A81EBE"/>
    <w:rsid w:val="00A87F40"/>
    <w:rsid w:val="00AC6B95"/>
    <w:rsid w:val="00B00E5C"/>
    <w:rsid w:val="00B4321D"/>
    <w:rsid w:val="00B46951"/>
    <w:rsid w:val="00B666B9"/>
    <w:rsid w:val="00B76DC1"/>
    <w:rsid w:val="00B8175F"/>
    <w:rsid w:val="00B862C0"/>
    <w:rsid w:val="00B944F3"/>
    <w:rsid w:val="00BA5E54"/>
    <w:rsid w:val="00BE2DD8"/>
    <w:rsid w:val="00C1227E"/>
    <w:rsid w:val="00C2305A"/>
    <w:rsid w:val="00C23CC9"/>
    <w:rsid w:val="00C30B3D"/>
    <w:rsid w:val="00C3124C"/>
    <w:rsid w:val="00C33AE2"/>
    <w:rsid w:val="00C60BE8"/>
    <w:rsid w:val="00C8096C"/>
    <w:rsid w:val="00C8100B"/>
    <w:rsid w:val="00C85B62"/>
    <w:rsid w:val="00CA2309"/>
    <w:rsid w:val="00CA41D2"/>
    <w:rsid w:val="00CA4F20"/>
    <w:rsid w:val="00CB67A7"/>
    <w:rsid w:val="00CC712C"/>
    <w:rsid w:val="00CD28D9"/>
    <w:rsid w:val="00D05C85"/>
    <w:rsid w:val="00D06654"/>
    <w:rsid w:val="00D1594B"/>
    <w:rsid w:val="00D22748"/>
    <w:rsid w:val="00D26918"/>
    <w:rsid w:val="00D27E94"/>
    <w:rsid w:val="00D37121"/>
    <w:rsid w:val="00D779F7"/>
    <w:rsid w:val="00D87542"/>
    <w:rsid w:val="00D95C20"/>
    <w:rsid w:val="00D97C16"/>
    <w:rsid w:val="00DB4075"/>
    <w:rsid w:val="00DC0612"/>
    <w:rsid w:val="00DD0100"/>
    <w:rsid w:val="00DE1DAB"/>
    <w:rsid w:val="00DE20A2"/>
    <w:rsid w:val="00DF0B89"/>
    <w:rsid w:val="00E0338A"/>
    <w:rsid w:val="00E122EE"/>
    <w:rsid w:val="00E35682"/>
    <w:rsid w:val="00E46EA3"/>
    <w:rsid w:val="00E51C1B"/>
    <w:rsid w:val="00E53DA7"/>
    <w:rsid w:val="00E6467C"/>
    <w:rsid w:val="00E660CE"/>
    <w:rsid w:val="00E76311"/>
    <w:rsid w:val="00E90C04"/>
    <w:rsid w:val="00EC6B44"/>
    <w:rsid w:val="00EE37A3"/>
    <w:rsid w:val="00EE57E1"/>
    <w:rsid w:val="00EF4539"/>
    <w:rsid w:val="00EF65A0"/>
    <w:rsid w:val="00F36CB4"/>
    <w:rsid w:val="00F36D4E"/>
    <w:rsid w:val="00F40642"/>
    <w:rsid w:val="00F4158C"/>
    <w:rsid w:val="00F4385E"/>
    <w:rsid w:val="00F627EB"/>
    <w:rsid w:val="00F67075"/>
    <w:rsid w:val="00F75A10"/>
    <w:rsid w:val="00F77276"/>
    <w:rsid w:val="00F954E4"/>
    <w:rsid w:val="00F95853"/>
    <w:rsid w:val="00FB3893"/>
    <w:rsid w:val="00FB3F26"/>
    <w:rsid w:val="00FC3213"/>
    <w:rsid w:val="00FC48C6"/>
    <w:rsid w:val="00FF5E54"/>
  </w:rsids>
  <w:docVars>
    <w:docVar w:name="sivug" w:val="1"/>
    <w:docVar w:name="space" w:val="True"/>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11E80192"/>
  <w15:chartTrackingRefBased/>
  <w15:docId w15:val="{89CA0B52-15F1-4656-A946-83738ED0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501A4"/>
    <w:pPr>
      <w:bidi/>
      <w:spacing w:after="0" w:line="312" w:lineRule="auto"/>
    </w:pPr>
  </w:style>
  <w:style w:type="paragraph" w:styleId="Heading1">
    <w:name w:val="heading 1"/>
    <w:basedOn w:val="Normal"/>
    <w:next w:val="Normal"/>
    <w:link w:val="1"/>
    <w:uiPriority w:val="1"/>
    <w:qFormat/>
    <w:rsid w:val="000501A4"/>
    <w:pPr>
      <w:keepNext/>
      <w:keepLines/>
      <w:jc w:val="center"/>
      <w:outlineLvl w:val="0"/>
    </w:pPr>
    <w:rPr>
      <w:rFonts w:eastAsiaTheme="majorEastAsia"/>
      <w:bCs/>
      <w:szCs w:val="36"/>
      <w:u w:val="single"/>
    </w:rPr>
  </w:style>
  <w:style w:type="paragraph" w:styleId="Heading2">
    <w:name w:val="heading 2"/>
    <w:basedOn w:val="Normal"/>
    <w:next w:val="Normal"/>
    <w:link w:val="2"/>
    <w:uiPriority w:val="1"/>
    <w:qFormat/>
    <w:rsid w:val="000501A4"/>
    <w:pPr>
      <w:keepNext/>
      <w:keepLines/>
      <w:spacing w:before="480"/>
      <w:jc w:val="center"/>
      <w:outlineLvl w:val="1"/>
    </w:pPr>
    <w:rPr>
      <w:rFonts w:eastAsiaTheme="majorEastAsia"/>
      <w:bCs/>
      <w:szCs w:val="32"/>
    </w:rPr>
  </w:style>
  <w:style w:type="paragraph" w:styleId="Heading3">
    <w:name w:val="heading 3"/>
    <w:basedOn w:val="Normal"/>
    <w:next w:val="Normal"/>
    <w:link w:val="3"/>
    <w:uiPriority w:val="1"/>
    <w:qFormat/>
    <w:rsid w:val="006D786C"/>
    <w:pPr>
      <w:keepNext/>
      <w:keepLines/>
      <w:spacing w:before="120"/>
      <w:outlineLvl w:val="2"/>
    </w:pPr>
    <w:rPr>
      <w:rFonts w:eastAsiaTheme="majorEastAsia"/>
      <w:bCs/>
      <w:szCs w:val="28"/>
      <w:u w:val="single"/>
    </w:rPr>
  </w:style>
  <w:style w:type="paragraph" w:styleId="Heading4">
    <w:name w:val="heading 4"/>
    <w:basedOn w:val="Normal"/>
    <w:next w:val="Normal"/>
    <w:link w:val="4"/>
    <w:uiPriority w:val="1"/>
    <w:qFormat/>
    <w:rsid w:val="006D786C"/>
    <w:pPr>
      <w:keepNext/>
      <w:keepLines/>
      <w:spacing w:before="120"/>
      <w:outlineLvl w:val="3"/>
    </w:pPr>
    <w:rPr>
      <w:rFonts w:eastAsiaTheme="majorEastAsia"/>
      <w:bCs/>
      <w:szCs w:val="26"/>
    </w:rPr>
  </w:style>
  <w:style w:type="paragraph" w:styleId="Heading5">
    <w:name w:val="heading 5"/>
    <w:basedOn w:val="Normal"/>
    <w:next w:val="Normal"/>
    <w:link w:val="5"/>
    <w:uiPriority w:val="1"/>
    <w:qFormat/>
    <w:rsid w:val="000501A4"/>
    <w:pPr>
      <w:keepNext/>
      <w:keepLines/>
      <w:outlineLvl w:val="4"/>
    </w:pPr>
    <w:rPr>
      <w:rFonts w:eastAsiaTheme="majorEastAsia"/>
      <w:bCs/>
      <w:spacing w:val="40"/>
    </w:rPr>
  </w:style>
  <w:style w:type="paragraph" w:styleId="Heading6">
    <w:name w:val="heading 6"/>
    <w:basedOn w:val="Normal"/>
    <w:next w:val="Normal"/>
    <w:link w:val="6"/>
    <w:uiPriority w:val="1"/>
    <w:qFormat/>
    <w:rsid w:val="000501A4"/>
    <w:pPr>
      <w:keepNext/>
      <w:keepLines/>
      <w:outlineLvl w:val="5"/>
    </w:pPr>
    <w:rPr>
      <w:rFonts w:eastAsiaTheme="majorEastAsia"/>
      <w:spacing w:val="40"/>
    </w:rPr>
  </w:style>
  <w:style w:type="paragraph" w:styleId="Heading7">
    <w:name w:val="heading 7"/>
    <w:basedOn w:val="Normal"/>
    <w:next w:val="Normal"/>
    <w:link w:val="7"/>
    <w:uiPriority w:val="1"/>
    <w:qFormat/>
    <w:rsid w:val="000501A4"/>
    <w:pPr>
      <w:keepNext/>
      <w:keepLines/>
      <w:outlineLvl w:val="6"/>
    </w:pPr>
    <w:rPr>
      <w:rFonts w:eastAsiaTheme="majorEastAsia"/>
      <w:bCs/>
      <w:spacing w:val="40"/>
    </w:rPr>
  </w:style>
  <w:style w:type="paragraph" w:styleId="Heading8">
    <w:name w:val="heading 8"/>
    <w:basedOn w:val="Normal"/>
    <w:next w:val="Normal"/>
    <w:link w:val="8"/>
    <w:uiPriority w:val="1"/>
    <w:qFormat/>
    <w:rsid w:val="000501A4"/>
    <w:pPr>
      <w:keepNext/>
      <w:keepLines/>
      <w:outlineLvl w:val="7"/>
    </w:pPr>
    <w:rPr>
      <w:rFonts w:eastAsiaTheme="majorEastAsia"/>
      <w:spacing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basedOn w:val="DefaultParagraphFont"/>
    <w:link w:val="Heading1"/>
    <w:uiPriority w:val="1"/>
    <w:rsid w:val="000501A4"/>
    <w:rPr>
      <w:rFonts w:eastAsiaTheme="majorEastAsia"/>
      <w:bCs/>
      <w:szCs w:val="36"/>
      <w:u w:val="single"/>
    </w:rPr>
  </w:style>
  <w:style w:type="character" w:customStyle="1" w:styleId="2">
    <w:name w:val="כותרת 2 תו"/>
    <w:basedOn w:val="DefaultParagraphFont"/>
    <w:link w:val="Heading2"/>
    <w:uiPriority w:val="1"/>
    <w:rsid w:val="000501A4"/>
    <w:rPr>
      <w:rFonts w:eastAsiaTheme="majorEastAsia"/>
      <w:bCs/>
      <w:szCs w:val="32"/>
    </w:rPr>
  </w:style>
  <w:style w:type="character" w:customStyle="1" w:styleId="3">
    <w:name w:val="כותרת 3 תו"/>
    <w:basedOn w:val="DefaultParagraphFont"/>
    <w:link w:val="Heading3"/>
    <w:uiPriority w:val="1"/>
    <w:rsid w:val="006D786C"/>
    <w:rPr>
      <w:rFonts w:eastAsiaTheme="majorEastAsia"/>
      <w:bCs/>
      <w:szCs w:val="28"/>
      <w:u w:val="single"/>
    </w:rPr>
  </w:style>
  <w:style w:type="character" w:customStyle="1" w:styleId="4">
    <w:name w:val="כותרת 4 תו"/>
    <w:basedOn w:val="DefaultParagraphFont"/>
    <w:link w:val="Heading4"/>
    <w:uiPriority w:val="1"/>
    <w:rsid w:val="006D786C"/>
    <w:rPr>
      <w:rFonts w:eastAsiaTheme="majorEastAsia"/>
      <w:bCs/>
      <w:szCs w:val="26"/>
    </w:rPr>
  </w:style>
  <w:style w:type="character" w:customStyle="1" w:styleId="5">
    <w:name w:val="כותרת 5 תו"/>
    <w:basedOn w:val="DefaultParagraphFont"/>
    <w:link w:val="Heading5"/>
    <w:uiPriority w:val="1"/>
    <w:rsid w:val="000501A4"/>
    <w:rPr>
      <w:rFonts w:eastAsiaTheme="majorEastAsia"/>
      <w:bCs/>
      <w:spacing w:val="40"/>
    </w:rPr>
  </w:style>
  <w:style w:type="character" w:customStyle="1" w:styleId="6">
    <w:name w:val="כותרת 6 תו"/>
    <w:basedOn w:val="DefaultParagraphFont"/>
    <w:link w:val="Heading6"/>
    <w:uiPriority w:val="1"/>
    <w:rsid w:val="000501A4"/>
    <w:rPr>
      <w:rFonts w:eastAsiaTheme="majorEastAsia"/>
      <w:spacing w:val="40"/>
    </w:rPr>
  </w:style>
  <w:style w:type="character" w:customStyle="1" w:styleId="7">
    <w:name w:val="כותרת 7 תו"/>
    <w:basedOn w:val="DefaultParagraphFont"/>
    <w:link w:val="Heading7"/>
    <w:uiPriority w:val="1"/>
    <w:rsid w:val="000501A4"/>
    <w:rPr>
      <w:rFonts w:eastAsiaTheme="majorEastAsia"/>
      <w:bCs/>
      <w:spacing w:val="40"/>
    </w:rPr>
  </w:style>
  <w:style w:type="character" w:customStyle="1" w:styleId="8">
    <w:name w:val="כותרת 8 תו"/>
    <w:basedOn w:val="DefaultParagraphFont"/>
    <w:link w:val="Heading8"/>
    <w:uiPriority w:val="1"/>
    <w:rsid w:val="000501A4"/>
    <w:rPr>
      <w:rFonts w:eastAsiaTheme="majorEastAsia"/>
      <w:spacing w:val="40"/>
    </w:rPr>
  </w:style>
  <w:style w:type="paragraph" w:customStyle="1" w:styleId="a">
    <w:name w:val="נבנצאל"/>
    <w:basedOn w:val="Normal"/>
    <w:next w:val="Normal"/>
    <w:link w:val="a0"/>
    <w:uiPriority w:val="99"/>
    <w:rsid w:val="000501A4"/>
    <w:pPr>
      <w:ind w:left="-567"/>
    </w:pPr>
    <w:rPr>
      <w:szCs w:val="20"/>
    </w:rPr>
  </w:style>
  <w:style w:type="character" w:customStyle="1" w:styleId="a0">
    <w:name w:val="נבנצאל תו"/>
    <w:basedOn w:val="DefaultParagraphFont"/>
    <w:link w:val="a"/>
    <w:uiPriority w:val="99"/>
    <w:rsid w:val="000501A4"/>
    <w:rPr>
      <w:szCs w:val="20"/>
    </w:rPr>
  </w:style>
  <w:style w:type="paragraph" w:styleId="Header">
    <w:name w:val="header"/>
    <w:basedOn w:val="Normal"/>
    <w:link w:val="a1"/>
    <w:uiPriority w:val="99"/>
    <w:unhideWhenUsed/>
    <w:rsid w:val="000501A4"/>
    <w:pPr>
      <w:tabs>
        <w:tab w:val="center" w:pos="4153"/>
        <w:tab w:val="right" w:pos="8306"/>
      </w:tabs>
      <w:spacing w:line="240" w:lineRule="auto"/>
    </w:pPr>
  </w:style>
  <w:style w:type="character" w:customStyle="1" w:styleId="a1">
    <w:name w:val="כותרת עליונה תו"/>
    <w:basedOn w:val="DefaultParagraphFont"/>
    <w:link w:val="Header"/>
    <w:uiPriority w:val="99"/>
    <w:rsid w:val="000501A4"/>
  </w:style>
  <w:style w:type="paragraph" w:styleId="Footer">
    <w:name w:val="footer"/>
    <w:basedOn w:val="Normal"/>
    <w:link w:val="a2"/>
    <w:uiPriority w:val="99"/>
    <w:unhideWhenUsed/>
    <w:rsid w:val="000501A4"/>
    <w:pPr>
      <w:tabs>
        <w:tab w:val="center" w:pos="4153"/>
        <w:tab w:val="right" w:pos="8306"/>
      </w:tabs>
      <w:spacing w:line="240" w:lineRule="auto"/>
    </w:pPr>
  </w:style>
  <w:style w:type="character" w:customStyle="1" w:styleId="a2">
    <w:name w:val="כותרת תחתונה תו"/>
    <w:basedOn w:val="DefaultParagraphFont"/>
    <w:link w:val="Footer"/>
    <w:uiPriority w:val="99"/>
    <w:rsid w:val="000501A4"/>
  </w:style>
  <w:style w:type="paragraph" w:styleId="Date">
    <w:name w:val="Date"/>
    <w:basedOn w:val="Normal"/>
    <w:next w:val="Normal"/>
    <w:link w:val="a3"/>
    <w:uiPriority w:val="99"/>
    <w:unhideWhenUsed/>
    <w:rsid w:val="000501A4"/>
    <w:pPr>
      <w:spacing w:before="120" w:line="240" w:lineRule="auto"/>
    </w:pPr>
  </w:style>
  <w:style w:type="character" w:customStyle="1" w:styleId="a3">
    <w:name w:val="תאריך תו"/>
    <w:basedOn w:val="DefaultParagraphFont"/>
    <w:link w:val="Date"/>
    <w:uiPriority w:val="99"/>
    <w:rsid w:val="000501A4"/>
  </w:style>
  <w:style w:type="paragraph" w:styleId="FootnoteText">
    <w:name w:val="footnote text"/>
    <w:aliases w:val=" Char,Char,FOOTNOTES,Footnote Text - Sharp,Footnote Text - Sharp Char,Footnote Text - Sharp Char Char,Footnote Text Char Char Char Char Char,Footnote reference,Sharp - Footnote Text,Sharp - Footnote Text1 Char,fn,footnote text,F1,F"/>
    <w:basedOn w:val="Normal"/>
    <w:link w:val="a4"/>
    <w:uiPriority w:val="99"/>
    <w:qFormat/>
    <w:rsid w:val="00574579"/>
    <w:pPr>
      <w:spacing w:line="240" w:lineRule="auto"/>
      <w:ind w:left="720" w:hanging="720"/>
    </w:pPr>
    <w:rPr>
      <w:szCs w:val="20"/>
    </w:rPr>
  </w:style>
  <w:style w:type="character" w:customStyle="1" w:styleId="a4">
    <w:name w:val="טקסט הערת שוליים תו"/>
    <w:aliases w:val=" Char תו,Char תו,FOOTNOTES תו,Footnote Text - Sharp תו,Footnote Text - Sharp Char תו,Footnote Text - Sharp Char Char תו,Footnote Text Char Char Char Char Char תו,Footnote reference תו,Sharp - Footnote Text תו,fn תו,footnote text תו"/>
    <w:basedOn w:val="DefaultParagraphFont"/>
    <w:link w:val="FootnoteText"/>
    <w:uiPriority w:val="99"/>
    <w:rsid w:val="00574579"/>
    <w:rPr>
      <w:szCs w:val="20"/>
    </w:rPr>
  </w:style>
  <w:style w:type="character" w:styleId="FootnoteReference1">
    <w:name w:val="footnote reference"/>
    <w:aliases w:val="Footnote Reference_0,Footnote Reference_0_0,Footnote Reference_0_0_0,Footnote Reference_0_0_0_0,Footnote Reference_1,Footnote Reference_2,Footnote Reference_3,Footnote Reference_3_0,Footnote Reference_4,Footnote text,fr,מ"/>
    <w:basedOn w:val="DefaultParagraphFont"/>
    <w:uiPriority w:val="99"/>
    <w:unhideWhenUsed/>
    <w:rsid w:val="000501A4"/>
    <w:rPr>
      <w:vertAlign w:val="superscript"/>
    </w:rPr>
  </w:style>
  <w:style w:type="paragraph" w:styleId="ListParagraph">
    <w:name w:val="List Paragraph"/>
    <w:aliases w:val="Bullet Number,Num Bullet 1,Use Case List Paragraph,style 2,פיסקת רשימה1"/>
    <w:basedOn w:val="Normal"/>
    <w:link w:val="a9"/>
    <w:uiPriority w:val="34"/>
    <w:qFormat/>
    <w:rsid w:val="00B4321D"/>
    <w:pPr>
      <w:ind w:left="720"/>
      <w:contextualSpacing/>
    </w:pPr>
  </w:style>
  <w:style w:type="table" w:styleId="TableGrid">
    <w:name w:val="Table Grid"/>
    <w:basedOn w:val="TableNormal"/>
    <w:uiPriority w:val="59"/>
    <w:rsid w:val="00B432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a5"/>
    <w:uiPriority w:val="99"/>
    <w:semiHidden/>
    <w:unhideWhenUsed/>
    <w:rsid w:val="00B4321D"/>
    <w:pPr>
      <w:spacing w:line="240" w:lineRule="auto"/>
    </w:pPr>
    <w:rPr>
      <w:rFonts w:ascii="Tahoma" w:hAnsi="Tahoma" w:cs="Tahoma"/>
      <w:sz w:val="18"/>
      <w:szCs w:val="18"/>
    </w:rPr>
  </w:style>
  <w:style w:type="character" w:customStyle="1" w:styleId="a5">
    <w:name w:val="טקסט בלונים תו"/>
    <w:basedOn w:val="DefaultParagraphFont"/>
    <w:link w:val="BalloonText"/>
    <w:uiPriority w:val="99"/>
    <w:semiHidden/>
    <w:rsid w:val="00B4321D"/>
    <w:rPr>
      <w:rFonts w:ascii="Tahoma" w:hAnsi="Tahoma" w:cs="Tahoma"/>
      <w:sz w:val="18"/>
      <w:szCs w:val="18"/>
    </w:rPr>
  </w:style>
  <w:style w:type="character" w:styleId="CommentReference">
    <w:name w:val="annotation reference"/>
    <w:basedOn w:val="DefaultParagraphFont"/>
    <w:uiPriority w:val="99"/>
    <w:semiHidden/>
    <w:unhideWhenUsed/>
    <w:rsid w:val="00B4321D"/>
    <w:rPr>
      <w:sz w:val="16"/>
      <w:szCs w:val="16"/>
    </w:rPr>
  </w:style>
  <w:style w:type="paragraph" w:styleId="CommentText">
    <w:name w:val="annotation text"/>
    <w:basedOn w:val="Normal"/>
    <w:link w:val="a6"/>
    <w:uiPriority w:val="99"/>
    <w:unhideWhenUsed/>
    <w:rsid w:val="00B4321D"/>
    <w:pPr>
      <w:spacing w:line="240" w:lineRule="auto"/>
    </w:pPr>
    <w:rPr>
      <w:szCs w:val="20"/>
    </w:rPr>
  </w:style>
  <w:style w:type="character" w:customStyle="1" w:styleId="a6">
    <w:name w:val="טקסט הערה תו"/>
    <w:basedOn w:val="DefaultParagraphFont"/>
    <w:link w:val="CommentText"/>
    <w:uiPriority w:val="99"/>
    <w:rsid w:val="00B4321D"/>
    <w:rPr>
      <w:szCs w:val="20"/>
    </w:rPr>
  </w:style>
  <w:style w:type="paragraph" w:styleId="CommentSubject">
    <w:name w:val="annotation subject"/>
    <w:basedOn w:val="CommentText"/>
    <w:next w:val="CommentText"/>
    <w:link w:val="a7"/>
    <w:uiPriority w:val="99"/>
    <w:semiHidden/>
    <w:unhideWhenUsed/>
    <w:rsid w:val="00B4321D"/>
    <w:rPr>
      <w:b/>
      <w:bCs/>
    </w:rPr>
  </w:style>
  <w:style w:type="character" w:customStyle="1" w:styleId="a7">
    <w:name w:val="נושא הערה תו"/>
    <w:basedOn w:val="a6"/>
    <w:link w:val="CommentSubject"/>
    <w:uiPriority w:val="99"/>
    <w:semiHidden/>
    <w:rsid w:val="00B4321D"/>
    <w:rPr>
      <w:b/>
      <w:bCs/>
      <w:szCs w:val="20"/>
    </w:rPr>
  </w:style>
  <w:style w:type="paragraph" w:styleId="Revision">
    <w:name w:val="Revision"/>
    <w:hidden/>
    <w:uiPriority w:val="99"/>
    <w:semiHidden/>
    <w:rsid w:val="00B4321D"/>
    <w:pPr>
      <w:spacing w:after="0" w:line="240" w:lineRule="auto"/>
      <w:jc w:val="left"/>
    </w:pPr>
  </w:style>
  <w:style w:type="paragraph" w:styleId="NoSpacing">
    <w:name w:val="No Spacing"/>
    <w:aliases w:val="מספורנוהל"/>
    <w:basedOn w:val="Normal"/>
    <w:link w:val="a8"/>
    <w:uiPriority w:val="1"/>
    <w:qFormat/>
    <w:rsid w:val="00B4321D"/>
    <w:pPr>
      <w:tabs>
        <w:tab w:val="left" w:pos="1701"/>
      </w:tabs>
      <w:spacing w:line="360" w:lineRule="auto"/>
      <w:contextualSpacing/>
    </w:pPr>
    <w:rPr>
      <w:rFonts w:ascii="David" w:eastAsia="Times New Roman" w:hAnsi="David"/>
      <w:b/>
      <w:sz w:val="24"/>
      <w:lang w:eastAsia="he-IL"/>
    </w:rPr>
  </w:style>
  <w:style w:type="character" w:customStyle="1" w:styleId="a8">
    <w:name w:val="ללא מרווח תו"/>
    <w:aliases w:val="מספורנוהל תו"/>
    <w:basedOn w:val="DefaultParagraphFont"/>
    <w:link w:val="NoSpacing"/>
    <w:uiPriority w:val="1"/>
    <w:rsid w:val="00B4321D"/>
    <w:rPr>
      <w:rFonts w:ascii="David" w:eastAsia="Times New Roman" w:hAnsi="David"/>
      <w:b/>
      <w:sz w:val="24"/>
      <w:lang w:eastAsia="he-IL"/>
    </w:rPr>
  </w:style>
  <w:style w:type="paragraph" w:styleId="NormalWeb">
    <w:name w:val="Normal (Web)"/>
    <w:basedOn w:val="Normal"/>
    <w:uiPriority w:val="99"/>
    <w:unhideWhenUsed/>
    <w:rsid w:val="00B4321D"/>
    <w:pPr>
      <w:bidi w:val="0"/>
      <w:spacing w:before="100" w:beforeAutospacing="1" w:after="100" w:afterAutospacing="1" w:line="240" w:lineRule="auto"/>
      <w:jc w:val="left"/>
    </w:pPr>
    <w:rPr>
      <w:rFonts w:eastAsiaTheme="minorEastAsia" w:cs="Times New Roman"/>
      <w:sz w:val="24"/>
    </w:rPr>
  </w:style>
  <w:style w:type="table" w:customStyle="1" w:styleId="11">
    <w:name w:val="רשת טבלה1"/>
    <w:basedOn w:val="TableNormal"/>
    <w:next w:val="TableGrid"/>
    <w:uiPriority w:val="39"/>
    <w:rsid w:val="00B4321D"/>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9">
    <w:name w:val="פיסקת רשימה תו"/>
    <w:aliases w:val="Bullet Number תו,Num Bullet 1 תו,Use Case List Paragraph תו,style 2 תו,פיסקת רשימה1 תו"/>
    <w:link w:val="ListParagraph"/>
    <w:uiPriority w:val="34"/>
    <w:rsid w:val="00B4321D"/>
  </w:style>
  <w:style w:type="table" w:styleId="GridTable1LightAccent5">
    <w:name w:val="Grid Table 1 Light Accent 5"/>
    <w:basedOn w:val="TableNormal"/>
    <w:uiPriority w:val="46"/>
    <w:rsid w:val="00B4321D"/>
    <w:pPr>
      <w:spacing w:after="0" w:line="240" w:lineRule="auto"/>
      <w:jc w:val="left"/>
    </w:pPr>
    <w:rPr>
      <w:rFonts w:asciiTheme="minorHAnsi" w:hAnsiTheme="minorHAnsi" w:cstheme="minorBidi"/>
      <w:sz w:val="22"/>
      <w:szCs w:val="22"/>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B4321D"/>
    <w:rPr>
      <w:color w:val="0000FF" w:themeColor="hyperlink"/>
      <w:u w:val="single"/>
    </w:rPr>
  </w:style>
  <w:style w:type="paragraph" w:customStyle="1" w:styleId="75">
    <w:name w:val="75א מספור הערות שוליים"/>
    <w:basedOn w:val="Normal"/>
    <w:qFormat/>
    <w:rsid w:val="00B4321D"/>
    <w:pPr>
      <w:keepLines/>
      <w:spacing w:after="60" w:line="220" w:lineRule="exact"/>
      <w:ind w:left="397" w:hanging="397"/>
    </w:pPr>
    <w:rPr>
      <w:rFonts w:ascii="Tahoma" w:hAnsi="Tahoma" w:cs="Tahoma"/>
      <w:color w:val="0D0D0D" w:themeColor="text1" w:themeTint="F2"/>
      <w:sz w:val="14"/>
      <w:szCs w:val="14"/>
    </w:rPr>
  </w:style>
  <w:style w:type="character" w:styleId="FollowedHyperlink">
    <w:name w:val="FollowedHyperlink"/>
    <w:basedOn w:val="DefaultParagraphFont"/>
    <w:uiPriority w:val="99"/>
    <w:semiHidden/>
    <w:unhideWhenUsed/>
    <w:rsid w:val="00B4321D"/>
    <w:rPr>
      <w:color w:val="800080" w:themeColor="followedHyperlink"/>
      <w:u w:val="single"/>
    </w:rPr>
  </w:style>
  <w:style w:type="character" w:styleId="UnresolvedMention">
    <w:name w:val="Unresolved Mention"/>
    <w:basedOn w:val="DefaultParagraphFont"/>
    <w:uiPriority w:val="99"/>
    <w:semiHidden/>
    <w:unhideWhenUsed/>
    <w:rsid w:val="00B4321D"/>
    <w:rPr>
      <w:color w:val="605E5C"/>
      <w:shd w:val="clear" w:color="auto" w:fill="E1DFDD"/>
    </w:rPr>
  </w:style>
  <w:style w:type="paragraph" w:customStyle="1" w:styleId="a10">
    <w:name w:val="פרטי הדוח ממה"/>
    <w:basedOn w:val="Normal"/>
    <w:qFormat/>
    <w:rsid w:val="00B4321D"/>
    <w:pPr>
      <w:spacing w:before="600" w:line="240" w:lineRule="auto"/>
      <w:ind w:left="284"/>
      <w:jc w:val="left"/>
    </w:pPr>
    <w:rPr>
      <w:rFonts w:ascii="Calibri" w:eastAsia="Calibri" w:hAnsi="Calibri" w:cs="Calibri"/>
      <w:noProof/>
      <w:color w:val="FFFFFF" w:themeColor="background1"/>
      <w:sz w:val="24"/>
    </w:rPr>
  </w:style>
  <w:style w:type="paragraph" w:customStyle="1" w:styleId="a11">
    <w:name w:val="כותרת הדוח ממה"/>
    <w:basedOn w:val="Normal"/>
    <w:link w:val="a12"/>
    <w:qFormat/>
    <w:rsid w:val="00B4321D"/>
    <w:pPr>
      <w:widowControl w:val="0"/>
      <w:spacing w:before="600" w:line="240" w:lineRule="auto"/>
      <w:ind w:left="284"/>
      <w:jc w:val="left"/>
    </w:pPr>
    <w:rPr>
      <w:rFonts w:ascii="Calibri" w:hAnsi="Calibri" w:cs="Calibri"/>
      <w:b/>
      <w:bCs/>
      <w:color w:val="FFFFFF" w:themeColor="background1"/>
      <w:sz w:val="60"/>
      <w:szCs w:val="60"/>
    </w:rPr>
  </w:style>
  <w:style w:type="character" w:customStyle="1" w:styleId="a12">
    <w:name w:val="כותרת הדוח ממה תו"/>
    <w:basedOn w:val="DefaultParagraphFont"/>
    <w:link w:val="a11"/>
    <w:rsid w:val="00B4321D"/>
    <w:rPr>
      <w:rFonts w:ascii="Calibri" w:hAnsi="Calibri" w:cs="Calibri"/>
      <w:b/>
      <w:bCs/>
      <w:color w:val="FFFFFF" w:themeColor="background1"/>
      <w:sz w:val="60"/>
      <w:szCs w:val="60"/>
    </w:rPr>
  </w:style>
  <w:style w:type="paragraph" w:customStyle="1" w:styleId="a13">
    <w:name w:val="טקסט שם מונח ממה"/>
    <w:basedOn w:val="Normal"/>
    <w:qFormat/>
    <w:rsid w:val="00B4321D"/>
    <w:pPr>
      <w:suppressAutoHyphens/>
      <w:autoSpaceDE w:val="0"/>
      <w:autoSpaceDN w:val="0"/>
      <w:adjustRightInd w:val="0"/>
      <w:spacing w:before="60" w:after="60"/>
      <w:ind w:left="57" w:right="170"/>
      <w:jc w:val="left"/>
      <w:textAlignment w:val="center"/>
    </w:pPr>
    <w:rPr>
      <w:rFonts w:ascii="Calibri" w:eastAsia="DengXian" w:hAnsi="Calibri" w:cs="Calibri"/>
      <w:b/>
      <w:bCs/>
      <w:color w:val="002060"/>
      <w:sz w:val="24"/>
      <w:lang w:val="en-GB"/>
    </w:rPr>
  </w:style>
  <w:style w:type="paragraph" w:customStyle="1" w:styleId="a14">
    <w:name w:val="טקסט הגדרת מונח ממה"/>
    <w:link w:val="a15"/>
    <w:qFormat/>
    <w:rsid w:val="00B4321D"/>
    <w:pPr>
      <w:suppressAutoHyphens/>
      <w:autoSpaceDE w:val="0"/>
      <w:autoSpaceDN w:val="0"/>
      <w:bidi/>
      <w:adjustRightInd w:val="0"/>
      <w:spacing w:before="60" w:after="60" w:line="312" w:lineRule="auto"/>
      <w:ind w:left="57" w:right="170"/>
      <w:jc w:val="left"/>
      <w:textAlignment w:val="center"/>
    </w:pPr>
    <w:rPr>
      <w:rFonts w:ascii="Calibri" w:eastAsia="DengXian" w:hAnsi="Calibri" w:cs="Calibri"/>
      <w:color w:val="002060"/>
      <w:sz w:val="24"/>
      <w:lang w:val="en-GB"/>
    </w:rPr>
  </w:style>
  <w:style w:type="character" w:customStyle="1" w:styleId="a15">
    <w:name w:val="טקסט הגדרת מונח ממה תו"/>
    <w:basedOn w:val="DefaultParagraphFont"/>
    <w:link w:val="a14"/>
    <w:rsid w:val="00B4321D"/>
    <w:rPr>
      <w:rFonts w:ascii="Calibri" w:eastAsia="DengXian" w:hAnsi="Calibri" w:cs="Calibri"/>
      <w:color w:val="002060"/>
      <w:sz w:val="24"/>
      <w:lang w:val="en-GB"/>
    </w:rPr>
  </w:style>
  <w:style w:type="paragraph" w:customStyle="1" w:styleId="a16">
    <w:name w:val="מבוא ממה"/>
    <w:basedOn w:val="Normal"/>
    <w:next w:val="Normal"/>
    <w:link w:val="a17"/>
    <w:autoRedefine/>
    <w:qFormat/>
    <w:rsid w:val="00B4321D"/>
    <w:pPr>
      <w:pageBreakBefore/>
      <w:widowControl w:val="0"/>
      <w:shd w:val="clear" w:color="F3F7FF" w:fill="FFFFFF" w:themeFill="background1"/>
      <w:spacing w:before="120" w:line="276" w:lineRule="auto"/>
      <w:ind w:left="1134"/>
      <w:outlineLvl w:val="0"/>
    </w:pPr>
    <w:rPr>
      <w:rFonts w:ascii="Calibri" w:eastAsia="Calibri" w:hAnsi="Calibri" w:cs="Calibri"/>
      <w:color w:val="FFFFFF" w:themeColor="background1"/>
      <w:position w:val="6"/>
      <w:sz w:val="2"/>
      <w:szCs w:val="2"/>
      <w:u w:color="FFFFFF"/>
    </w:rPr>
  </w:style>
  <w:style w:type="character" w:customStyle="1" w:styleId="a17">
    <w:name w:val="מבוא ממה תו"/>
    <w:basedOn w:val="DefaultParagraphFont"/>
    <w:link w:val="a16"/>
    <w:rsid w:val="00B4321D"/>
    <w:rPr>
      <w:rFonts w:ascii="Calibri" w:eastAsia="Calibri" w:hAnsi="Calibri" w:cs="Calibri"/>
      <w:color w:val="FFFFFF" w:themeColor="background1"/>
      <w:position w:val="6"/>
      <w:sz w:val="2"/>
      <w:szCs w:val="2"/>
      <w:u w:color="FFFFFF"/>
      <w:shd w:val="clear" w:color="F3F7FF" w:fill="FFFFFF" w:themeFill="background1"/>
    </w:rPr>
  </w:style>
  <w:style w:type="paragraph" w:customStyle="1" w:styleId="a18">
    <w:name w:val="מראה מקום ממה"/>
    <w:basedOn w:val="Normal"/>
    <w:next w:val="Normal"/>
    <w:link w:val="a19"/>
    <w:qFormat/>
    <w:rsid w:val="00B4321D"/>
    <w:pPr>
      <w:widowControl w:val="0"/>
      <w:pBdr>
        <w:top w:val="single" w:sz="18" w:space="1" w:color="4F81BD" w:themeColor="accent1"/>
      </w:pBdr>
      <w:shd w:val="solid" w:color="F3F7FF" w:fill="auto"/>
      <w:spacing w:before="120" w:line="240" w:lineRule="auto"/>
      <w:ind w:left="1134"/>
    </w:pPr>
    <w:rPr>
      <w:rFonts w:ascii="Calibri" w:eastAsia="Calibri" w:hAnsi="Calibri" w:cs="Calibri"/>
      <w:b/>
      <w:bCs/>
      <w:color w:val="002060"/>
      <w:sz w:val="18"/>
      <w:szCs w:val="18"/>
    </w:rPr>
  </w:style>
  <w:style w:type="character" w:customStyle="1" w:styleId="a19">
    <w:name w:val="מראה מקום ממה תו"/>
    <w:basedOn w:val="DefaultParagraphFont"/>
    <w:link w:val="a18"/>
    <w:rsid w:val="00B4321D"/>
    <w:rPr>
      <w:rFonts w:ascii="Calibri" w:eastAsia="Calibri" w:hAnsi="Calibri" w:cs="Calibri"/>
      <w:b/>
      <w:bCs/>
      <w:color w:val="002060"/>
      <w:sz w:val="18"/>
      <w:szCs w:val="18"/>
      <w:shd w:val="solid" w:color="F3F7FF" w:fill="auto"/>
    </w:rPr>
  </w:style>
  <w:style w:type="paragraph" w:customStyle="1" w:styleId="a20">
    <w:name w:val="כותרת עליונה ממה"/>
    <w:basedOn w:val="Normal"/>
    <w:next w:val="Normal"/>
    <w:link w:val="a21"/>
    <w:qFormat/>
    <w:rsid w:val="00B4321D"/>
    <w:pPr>
      <w:spacing w:line="240" w:lineRule="auto"/>
      <w:ind w:left="737"/>
      <w:jc w:val="left"/>
    </w:pPr>
    <w:rPr>
      <w:rFonts w:ascii="Calibri" w:eastAsia="Calibri" w:hAnsi="Calibri" w:cs="Calibri"/>
      <w:color w:val="002060"/>
      <w:sz w:val="18"/>
      <w:szCs w:val="18"/>
    </w:rPr>
  </w:style>
  <w:style w:type="character" w:customStyle="1" w:styleId="a21">
    <w:name w:val="כותרת עליונה ממה תו"/>
    <w:basedOn w:val="DefaultParagraphFont"/>
    <w:link w:val="a20"/>
    <w:rsid w:val="00B4321D"/>
    <w:rPr>
      <w:rFonts w:ascii="Calibri" w:eastAsia="Calibri" w:hAnsi="Calibri" w:cs="Calibri"/>
      <w:color w:val="002060"/>
      <w:sz w:val="18"/>
      <w:szCs w:val="18"/>
    </w:rPr>
  </w:style>
  <w:style w:type="paragraph" w:customStyle="1" w:styleId="13">
    <w:name w:val="כותרת 1 ממה"/>
    <w:basedOn w:val="Normal"/>
    <w:next w:val="Normal"/>
    <w:link w:val="14"/>
    <w:qFormat/>
    <w:rsid w:val="00B4321D"/>
    <w:pPr>
      <w:keepNext/>
      <w:widowControl w:val="0"/>
      <w:numPr>
        <w:numId w:val="1"/>
      </w:numPr>
      <w:spacing w:before="240" w:after="120" w:line="440" w:lineRule="exact"/>
      <w:jc w:val="left"/>
      <w:outlineLvl w:val="0"/>
    </w:pPr>
    <w:rPr>
      <w:rFonts w:ascii="Calibri" w:eastAsia="Calibri" w:hAnsi="Calibri" w:cs="Calibri"/>
      <w:b/>
      <w:bCs/>
      <w:color w:val="002060"/>
      <w:sz w:val="40"/>
      <w:szCs w:val="40"/>
    </w:rPr>
  </w:style>
  <w:style w:type="character" w:customStyle="1" w:styleId="14">
    <w:name w:val="כותרת 1 ממה תו"/>
    <w:basedOn w:val="DefaultParagraphFont"/>
    <w:link w:val="13"/>
    <w:rsid w:val="00B4321D"/>
    <w:rPr>
      <w:rFonts w:ascii="Calibri" w:eastAsia="Calibri" w:hAnsi="Calibri" w:cs="Calibri"/>
      <w:b/>
      <w:bCs/>
      <w:color w:val="002060"/>
      <w:sz w:val="40"/>
      <w:szCs w:val="40"/>
    </w:rPr>
  </w:style>
  <w:style w:type="paragraph" w:customStyle="1" w:styleId="20">
    <w:name w:val="כותרת 2 ממה"/>
    <w:basedOn w:val="Normal"/>
    <w:next w:val="Normal"/>
    <w:link w:val="21"/>
    <w:qFormat/>
    <w:rsid w:val="00B4321D"/>
    <w:pPr>
      <w:keepNext/>
      <w:widowControl w:val="0"/>
      <w:numPr>
        <w:numId w:val="2"/>
      </w:numPr>
      <w:spacing w:before="240" w:line="280" w:lineRule="exact"/>
      <w:jc w:val="left"/>
      <w:outlineLvl w:val="1"/>
    </w:pPr>
    <w:rPr>
      <w:rFonts w:ascii="Calibri" w:eastAsia="Calibri" w:hAnsi="Calibri" w:cs="Calibri"/>
      <w:b/>
      <w:bCs/>
      <w:color w:val="002060"/>
      <w:sz w:val="36"/>
      <w:szCs w:val="36"/>
    </w:rPr>
  </w:style>
  <w:style w:type="character" w:customStyle="1" w:styleId="21">
    <w:name w:val="כותרת 2 ממה תו"/>
    <w:basedOn w:val="2"/>
    <w:link w:val="20"/>
    <w:rsid w:val="00B4321D"/>
    <w:rPr>
      <w:rFonts w:ascii="Calibri" w:eastAsia="Calibri" w:hAnsi="Calibri" w:cs="Calibri"/>
      <w:b/>
      <w:bCs/>
      <w:color w:val="002060"/>
      <w:sz w:val="36"/>
      <w:szCs w:val="36"/>
    </w:rPr>
  </w:style>
  <w:style w:type="paragraph" w:customStyle="1" w:styleId="30">
    <w:name w:val="כותרת 3 ממה"/>
    <w:basedOn w:val="Normal"/>
    <w:next w:val="Normal"/>
    <w:link w:val="31"/>
    <w:qFormat/>
    <w:rsid w:val="00B4321D"/>
    <w:pPr>
      <w:widowControl w:val="0"/>
      <w:numPr>
        <w:numId w:val="3"/>
      </w:numPr>
      <w:spacing w:before="240" w:line="280" w:lineRule="exact"/>
      <w:jc w:val="left"/>
    </w:pPr>
    <w:rPr>
      <w:rFonts w:ascii="Calibri" w:eastAsia="Calibri" w:hAnsi="Calibri" w:cs="Calibri"/>
      <w:b/>
      <w:bCs/>
      <w:color w:val="002060"/>
      <w:sz w:val="28"/>
      <w:szCs w:val="28"/>
      <w:u w:val="single"/>
    </w:rPr>
  </w:style>
  <w:style w:type="character" w:customStyle="1" w:styleId="31">
    <w:name w:val="כותרת 3 ממה תו"/>
    <w:basedOn w:val="3"/>
    <w:link w:val="30"/>
    <w:rsid w:val="00B4321D"/>
    <w:rPr>
      <w:rFonts w:ascii="Calibri" w:eastAsia="Calibri" w:hAnsi="Calibri" w:cs="Calibri"/>
      <w:b/>
      <w:bCs/>
      <w:color w:val="002060"/>
      <w:sz w:val="28"/>
      <w:szCs w:val="28"/>
      <w:u w:val="single"/>
    </w:rPr>
  </w:style>
  <w:style w:type="paragraph" w:customStyle="1" w:styleId="40">
    <w:name w:val="כותרת 4 ממה"/>
    <w:basedOn w:val="Normal"/>
    <w:next w:val="Normal"/>
    <w:link w:val="41"/>
    <w:qFormat/>
    <w:rsid w:val="00B4321D"/>
    <w:pPr>
      <w:keepNext/>
      <w:widowControl w:val="0"/>
      <w:spacing w:before="240" w:line="280" w:lineRule="exact"/>
      <w:ind w:left="1134"/>
      <w:jc w:val="left"/>
      <w:outlineLvl w:val="3"/>
    </w:pPr>
    <w:rPr>
      <w:rFonts w:ascii="Calibri" w:eastAsia="Calibri" w:hAnsi="Calibri" w:cs="Calibri"/>
      <w:color w:val="002060"/>
      <w:sz w:val="28"/>
      <w:szCs w:val="28"/>
    </w:rPr>
  </w:style>
  <w:style w:type="character" w:customStyle="1" w:styleId="41">
    <w:name w:val="כותרת 4 ממה תו"/>
    <w:basedOn w:val="DefaultParagraphFont"/>
    <w:link w:val="40"/>
    <w:rsid w:val="00B4321D"/>
    <w:rPr>
      <w:rFonts w:ascii="Calibri" w:eastAsia="Calibri" w:hAnsi="Calibri" w:cs="Calibri"/>
      <w:color w:val="002060"/>
      <w:sz w:val="28"/>
      <w:szCs w:val="28"/>
    </w:rPr>
  </w:style>
  <w:style w:type="paragraph" w:customStyle="1" w:styleId="15">
    <w:name w:val="רשימה1 ממה"/>
    <w:basedOn w:val="Normal"/>
    <w:link w:val="16"/>
    <w:qFormat/>
    <w:rsid w:val="00B4321D"/>
    <w:pPr>
      <w:widowControl w:val="0"/>
      <w:numPr>
        <w:numId w:val="4"/>
      </w:numPr>
      <w:spacing w:line="280" w:lineRule="exact"/>
    </w:pPr>
    <w:rPr>
      <w:rFonts w:ascii="Calibri" w:eastAsia="Calibri" w:hAnsi="Calibri" w:cs="Calibri"/>
      <w:color w:val="002060"/>
      <w:sz w:val="24"/>
    </w:rPr>
  </w:style>
  <w:style w:type="character" w:customStyle="1" w:styleId="16">
    <w:name w:val="רשימה1 ממה תו"/>
    <w:basedOn w:val="DefaultParagraphFont"/>
    <w:link w:val="15"/>
    <w:rsid w:val="00B4321D"/>
    <w:rPr>
      <w:rFonts w:ascii="Calibri" w:eastAsia="Calibri" w:hAnsi="Calibri" w:cs="Calibri"/>
      <w:color w:val="002060"/>
      <w:sz w:val="24"/>
    </w:rPr>
  </w:style>
  <w:style w:type="paragraph" w:customStyle="1" w:styleId="22">
    <w:name w:val="רשימה2 ממה"/>
    <w:basedOn w:val="Normal"/>
    <w:link w:val="23"/>
    <w:qFormat/>
    <w:rsid w:val="00B4321D"/>
    <w:pPr>
      <w:widowControl w:val="0"/>
      <w:spacing w:line="280" w:lineRule="exact"/>
      <w:ind w:left="1871"/>
    </w:pPr>
    <w:rPr>
      <w:rFonts w:ascii="Calibri" w:eastAsia="Calibri" w:hAnsi="Calibri" w:cs="Calibri"/>
      <w:color w:val="002060"/>
      <w:sz w:val="24"/>
    </w:rPr>
  </w:style>
  <w:style w:type="character" w:customStyle="1" w:styleId="23">
    <w:name w:val="רשימה2 ממה תו"/>
    <w:basedOn w:val="DefaultParagraphFont"/>
    <w:link w:val="22"/>
    <w:rsid w:val="00B4321D"/>
    <w:rPr>
      <w:rFonts w:ascii="Calibri" w:eastAsia="Calibri" w:hAnsi="Calibri" w:cs="Calibri"/>
      <w:color w:val="002060"/>
      <w:sz w:val="24"/>
    </w:rPr>
  </w:style>
  <w:style w:type="paragraph" w:customStyle="1" w:styleId="32">
    <w:name w:val="רשימה3 ממה"/>
    <w:basedOn w:val="Normal"/>
    <w:link w:val="33"/>
    <w:qFormat/>
    <w:rsid w:val="00B4321D"/>
    <w:pPr>
      <w:widowControl w:val="0"/>
      <w:numPr>
        <w:numId w:val="5"/>
      </w:numPr>
      <w:spacing w:line="280" w:lineRule="exact"/>
    </w:pPr>
    <w:rPr>
      <w:rFonts w:ascii="Calibri" w:eastAsia="Calibri" w:hAnsi="Calibri" w:cs="Calibri"/>
      <w:color w:val="002060"/>
      <w:sz w:val="24"/>
    </w:rPr>
  </w:style>
  <w:style w:type="character" w:customStyle="1" w:styleId="33">
    <w:name w:val="רשימה3 ממה תו"/>
    <w:basedOn w:val="DefaultParagraphFont"/>
    <w:link w:val="32"/>
    <w:rsid w:val="00B4321D"/>
    <w:rPr>
      <w:rFonts w:ascii="Calibri" w:eastAsia="Calibri" w:hAnsi="Calibri" w:cs="Calibri"/>
      <w:color w:val="002060"/>
      <w:sz w:val="24"/>
    </w:rPr>
  </w:style>
  <w:style w:type="paragraph" w:customStyle="1" w:styleId="42">
    <w:name w:val="רשימה4 ממה"/>
    <w:basedOn w:val="Normal"/>
    <w:link w:val="43"/>
    <w:qFormat/>
    <w:rsid w:val="00B4321D"/>
    <w:pPr>
      <w:widowControl w:val="0"/>
      <w:spacing w:line="280" w:lineRule="exact"/>
      <w:ind w:left="2552"/>
    </w:pPr>
    <w:rPr>
      <w:rFonts w:ascii="Calibri" w:eastAsia="Calibri" w:hAnsi="Calibri" w:cs="Calibri"/>
      <w:color w:val="002060"/>
      <w:sz w:val="24"/>
    </w:rPr>
  </w:style>
  <w:style w:type="character" w:customStyle="1" w:styleId="43">
    <w:name w:val="רשימה4 ממה תו"/>
    <w:basedOn w:val="DefaultParagraphFont"/>
    <w:link w:val="42"/>
    <w:rsid w:val="00B4321D"/>
    <w:rPr>
      <w:rFonts w:ascii="Calibri" w:eastAsia="Calibri" w:hAnsi="Calibri" w:cs="Calibri"/>
      <w:color w:val="002060"/>
      <w:sz w:val="24"/>
    </w:rPr>
  </w:style>
  <w:style w:type="paragraph" w:customStyle="1" w:styleId="50">
    <w:name w:val="רשימה5 ממה"/>
    <w:basedOn w:val="Normal"/>
    <w:link w:val="51"/>
    <w:qFormat/>
    <w:rsid w:val="00B4321D"/>
    <w:pPr>
      <w:widowControl w:val="0"/>
      <w:numPr>
        <w:numId w:val="6"/>
      </w:numPr>
      <w:spacing w:line="280" w:lineRule="exact"/>
    </w:pPr>
    <w:rPr>
      <w:rFonts w:ascii="Calibri" w:eastAsia="Calibri" w:hAnsi="Calibri" w:cs="Calibri"/>
      <w:color w:val="002060"/>
      <w:sz w:val="24"/>
    </w:rPr>
  </w:style>
  <w:style w:type="character" w:customStyle="1" w:styleId="51">
    <w:name w:val="רשימה5 ממה תו"/>
    <w:basedOn w:val="DefaultParagraphFont"/>
    <w:link w:val="50"/>
    <w:rsid w:val="00B4321D"/>
    <w:rPr>
      <w:rFonts w:ascii="Calibri" w:eastAsia="Calibri" w:hAnsi="Calibri" w:cs="Calibri"/>
      <w:color w:val="002060"/>
      <w:sz w:val="24"/>
    </w:rPr>
  </w:style>
  <w:style w:type="paragraph" w:customStyle="1" w:styleId="a22">
    <w:name w:val="הערת שוליים ממה"/>
    <w:basedOn w:val="Normal"/>
    <w:link w:val="a23"/>
    <w:qFormat/>
    <w:rsid w:val="00B4321D"/>
    <w:pPr>
      <w:widowControl w:val="0"/>
      <w:spacing w:line="280" w:lineRule="exact"/>
      <w:ind w:left="1985" w:hanging="851"/>
    </w:pPr>
    <w:rPr>
      <w:rFonts w:ascii="Calibri" w:eastAsia="Calibri" w:hAnsi="Calibri" w:cs="Calibri"/>
      <w:color w:val="002060"/>
      <w:sz w:val="24"/>
      <w:szCs w:val="20"/>
    </w:rPr>
  </w:style>
  <w:style w:type="character" w:customStyle="1" w:styleId="a23">
    <w:name w:val="הערת שוליים ממה תו"/>
    <w:basedOn w:val="DefaultParagraphFont"/>
    <w:link w:val="a22"/>
    <w:rsid w:val="00B4321D"/>
    <w:rPr>
      <w:rFonts w:ascii="Calibri" w:eastAsia="Calibri" w:hAnsi="Calibri" w:cs="Calibri"/>
      <w:color w:val="002060"/>
      <w:sz w:val="24"/>
      <w:szCs w:val="20"/>
    </w:rPr>
  </w:style>
  <w:style w:type="paragraph" w:customStyle="1" w:styleId="a24">
    <w:name w:val="הערת סיום ממה"/>
    <w:basedOn w:val="Normal"/>
    <w:link w:val="a25"/>
    <w:qFormat/>
    <w:rsid w:val="00B4321D"/>
    <w:pPr>
      <w:widowControl w:val="0"/>
      <w:spacing w:line="240" w:lineRule="auto"/>
      <w:ind w:left="1134"/>
    </w:pPr>
    <w:rPr>
      <w:rFonts w:ascii="Calibri" w:eastAsia="Calibri" w:hAnsi="Calibri" w:cs="Calibri"/>
      <w:color w:val="002060"/>
      <w:sz w:val="24"/>
      <w:szCs w:val="20"/>
    </w:rPr>
  </w:style>
  <w:style w:type="character" w:customStyle="1" w:styleId="a25">
    <w:name w:val="הערת סיום ממה תו"/>
    <w:basedOn w:val="DefaultParagraphFont"/>
    <w:link w:val="a24"/>
    <w:rsid w:val="00B4321D"/>
    <w:rPr>
      <w:rFonts w:ascii="Calibri" w:eastAsia="Calibri" w:hAnsi="Calibri" w:cs="Calibri"/>
      <w:color w:val="002060"/>
      <w:sz w:val="24"/>
      <w:szCs w:val="20"/>
    </w:rPr>
  </w:style>
  <w:style w:type="paragraph" w:customStyle="1" w:styleId="17">
    <w:name w:val="ליקוי/ממצא חיובי/המלצה1 ממה"/>
    <w:next w:val="Normal"/>
    <w:link w:val="18"/>
    <w:qFormat/>
    <w:rsid w:val="00B4321D"/>
    <w:pPr>
      <w:keepNext/>
      <w:keepLines/>
      <w:widowControl w:val="0"/>
      <w:pBdr>
        <w:bottom w:val="single" w:sz="2" w:space="1" w:color="002060"/>
      </w:pBdr>
      <w:bidi/>
      <w:spacing w:after="0" w:line="280" w:lineRule="exact"/>
      <w:ind w:left="1134"/>
      <w:outlineLvl w:val="8"/>
    </w:pPr>
    <w:rPr>
      <w:rFonts w:ascii="Calibri" w:eastAsia="Calibri" w:hAnsi="Calibri" w:cs="Calibri"/>
      <w:color w:val="002060"/>
      <w:sz w:val="24"/>
    </w:rPr>
  </w:style>
  <w:style w:type="character" w:customStyle="1" w:styleId="18">
    <w:name w:val="ליקוי/ממצא חיובי/המלצה1 ממה תו"/>
    <w:basedOn w:val="DefaultParagraphFont"/>
    <w:link w:val="17"/>
    <w:rsid w:val="00B4321D"/>
    <w:rPr>
      <w:rFonts w:ascii="Calibri" w:eastAsia="Calibri" w:hAnsi="Calibri" w:cs="Calibri"/>
      <w:color w:val="002060"/>
      <w:sz w:val="24"/>
    </w:rPr>
  </w:style>
  <w:style w:type="paragraph" w:customStyle="1" w:styleId="24">
    <w:name w:val="ליקוי/ממצא חיובי/המלצה2 ממה"/>
    <w:basedOn w:val="Normal"/>
    <w:next w:val="Normal"/>
    <w:link w:val="25"/>
    <w:qFormat/>
    <w:rsid w:val="00B4321D"/>
    <w:pPr>
      <w:keepNext/>
      <w:keepLines/>
      <w:widowControl w:val="0"/>
      <w:pBdr>
        <w:bottom w:val="single" w:sz="2" w:space="1" w:color="002060"/>
      </w:pBdr>
      <w:spacing w:line="280" w:lineRule="exact"/>
      <w:ind w:left="1871"/>
      <w:outlineLvl w:val="8"/>
    </w:pPr>
    <w:rPr>
      <w:rFonts w:ascii="Calibri" w:eastAsia="Calibri" w:hAnsi="Calibri" w:cs="Calibri"/>
      <w:color w:val="002060"/>
      <w:sz w:val="24"/>
    </w:rPr>
  </w:style>
  <w:style w:type="character" w:customStyle="1" w:styleId="25">
    <w:name w:val="ליקוי/ממצא חיובי/המלצה2 ממה תו"/>
    <w:basedOn w:val="18"/>
    <w:link w:val="24"/>
    <w:rsid w:val="00B4321D"/>
    <w:rPr>
      <w:rFonts w:ascii="Calibri" w:eastAsia="Calibri" w:hAnsi="Calibri" w:cs="Calibri"/>
      <w:color w:val="002060"/>
      <w:sz w:val="24"/>
    </w:rPr>
  </w:style>
  <w:style w:type="paragraph" w:customStyle="1" w:styleId="34">
    <w:name w:val="ליקוי/ממצא חיובי/המלצה3 ממה"/>
    <w:basedOn w:val="Normal"/>
    <w:link w:val="35"/>
    <w:qFormat/>
    <w:rsid w:val="00B4321D"/>
    <w:pPr>
      <w:keepNext/>
      <w:keepLines/>
      <w:widowControl w:val="0"/>
      <w:pBdr>
        <w:bottom w:val="single" w:sz="4" w:space="1" w:color="002060"/>
      </w:pBdr>
      <w:spacing w:line="280" w:lineRule="exact"/>
      <w:ind w:left="2552"/>
      <w:outlineLvl w:val="8"/>
    </w:pPr>
    <w:rPr>
      <w:rFonts w:ascii="Calibri" w:eastAsia="Calibri" w:hAnsi="Calibri" w:cs="Calibri"/>
      <w:color w:val="002060"/>
      <w:sz w:val="24"/>
    </w:rPr>
  </w:style>
  <w:style w:type="character" w:customStyle="1" w:styleId="35">
    <w:name w:val="ליקוי/ממצא חיובי/המלצה3 ממה תו"/>
    <w:basedOn w:val="DefaultParagraphFont"/>
    <w:link w:val="34"/>
    <w:rsid w:val="00B4321D"/>
    <w:rPr>
      <w:rFonts w:ascii="Calibri" w:eastAsia="Calibri" w:hAnsi="Calibri" w:cs="Calibri"/>
      <w:color w:val="002060"/>
      <w:sz w:val="24"/>
    </w:rPr>
  </w:style>
  <w:style w:type="paragraph" w:customStyle="1" w:styleId="a26">
    <w:name w:val="נבנצאל ממה"/>
    <w:basedOn w:val="Normal"/>
    <w:next w:val="Normal"/>
    <w:link w:val="a27"/>
    <w:uiPriority w:val="99"/>
    <w:qFormat/>
    <w:rsid w:val="00B4321D"/>
    <w:pPr>
      <w:keepNext/>
      <w:spacing w:line="280" w:lineRule="exact"/>
      <w:jc w:val="left"/>
    </w:pPr>
    <w:rPr>
      <w:rFonts w:ascii="Calibri" w:eastAsia="Calibri" w:hAnsi="Calibri" w:cs="Calibri"/>
      <w:color w:val="002060"/>
      <w:szCs w:val="20"/>
    </w:rPr>
  </w:style>
  <w:style w:type="character" w:customStyle="1" w:styleId="a27">
    <w:name w:val="נבנצאל ממה תו"/>
    <w:basedOn w:val="DefaultParagraphFont"/>
    <w:link w:val="a26"/>
    <w:uiPriority w:val="99"/>
    <w:rsid w:val="00B4321D"/>
    <w:rPr>
      <w:rFonts w:ascii="Calibri" w:eastAsia="Calibri" w:hAnsi="Calibri" w:cs="Calibri"/>
      <w:color w:val="002060"/>
      <w:szCs w:val="20"/>
    </w:rPr>
  </w:style>
  <w:style w:type="paragraph" w:customStyle="1" w:styleId="a28">
    <w:name w:val="רגיל ממה"/>
    <w:basedOn w:val="Normal"/>
    <w:link w:val="a29"/>
    <w:qFormat/>
    <w:rsid w:val="00B4321D"/>
    <w:pPr>
      <w:widowControl w:val="0"/>
      <w:spacing w:line="280" w:lineRule="exact"/>
      <w:ind w:left="1134"/>
    </w:pPr>
    <w:rPr>
      <w:rFonts w:ascii="Calibri" w:eastAsia="Calibri" w:hAnsi="Calibri" w:cs="Calibri"/>
      <w:color w:val="002060"/>
      <w:sz w:val="24"/>
    </w:rPr>
  </w:style>
  <w:style w:type="character" w:customStyle="1" w:styleId="a29">
    <w:name w:val="רגיל ממה תו"/>
    <w:basedOn w:val="DefaultParagraphFont"/>
    <w:link w:val="a28"/>
    <w:rsid w:val="00B4321D"/>
    <w:rPr>
      <w:rFonts w:ascii="Calibri" w:eastAsia="Calibri" w:hAnsi="Calibri" w:cs="Calibri"/>
      <w:color w:val="002060"/>
      <w:sz w:val="24"/>
    </w:rPr>
  </w:style>
  <w:style w:type="paragraph" w:customStyle="1" w:styleId="a30">
    <w:name w:val="סיכום ממה"/>
    <w:basedOn w:val="Normal"/>
    <w:next w:val="Normal"/>
    <w:link w:val="a31"/>
    <w:qFormat/>
    <w:rsid w:val="00B4321D"/>
    <w:pPr>
      <w:spacing w:line="276" w:lineRule="auto"/>
      <w:ind w:left="1140"/>
    </w:pPr>
    <w:rPr>
      <w:rFonts w:ascii="Calibri" w:eastAsia="Calibri" w:hAnsi="Calibri" w:cs="Calibri"/>
      <w:b/>
      <w:bCs/>
      <w:color w:val="FFFFFF" w:themeColor="background1"/>
      <w:sz w:val="2"/>
      <w:szCs w:val="2"/>
    </w:rPr>
  </w:style>
  <w:style w:type="character" w:customStyle="1" w:styleId="a31">
    <w:name w:val="סיכום ממה תו"/>
    <w:basedOn w:val="DefaultParagraphFont"/>
    <w:link w:val="a30"/>
    <w:rsid w:val="00B4321D"/>
    <w:rPr>
      <w:rFonts w:ascii="Calibri" w:eastAsia="Calibri" w:hAnsi="Calibri" w:cs="Calibri"/>
      <w:b/>
      <w:bCs/>
      <w:color w:val="FFFFFF" w:themeColor="background1"/>
      <w:sz w:val="2"/>
      <w:szCs w:val="2"/>
    </w:rPr>
  </w:style>
  <w:style w:type="paragraph" w:customStyle="1" w:styleId="a32">
    <w:name w:val="טקסט סיכום ממה"/>
    <w:basedOn w:val="Normal"/>
    <w:next w:val="Normal"/>
    <w:qFormat/>
    <w:rsid w:val="00B4321D"/>
    <w:pPr>
      <w:widowControl w:val="0"/>
      <w:spacing w:after="240" w:line="280" w:lineRule="exact"/>
      <w:ind w:left="1140"/>
    </w:pPr>
    <w:rPr>
      <w:rFonts w:ascii="Calibri" w:eastAsia="Calibri" w:hAnsi="Calibri" w:cs="Calibri"/>
      <w:bCs/>
      <w:color w:val="002060"/>
      <w:sz w:val="24"/>
    </w:rPr>
  </w:style>
  <w:style w:type="paragraph" w:customStyle="1" w:styleId="a33">
    <w:name w:val="סיכום ביניים ממה"/>
    <w:basedOn w:val="Normal"/>
    <w:next w:val="Normal"/>
    <w:qFormat/>
    <w:rsid w:val="00B4321D"/>
    <w:pPr>
      <w:widowControl w:val="0"/>
      <w:spacing w:before="240" w:after="240"/>
      <w:ind w:left="1134"/>
    </w:pPr>
    <w:rPr>
      <w:rFonts w:ascii="Calibri" w:eastAsia="Calibri" w:hAnsi="Calibri" w:cs="Calibri"/>
      <w:noProof/>
      <w:color w:val="002060"/>
      <w:sz w:val="24"/>
    </w:rPr>
  </w:style>
  <w:style w:type="paragraph" w:customStyle="1" w:styleId="a34">
    <w:name w:val="טקסט סיכום ביניים ממה"/>
    <w:basedOn w:val="Normal"/>
    <w:next w:val="Normal"/>
    <w:qFormat/>
    <w:rsid w:val="00B4321D"/>
    <w:pPr>
      <w:widowControl w:val="0"/>
      <w:spacing w:after="240" w:line="280" w:lineRule="exact"/>
      <w:ind w:left="1134"/>
    </w:pPr>
    <w:rPr>
      <w:rFonts w:ascii="Calibri" w:eastAsia="Calibri" w:hAnsi="Calibri" w:cs="Calibri"/>
      <w:bCs/>
      <w:color w:val="002060"/>
      <w:sz w:val="24"/>
    </w:rPr>
  </w:style>
  <w:style w:type="paragraph" w:customStyle="1" w:styleId="a35">
    <w:name w:val="תרשים ממה"/>
    <w:basedOn w:val="Normal"/>
    <w:next w:val="Normal"/>
    <w:link w:val="a36"/>
    <w:qFormat/>
    <w:rsid w:val="00B4321D"/>
    <w:pPr>
      <w:keepNext/>
      <w:keepLines/>
      <w:widowControl w:val="0"/>
      <w:numPr>
        <w:numId w:val="7"/>
      </w:numPr>
      <w:spacing w:line="280" w:lineRule="exact"/>
      <w:jc w:val="center"/>
      <w:outlineLvl w:val="6"/>
    </w:pPr>
    <w:rPr>
      <w:rFonts w:ascii="Calibri" w:eastAsia="Calibri" w:hAnsi="Calibri" w:cs="Calibri"/>
      <w:b/>
      <w:bCs/>
      <w:color w:val="002060"/>
      <w:sz w:val="24"/>
    </w:rPr>
  </w:style>
  <w:style w:type="character" w:customStyle="1" w:styleId="a36">
    <w:name w:val="תרשים ממה תו"/>
    <w:basedOn w:val="DefaultParagraphFont"/>
    <w:link w:val="a35"/>
    <w:rsid w:val="00B4321D"/>
    <w:rPr>
      <w:rFonts w:ascii="Calibri" w:eastAsia="Calibri" w:hAnsi="Calibri" w:cs="Calibri"/>
      <w:b/>
      <w:bCs/>
      <w:color w:val="002060"/>
      <w:sz w:val="24"/>
    </w:rPr>
  </w:style>
  <w:style w:type="paragraph" w:customStyle="1" w:styleId="a37">
    <w:name w:val="תמונה ממה"/>
    <w:basedOn w:val="Normal"/>
    <w:next w:val="Normal"/>
    <w:link w:val="a38"/>
    <w:qFormat/>
    <w:rsid w:val="00B4321D"/>
    <w:pPr>
      <w:keepNext/>
      <w:keepLines/>
      <w:widowControl w:val="0"/>
      <w:numPr>
        <w:numId w:val="8"/>
      </w:numPr>
      <w:spacing w:line="280" w:lineRule="exact"/>
      <w:jc w:val="center"/>
      <w:outlineLvl w:val="6"/>
    </w:pPr>
    <w:rPr>
      <w:rFonts w:ascii="Calibri" w:eastAsia="Calibri" w:hAnsi="Calibri" w:cs="Calibri"/>
      <w:b/>
      <w:bCs/>
      <w:color w:val="002060"/>
      <w:sz w:val="24"/>
    </w:rPr>
  </w:style>
  <w:style w:type="character" w:customStyle="1" w:styleId="a38">
    <w:name w:val="תמונה ממה תו"/>
    <w:basedOn w:val="DefaultParagraphFont"/>
    <w:link w:val="a37"/>
    <w:rsid w:val="00B4321D"/>
    <w:rPr>
      <w:rFonts w:ascii="Calibri" w:eastAsia="Calibri" w:hAnsi="Calibri" w:cs="Calibri"/>
      <w:b/>
      <w:bCs/>
      <w:color w:val="002060"/>
      <w:sz w:val="24"/>
    </w:rPr>
  </w:style>
  <w:style w:type="paragraph" w:customStyle="1" w:styleId="a39">
    <w:name w:val="לוח ממה"/>
    <w:basedOn w:val="Normal"/>
    <w:next w:val="Normal"/>
    <w:link w:val="a40"/>
    <w:qFormat/>
    <w:rsid w:val="00B4321D"/>
    <w:pPr>
      <w:keepNext/>
      <w:keepLines/>
      <w:widowControl w:val="0"/>
      <w:numPr>
        <w:numId w:val="9"/>
      </w:numPr>
      <w:spacing w:line="280" w:lineRule="exact"/>
      <w:jc w:val="center"/>
      <w:outlineLvl w:val="6"/>
    </w:pPr>
    <w:rPr>
      <w:rFonts w:ascii="Calibri" w:eastAsia="Calibri" w:hAnsi="Calibri" w:cs="Calibri"/>
      <w:b/>
      <w:bCs/>
      <w:color w:val="002060"/>
      <w:sz w:val="24"/>
    </w:rPr>
  </w:style>
  <w:style w:type="character" w:customStyle="1" w:styleId="a40">
    <w:name w:val="לוח ממה תו"/>
    <w:basedOn w:val="DefaultParagraphFont"/>
    <w:link w:val="a39"/>
    <w:rsid w:val="00B4321D"/>
    <w:rPr>
      <w:rFonts w:ascii="Calibri" w:eastAsia="Calibri" w:hAnsi="Calibri" w:cs="Calibri"/>
      <w:b/>
      <w:bCs/>
      <w:color w:val="002060"/>
      <w:sz w:val="24"/>
    </w:rPr>
  </w:style>
  <w:style w:type="paragraph" w:customStyle="1" w:styleId="a41">
    <w:name w:val="מפה ממה"/>
    <w:basedOn w:val="Normal"/>
    <w:next w:val="Normal"/>
    <w:link w:val="a42"/>
    <w:qFormat/>
    <w:rsid w:val="00B4321D"/>
    <w:pPr>
      <w:keepNext/>
      <w:keepLines/>
      <w:widowControl w:val="0"/>
      <w:numPr>
        <w:numId w:val="10"/>
      </w:numPr>
      <w:spacing w:line="280" w:lineRule="exact"/>
      <w:jc w:val="center"/>
      <w:outlineLvl w:val="6"/>
    </w:pPr>
    <w:rPr>
      <w:rFonts w:ascii="Calibri" w:eastAsia="Calibri" w:hAnsi="Calibri" w:cs="Calibri"/>
      <w:b/>
      <w:bCs/>
      <w:color w:val="002060"/>
      <w:sz w:val="24"/>
    </w:rPr>
  </w:style>
  <w:style w:type="character" w:customStyle="1" w:styleId="a42">
    <w:name w:val="מפה ממה תו"/>
    <w:basedOn w:val="DefaultParagraphFont"/>
    <w:link w:val="a41"/>
    <w:rsid w:val="00B4321D"/>
    <w:rPr>
      <w:rFonts w:ascii="Calibri" w:eastAsia="Calibri" w:hAnsi="Calibri" w:cs="Calibri"/>
      <w:b/>
      <w:bCs/>
      <w:color w:val="002060"/>
      <w:sz w:val="24"/>
    </w:rPr>
  </w:style>
  <w:style w:type="paragraph" w:customStyle="1" w:styleId="a43">
    <w:name w:val="מקור ממה"/>
    <w:basedOn w:val="Normal"/>
    <w:next w:val="Normal"/>
    <w:qFormat/>
    <w:rsid w:val="00B4321D"/>
    <w:pPr>
      <w:keepNext/>
      <w:keepLines/>
      <w:widowControl w:val="0"/>
      <w:ind w:left="1134"/>
    </w:pPr>
    <w:rPr>
      <w:rFonts w:ascii="Calibri" w:eastAsia="Calibri" w:hAnsi="Calibri" w:cs="Calibri"/>
      <w:color w:val="002060"/>
      <w:szCs w:val="20"/>
    </w:rPr>
  </w:style>
  <w:style w:type="paragraph" w:customStyle="1" w:styleId="a44">
    <w:name w:val="אובייקט ממה"/>
    <w:basedOn w:val="Normal"/>
    <w:next w:val="Normal"/>
    <w:qFormat/>
    <w:rsid w:val="00B4321D"/>
    <w:pPr>
      <w:keepNext/>
      <w:widowControl w:val="0"/>
      <w:spacing w:line="269" w:lineRule="auto"/>
      <w:ind w:left="1134"/>
    </w:pPr>
    <w:rPr>
      <w:rFonts w:ascii="Calibri" w:eastAsia="Calibri" w:hAnsi="Calibri" w:cs="Calibri"/>
      <w:noProof/>
      <w:color w:val="002060"/>
      <w:sz w:val="24"/>
    </w:rPr>
  </w:style>
  <w:style w:type="paragraph" w:customStyle="1" w:styleId="a45">
    <w:name w:val="רכיבי המבוא ממה"/>
    <w:basedOn w:val="Normal"/>
    <w:link w:val="a46"/>
    <w:qFormat/>
    <w:rsid w:val="00B4321D"/>
    <w:pPr>
      <w:pBdr>
        <w:bottom w:val="single" w:sz="8" w:space="1" w:color="F2F2F2"/>
      </w:pBdr>
      <w:spacing w:before="60" w:after="60" w:line="280" w:lineRule="exact"/>
      <w:ind w:left="170" w:right="57"/>
    </w:pPr>
    <w:rPr>
      <w:rFonts w:ascii="Calibri" w:eastAsia="Calibri" w:hAnsi="Calibri" w:cs="Calibri"/>
      <w:color w:val="002060"/>
      <w:szCs w:val="20"/>
    </w:rPr>
  </w:style>
  <w:style w:type="character" w:customStyle="1" w:styleId="a46">
    <w:name w:val="רכיבי המבוא ממה תו"/>
    <w:basedOn w:val="DefaultParagraphFont"/>
    <w:link w:val="a45"/>
    <w:rsid w:val="00B4321D"/>
    <w:rPr>
      <w:rFonts w:ascii="Calibri" w:eastAsia="Calibri" w:hAnsi="Calibri" w:cs="Calibri"/>
      <w:color w:val="002060"/>
      <w:szCs w:val="20"/>
    </w:rPr>
  </w:style>
  <w:style w:type="paragraph" w:customStyle="1" w:styleId="a47">
    <w:name w:val="אייקון במבוא ממה"/>
    <w:basedOn w:val="Normal"/>
    <w:link w:val="a48"/>
    <w:qFormat/>
    <w:rsid w:val="00B4321D"/>
    <w:pPr>
      <w:pBdr>
        <w:bottom w:val="single" w:sz="8" w:space="1" w:color="F2F2F2"/>
      </w:pBdr>
      <w:spacing w:line="240" w:lineRule="auto"/>
      <w:jc w:val="center"/>
    </w:pPr>
    <w:rPr>
      <w:rFonts w:ascii="Calibri" w:eastAsia="Calibri" w:hAnsi="Calibri" w:cs="Calibri"/>
      <w:bCs/>
      <w:color w:val="002060"/>
      <w:sz w:val="24"/>
      <w:szCs w:val="20"/>
    </w:rPr>
  </w:style>
  <w:style w:type="character" w:customStyle="1" w:styleId="a48">
    <w:name w:val="אייקון במבוא ממה תו"/>
    <w:basedOn w:val="DefaultParagraphFont"/>
    <w:link w:val="a47"/>
    <w:rsid w:val="00B4321D"/>
    <w:rPr>
      <w:rFonts w:ascii="Calibri" w:eastAsia="Calibri" w:hAnsi="Calibri" w:cs="Calibri"/>
      <w:bCs/>
      <w:color w:val="002060"/>
      <w:sz w:val="24"/>
      <w:szCs w:val="20"/>
    </w:rPr>
  </w:style>
  <w:style w:type="paragraph" w:customStyle="1" w:styleId="739">
    <w:name w:val="73א טקסט רץ 9"/>
    <w:basedOn w:val="Normal"/>
    <w:link w:val="7390"/>
    <w:qFormat/>
    <w:rsid w:val="00B4321D"/>
    <w:pPr>
      <w:spacing w:after="180" w:line="260" w:lineRule="exact"/>
    </w:pPr>
    <w:rPr>
      <w:rFonts w:ascii="Tahoma" w:hAnsi="Tahoma" w:cs="Tahoma"/>
      <w:color w:val="0D0D0D" w:themeColor="text1" w:themeTint="F2"/>
      <w:sz w:val="18"/>
      <w:szCs w:val="18"/>
    </w:rPr>
  </w:style>
  <w:style w:type="character" w:customStyle="1" w:styleId="7390">
    <w:name w:val="73א טקסט רץ 9 תו"/>
    <w:basedOn w:val="DefaultParagraphFont"/>
    <w:link w:val="739"/>
    <w:rsid w:val="00B4321D"/>
    <w:rPr>
      <w:rFonts w:ascii="Tahoma" w:hAnsi="Tahoma" w:cs="Tahoma"/>
      <w:color w:val="0D0D0D" w:themeColor="text1" w:themeTint="F2"/>
      <w:sz w:val="18"/>
      <w:szCs w:val="18"/>
    </w:rPr>
  </w:style>
  <w:style w:type="table" w:styleId="GridTable4Accent1">
    <w:name w:val="Grid Table 4 Accent 1"/>
    <w:basedOn w:val="TableNormal"/>
    <w:uiPriority w:val="49"/>
    <w:rsid w:val="00354F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9">
    <w:name w:val="אזכור לא מזוהה1"/>
    <w:basedOn w:val="DefaultParagraphFont"/>
    <w:uiPriority w:val="99"/>
    <w:semiHidden/>
    <w:unhideWhenUsed/>
    <w:rsid w:val="00354F9A"/>
    <w:rPr>
      <w:color w:val="605E5C"/>
      <w:shd w:val="clear" w:color="auto" w:fill="E1DFDD"/>
    </w:rPr>
  </w:style>
  <w:style w:type="table" w:styleId="GridTable5DarkAccent1">
    <w:name w:val="Grid Table 5 Dark Accent 1"/>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5">
    <w:name w:val="Grid Table 5 Dark Accent 5"/>
    <w:basedOn w:val="TableNormal"/>
    <w:uiPriority w:val="50"/>
    <w:rsid w:val="00354F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styleId="Strong">
    <w:name w:val="Strong"/>
    <w:basedOn w:val="DefaultParagraphFont"/>
    <w:uiPriority w:val="22"/>
    <w:qFormat/>
    <w:rsid w:val="00165BE9"/>
    <w:rPr>
      <w:b/>
      <w:bCs/>
    </w:rPr>
  </w:style>
  <w:style w:type="paragraph" w:customStyle="1" w:styleId="71">
    <w:name w:val="71ג הערות שוליים"/>
    <w:basedOn w:val="FootnoteText"/>
    <w:link w:val="71Char"/>
    <w:qFormat/>
    <w:rsid w:val="00165BE9"/>
    <w:pPr>
      <w:spacing w:after="60" w:line="220" w:lineRule="exact"/>
      <w:ind w:left="397" w:hanging="397"/>
    </w:pPr>
    <w:rPr>
      <w:rFonts w:ascii="Tahoma" w:hAnsi="Tahoma" w:cs="Tahoma"/>
      <w:color w:val="0D0D0D"/>
      <w:sz w:val="14"/>
      <w:szCs w:val="14"/>
    </w:rPr>
  </w:style>
  <w:style w:type="character" w:customStyle="1" w:styleId="71Char">
    <w:name w:val="71ג הערות שוליים Char"/>
    <w:basedOn w:val="DefaultParagraphFont"/>
    <w:link w:val="71"/>
    <w:rsid w:val="00165BE9"/>
    <w:rPr>
      <w:rFonts w:ascii="Tahoma" w:hAnsi="Tahoma" w:cs="Tahoma"/>
      <w:color w:val="0D0D0D"/>
      <w:sz w:val="14"/>
      <w:szCs w:val="14"/>
    </w:rPr>
  </w:style>
  <w:style w:type="table" w:customStyle="1" w:styleId="110">
    <w:name w:val="רשת טבלה11"/>
    <w:basedOn w:val="TableNormal"/>
    <w:next w:val="TableGrid"/>
    <w:uiPriority w:val="39"/>
    <w:rsid w:val="001B37C0"/>
    <w:pPr>
      <w:bidi/>
      <w:spacing w:after="0" w:line="240" w:lineRule="auto"/>
      <w:jc w:val="left"/>
    </w:pPr>
    <w:rPr>
      <w:rFonts w:ascii="David" w:hAnsi="David"/>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TableNormal"/>
    <w:next w:val="TableGrid"/>
    <w:uiPriority w:val="39"/>
    <w:rsid w:val="001B37C0"/>
    <w:pPr>
      <w:bidi/>
      <w:spacing w:after="0" w:line="240" w:lineRule="auto"/>
      <w:jc w:val="left"/>
    </w:pPr>
    <w:rPr>
      <w:rFonts w:ascii="David" w:hAnsi="David"/>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רשת טבלה13"/>
    <w:basedOn w:val="TableNormal"/>
    <w:next w:val="TableGrid"/>
    <w:uiPriority w:val="39"/>
    <w:rsid w:val="007E5741"/>
    <w:pPr>
      <w:bidi/>
      <w:spacing w:after="0" w:line="240" w:lineRule="auto"/>
      <w:jc w:val="left"/>
    </w:pPr>
    <w:rPr>
      <w:rFonts w:ascii="David" w:hAnsi="David"/>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
    <w:basedOn w:val="DefaultParagraphFont"/>
    <w:rsid w:val="007E5741"/>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customXml" Target="../customXml/item2.xml"/><Relationship Id="rId7" Type="http://schemas.openxmlformats.org/officeDocument/2006/relationships/header" Target="header2.xml"/><Relationship Id="rId16" Type="http://schemas.openxmlformats.org/officeDocument/2006/relationships/image" Target="media/image9.jpeg"/><Relationship Id="rId2" Type="http://schemas.openxmlformats.org/officeDocument/2006/relationships/settings" Target="settings.xml"/><Relationship Id="rId29" Type="http://schemas.openxmlformats.org/officeDocument/2006/relationships/image" Target="media/image21.png"/><Relationship Id="rId11" Type="http://schemas.openxmlformats.org/officeDocument/2006/relationships/chart" Target="charts/chart2.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5" Type="http://schemas.openxmlformats.org/officeDocument/2006/relationships/customXml" Target="../customXml/item1.xml"/><Relationship Id="rId61" Type="http://schemas.openxmlformats.org/officeDocument/2006/relationships/numbering" Target="numbering.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customXml" Target="../customXml/item3.xml"/><Relationship Id="rId51" Type="http://schemas.openxmlformats.org/officeDocument/2006/relationships/image" Target="media/image43.png"/><Relationship Id="rId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styles" Target="styles.xml"/><Relationship Id="rId1" Type="http://schemas.openxmlformats.org/officeDocument/2006/relationships/footnotes" Target="footnotes.xml"/><Relationship Id="rId6" Type="http://schemas.openxmlformats.org/officeDocument/2006/relationships/header" Target="header1.xml"/><Relationship Id="rId15" Type="http://schemas.openxmlformats.org/officeDocument/2006/relationships/image" Target="media/image8.emf"/><Relationship Id="rId23" Type="http://schemas.openxmlformats.org/officeDocument/2006/relationships/hyperlink" Target="https://www.nevo.co.il/law_html/law01/242_002.htm" TargetMode="External"/><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4.jpeg"/><Relationship Id="rId31" Type="http://schemas.openxmlformats.org/officeDocument/2006/relationships/image" Target="media/image23.jpeg"/><Relationship Id="rId44" Type="http://schemas.openxmlformats.org/officeDocument/2006/relationships/image" Target="media/image36.emf"/><Relationship Id="rId52" Type="http://schemas.openxmlformats.org/officeDocument/2006/relationships/image" Target="media/image44.jpeg"/><Relationship Id="rId60" Type="http://schemas.openxmlformats.org/officeDocument/2006/relationships/theme" Target="theme/theme1.xml"/><Relationship Id="rId65" Type="http://schemas.openxmlformats.org/officeDocument/2006/relationships/customXml" Target="../customXml/item4.xml"/><Relationship Id="rId4" Type="http://schemas.openxmlformats.org/officeDocument/2006/relationships/fontTable" Target="fontTable.xml"/><Relationship Id="rId9" Type="http://schemas.openxmlformats.org/officeDocument/2006/relationships/chart" Target="charts/chart1.xml"/><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1.png"/></Relationships>
</file>

<file path=word/_rels/footnotes.xml.rels><?xml version="1.0" encoding="utf-8" standalone="yes"?><Relationships xmlns="http://schemas.openxmlformats.org/package/2006/relationships"><Relationship Id="rId1" Type="http://schemas.openxmlformats.org/officeDocument/2006/relationships/hyperlink" Target="https://unfccc.int/node/61087" TargetMode="External" /><Relationship Id="rId2" Type="http://schemas.openxmlformats.org/officeDocument/2006/relationships/hyperlink" Target="https://arf.co.il/areas-of-activity" TargetMode="External" /><Relationship Id="rId3" Type="http://schemas.openxmlformats.org/officeDocument/2006/relationships/hyperlink" Target="https://www.gov.il/he/pages/s24" TargetMode="External" /></Relationships>
</file>

<file path=word/_rels/header2.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svg" /><Relationship Id="rId3" Type="http://schemas.openxmlformats.org/officeDocument/2006/relationships/image" Target="media/image3.png"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openxmlformats.org/officeDocument/2006/relationships/themeOverride" Target="../theme/themeOverride1.xml" /><Relationship Id="rId3" Type="http://schemas.microsoft.com/office/2011/relationships/chartColorStyle" Target="chart/colors1.xml" /><Relationship Id="rId4"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oleObject" Target="&#1495;&#1493;&#1489;&#1512;&#1514;1" TargetMode="External" /><Relationship Id="rId2" Type="http://schemas.openxmlformats.org/officeDocument/2006/relationships/themeOverride" Target="../theme/themeOverride2.xml" /><Relationship Id="rId3" Type="http://schemas.microsoft.com/office/2011/relationships/chartColorStyle" Target="chart/colors2.xml" /><Relationship Id="rId4" Type="http://schemas.microsoft.com/office/2011/relationships/chartStyle" Target="chart/style2.xml" /></Relationships>
</file>

<file path=word/charts/chart/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F8F-4868-A9B4-23CB4594CB5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F8F-4868-A9B4-23CB4594CB5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F8F-4868-A9B4-23CB4594CB5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3F8F-4868-A9B4-23CB4594CB5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0"/>
            <c:showCatName val="0"/>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'גפמ לפי סקטור - tasc'!$I$9:$I$12</c:f>
              <c:strCache>
                <c:ptCount val="4"/>
                <c:pt idx="0">
                  <c:v>חקלאות ותחבורה</c:v>
                </c:pt>
                <c:pt idx="1">
                  <c:v>ביתי</c:v>
                </c:pt>
                <c:pt idx="2">
                  <c:v>מסחרי ותעשייתי</c:v>
                </c:pt>
                <c:pt idx="3">
                  <c:v>רש"פ</c:v>
                </c:pt>
              </c:strCache>
            </c:strRef>
          </c:cat>
          <c:val>
            <c:numRef>
              <c:f>'גפמ לפי סקטור - tasc'!$J$9:$J$12</c:f>
              <c:numCache>
                <c:formatCode>General</c:formatCode>
                <c:ptCount val="4"/>
                <c:pt idx="0">
                  <c:v>69</c:v>
                </c:pt>
                <c:pt idx="1">
                  <c:v>160</c:v>
                </c:pt>
                <c:pt idx="2">
                  <c:v>214</c:v>
                </c:pt>
                <c:pt idx="3">
                  <c:v>158</c:v>
                </c:pt>
              </c:numCache>
            </c:numRef>
          </c:val>
          <c:extLst>
            <c:ext xmlns:c16="http://schemas.microsoft.com/office/drawing/2014/chart" uri="{C3380CC4-5D6E-409C-BE32-E72D297353CC}">
              <c16:uniqueId val="{00000008-3F8F-4868-A9B4-23CB4594CB55}"/>
            </c:ext>
          </c:extLst>
        </c:ser>
        <c:dLbls>
          <c:showLegendKey val="0"/>
          <c:showVal val="0"/>
          <c:showCatName val="0"/>
          <c:showSerName val="0"/>
          <c:showPercent val="0"/>
          <c:showBubbleSize val="0"/>
          <c:showLeaderLines val="1"/>
        </c:dLbls>
        <c:firstSliceAng val="36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1">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36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735D-4E08-92F7-56896C2DC49D}"/>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735D-4E08-92F7-56896C2DC49D}"/>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735D-4E08-92F7-56896C2DC4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גיליון1!$N$8:$N$10</c:f>
              <c:strCache>
                <c:ptCount val="3"/>
                <c:pt idx="0">
                  <c:v>בזן - חיפה</c:v>
                </c:pt>
                <c:pt idx="1">
                  <c:v>בז"א</c:v>
                </c:pt>
                <c:pt idx="2">
                  <c:v>יבוא - קצא"א</c:v>
                </c:pt>
              </c:strCache>
            </c:strRef>
          </c:cat>
          <c:val>
            <c:numRef>
              <c:f>גיליון1!$O$8:$O$10</c:f>
              <c:numCache>
                <c:formatCode>0%</c:formatCode>
                <c:ptCount val="3"/>
                <c:pt idx="0">
                  <c:v>0.44</c:v>
                </c:pt>
                <c:pt idx="1">
                  <c:v>0.19</c:v>
                </c:pt>
                <c:pt idx="2">
                  <c:v>0.37</c:v>
                </c:pt>
              </c:numCache>
            </c:numRef>
          </c:val>
          <c:extLst>
            <c:ext xmlns:c16="http://schemas.microsoft.com/office/drawing/2014/chart" uri="{C3380CC4-5D6E-409C-BE32-E72D297353CC}">
              <c16:uniqueId val="{00000006-735D-4E08-92F7-56896C2DC49D}"/>
            </c:ext>
          </c:extLst>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he-IL"/>
    </a:p>
  </c:txPr>
  <c:externalData r:id="rId1">
    <c:autoUpdate val="0"/>
  </c:externalData>
</c:chartSpac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התאמה אישית 2">
      <a:majorFont>
        <a:latin typeface="Calibri"/>
        <a:ea typeface=""/>
        <a:cs typeface="Calibri"/>
      </a:majorFont>
      <a:minorFont>
        <a:latin typeface="Calibri"/>
        <a:ea typeface=""/>
        <a:cs typeface="Calibr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3b3d791f89300efca45be244c8ab8eee">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3f32651d6f91e9dea68c269a9733e2c2"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88DCB9D-B727-40D1-B32E-AC67866BBA1B}">
  <ds:schemaRefs>
    <ds:schemaRef ds:uri="http://schemas.openxmlformats.org/officeDocument/2006/bibliography"/>
  </ds:schemaRefs>
</ds:datastoreItem>
</file>

<file path=customXml/itemProps2.xml><?xml version="1.0" encoding="utf-8"?>
<ds:datastoreItem xmlns:ds="http://schemas.openxmlformats.org/officeDocument/2006/customXml" ds:itemID="{70669073-2AA5-4B22-80FA-49CBF8F55EE9}"/>
</file>

<file path=customXml/itemProps3.xml><?xml version="1.0" encoding="utf-8"?>
<ds:datastoreItem xmlns:ds="http://schemas.openxmlformats.org/officeDocument/2006/customXml" ds:itemID="{1AA8E2C3-23D3-43D8-9D0D-CC58AB96BF6A}"/>
</file>

<file path=customXml/itemProps4.xml><?xml version="1.0" encoding="utf-8"?>
<ds:datastoreItem xmlns:ds="http://schemas.openxmlformats.org/officeDocument/2006/customXml" ds:itemID="{26C07AD5-CD97-403E-9B2B-80DE524163D7}"/>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