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charts/chart1.xml" ContentType="application/vnd.openxmlformats-officedocument.drawingml.chart+xml"/>
  <Override PartName="/word/embeddings/Microsoft_Excel_Worksheet1.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8.0 -->
  <w:body>
    <w:p w:rsidR="00A65E62" w:rsidP="00A65E62">
      <w:pPr>
        <w:spacing w:line="269" w:lineRule="auto"/>
        <w:ind w:left="-285"/>
        <w:jc w:val="center"/>
        <w:rPr>
          <w:rFonts w:ascii="Calibri" w:hAnsi="Calibri" w:cs="Calibri"/>
          <w:b/>
          <w:bCs/>
          <w:color w:val="002060"/>
          <w:sz w:val="80"/>
          <w:szCs w:val="80"/>
          <w:rtl/>
        </w:rPr>
      </w:pPr>
    </w:p>
    <w:p w:rsidR="00A65E62" w:rsidP="00A65E62">
      <w:pPr>
        <w:spacing w:line="269" w:lineRule="auto"/>
        <w:ind w:left="-285"/>
        <w:jc w:val="center"/>
        <w:rPr>
          <w:rFonts w:ascii="Calibri" w:hAnsi="Calibri" w:cs="Calibri"/>
          <w:b/>
          <w:bCs/>
          <w:color w:val="002060"/>
          <w:sz w:val="80"/>
          <w:szCs w:val="80"/>
          <w:rtl/>
        </w:rPr>
      </w:pPr>
    </w:p>
    <w:p w:rsidR="00A65E62" w:rsidP="00A65E62">
      <w:pPr>
        <w:spacing w:line="269" w:lineRule="auto"/>
        <w:ind w:left="-285"/>
        <w:jc w:val="center"/>
        <w:rPr>
          <w:rFonts w:ascii="Calibri" w:hAnsi="Calibri" w:cs="Calibri"/>
          <w:b/>
          <w:bCs/>
          <w:color w:val="002060"/>
          <w:sz w:val="80"/>
          <w:szCs w:val="80"/>
          <w:rtl/>
        </w:rPr>
      </w:pPr>
    </w:p>
    <w:p w:rsidR="00A65E62" w:rsidP="00A65E62">
      <w:pPr>
        <w:spacing w:line="269" w:lineRule="auto"/>
        <w:ind w:left="-285"/>
        <w:jc w:val="center"/>
        <w:rPr>
          <w:rFonts w:ascii="Calibri" w:hAnsi="Calibri" w:cs="Calibri"/>
          <w:b/>
          <w:bCs/>
          <w:color w:val="002060"/>
          <w:sz w:val="80"/>
          <w:szCs w:val="80"/>
          <w:rtl/>
        </w:rPr>
      </w:pPr>
    </w:p>
    <w:p w:rsidR="006E1414" w:rsidP="00A65E62">
      <w:pPr>
        <w:spacing w:line="269" w:lineRule="auto"/>
        <w:ind w:left="-285"/>
        <w:jc w:val="center"/>
        <w:rPr>
          <w:rFonts w:ascii="Calibri" w:hAnsi="Calibri" w:cs="Calibri"/>
          <w:b/>
          <w:bCs/>
          <w:color w:val="002060"/>
          <w:sz w:val="80"/>
          <w:szCs w:val="80"/>
          <w:rtl/>
        </w:rPr>
      </w:pPr>
      <w:r w:rsidRPr="00441EB5">
        <w:rPr>
          <w:rFonts w:ascii="Calibri" w:hAnsi="Calibri" w:cs="Calibri"/>
          <w:b/>
          <w:bCs/>
          <w:color w:val="002060"/>
          <w:sz w:val="80"/>
          <w:szCs w:val="80"/>
          <w:rtl/>
        </w:rPr>
        <w:t xml:space="preserve">זיהום אוויר מכלי רכב וכניסת כלי רכב חשמליים - </w:t>
      </w:r>
      <w:r w:rsidR="001E6C2A">
        <w:rPr>
          <w:rFonts w:ascii="Calibri" w:hAnsi="Calibri" w:cs="Calibri"/>
          <w:b/>
          <w:bCs/>
          <w:color w:val="002060"/>
          <w:sz w:val="80"/>
          <w:szCs w:val="80"/>
          <w:rtl/>
        </w:rPr>
        <w:br/>
      </w:r>
      <w:r w:rsidRPr="00441EB5">
        <w:rPr>
          <w:rFonts w:ascii="Calibri" w:hAnsi="Calibri" w:cs="Calibri"/>
          <w:b/>
          <w:bCs/>
          <w:color w:val="002060"/>
          <w:sz w:val="80"/>
          <w:szCs w:val="80"/>
          <w:rtl/>
        </w:rPr>
        <w:t>ביקורת מעקב</w:t>
      </w:r>
    </w:p>
    <w:p w:rsidR="00D125D2" w:rsidRPr="00A65E62" w:rsidP="00A65E62">
      <w:pPr>
        <w:spacing w:line="269" w:lineRule="auto"/>
        <w:ind w:left="-285"/>
        <w:jc w:val="center"/>
        <w:rPr>
          <w:rFonts w:ascii="Calibri" w:hAnsi="Calibri" w:cs="Calibri"/>
          <w:b/>
          <w:bCs/>
          <w:color w:val="002060"/>
          <w:sz w:val="80"/>
          <w:szCs w:val="80"/>
        </w:rPr>
        <w:sectPr w:rsidSect="006C2C6D">
          <w:headerReference w:type="default" r:id="rId6"/>
          <w:headerReference w:type="first" r:id="rId7"/>
          <w:footerReference w:type="first" r:id="rId8"/>
          <w:pgSz w:w="11906" w:h="16838"/>
          <w:pgMar w:top="1701" w:right="1985" w:bottom="1588" w:left="1701" w:header="709" w:footer="709" w:gutter="0"/>
          <w:cols w:space="708"/>
          <w:titlePg/>
          <w:bidi/>
          <w:rtlGutter/>
          <w:docGrid w:linePitch="360"/>
        </w:sectPr>
      </w:pPr>
    </w:p>
    <w:p w:rsidR="00F954E4" w:rsidP="0030386A">
      <w:pPr>
        <w:bidi w:val="0"/>
        <w:spacing w:after="200" w:line="276" w:lineRule="auto"/>
        <w:rPr>
          <w:rFonts w:ascii="Calibri" w:hAnsi="Calibri" w:cs="Calibri"/>
          <w:b/>
          <w:bCs/>
          <w:color w:val="002060"/>
          <w:sz w:val="80"/>
          <w:szCs w:val="80"/>
        </w:rPr>
        <w:sectPr w:rsidSect="006C2C6D">
          <w:headerReference w:type="first" r:id="rId9"/>
          <w:pgSz w:w="11906" w:h="16838"/>
          <w:pgMar w:top="1701" w:right="1985" w:bottom="1588" w:left="1701" w:header="709" w:footer="709" w:gutter="0"/>
          <w:cols w:space="708"/>
          <w:titlePg/>
          <w:bidi/>
          <w:rtlGutter/>
          <w:docGrid w:linePitch="360"/>
        </w:sectPr>
      </w:pPr>
    </w:p>
    <w:p w:rsidR="00441EB5" w:rsidRPr="00441EB5" w:rsidP="00441EB5">
      <w:pPr>
        <w:spacing w:line="288" w:lineRule="auto"/>
        <w:rPr>
          <w:rFonts w:ascii="Tahoma" w:eastAsia="Calibri" w:hAnsi="Tahoma" w:cs="Tahoma"/>
          <w:sz w:val="2"/>
          <w:szCs w:val="2"/>
        </w:rPr>
      </w:pPr>
    </w:p>
    <w:tbl>
      <w:tblPr>
        <w:tblStyle w:val="11"/>
        <w:tblpPr w:leftFromText="180" w:rightFromText="180" w:vertAnchor="text" w:tblpXSpec="center" w:tblpY="1"/>
        <w:tblOverlap w:val="never"/>
        <w:bidiVisual/>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83"/>
      </w:tblGrid>
      <w:tr w:rsidTr="00C14BE6">
        <w:tblPrEx>
          <w:tblW w:w="9783" w:type="dxa"/>
          <w:tblLook w:val="04A0"/>
        </w:tblPrEx>
        <w:tc>
          <w:tcPr>
            <w:tcW w:w="9783" w:type="dxa"/>
          </w:tcPr>
          <w:p w:rsidR="00441EB5" w:rsidRPr="00441EB5" w:rsidP="0030386A">
            <w:pPr>
              <w:spacing w:after="120" w:line="240" w:lineRule="auto"/>
              <w:rPr>
                <w:rFonts w:ascii="Tahoma" w:eastAsia="Calibri" w:hAnsi="Tahoma" w:cs="Tahoma"/>
                <w:b/>
                <w:bCs/>
                <w:sz w:val="40"/>
                <w:szCs w:val="40"/>
                <w:rtl/>
              </w:rPr>
            </w:pPr>
            <w:r w:rsidRPr="00441EB5">
              <w:rPr>
                <w:rFonts w:ascii="Tahoma" w:eastAsia="Calibri" w:hAnsi="Tahoma" w:cs="Tahoma"/>
                <w:b/>
                <w:bCs/>
                <w:sz w:val="40"/>
                <w:szCs w:val="40"/>
                <w:rtl/>
              </w:rPr>
              <w:t>זיהום אוויר מכלי רכב וכניסת כלי רכב חשמליים - ביקורת מעקב</w:t>
            </w:r>
          </w:p>
          <w:p w:rsidR="00441EB5" w:rsidRPr="00441EB5" w:rsidP="00441EB5">
            <w:pPr>
              <w:spacing w:line="288" w:lineRule="auto"/>
              <w:rPr>
                <w:rFonts w:ascii="Tahoma" w:eastAsia="Calibri" w:hAnsi="Tahoma" w:cs="Tahoma"/>
                <w:szCs w:val="24"/>
                <w:rtl/>
              </w:rPr>
            </w:pPr>
            <w:r w:rsidRPr="00441EB5">
              <w:rPr>
                <w:rFonts w:ascii="Tahoma" w:eastAsia="Calibri" w:hAnsi="Tahoma" w:cs="Tahoma"/>
                <w:sz w:val="36"/>
                <w:szCs w:val="36"/>
                <w:rtl/>
              </w:rPr>
              <w:t>תקציר</w:t>
            </w:r>
          </w:p>
          <w:p w:rsidR="00441EB5" w:rsidRPr="00441EB5" w:rsidP="00441EB5">
            <w:pPr>
              <w:spacing w:line="288" w:lineRule="auto"/>
              <w:ind w:left="-851"/>
              <w:rPr>
                <w:rFonts w:eastAsia="Calibri"/>
                <w:szCs w:val="24"/>
                <w:rtl/>
              </w:rPr>
            </w:pPr>
          </w:p>
        </w:tc>
      </w:tr>
    </w:tbl>
    <w:p w:rsidR="00441EB5" w:rsidRPr="00441EB5" w:rsidP="00441EB5">
      <w:pPr>
        <w:spacing w:line="288" w:lineRule="auto"/>
        <w:ind w:left="-851"/>
        <w:rPr>
          <w:rFonts w:ascii="Tahoma" w:eastAsia="Calibri" w:hAnsi="Tahoma" w:cs="Tahoma"/>
          <w:rtl/>
        </w:rPr>
      </w:pPr>
      <w:r w:rsidRPr="00441EB5">
        <w:rPr>
          <w:rFonts w:ascii="Tahoma" w:eastAsia="Calibri" w:hAnsi="Tahoma" w:cs="Tahoma"/>
          <w:noProof/>
          <w:rtl/>
        </w:rPr>
        <w:drawing>
          <wp:inline distT="0" distB="0" distL="0" distR="0">
            <wp:extent cx="1638300" cy="411480"/>
            <wp:effectExtent l="0" t="0" r="0" b="7620"/>
            <wp:docPr id="37" name="תמונה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תקציר-05.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inline>
        </w:drawing>
      </w:r>
    </w:p>
    <w:p w:rsidR="00441EB5" w:rsidRPr="00441EB5" w:rsidP="0030386A">
      <w:pPr>
        <w:spacing w:after="120" w:line="288" w:lineRule="auto"/>
        <w:ind w:left="-709" w:right="-567"/>
        <w:rPr>
          <w:rFonts w:ascii="Tahoma" w:eastAsia="Calibri" w:hAnsi="Tahoma" w:cs="Tahoma"/>
          <w:b/>
          <w:bCs/>
          <w:sz w:val="19"/>
          <w:szCs w:val="19"/>
          <w:rtl/>
        </w:rPr>
      </w:pPr>
      <w:bookmarkStart w:id="0" w:name="tempMark"/>
      <w:bookmarkEnd w:id="0"/>
      <w:r w:rsidRPr="00441EB5">
        <w:rPr>
          <w:rFonts w:ascii="Tahoma" w:eastAsia="Calibri" w:hAnsi="Tahoma" w:cs="Tahoma"/>
          <w:sz w:val="19"/>
          <w:szCs w:val="19"/>
          <w:rtl/>
        </w:rPr>
        <w:t>השימוש בתחבורה בכבישים מלווה בהשפעות חיצוניות רבות ובהן רעש, גודש בכבישים, תאונות דרכים, נזקי זיהום אוויר ופליטות גזי חממה</w:t>
      </w:r>
      <w:r>
        <w:rPr>
          <w:rFonts w:ascii="Tahoma" w:eastAsia="Calibri" w:hAnsi="Tahoma" w:cs="Tahoma"/>
          <w:sz w:val="19"/>
          <w:szCs w:val="19"/>
          <w:vertAlign w:val="superscript"/>
          <w:rtl/>
        </w:rPr>
        <w:footnoteReference w:id="2"/>
      </w:r>
      <w:r w:rsidRPr="00441EB5">
        <w:rPr>
          <w:rFonts w:ascii="Tahoma" w:eastAsia="Calibri" w:hAnsi="Tahoma" w:cs="Tahoma"/>
          <w:sz w:val="19"/>
          <w:szCs w:val="19"/>
          <w:rtl/>
        </w:rPr>
        <w:t>. זיהום האוויר ופליטות גזי החממה מתחבורה נגרמים הן ישירות מכלי הרכב בזמן הנסיעה והן באופן עקיף, מכיוון שגם במהלך זיקוק הדלקים והובלתם נפלטים לאטמוספרה חומרים מזהמים.</w:t>
      </w:r>
    </w:p>
    <w:p w:rsidR="00441EB5" w:rsidRPr="00441EB5" w:rsidP="00441EB5">
      <w:pPr>
        <w:spacing w:after="60" w:line="288" w:lineRule="auto"/>
        <w:ind w:left="-709" w:right="-567"/>
        <w:rPr>
          <w:rFonts w:ascii="Tahoma" w:eastAsia="Calibri" w:hAnsi="Tahoma" w:cs="Tahoma"/>
          <w:sz w:val="19"/>
          <w:szCs w:val="19"/>
          <w:rtl/>
        </w:rPr>
      </w:pPr>
      <w:r w:rsidRPr="00441EB5">
        <w:rPr>
          <w:rFonts w:ascii="Tahoma" w:eastAsia="Calibri" w:hAnsi="Tahoma" w:cs="Tahoma"/>
          <w:sz w:val="19"/>
          <w:szCs w:val="19"/>
          <w:rtl/>
        </w:rPr>
        <w:t>העלות החיצונית של זיהום האוויר משקפת במונחים כספיים את עלות ההשפעות החיצוניות של זיהום האוויר ופליטת גזי החממה שאינן משולמות ישירות על ידי המזהם, אלא מוטלות על הציבור הרחב. השפעות אלה כוללות נזקים לבריאות האדם, נזקים סביבתיים, נזקים לתשתיות ונזקים חקלאיים.</w:t>
      </w:r>
      <w:r w:rsidRPr="00441EB5">
        <w:rPr>
          <w:rFonts w:ascii="Tahoma" w:eastAsia="Calibri" w:hAnsi="Tahoma" w:cs="Tahoma"/>
          <w:sz w:val="19"/>
          <w:szCs w:val="19"/>
        </w:rPr>
        <w:t> </w:t>
      </w:r>
      <w:r w:rsidRPr="00441EB5">
        <w:rPr>
          <w:rFonts w:ascii="Tahoma" w:eastAsia="Calibri" w:hAnsi="Tahoma" w:cs="Tahoma"/>
          <w:sz w:val="19"/>
          <w:szCs w:val="19"/>
          <w:rtl/>
        </w:rPr>
        <w:t>על פי מרשם הפליטות לסביבה של המשרד להגנת הסביבה (</w:t>
      </w:r>
      <w:r w:rsidR="00DF2479">
        <w:rPr>
          <w:rFonts w:ascii="Tahoma" w:eastAsia="Calibri" w:hAnsi="Tahoma" w:cs="Tahoma" w:hint="cs"/>
          <w:sz w:val="19"/>
          <w:szCs w:val="19"/>
          <w:rtl/>
        </w:rPr>
        <w:t>ה</w:t>
      </w:r>
      <w:r w:rsidRPr="00441EB5">
        <w:rPr>
          <w:rFonts w:ascii="Tahoma" w:eastAsia="Calibri" w:hAnsi="Tahoma" w:cs="Tahoma"/>
          <w:sz w:val="19"/>
          <w:szCs w:val="19"/>
          <w:rtl/>
        </w:rPr>
        <w:t>משרד להגנ"ס), בשנת 2024 העלות החיצונית של פליטות מזהמים לאוויר בישראל הייתה כ-36.9 מיליארד ש"ח; כ-10.9 מיליארד ש"ח ממנה מיוחסים לפליטות שמקורן בתחבורה.</w:t>
      </w:r>
    </w:p>
    <w:p w:rsidR="00441EB5" w:rsidRPr="00441EB5" w:rsidP="00441EB5">
      <w:pPr>
        <w:spacing w:line="288" w:lineRule="auto"/>
        <w:ind w:left="-710"/>
        <w:rPr>
          <w:rFonts w:ascii="Tahoma" w:eastAsia="Calibri" w:hAnsi="Tahoma" w:cs="Tahoma"/>
          <w:rtl/>
        </w:rPr>
      </w:pPr>
    </w:p>
    <w:p w:rsidR="00441EB5" w:rsidRPr="00441EB5" w:rsidP="00441EB5">
      <w:pPr>
        <w:spacing w:line="288" w:lineRule="auto"/>
        <w:ind w:left="-710"/>
        <w:rPr>
          <w:rFonts w:ascii="Tahoma" w:eastAsia="Calibri" w:hAnsi="Tahoma" w:cs="Tahoma"/>
          <w:rtl/>
        </w:rPr>
      </w:pPr>
    </w:p>
    <w:p w:rsidR="00441EB5" w:rsidRPr="00441EB5" w:rsidP="00441EB5">
      <w:pPr>
        <w:spacing w:line="288" w:lineRule="auto"/>
        <w:ind w:left="-851"/>
        <w:rPr>
          <w:rFonts w:ascii="Tahoma" w:eastAsia="Calibri" w:hAnsi="Tahoma" w:cs="Tahoma"/>
          <w:rtl/>
        </w:rPr>
      </w:pPr>
      <w:r w:rsidRPr="00441EB5">
        <w:rPr>
          <w:rFonts w:ascii="Tahoma" w:eastAsia="Calibri" w:hAnsi="Tahoma" w:cs="Tahoma"/>
          <w:noProof/>
          <w:rtl/>
        </w:rPr>
        <w:drawing>
          <wp:inline distT="0" distB="0" distL="0" distR="0">
            <wp:extent cx="1674111" cy="381000"/>
            <wp:effectExtent l="0" t="0" r="254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קציר-04.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tbl>
      <w:tblPr>
        <w:tblStyle w:val="11"/>
        <w:tblpPr w:leftFromText="180" w:rightFromText="180" w:vertAnchor="text" w:tblpXSpec="center" w:tblpY="1"/>
        <w:tblOverlap w:val="never"/>
        <w:bidiVisual/>
        <w:tblW w:w="100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57"/>
        <w:gridCol w:w="416"/>
        <w:gridCol w:w="2135"/>
        <w:gridCol w:w="417"/>
        <w:gridCol w:w="2135"/>
        <w:gridCol w:w="417"/>
        <w:gridCol w:w="1992"/>
      </w:tblGrid>
      <w:tr w:rsidTr="00C14BE6">
        <w:tblPrEx>
          <w:tblW w:w="10069" w:type="dxa"/>
          <w:tblLook w:val="04A0"/>
        </w:tblPrEx>
        <w:trPr>
          <w:trHeight w:val="283"/>
        </w:trPr>
        <w:tc>
          <w:tcPr>
            <w:tcW w:w="2557" w:type="dxa"/>
            <w:tcBorders>
              <w:bottom w:val="single" w:sz="12" w:space="0" w:color="auto"/>
            </w:tcBorders>
            <w:shd w:val="clear" w:color="auto" w:fill="auto"/>
            <w:vAlign w:val="bottom"/>
          </w:tcPr>
          <w:p w:rsidR="00441EB5" w:rsidRPr="00441EB5" w:rsidP="00441EB5">
            <w:pPr>
              <w:spacing w:after="60" w:line="240" w:lineRule="auto"/>
              <w:rPr>
                <w:rFonts w:ascii="Tahoma" w:eastAsia="Calibri" w:hAnsi="Tahoma" w:cs="Tahoma"/>
                <w:spacing w:val="-10"/>
                <w:sz w:val="36"/>
                <w:szCs w:val="36"/>
                <w:rtl/>
              </w:rPr>
            </w:pPr>
            <w:r w:rsidRPr="00441EB5">
              <w:rPr>
                <w:rFonts w:ascii="Tahoma" w:eastAsia="Calibri" w:hAnsi="Tahoma" w:cs="Tahoma"/>
                <w:spacing w:val="-10"/>
                <w:sz w:val="36"/>
                <w:szCs w:val="36"/>
                <w:rtl/>
              </w:rPr>
              <w:t xml:space="preserve">10.9 </w:t>
            </w:r>
            <w:r w:rsidRPr="00441EB5">
              <w:rPr>
                <w:rFonts w:ascii="Tahoma" w:eastAsia="Calibri" w:hAnsi="Tahoma" w:cs="Tahoma"/>
                <w:spacing w:val="-10"/>
                <w:sz w:val="26"/>
                <w:szCs w:val="26"/>
                <w:rtl/>
              </w:rPr>
              <w:t>מיליארד ש"ח</w:t>
            </w:r>
          </w:p>
        </w:tc>
        <w:tc>
          <w:tcPr>
            <w:tcW w:w="416" w:type="dxa"/>
            <w:vAlign w:val="bottom"/>
          </w:tcPr>
          <w:p w:rsidR="00441EB5" w:rsidRPr="00441EB5" w:rsidP="00441EB5">
            <w:pPr>
              <w:spacing w:line="240" w:lineRule="auto"/>
              <w:rPr>
                <w:rFonts w:ascii="Tahoma" w:eastAsia="Calibri" w:hAnsi="Tahoma" w:cs="Tahoma"/>
                <w:spacing w:val="-10"/>
              </w:rPr>
            </w:pPr>
          </w:p>
        </w:tc>
        <w:tc>
          <w:tcPr>
            <w:tcW w:w="2135" w:type="dxa"/>
            <w:tcBorders>
              <w:bottom w:val="single" w:sz="12" w:space="0" w:color="auto"/>
            </w:tcBorders>
            <w:vAlign w:val="bottom"/>
          </w:tcPr>
          <w:p w:rsidR="00441EB5" w:rsidRPr="00441EB5" w:rsidP="00441EB5">
            <w:pPr>
              <w:spacing w:after="60" w:line="240" w:lineRule="auto"/>
              <w:rPr>
                <w:rFonts w:ascii="Tahoma" w:eastAsia="Calibri" w:hAnsi="Tahoma" w:cs="Tahoma"/>
                <w:spacing w:val="-10"/>
                <w:sz w:val="36"/>
                <w:szCs w:val="36"/>
                <w:rtl/>
              </w:rPr>
            </w:pPr>
            <w:r w:rsidRPr="00441EB5">
              <w:rPr>
                <w:rFonts w:ascii="Tahoma" w:eastAsia="Calibri" w:hAnsi="Tahoma" w:cs="Tahoma"/>
                <w:spacing w:val="-10"/>
                <w:sz w:val="26"/>
                <w:szCs w:val="26"/>
                <w:rtl/>
              </w:rPr>
              <w:t>כ-</w:t>
            </w:r>
            <w:r w:rsidRPr="00441EB5">
              <w:rPr>
                <w:rFonts w:ascii="Tahoma" w:eastAsia="Calibri" w:hAnsi="Tahoma" w:cs="Tahoma"/>
                <w:spacing w:val="-10"/>
                <w:sz w:val="36"/>
                <w:szCs w:val="36"/>
                <w:rtl/>
              </w:rPr>
              <w:t xml:space="preserve">44% </w:t>
            </w:r>
          </w:p>
        </w:tc>
        <w:tc>
          <w:tcPr>
            <w:tcW w:w="417" w:type="dxa"/>
            <w:vAlign w:val="bottom"/>
          </w:tcPr>
          <w:p w:rsidR="00441EB5" w:rsidRPr="00441EB5" w:rsidP="00441EB5">
            <w:pPr>
              <w:spacing w:line="240" w:lineRule="auto"/>
              <w:rPr>
                <w:rFonts w:ascii="Tahoma" w:eastAsia="Calibri" w:hAnsi="Tahoma" w:cs="Tahoma"/>
                <w:spacing w:val="-10"/>
              </w:rPr>
            </w:pPr>
          </w:p>
        </w:tc>
        <w:tc>
          <w:tcPr>
            <w:tcW w:w="2135" w:type="dxa"/>
            <w:tcBorders>
              <w:bottom w:val="single" w:sz="12" w:space="0" w:color="auto"/>
            </w:tcBorders>
            <w:vAlign w:val="bottom"/>
          </w:tcPr>
          <w:p w:rsidR="00441EB5" w:rsidRPr="00441EB5" w:rsidP="00441EB5">
            <w:pPr>
              <w:spacing w:after="60" w:line="240" w:lineRule="auto"/>
              <w:rPr>
                <w:rFonts w:ascii="Tahoma" w:eastAsia="Calibri" w:hAnsi="Tahoma" w:cs="Tahoma"/>
                <w:spacing w:val="-10"/>
                <w:sz w:val="36"/>
                <w:szCs w:val="36"/>
              </w:rPr>
            </w:pPr>
            <w:r w:rsidRPr="00441EB5">
              <w:rPr>
                <w:rFonts w:ascii="Tahoma" w:eastAsia="Calibri" w:hAnsi="Tahoma" w:cs="Tahoma"/>
                <w:spacing w:val="-10"/>
                <w:sz w:val="26"/>
                <w:szCs w:val="26"/>
                <w:rtl/>
              </w:rPr>
              <w:t>כ-</w:t>
            </w:r>
            <w:r w:rsidRPr="00441EB5">
              <w:rPr>
                <w:rFonts w:ascii="Tahoma" w:eastAsia="Calibri" w:hAnsi="Tahoma" w:cs="Tahoma"/>
                <w:spacing w:val="-10"/>
                <w:sz w:val="36"/>
                <w:szCs w:val="36"/>
                <w:rtl/>
              </w:rPr>
              <w:t>93%</w:t>
            </w:r>
          </w:p>
        </w:tc>
        <w:tc>
          <w:tcPr>
            <w:tcW w:w="417" w:type="dxa"/>
            <w:vAlign w:val="bottom"/>
          </w:tcPr>
          <w:p w:rsidR="00441EB5" w:rsidRPr="00441EB5" w:rsidP="00441EB5">
            <w:pPr>
              <w:spacing w:line="240" w:lineRule="auto"/>
              <w:rPr>
                <w:rFonts w:ascii="Tahoma" w:eastAsia="Calibri" w:hAnsi="Tahoma" w:cs="Tahoma"/>
                <w:spacing w:val="-10"/>
              </w:rPr>
            </w:pPr>
          </w:p>
        </w:tc>
        <w:tc>
          <w:tcPr>
            <w:tcW w:w="1990" w:type="dxa"/>
            <w:tcBorders>
              <w:bottom w:val="single" w:sz="12" w:space="0" w:color="auto"/>
            </w:tcBorders>
            <w:vAlign w:val="bottom"/>
          </w:tcPr>
          <w:p w:rsidR="00441EB5" w:rsidRPr="00441EB5" w:rsidP="00441EB5">
            <w:pPr>
              <w:spacing w:after="60" w:line="240" w:lineRule="auto"/>
              <w:rPr>
                <w:rFonts w:ascii="Tahoma" w:eastAsia="Calibri" w:hAnsi="Tahoma" w:cs="Tahoma"/>
                <w:spacing w:val="-10"/>
                <w:sz w:val="36"/>
                <w:szCs w:val="36"/>
                <w:rtl/>
              </w:rPr>
            </w:pPr>
            <w:r w:rsidRPr="00441EB5">
              <w:rPr>
                <w:rFonts w:ascii="Tahoma" w:eastAsia="Calibri" w:hAnsi="Tahoma" w:cs="Tahoma"/>
                <w:spacing w:val="-10"/>
                <w:sz w:val="26"/>
                <w:szCs w:val="26"/>
                <w:rtl/>
              </w:rPr>
              <w:t>כ-</w:t>
            </w:r>
            <w:r w:rsidRPr="00441EB5">
              <w:rPr>
                <w:rFonts w:ascii="Tahoma" w:eastAsia="Calibri" w:hAnsi="Tahoma" w:cs="Tahoma"/>
                <w:spacing w:val="-10"/>
                <w:sz w:val="36"/>
                <w:szCs w:val="36"/>
                <w:rtl/>
              </w:rPr>
              <w:t>9.5</w:t>
            </w:r>
          </w:p>
        </w:tc>
      </w:tr>
      <w:tr w:rsidTr="00C14BE6">
        <w:tblPrEx>
          <w:tblW w:w="10069" w:type="dxa"/>
          <w:tblLook w:val="04A0"/>
        </w:tblPrEx>
        <w:trPr>
          <w:trHeight w:val="85"/>
        </w:trPr>
        <w:tc>
          <w:tcPr>
            <w:tcW w:w="10069" w:type="dxa"/>
            <w:gridSpan w:val="7"/>
            <w:shd w:val="clear" w:color="auto" w:fill="auto"/>
            <w:vAlign w:val="center"/>
          </w:tcPr>
          <w:p w:rsidR="00441EB5" w:rsidRPr="00441EB5" w:rsidP="00441EB5">
            <w:pPr>
              <w:spacing w:line="288" w:lineRule="auto"/>
              <w:rPr>
                <w:rFonts w:ascii="Tahoma" w:eastAsia="Calibri" w:hAnsi="Tahoma" w:cs="Tahoma"/>
                <w:spacing w:val="-10"/>
                <w:sz w:val="6"/>
                <w:szCs w:val="6"/>
                <w:rtl/>
              </w:rPr>
            </w:pPr>
          </w:p>
        </w:tc>
      </w:tr>
      <w:tr w:rsidTr="00C14BE6">
        <w:tblPrEx>
          <w:tblW w:w="10069" w:type="dxa"/>
          <w:tblLook w:val="04A0"/>
        </w:tblPrEx>
        <w:trPr>
          <w:trHeight w:val="1155"/>
        </w:trPr>
        <w:tc>
          <w:tcPr>
            <w:tcW w:w="2557" w:type="dxa"/>
          </w:tcPr>
          <w:p w:rsidR="00441EB5" w:rsidRPr="00441EB5" w:rsidP="00441EB5">
            <w:pPr>
              <w:spacing w:line="240" w:lineRule="auto"/>
              <w:ind w:right="23"/>
              <w:rPr>
                <w:rFonts w:ascii="Tahoma" w:eastAsia="Calibri" w:hAnsi="Tahoma" w:cs="Tahoma"/>
                <w:b/>
                <w:bCs/>
                <w:sz w:val="19"/>
                <w:szCs w:val="19"/>
                <w:rtl/>
              </w:rPr>
            </w:pPr>
            <w:r w:rsidRPr="00441EB5">
              <w:rPr>
                <w:rFonts w:ascii="Tahoma" w:eastAsia="Calibri" w:hAnsi="Tahoma" w:cs="Tahoma"/>
                <w:sz w:val="19"/>
                <w:szCs w:val="19"/>
                <w:rtl/>
              </w:rPr>
              <w:t>העלות החיצונית של זיהום האוויר מתחבורה, לפי נתוני המשרד להגנת הסביבה, נכון לשנת 2024</w:t>
            </w:r>
            <w:r w:rsidRPr="00441EB5">
              <w:rPr>
                <w:rFonts w:ascii="Tahoma" w:eastAsia="Calibri" w:hAnsi="Tahoma" w:cs="Tahoma"/>
                <w:b/>
                <w:bCs/>
                <w:sz w:val="19"/>
                <w:szCs w:val="19"/>
                <w:rtl/>
              </w:rPr>
              <w:t xml:space="preserve"> </w:t>
            </w:r>
            <w:r w:rsidRPr="00441EB5">
              <w:rPr>
                <w:rFonts w:ascii="Tahoma" w:eastAsia="Calibri" w:hAnsi="Tahoma" w:cs="Tahoma"/>
                <w:sz w:val="19"/>
                <w:szCs w:val="19"/>
                <w:rtl/>
              </w:rPr>
              <w:t>(העלות לנזקים לבריאות האדם, לסביבה, לתשתיות ולחקלאות)</w:t>
            </w:r>
          </w:p>
        </w:tc>
        <w:tc>
          <w:tcPr>
            <w:tcW w:w="416" w:type="dxa"/>
          </w:tcPr>
          <w:p w:rsidR="00441EB5" w:rsidRPr="00441EB5" w:rsidP="00441EB5">
            <w:pPr>
              <w:spacing w:line="288" w:lineRule="auto"/>
              <w:rPr>
                <w:rFonts w:ascii="Tahoma" w:eastAsia="Calibri" w:hAnsi="Tahoma" w:cs="Tahoma"/>
                <w:szCs w:val="24"/>
                <w:rtl/>
              </w:rPr>
            </w:pPr>
          </w:p>
        </w:tc>
        <w:tc>
          <w:tcPr>
            <w:tcW w:w="2135" w:type="dxa"/>
          </w:tcPr>
          <w:p w:rsidR="00441EB5" w:rsidRPr="00441EB5" w:rsidP="00441EB5">
            <w:pPr>
              <w:spacing w:line="240" w:lineRule="auto"/>
              <w:ind w:right="23"/>
              <w:rPr>
                <w:rFonts w:ascii="Tahoma" w:eastAsia="Calibri" w:hAnsi="Tahoma" w:cs="Tahoma"/>
                <w:sz w:val="19"/>
                <w:szCs w:val="19"/>
                <w:rtl/>
              </w:rPr>
            </w:pPr>
            <w:r w:rsidRPr="00441EB5">
              <w:rPr>
                <w:rFonts w:ascii="Tahoma" w:eastAsia="Calibri" w:hAnsi="Tahoma" w:cs="Tahoma"/>
                <w:sz w:val="19"/>
                <w:szCs w:val="19"/>
                <w:rtl/>
              </w:rPr>
              <w:t>החלק מסך העלות החיצונית המיוחס לזיהום האוויר ממשאיות כבדות ורכבי משא (על פי נתוני שנת 2018) - כ-3.2 מיליארד ש"ח</w:t>
            </w:r>
          </w:p>
        </w:tc>
        <w:tc>
          <w:tcPr>
            <w:tcW w:w="417" w:type="dxa"/>
          </w:tcPr>
          <w:p w:rsidR="00441EB5" w:rsidRPr="00441EB5" w:rsidP="00441EB5">
            <w:pPr>
              <w:spacing w:line="288" w:lineRule="auto"/>
              <w:rPr>
                <w:rFonts w:ascii="Tahoma" w:eastAsia="Calibri" w:hAnsi="Tahoma" w:cs="Tahoma"/>
                <w:sz w:val="19"/>
                <w:szCs w:val="19"/>
                <w:rtl/>
              </w:rPr>
            </w:pPr>
          </w:p>
        </w:tc>
        <w:tc>
          <w:tcPr>
            <w:tcW w:w="2135" w:type="dxa"/>
          </w:tcPr>
          <w:p w:rsidR="00441EB5" w:rsidRPr="00441EB5" w:rsidP="00441EB5">
            <w:pPr>
              <w:spacing w:line="240" w:lineRule="auto"/>
              <w:ind w:right="23"/>
              <w:rPr>
                <w:rFonts w:ascii="Tahoma" w:eastAsia="Calibri" w:hAnsi="Tahoma" w:cs="Tahoma"/>
                <w:sz w:val="19"/>
                <w:szCs w:val="19"/>
                <w:rtl/>
              </w:rPr>
            </w:pPr>
            <w:r w:rsidRPr="00441EB5">
              <w:rPr>
                <w:rFonts w:ascii="Tahoma" w:eastAsia="Calibri" w:hAnsi="Tahoma" w:cs="Tahoma"/>
                <w:sz w:val="19"/>
                <w:szCs w:val="19"/>
                <w:rtl/>
              </w:rPr>
              <w:t xml:space="preserve">ירידה בכמות פליטת החלקיקים הממוצעת השנתית מכלי רכב כבדים בשנת 2024 לעומת שנת 2014 </w:t>
            </w:r>
          </w:p>
        </w:tc>
        <w:tc>
          <w:tcPr>
            <w:tcW w:w="417" w:type="dxa"/>
          </w:tcPr>
          <w:p w:rsidR="00441EB5" w:rsidRPr="00441EB5" w:rsidP="00441EB5">
            <w:pPr>
              <w:spacing w:line="288" w:lineRule="auto"/>
              <w:rPr>
                <w:rFonts w:ascii="Tahoma" w:eastAsia="Calibri" w:hAnsi="Tahoma" w:cs="Tahoma"/>
                <w:sz w:val="19"/>
                <w:szCs w:val="19"/>
                <w:rtl/>
              </w:rPr>
            </w:pPr>
          </w:p>
        </w:tc>
        <w:tc>
          <w:tcPr>
            <w:tcW w:w="1990" w:type="dxa"/>
          </w:tcPr>
          <w:p w:rsidR="00441EB5" w:rsidRPr="00441EB5" w:rsidP="00441EB5">
            <w:pPr>
              <w:spacing w:line="240" w:lineRule="auto"/>
              <w:ind w:right="23"/>
              <w:rPr>
                <w:rFonts w:ascii="Tahoma" w:eastAsia="Calibri" w:hAnsi="Tahoma" w:cs="Tahoma"/>
                <w:sz w:val="19"/>
                <w:szCs w:val="19"/>
                <w:rtl/>
              </w:rPr>
            </w:pPr>
            <w:r w:rsidRPr="00441EB5">
              <w:rPr>
                <w:rFonts w:ascii="Tahoma" w:eastAsia="Calibri" w:hAnsi="Tahoma" w:cs="Tahoma"/>
                <w:sz w:val="19"/>
                <w:szCs w:val="19"/>
                <w:rtl/>
              </w:rPr>
              <w:t>גיל המשאיות הממוצע בשנת 2024 לעומת 5.1 שנים בשנת 2000</w:t>
            </w:r>
          </w:p>
        </w:tc>
      </w:tr>
      <w:tr w:rsidTr="00C14BE6">
        <w:tblPrEx>
          <w:tblW w:w="10069" w:type="dxa"/>
          <w:tblLook w:val="04A0"/>
        </w:tblPrEx>
        <w:trPr>
          <w:trHeight w:val="363"/>
        </w:trPr>
        <w:tc>
          <w:tcPr>
            <w:tcW w:w="10069" w:type="dxa"/>
            <w:gridSpan w:val="7"/>
          </w:tcPr>
          <w:p w:rsidR="00441EB5" w:rsidRPr="00441EB5" w:rsidP="00441EB5">
            <w:pPr>
              <w:spacing w:line="288" w:lineRule="auto"/>
              <w:jc w:val="center"/>
              <w:rPr>
                <w:rFonts w:ascii="Tahoma" w:eastAsia="Calibri" w:hAnsi="Tahoma" w:cs="Tahoma"/>
                <w:sz w:val="6"/>
                <w:szCs w:val="6"/>
                <w:rtl/>
              </w:rPr>
            </w:pPr>
          </w:p>
        </w:tc>
      </w:tr>
      <w:tr w:rsidTr="00C14BE6">
        <w:tblPrEx>
          <w:tblW w:w="10069" w:type="dxa"/>
          <w:tblLook w:val="04A0"/>
        </w:tblPrEx>
        <w:trPr>
          <w:trHeight w:val="227"/>
        </w:trPr>
        <w:tc>
          <w:tcPr>
            <w:tcW w:w="2557" w:type="dxa"/>
            <w:tcBorders>
              <w:bottom w:val="single" w:sz="12" w:space="0" w:color="auto"/>
            </w:tcBorders>
            <w:vAlign w:val="center"/>
          </w:tcPr>
          <w:p w:rsidR="00441EB5" w:rsidRPr="00441EB5" w:rsidP="00441EB5">
            <w:pPr>
              <w:spacing w:after="60" w:line="240" w:lineRule="auto"/>
              <w:rPr>
                <w:rFonts w:ascii="Tahoma" w:eastAsia="Calibri" w:hAnsi="Tahoma" w:cs="Tahoma"/>
                <w:spacing w:val="-10"/>
                <w:sz w:val="36"/>
                <w:szCs w:val="36"/>
              </w:rPr>
            </w:pPr>
            <w:r w:rsidRPr="00441EB5">
              <w:rPr>
                <w:rFonts w:ascii="Tahoma" w:eastAsia="Calibri" w:hAnsi="Tahoma" w:cs="Tahoma"/>
                <w:spacing w:val="-10"/>
                <w:sz w:val="36"/>
                <w:szCs w:val="36"/>
                <w:rtl/>
              </w:rPr>
              <w:t>0</w:t>
            </w:r>
          </w:p>
        </w:tc>
        <w:tc>
          <w:tcPr>
            <w:tcW w:w="416" w:type="dxa"/>
          </w:tcPr>
          <w:p w:rsidR="00441EB5" w:rsidRPr="00441EB5" w:rsidP="00441EB5">
            <w:pPr>
              <w:spacing w:line="240" w:lineRule="auto"/>
              <w:rPr>
                <w:rFonts w:ascii="Tahoma" w:eastAsia="Calibri" w:hAnsi="Tahoma" w:cs="Tahoma"/>
                <w:spacing w:val="-10"/>
              </w:rPr>
            </w:pPr>
          </w:p>
        </w:tc>
        <w:tc>
          <w:tcPr>
            <w:tcW w:w="2135" w:type="dxa"/>
            <w:tcBorders>
              <w:bottom w:val="single" w:sz="12" w:space="0" w:color="auto"/>
            </w:tcBorders>
            <w:vAlign w:val="center"/>
          </w:tcPr>
          <w:p w:rsidR="00441EB5" w:rsidRPr="00441EB5" w:rsidP="00441EB5">
            <w:pPr>
              <w:spacing w:after="60" w:line="240" w:lineRule="auto"/>
              <w:rPr>
                <w:rFonts w:ascii="Tahoma" w:eastAsia="Calibri" w:hAnsi="Tahoma" w:cs="Tahoma"/>
                <w:spacing w:val="-10"/>
                <w:sz w:val="36"/>
                <w:szCs w:val="36"/>
              </w:rPr>
            </w:pPr>
            <w:r w:rsidRPr="00441EB5">
              <w:rPr>
                <w:rFonts w:ascii="Tahoma" w:eastAsia="Calibri" w:hAnsi="Tahoma" w:cs="Tahoma"/>
                <w:spacing w:val="-10"/>
                <w:sz w:val="26"/>
                <w:szCs w:val="26"/>
                <w:rtl/>
              </w:rPr>
              <w:t>כ-</w:t>
            </w:r>
            <w:r w:rsidRPr="00441EB5">
              <w:rPr>
                <w:rFonts w:ascii="Tahoma" w:eastAsia="Calibri" w:hAnsi="Tahoma" w:cs="Tahoma"/>
                <w:spacing w:val="-10"/>
                <w:sz w:val="36"/>
                <w:szCs w:val="36"/>
                <w:rtl/>
              </w:rPr>
              <w:t>224,700</w:t>
            </w:r>
          </w:p>
        </w:tc>
        <w:tc>
          <w:tcPr>
            <w:tcW w:w="417" w:type="dxa"/>
          </w:tcPr>
          <w:p w:rsidR="00441EB5" w:rsidRPr="00441EB5" w:rsidP="00441EB5">
            <w:pPr>
              <w:spacing w:line="240" w:lineRule="auto"/>
              <w:rPr>
                <w:rFonts w:ascii="Tahoma" w:eastAsia="Calibri" w:hAnsi="Tahoma" w:cs="Tahoma"/>
                <w:spacing w:val="-10"/>
              </w:rPr>
            </w:pPr>
          </w:p>
        </w:tc>
        <w:tc>
          <w:tcPr>
            <w:tcW w:w="2135" w:type="dxa"/>
            <w:tcBorders>
              <w:bottom w:val="single" w:sz="12" w:space="0" w:color="auto"/>
            </w:tcBorders>
          </w:tcPr>
          <w:p w:rsidR="00441EB5" w:rsidRPr="00441EB5" w:rsidP="00441EB5">
            <w:pPr>
              <w:spacing w:after="60" w:line="240" w:lineRule="auto"/>
              <w:rPr>
                <w:rFonts w:ascii="Tahoma" w:eastAsia="Calibri" w:hAnsi="Tahoma" w:cs="Tahoma"/>
                <w:spacing w:val="-10"/>
                <w:sz w:val="36"/>
                <w:szCs w:val="36"/>
              </w:rPr>
            </w:pPr>
            <w:r w:rsidRPr="00441EB5">
              <w:rPr>
                <w:rFonts w:ascii="Tahoma" w:eastAsia="Calibri" w:hAnsi="Tahoma" w:cs="Tahoma"/>
                <w:spacing w:val="-10"/>
                <w:sz w:val="26"/>
                <w:szCs w:val="26"/>
                <w:rtl/>
              </w:rPr>
              <w:t>כ-</w:t>
            </w:r>
            <w:r w:rsidRPr="00441EB5">
              <w:rPr>
                <w:rFonts w:ascii="Tahoma" w:eastAsia="Calibri" w:hAnsi="Tahoma" w:cs="Tahoma"/>
                <w:spacing w:val="-10"/>
                <w:sz w:val="36"/>
                <w:szCs w:val="36"/>
                <w:rtl/>
              </w:rPr>
              <w:t xml:space="preserve">4.9% </w:t>
            </w:r>
            <w:r w:rsidRPr="00441EB5">
              <w:rPr>
                <w:rFonts w:ascii="Tahoma" w:eastAsia="Calibri" w:hAnsi="Tahoma" w:cs="Tahoma"/>
                <w:spacing w:val="-10"/>
                <w:sz w:val="32"/>
                <w:szCs w:val="32"/>
                <w:rtl/>
              </w:rPr>
              <w:t>בלבד</w:t>
            </w:r>
          </w:p>
        </w:tc>
        <w:tc>
          <w:tcPr>
            <w:tcW w:w="417" w:type="dxa"/>
          </w:tcPr>
          <w:p w:rsidR="00441EB5" w:rsidRPr="00441EB5" w:rsidP="00441EB5">
            <w:pPr>
              <w:spacing w:line="240" w:lineRule="auto"/>
              <w:rPr>
                <w:rFonts w:ascii="Tahoma" w:eastAsia="Calibri" w:hAnsi="Tahoma" w:cs="Tahoma"/>
                <w:spacing w:val="-10"/>
              </w:rPr>
            </w:pPr>
          </w:p>
        </w:tc>
        <w:tc>
          <w:tcPr>
            <w:tcW w:w="1990" w:type="dxa"/>
            <w:tcBorders>
              <w:bottom w:val="single" w:sz="12" w:space="0" w:color="auto"/>
            </w:tcBorders>
            <w:vAlign w:val="center"/>
          </w:tcPr>
          <w:p w:rsidR="00441EB5" w:rsidRPr="00441EB5" w:rsidP="00441EB5">
            <w:pPr>
              <w:spacing w:after="60" w:line="240" w:lineRule="auto"/>
              <w:rPr>
                <w:rFonts w:ascii="Tahoma" w:eastAsia="Calibri" w:hAnsi="Tahoma" w:cs="Tahoma"/>
                <w:spacing w:val="-10"/>
                <w:sz w:val="36"/>
                <w:szCs w:val="36"/>
              </w:rPr>
            </w:pPr>
            <w:r w:rsidRPr="00441EB5">
              <w:rPr>
                <w:rFonts w:ascii="Tahoma" w:eastAsia="Calibri" w:hAnsi="Tahoma" w:cs="Tahoma"/>
                <w:spacing w:val="-10"/>
                <w:sz w:val="36"/>
                <w:szCs w:val="36"/>
                <w:rtl/>
              </w:rPr>
              <w:t>1,000,000</w:t>
            </w:r>
          </w:p>
        </w:tc>
      </w:tr>
      <w:tr w:rsidTr="00C14BE6">
        <w:tblPrEx>
          <w:tblW w:w="10069" w:type="dxa"/>
          <w:tblLook w:val="04A0"/>
        </w:tblPrEx>
        <w:trPr>
          <w:trHeight w:val="70"/>
        </w:trPr>
        <w:tc>
          <w:tcPr>
            <w:tcW w:w="10069" w:type="dxa"/>
            <w:gridSpan w:val="7"/>
            <w:vAlign w:val="center"/>
          </w:tcPr>
          <w:p w:rsidR="00441EB5" w:rsidRPr="00441EB5" w:rsidP="00441EB5">
            <w:pPr>
              <w:spacing w:line="288" w:lineRule="auto"/>
              <w:rPr>
                <w:rFonts w:ascii="Tahoma" w:eastAsia="Calibri" w:hAnsi="Tahoma" w:cs="Tahoma"/>
                <w:spacing w:val="-10"/>
                <w:sz w:val="6"/>
                <w:szCs w:val="6"/>
                <w:rtl/>
              </w:rPr>
            </w:pPr>
          </w:p>
        </w:tc>
      </w:tr>
      <w:tr w:rsidTr="00C14BE6">
        <w:tblPrEx>
          <w:tblW w:w="10069" w:type="dxa"/>
          <w:tblLook w:val="04A0"/>
        </w:tblPrEx>
        <w:trPr>
          <w:trHeight w:val="1153"/>
        </w:trPr>
        <w:tc>
          <w:tcPr>
            <w:tcW w:w="2557" w:type="dxa"/>
          </w:tcPr>
          <w:p w:rsidR="00441EB5" w:rsidRPr="00441EB5" w:rsidP="00441EB5">
            <w:pPr>
              <w:spacing w:line="240" w:lineRule="auto"/>
              <w:ind w:right="23"/>
              <w:rPr>
                <w:rFonts w:ascii="Tahoma" w:eastAsia="Calibri" w:hAnsi="Tahoma" w:cs="Tahoma"/>
                <w:sz w:val="19"/>
                <w:szCs w:val="19"/>
              </w:rPr>
            </w:pPr>
            <w:r w:rsidRPr="00441EB5">
              <w:rPr>
                <w:rFonts w:ascii="Tahoma" w:eastAsia="Calibri" w:hAnsi="Tahoma" w:cs="Tahoma"/>
                <w:sz w:val="19"/>
                <w:szCs w:val="19"/>
                <w:rtl/>
              </w:rPr>
              <w:t>מספר אזורי אוויר נקי שהוקמו מאז תום הביקורת הקודמת (אפריל 2023) ועד מועד סיום הביקורת המעקב (ינואר 2026). יש בישראל רק 2 אזורים שהוכרזו כאזור אוויר נקי</w:t>
            </w:r>
          </w:p>
        </w:tc>
        <w:tc>
          <w:tcPr>
            <w:tcW w:w="416" w:type="dxa"/>
          </w:tcPr>
          <w:p w:rsidR="00441EB5" w:rsidRPr="00441EB5" w:rsidP="00441EB5">
            <w:pPr>
              <w:spacing w:line="288" w:lineRule="auto"/>
              <w:rPr>
                <w:rFonts w:ascii="Tahoma" w:eastAsia="Calibri" w:hAnsi="Tahoma" w:cs="Tahoma"/>
                <w:sz w:val="19"/>
                <w:szCs w:val="19"/>
                <w:rtl/>
              </w:rPr>
            </w:pPr>
          </w:p>
        </w:tc>
        <w:tc>
          <w:tcPr>
            <w:tcW w:w="2135" w:type="dxa"/>
          </w:tcPr>
          <w:p w:rsidR="00441EB5" w:rsidRPr="00441EB5" w:rsidP="00441EB5">
            <w:pPr>
              <w:spacing w:line="240" w:lineRule="auto"/>
              <w:ind w:right="23"/>
              <w:rPr>
                <w:rFonts w:ascii="Tahoma" w:eastAsia="Calibri" w:hAnsi="Tahoma" w:cs="Tahoma"/>
                <w:sz w:val="19"/>
                <w:szCs w:val="19"/>
                <w:rtl/>
              </w:rPr>
            </w:pPr>
            <w:r w:rsidRPr="00441EB5">
              <w:rPr>
                <w:rFonts w:ascii="Tahoma" w:eastAsia="Calibri" w:hAnsi="Tahoma" w:cs="Tahoma"/>
                <w:sz w:val="19"/>
                <w:szCs w:val="19"/>
                <w:rtl/>
              </w:rPr>
              <w:t xml:space="preserve">המספר המשוער של כלי הרכב החשמליים שנעו בכבישי ישראל בסוף 2025. עלייה של כמעט 1,400% לעומת 16,251 רכבים חשמליים בשנת 2021 </w:t>
            </w:r>
          </w:p>
        </w:tc>
        <w:tc>
          <w:tcPr>
            <w:tcW w:w="417" w:type="dxa"/>
          </w:tcPr>
          <w:p w:rsidR="00441EB5" w:rsidRPr="00441EB5" w:rsidP="00441EB5">
            <w:pPr>
              <w:spacing w:line="288" w:lineRule="auto"/>
              <w:rPr>
                <w:rFonts w:ascii="Tahoma" w:eastAsia="Calibri" w:hAnsi="Tahoma" w:cs="Tahoma"/>
                <w:sz w:val="19"/>
                <w:szCs w:val="19"/>
                <w:rtl/>
              </w:rPr>
            </w:pPr>
          </w:p>
        </w:tc>
        <w:tc>
          <w:tcPr>
            <w:tcW w:w="2135" w:type="dxa"/>
          </w:tcPr>
          <w:p w:rsidR="00441EB5" w:rsidRPr="00441EB5" w:rsidP="00441EB5">
            <w:pPr>
              <w:spacing w:line="240" w:lineRule="auto"/>
              <w:ind w:right="23"/>
              <w:rPr>
                <w:rFonts w:ascii="Tahoma" w:eastAsia="Calibri" w:hAnsi="Tahoma" w:cs="Tahoma"/>
                <w:sz w:val="19"/>
                <w:szCs w:val="19"/>
                <w:rtl/>
              </w:rPr>
            </w:pPr>
            <w:r w:rsidRPr="00441EB5">
              <w:rPr>
                <w:rFonts w:ascii="Tahoma" w:eastAsia="Calibri" w:hAnsi="Tahoma" w:cs="Tahoma"/>
                <w:sz w:val="19"/>
                <w:szCs w:val="19"/>
                <w:rtl/>
              </w:rPr>
              <w:t>שיעור כלי הרכב החשמליים אשר ניתן להטעין במרחב הציבורי, בו זמנית, נכון לאפריל 2025</w:t>
            </w:r>
          </w:p>
        </w:tc>
        <w:tc>
          <w:tcPr>
            <w:tcW w:w="417" w:type="dxa"/>
          </w:tcPr>
          <w:p w:rsidR="00441EB5" w:rsidRPr="00441EB5" w:rsidP="00441EB5">
            <w:pPr>
              <w:spacing w:line="288" w:lineRule="auto"/>
              <w:rPr>
                <w:rFonts w:ascii="Tahoma" w:eastAsia="Calibri" w:hAnsi="Tahoma" w:cs="Tahoma"/>
                <w:sz w:val="19"/>
                <w:szCs w:val="19"/>
                <w:rtl/>
              </w:rPr>
            </w:pPr>
          </w:p>
        </w:tc>
        <w:tc>
          <w:tcPr>
            <w:tcW w:w="1990" w:type="dxa"/>
          </w:tcPr>
          <w:p w:rsidR="00441EB5" w:rsidRPr="00441EB5" w:rsidP="00441EB5">
            <w:pPr>
              <w:spacing w:line="240" w:lineRule="auto"/>
              <w:ind w:right="23"/>
              <w:rPr>
                <w:rFonts w:ascii="Tahoma" w:eastAsia="Calibri" w:hAnsi="Tahoma" w:cs="Tahoma"/>
                <w:sz w:val="19"/>
                <w:szCs w:val="19"/>
                <w:rtl/>
              </w:rPr>
            </w:pPr>
            <w:r w:rsidRPr="00441EB5">
              <w:rPr>
                <w:rFonts w:ascii="Tahoma" w:eastAsia="Calibri" w:hAnsi="Tahoma" w:cs="Tahoma"/>
                <w:sz w:val="19"/>
                <w:szCs w:val="19"/>
                <w:rtl/>
              </w:rPr>
              <w:t xml:space="preserve">מספר מונים חכמים שהותקנו בישראל עד סוף אוגוסט 2024, עלייה של </w:t>
            </w:r>
            <w:r w:rsidR="00DF2479">
              <w:rPr>
                <w:rFonts w:ascii="Tahoma" w:eastAsia="Calibri" w:hAnsi="Tahoma" w:cs="Tahoma"/>
                <w:sz w:val="19"/>
                <w:szCs w:val="19"/>
                <w:rtl/>
              </w:rPr>
              <w:br/>
            </w:r>
            <w:r w:rsidRPr="00441EB5">
              <w:rPr>
                <w:rFonts w:ascii="Tahoma" w:eastAsia="Calibri" w:hAnsi="Tahoma" w:cs="Tahoma"/>
                <w:sz w:val="19"/>
                <w:szCs w:val="19"/>
                <w:rtl/>
              </w:rPr>
              <w:t xml:space="preserve">כ-350% לעומת 283,000 בסוף שנת 2022 </w:t>
            </w:r>
          </w:p>
        </w:tc>
      </w:tr>
    </w:tbl>
    <w:p w:rsidR="00441EB5" w:rsidRPr="00441EB5" w:rsidP="00441EB5">
      <w:pPr>
        <w:spacing w:line="288" w:lineRule="auto"/>
        <w:ind w:left="-710"/>
        <w:rPr>
          <w:rFonts w:ascii="Tahoma" w:eastAsia="Calibri" w:hAnsi="Tahoma" w:cs="Tahoma"/>
          <w:rtl/>
        </w:rPr>
      </w:pPr>
    </w:p>
    <w:p w:rsidR="00441EB5" w:rsidRPr="00441EB5" w:rsidP="0030386A">
      <w:pPr>
        <w:bidi w:val="0"/>
        <w:spacing w:after="200" w:line="276" w:lineRule="auto"/>
        <w:rPr>
          <w:rFonts w:ascii="Tahoma" w:eastAsia="Calibri" w:hAnsi="Tahoma" w:cs="Tahoma"/>
          <w:rtl/>
        </w:rPr>
      </w:pPr>
      <w:r>
        <w:rPr>
          <w:rFonts w:ascii="Tahoma" w:eastAsia="Calibri" w:hAnsi="Tahoma" w:cs="Tahoma"/>
          <w:rtl/>
        </w:rPr>
        <w:br w:type="page"/>
      </w:r>
    </w:p>
    <w:tbl>
      <w:tblPr>
        <w:tblStyle w:val="11"/>
        <w:tblpPr w:leftFromText="180" w:rightFromText="180" w:vertAnchor="text" w:tblpXSpec="center" w:tblpY="1"/>
        <w:tblOverlap w:val="never"/>
        <w:bidiVisual/>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7"/>
        <w:gridCol w:w="8380"/>
      </w:tblGrid>
      <w:tr w:rsidTr="00C14BE6">
        <w:tblPrEx>
          <w:tblW w:w="9617" w:type="dxa"/>
          <w:tblLook w:val="04A0"/>
        </w:tblPrEx>
        <w:trPr>
          <w:trHeight w:val="495"/>
        </w:trPr>
        <w:tc>
          <w:tcPr>
            <w:tcW w:w="9617" w:type="dxa"/>
            <w:gridSpan w:val="2"/>
            <w:vAlign w:val="center"/>
          </w:tcPr>
          <w:p w:rsidR="00441EB5" w:rsidRPr="00441EB5" w:rsidP="00441EB5">
            <w:pPr>
              <w:spacing w:line="288" w:lineRule="auto"/>
              <w:rPr>
                <w:rFonts w:eastAsia="Calibri"/>
                <w:sz w:val="17"/>
                <w:szCs w:val="17"/>
                <w:rtl/>
              </w:rPr>
            </w:pPr>
            <w:r w:rsidRPr="00441EB5">
              <w:rPr>
                <w:rFonts w:eastAsia="Calibri"/>
                <w:noProof/>
              </w:rPr>
              <w:drawing>
                <wp:inline distT="0" distB="0" distL="0" distR="0">
                  <wp:extent cx="5969635" cy="498472"/>
                  <wp:effectExtent l="0" t="0" r="0" b="0"/>
                  <wp:docPr id="43" name="תמונה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תקציר תמונה 3.3.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13954" cy="502173"/>
                          </a:xfrm>
                          <a:prstGeom prst="rect">
                            <a:avLst/>
                          </a:prstGeom>
                        </pic:spPr>
                      </pic:pic>
                    </a:graphicData>
                  </a:graphic>
                </wp:inline>
              </w:drawing>
            </w:r>
          </w:p>
        </w:tc>
      </w:tr>
      <w:tr w:rsidTr="00C14BE6">
        <w:tblPrEx>
          <w:tblW w:w="9617" w:type="dxa"/>
          <w:tblLook w:val="04A0"/>
        </w:tblPrEx>
        <w:trPr>
          <w:trHeight w:val="1019"/>
        </w:trPr>
        <w:tc>
          <w:tcPr>
            <w:tcW w:w="1237" w:type="dxa"/>
            <w:vAlign w:val="center"/>
          </w:tcPr>
          <w:p w:rsidR="00441EB5" w:rsidRPr="00441EB5" w:rsidP="00441EB5">
            <w:pPr>
              <w:spacing w:line="288" w:lineRule="auto"/>
              <w:rPr>
                <w:rFonts w:eastAsia="Calibri"/>
                <w:sz w:val="17"/>
                <w:szCs w:val="17"/>
                <w:rtl/>
              </w:rPr>
            </w:pPr>
            <w:r w:rsidRPr="00441EB5">
              <w:rPr>
                <w:rFonts w:eastAsia="Calibri"/>
                <w:noProof/>
              </w:rPr>
              <w:drawing>
                <wp:anchor distT="0" distB="0" distL="114300" distR="114300" simplePos="0" relativeHeight="251659264" behindDoc="0" locked="0" layoutInCell="1" allowOverlap="1">
                  <wp:simplePos x="0" y="0"/>
                  <wp:positionH relativeFrom="column">
                    <wp:posOffset>111760</wp:posOffset>
                  </wp:positionH>
                  <wp:positionV relativeFrom="paragraph">
                    <wp:posOffset>-318135</wp:posOffset>
                  </wp:positionV>
                  <wp:extent cx="445135" cy="445135"/>
                  <wp:effectExtent l="0" t="0" r="0" b="0"/>
                  <wp:wrapNone/>
                  <wp:docPr id="45" name="תמונה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56"/>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1EB5">
              <w:rPr>
                <w:rFonts w:eastAsia="Calibri"/>
                <w:noProof/>
              </w:rPr>
              <w:drawing>
                <wp:anchor distT="0" distB="0" distL="114300" distR="114300" simplePos="0" relativeHeight="251658240" behindDoc="0" locked="0" layoutInCell="1" allowOverlap="1">
                  <wp:simplePos x="0" y="0"/>
                  <wp:positionH relativeFrom="column">
                    <wp:posOffset>5289550</wp:posOffset>
                  </wp:positionH>
                  <wp:positionV relativeFrom="paragraph">
                    <wp:posOffset>-50800</wp:posOffset>
                  </wp:positionV>
                  <wp:extent cx="445135" cy="445135"/>
                  <wp:effectExtent l="0" t="0" r="0" b="0"/>
                  <wp:wrapNone/>
                  <wp:docPr id="46" name="תמונה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56"/>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380" w:type="dxa"/>
            <w:shd w:val="clear" w:color="auto" w:fill="auto"/>
            <w:vAlign w:val="center"/>
          </w:tcPr>
          <w:p w:rsidR="00441EB5" w:rsidRPr="00441EB5" w:rsidP="00441EB5">
            <w:pPr>
              <w:spacing w:line="288" w:lineRule="auto"/>
              <w:jc w:val="both"/>
              <w:rPr>
                <w:rFonts w:ascii="Tahoma" w:eastAsia="Calibri" w:hAnsi="Tahoma" w:cs="Tahoma"/>
                <w:sz w:val="19"/>
                <w:szCs w:val="19"/>
                <w:rtl/>
              </w:rPr>
            </w:pPr>
            <w:r w:rsidRPr="00441EB5">
              <w:rPr>
                <w:rFonts w:ascii="Tahoma" w:eastAsia="Calibri" w:hAnsi="Tahoma" w:cs="Tahoma"/>
                <w:sz w:val="19"/>
                <w:szCs w:val="19"/>
                <w:rtl/>
              </w:rPr>
              <w:t>משרד מבקר המדינה ערך בחודשים יוני 2025 עד ינואר 2026 ביקורת מעקב בעניין תיקון הליקויים שהועלו בדוח הקודם שפורסם בינואר 2024</w:t>
            </w:r>
            <w:r>
              <w:rPr>
                <w:rFonts w:ascii="Tahoma" w:eastAsia="Calibri" w:hAnsi="Tahoma" w:cs="Tahoma"/>
                <w:sz w:val="19"/>
                <w:szCs w:val="19"/>
                <w:vertAlign w:val="superscript"/>
                <w:rtl/>
              </w:rPr>
              <w:footnoteReference w:id="3"/>
            </w:r>
            <w:r w:rsidRPr="00441EB5">
              <w:rPr>
                <w:rFonts w:ascii="Tahoma" w:eastAsia="Calibri" w:hAnsi="Tahoma" w:cs="Tahoma"/>
                <w:sz w:val="19"/>
                <w:szCs w:val="19"/>
                <w:rtl/>
              </w:rPr>
              <w:t xml:space="preserve"> (ביקורת המעקב). הבדיקה נעשתה בגופים אלה: משרד התחבורה, משרד האנרגיה והתשתיות (משרד האנרגיה), המשרד להגנת הסביבה. בדיקות השלמה נעשו במשרד הפנים- מינהל התכנון.</w:t>
            </w:r>
          </w:p>
          <w:p w:rsidR="00441EB5" w:rsidRPr="00441EB5" w:rsidP="00441EB5">
            <w:pPr>
              <w:spacing w:line="288" w:lineRule="auto"/>
              <w:rPr>
                <w:rFonts w:eastAsia="Calibri"/>
                <w:sz w:val="19"/>
                <w:szCs w:val="19"/>
                <w:rtl/>
              </w:rPr>
            </w:pPr>
            <w:r w:rsidRPr="00441EB5">
              <w:rPr>
                <w:rFonts w:eastAsia="Calibri"/>
                <w:sz w:val="19"/>
                <w:szCs w:val="19"/>
                <w:rtl/>
              </w:rPr>
              <w:t xml:space="preserve"> </w:t>
            </w:r>
          </w:p>
        </w:tc>
      </w:tr>
    </w:tbl>
    <w:p w:rsidR="00441EB5" w:rsidRPr="00441EB5" w:rsidP="00441EB5">
      <w:pPr>
        <w:spacing w:line="288" w:lineRule="auto"/>
        <w:ind w:left="-710"/>
        <w:rPr>
          <w:rFonts w:ascii="Tahoma" w:eastAsia="Calibri" w:hAnsi="Tahoma" w:cs="Tahoma"/>
          <w:noProof/>
        </w:rPr>
      </w:pPr>
    </w:p>
    <w:p w:rsidR="00441EB5" w:rsidRPr="00441EB5" w:rsidP="00441EB5">
      <w:pPr>
        <w:spacing w:line="288" w:lineRule="auto"/>
        <w:ind w:left="-710"/>
        <w:rPr>
          <w:rFonts w:ascii="Tahoma" w:eastAsia="Calibri" w:hAnsi="Tahoma" w:cs="Tahoma"/>
          <w:noProof/>
          <w:rtl/>
        </w:rPr>
      </w:pPr>
      <w:r w:rsidRPr="00441EB5">
        <w:rPr>
          <w:rFonts w:ascii="Tahoma" w:eastAsia="Calibri" w:hAnsi="Tahoma" w:cs="Tahoma"/>
          <w:noProof/>
        </w:rPr>
        <w:drawing>
          <wp:inline distT="0" distB="0" distL="0" distR="0">
            <wp:extent cx="6104255" cy="438829"/>
            <wp:effectExtent l="0" t="0" r="0" b="0"/>
            <wp:docPr id="47" name="תמונה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תקציר תמונה 2.2.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6327802" cy="454900"/>
                    </a:xfrm>
                    <a:prstGeom prst="rect">
                      <a:avLst/>
                    </a:prstGeom>
                  </pic:spPr>
                </pic:pic>
              </a:graphicData>
            </a:graphic>
          </wp:inline>
        </w:drawing>
      </w:r>
    </w:p>
    <w:p w:rsidR="00441EB5" w:rsidRPr="00441EB5" w:rsidP="00441EB5">
      <w:pPr>
        <w:spacing w:line="288" w:lineRule="auto"/>
        <w:ind w:left="-710"/>
        <w:rPr>
          <w:rFonts w:ascii="Tahoma" w:eastAsia="Calibri" w:hAnsi="Tahoma" w:cs="Tahoma"/>
          <w:noProof/>
          <w:rtl/>
        </w:rPr>
      </w:pPr>
    </w:p>
    <w:p w:rsidR="00441EB5" w:rsidRPr="00441EB5" w:rsidP="00441EB5">
      <w:pPr>
        <w:spacing w:line="288" w:lineRule="auto"/>
        <w:ind w:left="-710" w:right="-567"/>
        <w:rPr>
          <w:rFonts w:ascii="Tahoma" w:eastAsia="Calibri" w:hAnsi="Tahoma" w:cs="Tahoma"/>
          <w:rtl/>
        </w:rPr>
      </w:pPr>
      <w:r w:rsidRPr="00441EB5">
        <w:rPr>
          <w:rFonts w:ascii="Tahoma" w:eastAsia="Calibri" w:hAnsi="Tahoma" w:cs="Tahoma"/>
          <w:noProof/>
          <w:rtl/>
        </w:rPr>
        <w:drawing>
          <wp:inline distT="0" distB="0" distL="0" distR="0">
            <wp:extent cx="2616789" cy="200650"/>
            <wp:effectExtent l="0" t="0" r="0" b="9525"/>
            <wp:docPr id="174388241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882411" name="DISLIKE.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16789" cy="200650"/>
                    </a:xfrm>
                    <a:prstGeom prst="rect">
                      <a:avLst/>
                    </a:prstGeom>
                  </pic:spPr>
                </pic:pic>
              </a:graphicData>
            </a:graphic>
          </wp:inline>
        </w:drawing>
      </w:r>
    </w:p>
    <w:p w:rsidR="00441EB5" w:rsidRPr="00441EB5" w:rsidP="00441EB5">
      <w:pPr>
        <w:numPr>
          <w:ilvl w:val="0"/>
          <w:numId w:val="27"/>
        </w:numPr>
        <w:spacing w:after="240" w:line="288" w:lineRule="auto"/>
        <w:ind w:left="-142" w:right="-567" w:hanging="595"/>
        <w:rPr>
          <w:rFonts w:ascii="Tahoma" w:eastAsia="Calibri" w:hAnsi="Tahoma" w:cs="Tahoma"/>
          <w:sz w:val="19"/>
          <w:szCs w:val="19"/>
          <w:rtl/>
        </w:rPr>
      </w:pPr>
      <w:r w:rsidRPr="00441EB5">
        <w:rPr>
          <w:rFonts w:ascii="Tahoma" w:eastAsia="Calibri" w:hAnsi="Tahoma" w:cs="Tahoma"/>
          <w:b/>
          <w:bCs/>
          <w:sz w:val="19"/>
          <w:szCs w:val="19"/>
          <w:rtl/>
        </w:rPr>
        <w:t xml:space="preserve">דיווח על תיקון ליקויים שהועלו בביקורת הקודמת </w:t>
      </w:r>
      <w:r w:rsidRPr="00441EB5">
        <w:rPr>
          <w:rFonts w:ascii="Tahoma" w:eastAsia="Calibri" w:hAnsi="Tahoma" w:cs="Tahoma"/>
          <w:sz w:val="19"/>
          <w:szCs w:val="19"/>
          <w:rtl/>
        </w:rPr>
        <w:t>-</w:t>
      </w:r>
      <w:r w:rsidRPr="00441EB5">
        <w:rPr>
          <w:rFonts w:ascii="Tahoma" w:eastAsia="Calibri" w:hAnsi="Tahoma" w:cs="Tahoma"/>
          <w:b/>
          <w:bCs/>
          <w:sz w:val="19"/>
          <w:szCs w:val="19"/>
          <w:rtl/>
        </w:rPr>
        <w:t xml:space="preserve"> </w:t>
      </w:r>
      <w:r w:rsidRPr="00441EB5">
        <w:rPr>
          <w:rFonts w:ascii="Tahoma" w:eastAsia="Calibri" w:hAnsi="Tahoma" w:cs="Tahoma"/>
          <w:sz w:val="19"/>
          <w:szCs w:val="19"/>
          <w:rtl/>
        </w:rPr>
        <w:t xml:space="preserve">בביקורת המעקב עלה כי בקשות לדיווח על תיקון הליקויים שעלו בדוח הקודם נשלחו ל-23 גופים מבוקרים, מהם 18 (כ-78%) דיווחו למשרד מבקר המדינה על תיקון הליקויים כנדרש לפי חוק מבקר המדינה, התשי"ח-1958 [נוסח משולב]; וגוף מבוקר אחד דיווח למשרד מבקר המדינה על תיקון הליקויים באיחור של כשנה וחצי. עם זאת, עלה כי 4 מתוך 23 הגופים המבוקרים האמורים (כ-17%) לא דיווחו על תיקון הליקויים בהתאם לחוק. </w:t>
      </w:r>
      <w:r w:rsidRPr="00441EB5">
        <w:rPr>
          <w:rFonts w:ascii="Tahoma" w:eastAsia="Calibri" w:hAnsi="Tahoma" w:cs="Tahoma"/>
          <w:b/>
          <w:bCs/>
          <w:sz w:val="19"/>
          <w:szCs w:val="19"/>
          <w:rtl/>
        </w:rPr>
        <w:t>לא התקבל דיווח מהגופים האלה: רשות מקרקעי ישראל, המועצה האזורית עמק המעיינות, עיריית קריית ביאליק ועיריית בית שאן.</w:t>
      </w:r>
    </w:p>
    <w:p w:rsidR="00441EB5" w:rsidRPr="00441EB5" w:rsidP="00441EB5">
      <w:pPr>
        <w:numPr>
          <w:ilvl w:val="0"/>
          <w:numId w:val="27"/>
        </w:numPr>
        <w:spacing w:after="120" w:line="288" w:lineRule="auto"/>
        <w:ind w:left="-142" w:right="-567" w:hanging="595"/>
        <w:rPr>
          <w:rFonts w:ascii="Tahoma" w:eastAsia="Calibri" w:hAnsi="Tahoma" w:cs="Tahoma"/>
          <w:sz w:val="19"/>
          <w:szCs w:val="19"/>
        </w:rPr>
      </w:pPr>
      <w:r w:rsidRPr="00441EB5">
        <w:rPr>
          <w:rFonts w:ascii="Tahoma" w:eastAsia="Calibri" w:hAnsi="Tahoma" w:cs="Tahoma"/>
          <w:b/>
          <w:bCs/>
          <w:sz w:val="19"/>
          <w:szCs w:val="19"/>
          <w:rtl/>
        </w:rPr>
        <w:t xml:space="preserve">השפעת גיל כלי הרכב הכבדים על זיהום האוויר </w:t>
      </w:r>
      <w:r w:rsidRPr="00441EB5">
        <w:rPr>
          <w:rFonts w:ascii="Tahoma" w:eastAsia="Calibri" w:hAnsi="Tahoma" w:cs="Tahoma"/>
          <w:sz w:val="19"/>
          <w:szCs w:val="19"/>
          <w:rtl/>
        </w:rPr>
        <w:t xml:space="preserve">- בביקורת הקודמת עלה כי גילן הממוצע של משאיות, המייצרות חלק ניכר מזיהום האוויר, הולך ועולה לאורך השנים (מ-5.1 שנים ב-2000 ל-9.4 שנים ב-2021). זאת לעומת מגמת היציבות בגילם הממוצע של כלי הרכב הפרטיים והירידה העקבית בגיל הממוצע של האוטובוסים. עוד נמצא בביקורת הקודמת כי שיעור המשאיות הוא 7.2% מסך הרכבים, וחלקן בסך הנסועה הוא 12.4%, אך חלקן בעלות זיהום האוויר מתחבורה כבישית הוא 44%. בביקורת המעקב נמצא כי הליקוי </w:t>
      </w:r>
      <w:r w:rsidRPr="00441EB5">
        <w:rPr>
          <w:rFonts w:ascii="Tahoma" w:eastAsia="Calibri" w:hAnsi="Tahoma" w:cs="Tahoma"/>
          <w:b/>
          <w:bCs/>
          <w:sz w:val="19"/>
          <w:szCs w:val="19"/>
          <w:rtl/>
        </w:rPr>
        <w:t>תוקן במידה מועטה</w:t>
      </w:r>
      <w:r w:rsidRPr="00441EB5">
        <w:rPr>
          <w:rFonts w:ascii="Tahoma" w:eastAsia="Calibri" w:hAnsi="Tahoma" w:cs="Tahoma"/>
          <w:sz w:val="19"/>
          <w:szCs w:val="19"/>
          <w:rtl/>
        </w:rPr>
        <w:t xml:space="preserve">. אומנם התמתנה מגמת העלייה בגיל הממוצע של המשאיות, אך הוא המשיך לעלות בקצב איטי ועלה מ-9.4 שנים בשנת 2021 ל-9.5 שנים בשנת 2024. </w:t>
      </w:r>
    </w:p>
    <w:p w:rsidR="00441EB5" w:rsidRPr="00441EB5" w:rsidP="00441EB5">
      <w:pPr>
        <w:spacing w:after="120" w:line="288" w:lineRule="auto"/>
        <w:ind w:left="-142" w:right="-567"/>
        <w:rPr>
          <w:rFonts w:ascii="Tahoma" w:eastAsia="Calibri" w:hAnsi="Tahoma" w:cs="Tahoma"/>
          <w:sz w:val="19"/>
          <w:szCs w:val="19"/>
          <w:rtl/>
        </w:rPr>
      </w:pPr>
      <w:r w:rsidRPr="00441EB5">
        <w:rPr>
          <w:rFonts w:ascii="Tahoma" w:eastAsia="Calibri" w:hAnsi="Tahoma" w:cs="Tahoma"/>
          <w:sz w:val="19"/>
          <w:szCs w:val="19"/>
          <w:rtl/>
        </w:rPr>
        <w:t xml:space="preserve">כמו כן, חלה עלייה נוספת בגיל הממוצע של רכבים פרטים מ-7 שנים בשנת 2021 ל-7.6 שנים בשנת 2024, וכן בין השנים 2021 ו-2024 חלה עלייה מסוימת בגיל הממוצע של המוניות, מ-2.6 ל-2.8. הגיל הממוצע של האוטובוסים ירד במעט מ-5.2 שנים בשנת 2021 ל-5 שנים בשנת 2024, אך גילם הממוצע של האוטובוסים הזעירים עלה במעט: מ-6.7 שנים בשנת 2021 ל-6.8 שנים בשנת 2024. </w:t>
      </w:r>
    </w:p>
    <w:p w:rsidR="00441EB5" w:rsidRPr="00441EB5" w:rsidP="00441EB5">
      <w:pPr>
        <w:spacing w:after="240" w:line="288" w:lineRule="auto"/>
        <w:ind w:left="-143" w:right="-567"/>
        <w:rPr>
          <w:rFonts w:ascii="Tahoma" w:eastAsia="Calibri" w:hAnsi="Tahoma" w:cs="Tahoma"/>
          <w:sz w:val="19"/>
          <w:szCs w:val="19"/>
        </w:rPr>
      </w:pPr>
      <w:r w:rsidRPr="00441EB5">
        <w:rPr>
          <w:rFonts w:ascii="Tahoma" w:eastAsia="Calibri" w:hAnsi="Tahoma" w:cs="Tahoma"/>
          <w:sz w:val="19"/>
          <w:szCs w:val="19"/>
          <w:rtl/>
        </w:rPr>
        <w:t>עוד עלה בביקורת המעקב כי שיעורם של רכבי המשא והמשאיות הכבדות לשנת 2024 הוא רק כ-7.2% ממצבת כלי הרכב, והם תורמים לסך הנסועה השנתית כ-12.4%, אך השפעתם על סך העלות החיצונית מזיהום האוויר מתחבורה כבישית נאמדת בכ-3.2 מיליארד ש"ח על פי נתוני 2018 (כ-44% מזיהום האוויר מהתחבורה הכבישית)</w:t>
      </w:r>
      <w:r>
        <w:rPr>
          <w:rFonts w:ascii="Tahoma" w:eastAsia="Calibri" w:hAnsi="Tahoma" w:cs="Tahoma"/>
          <w:sz w:val="19"/>
          <w:szCs w:val="19"/>
          <w:vertAlign w:val="superscript"/>
          <w:rtl/>
        </w:rPr>
        <w:footnoteReference w:id="4"/>
      </w:r>
      <w:r w:rsidRPr="00441EB5">
        <w:rPr>
          <w:rFonts w:ascii="Tahoma" w:eastAsia="Calibri" w:hAnsi="Tahoma" w:cs="Tahoma"/>
          <w:sz w:val="19"/>
          <w:szCs w:val="19"/>
          <w:rtl/>
        </w:rPr>
        <w:t xml:space="preserve">. יוצא מכאן כי העלות החיצונית מזיהום האוויר ממשאית (רכב משא ומשאית כבדה) היא הגבוהה ביותר מבין כלי התחבורה בכבישים. </w:t>
      </w:r>
    </w:p>
    <w:p w:rsidR="00441EB5" w:rsidRPr="00441EB5" w:rsidP="00880F2A">
      <w:pPr>
        <w:numPr>
          <w:ilvl w:val="0"/>
          <w:numId w:val="27"/>
        </w:numPr>
        <w:spacing w:after="160" w:line="288" w:lineRule="auto"/>
        <w:ind w:left="-142" w:right="-567" w:hanging="595"/>
        <w:rPr>
          <w:rFonts w:ascii="Tahoma" w:eastAsia="Calibri" w:hAnsi="Tahoma" w:cs="Tahoma"/>
          <w:sz w:val="19"/>
          <w:szCs w:val="19"/>
        </w:rPr>
      </w:pPr>
      <w:r w:rsidRPr="00441EB5">
        <w:rPr>
          <w:rFonts w:ascii="Tahoma" w:eastAsia="Calibri" w:hAnsi="Tahoma" w:cs="Tahoma"/>
          <w:b/>
          <w:bCs/>
          <w:sz w:val="19"/>
          <w:szCs w:val="19"/>
          <w:rtl/>
        </w:rPr>
        <w:t>הסדרת אזורי אוויר נקי בישראל וסימון כלי רכב מזהמים</w:t>
      </w:r>
    </w:p>
    <w:p w:rsidR="00441EB5" w:rsidRPr="00441EB5" w:rsidP="0030386A">
      <w:pPr>
        <w:numPr>
          <w:ilvl w:val="0"/>
          <w:numId w:val="29"/>
        </w:numPr>
        <w:spacing w:after="120" w:line="288" w:lineRule="auto"/>
        <w:ind w:left="282" w:right="-567" w:hanging="357"/>
        <w:rPr>
          <w:rFonts w:ascii="Tahoma" w:eastAsia="Calibri" w:hAnsi="Tahoma" w:cs="Tahoma"/>
          <w:sz w:val="19"/>
          <w:szCs w:val="19"/>
        </w:rPr>
      </w:pPr>
      <w:r w:rsidRPr="00441EB5">
        <w:rPr>
          <w:rFonts w:ascii="Tahoma" w:eastAsia="Calibri" w:hAnsi="Tahoma" w:cs="Tahoma"/>
          <w:b/>
          <w:bCs/>
          <w:sz w:val="19"/>
          <w:szCs w:val="19"/>
          <w:rtl/>
        </w:rPr>
        <w:t xml:space="preserve">הכרזה על אזורי אוויר נקי </w:t>
      </w:r>
      <w:r w:rsidRPr="00441EB5">
        <w:rPr>
          <w:rFonts w:ascii="Tahoma" w:eastAsia="Calibri" w:hAnsi="Tahoma" w:cs="Tahoma"/>
          <w:sz w:val="19"/>
          <w:szCs w:val="19"/>
          <w:rtl/>
        </w:rPr>
        <w:t>-</w:t>
      </w:r>
      <w:r w:rsidRPr="00441EB5">
        <w:rPr>
          <w:rFonts w:ascii="Tahoma" w:eastAsia="Calibri" w:hAnsi="Tahoma" w:cs="Tahoma"/>
          <w:b/>
          <w:bCs/>
          <w:sz w:val="19"/>
          <w:szCs w:val="19"/>
          <w:rtl/>
        </w:rPr>
        <w:t xml:space="preserve"> </w:t>
      </w:r>
      <w:r w:rsidRPr="00441EB5">
        <w:rPr>
          <w:rFonts w:ascii="Tahoma" w:eastAsia="Calibri" w:hAnsi="Tahoma" w:cs="Tahoma"/>
          <w:sz w:val="19"/>
          <w:szCs w:val="19"/>
          <w:rtl/>
        </w:rPr>
        <w:t xml:space="preserve">בביקורת הקודמת עלה כי עד מועד סיומה (אפריל 2023) הוכרזו רק שני אזורים בישראל כ"אזור אוויר נקי" (או "אזור מופחת פליטות"): (א) חיפה (החל מפברואר 2018) - האזור מגביל כניסת רכבי דיזל מזהמים (אלא אם כן הותקן בהם מסנן חלקיקים להפחתת זיהום האוויר) לכל </w:t>
      </w:r>
      <w:r w:rsidRPr="00441EB5">
        <w:rPr>
          <w:rFonts w:ascii="Tahoma" w:eastAsia="Calibri" w:hAnsi="Tahoma" w:cs="Tahoma"/>
          <w:sz w:val="19"/>
          <w:szCs w:val="19"/>
          <w:rtl/>
        </w:rPr>
        <w:t>שטחי המגורים בחיפה. ממועד זה נאסרו כניסה וחניה של כלי רכב מזהמים כבדים (שמשקלם הכולל 3.5 טונות ויותר), והחל מינואר 2019 נאסרה הכניסה והחניה גם של כלי רכב מזהמים קלים (שמשקלם הכולל נמוך מ-3.5 טונות)</w:t>
      </w:r>
      <w:r w:rsidRPr="00441EB5">
        <w:rPr>
          <w:rFonts w:ascii="Tahoma" w:eastAsia="Calibri" w:hAnsi="Tahoma" w:cs="Tahoma"/>
          <w:sz w:val="19"/>
          <w:szCs w:val="19"/>
        </w:rPr>
        <w:t>.</w:t>
      </w:r>
      <w:r w:rsidRPr="00441EB5">
        <w:rPr>
          <w:rFonts w:ascii="Tahoma" w:eastAsia="Calibri" w:hAnsi="Tahoma" w:cs="Tahoma"/>
          <w:sz w:val="19"/>
          <w:szCs w:val="19"/>
          <w:rtl/>
        </w:rPr>
        <w:t xml:space="preserve"> (ב) ירושלים (החל מספטמבר 2020) - כל השטח המוניציפלי של ירושלים הוגדר כאזור מופחת פליטות והוצבו בו תמרורים ייחודיים האוסרים על כניסה של רכבים מזהמים</w:t>
      </w:r>
      <w:r w:rsidRPr="00441EB5">
        <w:rPr>
          <w:rFonts w:ascii="Tahoma" w:eastAsia="Calibri" w:hAnsi="Tahoma" w:cs="Tahoma"/>
          <w:sz w:val="19"/>
          <w:szCs w:val="19"/>
        </w:rPr>
        <w:t>.</w:t>
      </w:r>
      <w:r w:rsidRPr="00441EB5">
        <w:rPr>
          <w:rFonts w:ascii="Tahoma" w:eastAsia="Calibri" w:hAnsi="Tahoma" w:cs="Tahoma"/>
          <w:b/>
          <w:bCs/>
          <w:sz w:val="19"/>
          <w:szCs w:val="19"/>
          <w:rtl/>
        </w:rPr>
        <w:t xml:space="preserve"> </w:t>
      </w:r>
    </w:p>
    <w:p w:rsidR="00441EB5" w:rsidRPr="00441EB5" w:rsidP="0030386A">
      <w:pPr>
        <w:spacing w:after="120" w:line="288" w:lineRule="auto"/>
        <w:ind w:left="282" w:right="-567"/>
        <w:rPr>
          <w:rFonts w:ascii="Tahoma" w:eastAsia="Calibri" w:hAnsi="Tahoma" w:cs="Tahoma"/>
          <w:sz w:val="19"/>
          <w:szCs w:val="19"/>
          <w:rtl/>
        </w:rPr>
      </w:pPr>
      <w:r w:rsidRPr="00441EB5">
        <w:rPr>
          <w:rFonts w:ascii="Tahoma" w:eastAsia="Calibri" w:hAnsi="Tahoma" w:cs="Tahoma"/>
          <w:sz w:val="19"/>
          <w:szCs w:val="19"/>
          <w:rtl/>
        </w:rPr>
        <w:t xml:space="preserve">בביקורת המעקב נמצא כי הליקוי </w:t>
      </w:r>
      <w:r w:rsidRPr="00441EB5">
        <w:rPr>
          <w:rFonts w:ascii="Tahoma" w:eastAsia="Calibri" w:hAnsi="Tahoma" w:cs="Tahoma"/>
          <w:b/>
          <w:bCs/>
          <w:sz w:val="19"/>
          <w:szCs w:val="19"/>
          <w:rtl/>
        </w:rPr>
        <w:t>תוקן במידה מועטה</w:t>
      </w:r>
      <w:r w:rsidRPr="00441EB5">
        <w:rPr>
          <w:rFonts w:ascii="Tahoma" w:eastAsia="Calibri" w:hAnsi="Tahoma" w:cs="Tahoma"/>
          <w:sz w:val="19"/>
          <w:szCs w:val="19"/>
          <w:rtl/>
        </w:rPr>
        <w:t>.</w:t>
      </w:r>
      <w:r w:rsidRPr="00441EB5">
        <w:rPr>
          <w:rFonts w:ascii="Tahoma" w:eastAsia="Calibri" w:hAnsi="Tahoma" w:cs="Tahoma"/>
          <w:b/>
          <w:bCs/>
          <w:sz w:val="19"/>
          <w:szCs w:val="19"/>
          <w:rtl/>
        </w:rPr>
        <w:t xml:space="preserve"> </w:t>
      </w:r>
      <w:r w:rsidRPr="00441EB5">
        <w:rPr>
          <w:rFonts w:ascii="Tahoma" w:eastAsia="Calibri" w:hAnsi="Tahoma" w:cs="Tahoma"/>
          <w:sz w:val="19"/>
          <w:szCs w:val="19"/>
          <w:rtl/>
        </w:rPr>
        <w:t xml:space="preserve">עלה כי במועד סיומה (ינואר 2026) עדיין יש רק שני אזורים בארץ שהוכרזו כ"אזור אוויר נקי" (או "אזור מופחת פליטות"). עוד נמצא כי על פי דוח הפעילות השנתי של איגוד ערים אזור מפרץ חיפה - הגנת הסביבה משנת 2020, איגוד הערים פועל להרחבת אזור האוויר הנקי לתחום שיפוטן של הרשויות המקומיות האלה: קריית ים, קריית מוצקין, קריית אתא, קריית ביאליק ונשר, וכי הצפי לכניסה לתוקף של "אזור אוויר נקי" ברשויות האלו היה בשנת 2021, אך הוא עדיין לא הוכרז בפועל. </w:t>
      </w:r>
    </w:p>
    <w:p w:rsidR="00441EB5" w:rsidRPr="00441EB5" w:rsidP="0030386A">
      <w:pPr>
        <w:spacing w:after="120" w:line="288" w:lineRule="auto"/>
        <w:ind w:left="282" w:right="-567"/>
        <w:rPr>
          <w:rFonts w:ascii="Tahoma" w:eastAsia="Calibri" w:hAnsi="Tahoma" w:cs="Tahoma"/>
          <w:sz w:val="19"/>
          <w:szCs w:val="19"/>
          <w:rtl/>
        </w:rPr>
      </w:pPr>
      <w:r w:rsidRPr="00441EB5">
        <w:rPr>
          <w:rFonts w:ascii="Tahoma" w:eastAsia="Calibri" w:hAnsi="Tahoma" w:cs="Tahoma"/>
          <w:sz w:val="19"/>
          <w:szCs w:val="19"/>
          <w:rtl/>
        </w:rPr>
        <w:t xml:space="preserve">כמו כן, עלה בביקורת המעקב כי המשרד להגנ"ס הכין קול קורא אשר מיועד לרשויות המקומיות ונושאו הוא צמצום זיהום האוויר מתחבורה ברשויות המקומיות. ממסמכי המשרד להגנ"ס מדצמבר 2025 עולה כי שלב א' כבר פורסם בשנת 2024, ואילו קול קורא שני, שעוסק בין היתר בנושא סיוע בכתיבת תוכנית תחבורתית לצמצום זיהום האוויר וסיוע ביישום התוכנית באמצעות הקמת אזור אוויר נקי (או אזור מופחת פליטות), נמצא עדיין בשלב של טיוטה, ולמועד סיום ביקורת המעקב (ינואר 2026) עדיין לא פורסם. </w:t>
      </w:r>
    </w:p>
    <w:p w:rsidR="00441EB5" w:rsidRPr="00441EB5" w:rsidP="0030386A">
      <w:pPr>
        <w:spacing w:after="240" w:line="288" w:lineRule="auto"/>
        <w:ind w:left="282" w:right="-567"/>
        <w:rPr>
          <w:rFonts w:ascii="Tahoma" w:eastAsia="Calibri" w:hAnsi="Tahoma" w:cs="Tahoma"/>
          <w:sz w:val="19"/>
          <w:szCs w:val="19"/>
        </w:rPr>
      </w:pPr>
      <w:r w:rsidRPr="00441EB5">
        <w:rPr>
          <w:rFonts w:ascii="Tahoma" w:eastAsia="Calibri" w:hAnsi="Tahoma" w:cs="Tahoma"/>
          <w:sz w:val="19"/>
          <w:szCs w:val="19"/>
          <w:rtl/>
        </w:rPr>
        <w:t>עוד עלה כי במועד סיום ביקורת המעקב (ינואר 2026) המשרד להגנ"ס פועל להכרזת אזורים נוספים מופחתי פליטה לטובת צמצום זיהום האוויר מהתחבורה ברשויות מקומיות בישראל, אך ההיערכות עדיין לא הושלמה. כמו כן נמצא כי לא חל שינוי בתהליך של הכרזה על אזורי "אוויר נקי" בישראל.</w:t>
      </w:r>
    </w:p>
    <w:p w:rsidR="00441EB5" w:rsidRPr="00441EB5" w:rsidP="0030386A">
      <w:pPr>
        <w:numPr>
          <w:ilvl w:val="0"/>
          <w:numId w:val="29"/>
        </w:numPr>
        <w:spacing w:after="120" w:line="288" w:lineRule="auto"/>
        <w:ind w:left="282" w:right="-567" w:hanging="357"/>
        <w:rPr>
          <w:rFonts w:ascii="Tahoma" w:eastAsia="Calibri" w:hAnsi="Tahoma" w:cs="Tahoma"/>
          <w:sz w:val="19"/>
          <w:szCs w:val="19"/>
        </w:rPr>
      </w:pPr>
      <w:r w:rsidRPr="00441EB5">
        <w:rPr>
          <w:rFonts w:ascii="Tahoma" w:eastAsia="Calibri" w:hAnsi="Tahoma" w:cs="Tahoma"/>
          <w:b/>
          <w:bCs/>
          <w:sz w:val="19"/>
          <w:szCs w:val="19"/>
          <w:rtl/>
        </w:rPr>
        <w:t>סימון כלי רכב מזהמים באמצעות תווית</w:t>
      </w:r>
      <w:r w:rsidRPr="00441EB5">
        <w:rPr>
          <w:rFonts w:ascii="Tahoma" w:eastAsia="Calibri" w:hAnsi="Tahoma" w:cs="Tahoma"/>
          <w:sz w:val="19"/>
          <w:szCs w:val="19"/>
          <w:rtl/>
        </w:rPr>
        <w:t xml:space="preserve"> - בביקורת הקודמת עלה כי במרץ 2023 היו 42,402 כלי רכב המוגדרים "מזהמים" שאינם "כלי רכב כבד ישן". הטיפול ברכבים אלה הסתכם בסימונם במדבקה בעת ביצוע מבחן הרישוי השנתי וכן באיסור כניסתם לשני אזורי אוויר נקי היחידים במדינה - חיפה וירושלים. עוד נמצא כי לא הייתה בידי המשרד להגנ"ס ומשרד התחבורה תוכנית סדורה לטיפול עתידי בכלי הרכב הללו, והם רשאים לנוע בכל כבישי ישראל פרט לשני אזורי האוויר הנקי. בביקורת המעקב נמצא כי הליקוי </w:t>
      </w:r>
      <w:r w:rsidRPr="00441EB5">
        <w:rPr>
          <w:rFonts w:ascii="Tahoma" w:eastAsia="Calibri" w:hAnsi="Tahoma" w:cs="Tahoma"/>
          <w:b/>
          <w:bCs/>
          <w:sz w:val="19"/>
          <w:szCs w:val="19"/>
          <w:rtl/>
        </w:rPr>
        <w:t>תוקן במידה חלקית</w:t>
      </w:r>
      <w:r w:rsidRPr="00441EB5">
        <w:rPr>
          <w:rFonts w:ascii="Tahoma" w:eastAsia="Calibri" w:hAnsi="Tahoma" w:cs="Tahoma"/>
          <w:sz w:val="19"/>
          <w:szCs w:val="19"/>
          <w:rtl/>
        </w:rPr>
        <w:t xml:space="preserve">. עלה כי במועד סיום ביקורת המעקב (ינואר 2026) המשרד להגנ"ס הכין טיוטת דוח </w:t>
      </w:r>
      <w:r w:rsidRPr="00441EB5">
        <w:rPr>
          <w:rFonts w:ascii="Tahoma" w:eastAsia="Calibri" w:hAnsi="Tahoma" w:cs="Tahoma"/>
          <w:sz w:val="19"/>
          <w:szCs w:val="19"/>
        </w:rPr>
        <w:t>RIA</w:t>
      </w:r>
      <w:r w:rsidRPr="00441EB5">
        <w:rPr>
          <w:rFonts w:ascii="Tahoma" w:eastAsia="Calibri" w:hAnsi="Tahoma" w:cs="Tahoma"/>
          <w:sz w:val="19"/>
          <w:szCs w:val="19"/>
          <w:rtl/>
        </w:rPr>
        <w:t xml:space="preserve"> לגיבוש האסדרה אשר מטרתו, בין השאר, היא לעדכן את הגדרת "רכב מזהם" בתקנות אוויר נקי (זיהום אוויר מכלי רכב), התשע"ב-2012 (תקנות אוויר נקי), כדי להביא לצמצום זיהום האוויר ברשויות מקומיות ובמרכזים המטרופוליניים בישראל. כמו כן, בטיוטת דוח האסדרה נבחנו חלופות אחדות, והחלופה שנבחרה היא הוספת תקני פליטה יורו 4 ו-5 להגדרה של "רכב מזהם" בתקנות אוויר נקי. עדכון זה גם יאפשר לרשויות המקומיות להגביל את כניסתם של רוב כלי רכב המזהמים לאזורים שמוגדרים כ"אזור אוויר נקי" (או אזורי מופחתי פליטות - </w:t>
      </w:r>
      <w:r w:rsidRPr="00441EB5">
        <w:rPr>
          <w:rFonts w:ascii="Tahoma" w:eastAsia="Calibri" w:hAnsi="Tahoma" w:cs="Tahoma"/>
          <w:sz w:val="19"/>
          <w:szCs w:val="19"/>
        </w:rPr>
        <w:t>LEZ</w:t>
      </w:r>
      <w:r w:rsidRPr="00441EB5">
        <w:rPr>
          <w:rFonts w:ascii="Tahoma" w:eastAsia="Calibri" w:hAnsi="Tahoma" w:cs="Tahoma"/>
          <w:sz w:val="19"/>
          <w:szCs w:val="19"/>
          <w:rtl/>
        </w:rPr>
        <w:t xml:space="preserve">); ויצירת הגדרה אחידה וברורה של "רכב מזהם" לצורכי האכיפה. </w:t>
      </w:r>
    </w:p>
    <w:p w:rsidR="00441EB5" w:rsidRPr="00441EB5" w:rsidP="0030386A">
      <w:pPr>
        <w:spacing w:after="120" w:line="288" w:lineRule="auto"/>
        <w:ind w:left="282" w:right="-567"/>
        <w:rPr>
          <w:rFonts w:ascii="Tahoma" w:eastAsia="Calibri" w:hAnsi="Tahoma" w:cs="Tahoma"/>
          <w:sz w:val="19"/>
          <w:szCs w:val="19"/>
          <w:rtl/>
        </w:rPr>
      </w:pPr>
      <w:r w:rsidRPr="00441EB5">
        <w:rPr>
          <w:rFonts w:ascii="Tahoma" w:eastAsia="Calibri" w:hAnsi="Tahoma" w:cs="Tahoma"/>
          <w:sz w:val="19"/>
          <w:szCs w:val="19"/>
          <w:rtl/>
        </w:rPr>
        <w:t>עוד עלה בביקורת המעקב כי המשרד להגנ"ס מקדם שתי טיוטות של תקנות התעבורה: האחת, טיוטת תקנות התעבורה (תיקון התוספת ה-11 לפקודה), התשפ"ה-2025; והשנייה, טיוטת תקנות התעבורה (הפעלת מצלמות בידי רשות אוכפת לשם תיעוד עבירת תנועה) (תיקון), התשפ"ה-2025. שתי טיוטות אלו נועדו לתת למשרד להגנ"ס ולרשויות המקומיות כלים לאכיפת איסור כניסת רכבים מזהמים לאזורים מופחתי פליטות באמצעות מערכת צילום מיוחדת המבוססת על טכנולוגיית זיהוי לוחית רישוי (</w:t>
      </w:r>
      <w:r w:rsidRPr="00441EB5">
        <w:rPr>
          <w:rFonts w:ascii="Tahoma" w:eastAsia="Calibri" w:hAnsi="Tahoma" w:cs="Tahoma"/>
          <w:sz w:val="19"/>
          <w:szCs w:val="19"/>
        </w:rPr>
        <w:t>LPR - License Plate Recognition</w:t>
      </w:r>
      <w:r w:rsidRPr="00441EB5">
        <w:rPr>
          <w:rFonts w:ascii="Tahoma" w:eastAsia="Calibri" w:hAnsi="Tahoma" w:cs="Tahoma"/>
          <w:sz w:val="19"/>
          <w:szCs w:val="19"/>
          <w:rtl/>
        </w:rPr>
        <w:t>), לצד קביעת מנגנוני הגנה במטרה להבטיח שהאכיפה תעשה תוך פגיעה מזערית בפרטיות הציבור.</w:t>
      </w:r>
    </w:p>
    <w:p w:rsidR="00441EB5" w:rsidP="0030386A">
      <w:pPr>
        <w:spacing w:after="240" w:line="288" w:lineRule="auto"/>
        <w:ind w:left="282" w:right="-567"/>
        <w:rPr>
          <w:rFonts w:ascii="Tahoma" w:eastAsia="Calibri" w:hAnsi="Tahoma" w:cs="Tahoma"/>
          <w:sz w:val="19"/>
          <w:szCs w:val="19"/>
          <w:rtl/>
        </w:rPr>
      </w:pPr>
      <w:bookmarkStart w:id="1" w:name="_Hlk230856148"/>
      <w:r w:rsidRPr="00441EB5">
        <w:rPr>
          <w:rFonts w:ascii="Tahoma" w:eastAsia="Calibri" w:hAnsi="Tahoma" w:cs="Tahoma"/>
          <w:sz w:val="19"/>
          <w:szCs w:val="19"/>
          <w:rtl/>
        </w:rPr>
        <w:t>יצוין כי במועד סיום ביקורת המעקב (ינואר 2026) טרם הושלמו הליכי התקנת תקנות אלו.</w:t>
      </w:r>
    </w:p>
    <w:bookmarkEnd w:id="1"/>
    <w:p w:rsidR="00441EB5" w:rsidRPr="00441EB5" w:rsidP="00880F2A">
      <w:pPr>
        <w:numPr>
          <w:ilvl w:val="0"/>
          <w:numId w:val="27"/>
        </w:numPr>
        <w:spacing w:after="160" w:line="288" w:lineRule="auto"/>
        <w:ind w:left="-142" w:right="-567" w:hanging="595"/>
        <w:rPr>
          <w:rFonts w:ascii="Tahoma" w:eastAsia="Calibri" w:hAnsi="Tahoma" w:cs="Tahoma"/>
          <w:sz w:val="19"/>
          <w:szCs w:val="19"/>
        </w:rPr>
      </w:pPr>
      <w:r w:rsidRPr="00441EB5">
        <w:rPr>
          <w:rFonts w:ascii="Tahoma" w:eastAsia="Calibri" w:hAnsi="Tahoma" w:cs="Tahoma"/>
          <w:b/>
          <w:bCs/>
          <w:sz w:val="19"/>
          <w:szCs w:val="19"/>
          <w:rtl/>
        </w:rPr>
        <w:t>הסדרה של עמדות הטעינה של רכבים חשמליים</w:t>
      </w:r>
    </w:p>
    <w:p w:rsidR="00441EB5" w:rsidRPr="00441EB5" w:rsidP="0030386A">
      <w:pPr>
        <w:numPr>
          <w:ilvl w:val="0"/>
          <w:numId w:val="29"/>
        </w:numPr>
        <w:spacing w:after="120" w:line="288" w:lineRule="auto"/>
        <w:ind w:left="282" w:right="-567" w:hanging="357"/>
        <w:rPr>
          <w:rFonts w:ascii="Tahoma" w:eastAsia="Calibri" w:hAnsi="Tahoma" w:cs="Tahoma"/>
          <w:sz w:val="19"/>
          <w:szCs w:val="19"/>
        </w:rPr>
      </w:pPr>
      <w:r w:rsidRPr="00441EB5">
        <w:rPr>
          <w:rFonts w:ascii="Tahoma" w:eastAsia="Calibri" w:hAnsi="Tahoma" w:cs="Tahoma"/>
          <w:b/>
          <w:bCs/>
          <w:sz w:val="19"/>
          <w:szCs w:val="19"/>
          <w:rtl/>
        </w:rPr>
        <w:t>אסדרת ההיבטים החוקיים של חיבור עמדות טעינה בבתים משותפים קיימים</w:t>
      </w:r>
      <w:r w:rsidRPr="00441EB5">
        <w:rPr>
          <w:rFonts w:ascii="Tahoma" w:eastAsia="Calibri" w:hAnsi="Tahoma" w:cs="Tahoma"/>
          <w:sz w:val="19"/>
          <w:szCs w:val="19"/>
          <w:rtl/>
        </w:rPr>
        <w:t xml:space="preserve"> - בביקורת הקודמת עלה כי בהחלטת הממשלה 208 מאוגוסט 2021 הוחלט להטיל על שר המשפטים לתקן עד סוף שנת 2021, בתיאום עם שר האוצר, את חוק המקרקעין, התשכ"ט-1969, כך שניתן יהיה להקים עמדות טעינה </w:t>
      </w:r>
      <w:r w:rsidRPr="00441EB5">
        <w:rPr>
          <w:rFonts w:ascii="Tahoma" w:eastAsia="Calibri" w:hAnsi="Tahoma" w:cs="Tahoma"/>
          <w:sz w:val="19"/>
          <w:szCs w:val="19"/>
          <w:rtl/>
        </w:rPr>
        <w:t xml:space="preserve">לרכבים חשמליים בבתים משותפים. במועד סיום הביקורת הקודמת (אפריל 2023) לא הוסדר הנושא. בהיעדר הסדרה חוקית הנוגעת להתקנת עמדות טעינה לרכבים חשמליים בבתים משותפים עלולים להיווצר מחלוקות בין דיירים וסכסוכי שכנים. סכסוכים כאלה והקושי בהגעה להסכמות עלולים להיות חסם משמעותי בפני כניסה נרחבת של כלי רכב חשמליים. </w:t>
      </w:r>
    </w:p>
    <w:p w:rsidR="00441EB5" w:rsidRPr="00441EB5" w:rsidP="0030386A">
      <w:pPr>
        <w:spacing w:after="120" w:line="288" w:lineRule="auto"/>
        <w:ind w:left="282" w:right="-567"/>
        <w:rPr>
          <w:rFonts w:ascii="Tahoma" w:eastAsia="Calibri" w:hAnsi="Tahoma" w:cs="Tahoma"/>
          <w:sz w:val="19"/>
          <w:szCs w:val="19"/>
          <w:rtl/>
        </w:rPr>
      </w:pPr>
      <w:r w:rsidRPr="00441EB5">
        <w:rPr>
          <w:rFonts w:ascii="Tahoma" w:eastAsia="Calibri" w:hAnsi="Tahoma" w:cs="Tahoma"/>
          <w:sz w:val="19"/>
          <w:szCs w:val="19"/>
          <w:rtl/>
        </w:rPr>
        <w:t xml:space="preserve">בביקורת המעקב נמצא כי הליקוי </w:t>
      </w:r>
      <w:r w:rsidRPr="00441EB5">
        <w:rPr>
          <w:rFonts w:ascii="Tahoma" w:eastAsia="Calibri" w:hAnsi="Tahoma" w:cs="Tahoma"/>
          <w:b/>
          <w:bCs/>
          <w:sz w:val="19"/>
          <w:szCs w:val="19"/>
          <w:rtl/>
        </w:rPr>
        <w:t>תוקן במידה מועטה</w:t>
      </w:r>
      <w:r w:rsidRPr="00441EB5">
        <w:rPr>
          <w:rFonts w:ascii="Tahoma" w:eastAsia="Calibri" w:hAnsi="Tahoma" w:cs="Tahoma"/>
          <w:sz w:val="19"/>
          <w:szCs w:val="19"/>
          <w:rtl/>
        </w:rPr>
        <w:t>. עלה כי התקיימו שלושה דיונים בוועדת הפנים והגנת הסביבה של הכנסת אשר עסקו, בין השאר, בהצעת חוק המקרקעין (תיקון מס' 36) (התקנת עמדת טעינה לרכב חשמלי בבית משותף ודייני מקרקעין), התשפ"ג-2022 (מ/1585): האחד, בפברואר 2025; השני, ביולי 2025; והשלישי, בספטמבר 2025. הדיונים בוועדת הפנים והגנת הסביבה של הכנסת נועדו להכין את הצעת החוק לעיל לקריאה שנייה ושלישית במליאת הכנסת. בדיונים עלה כי מטרת הצעת חוק המקרקעין היא להסדיר את עניין התקנת עמדות טעינה לרכב חשמלי בבתים משותפים קיימים, תוך התמודדות עם שאלות קנייניות שהנושא מעלה, כיוון שבאותו המועד, לא הייתה הסדרה בחוק לעניין זה. גם במועד סיום ביקורת המעקב (ינואר 2026) הטיפול בהצעת החוק טרם הסתיים.</w:t>
      </w:r>
    </w:p>
    <w:p w:rsidR="00441EB5" w:rsidRPr="00441EB5" w:rsidP="0030386A">
      <w:pPr>
        <w:spacing w:after="240" w:line="288" w:lineRule="auto"/>
        <w:ind w:left="282" w:right="-567"/>
        <w:rPr>
          <w:rFonts w:ascii="Tahoma" w:eastAsia="Calibri" w:hAnsi="Tahoma" w:cs="Tahoma"/>
          <w:sz w:val="19"/>
          <w:szCs w:val="19"/>
        </w:rPr>
      </w:pPr>
      <w:r w:rsidRPr="00441EB5">
        <w:rPr>
          <w:rFonts w:ascii="Tahoma" w:eastAsia="Calibri" w:hAnsi="Tahoma" w:cs="Tahoma"/>
          <w:sz w:val="19"/>
          <w:szCs w:val="19"/>
          <w:rtl/>
        </w:rPr>
        <w:t>היעדר אסדרה בנושא של חיבור עמדות טעינה לרכבים חשמליים בבתים משותפים קיימים עלול ליצור פרצה אשר תגרום להתקנות "פיראטיות" של עמדות הטעינה, וזאת ללא כללים מוסדרים, והדבר עלול לסכן את שלום הציבור, ואף עלול להביא לסכסוכים בין שכנים או בין דיירים לנציגי ועדי בתים משותפים, ובהמשך אף להביא להתדיינויות משפטיות.</w:t>
      </w:r>
    </w:p>
    <w:p w:rsidR="00441EB5" w:rsidRPr="00441EB5" w:rsidP="0030386A">
      <w:pPr>
        <w:numPr>
          <w:ilvl w:val="0"/>
          <w:numId w:val="29"/>
        </w:numPr>
        <w:spacing w:after="120" w:line="288" w:lineRule="auto"/>
        <w:ind w:left="282" w:right="-567" w:hanging="357"/>
        <w:rPr>
          <w:rFonts w:ascii="Tahoma" w:eastAsia="Calibri" w:hAnsi="Tahoma" w:cs="Tahoma"/>
          <w:sz w:val="19"/>
          <w:szCs w:val="19"/>
        </w:rPr>
      </w:pPr>
      <w:r w:rsidRPr="00441EB5">
        <w:rPr>
          <w:rFonts w:ascii="Tahoma" w:eastAsia="Calibri" w:hAnsi="Tahoma" w:cs="Tahoma"/>
          <w:b/>
          <w:bCs/>
          <w:sz w:val="19"/>
          <w:szCs w:val="19"/>
          <w:rtl/>
        </w:rPr>
        <w:t xml:space="preserve">חקיקת משנה בנושא תשתית החשמל הנדרשת להתקנת עמדות טעינה לרכב חשמלי בבתים משותפים חדשים </w:t>
      </w:r>
      <w:r w:rsidRPr="00441EB5">
        <w:rPr>
          <w:rFonts w:ascii="Tahoma" w:eastAsia="Calibri" w:hAnsi="Tahoma" w:cs="Tahoma"/>
          <w:sz w:val="19"/>
          <w:szCs w:val="19"/>
          <w:rtl/>
        </w:rPr>
        <w:t>-</w:t>
      </w:r>
      <w:r w:rsidRPr="00441EB5">
        <w:rPr>
          <w:rFonts w:ascii="Tahoma" w:eastAsia="Calibri" w:hAnsi="Tahoma" w:cs="Tahoma"/>
          <w:b/>
          <w:bCs/>
          <w:sz w:val="19"/>
          <w:szCs w:val="19"/>
          <w:rtl/>
        </w:rPr>
        <w:t xml:space="preserve"> </w:t>
      </w:r>
      <w:r w:rsidRPr="00441EB5">
        <w:rPr>
          <w:rFonts w:ascii="Tahoma" w:eastAsia="Calibri" w:hAnsi="Tahoma" w:cs="Tahoma"/>
          <w:sz w:val="19"/>
          <w:szCs w:val="19"/>
          <w:rtl/>
        </w:rPr>
        <w:t xml:space="preserve">בביקורת הקודמת עלה כי בהחלטת הממשלה 171 מיולי 2021 נקבע שלשם השגת היעדים הלאומיים בעניין הפחתת פליטות גזי חממה ומעבר לכלכלה דלת פחמן עד שנת 2050, תוגבל כמות פליטת גזי החממה של הרכבים שיירשמו לתנועה בישראל החל משנת 2030, והיא תהיה קטנה </w:t>
      </w:r>
      <w:r w:rsidR="008E7BE1">
        <w:rPr>
          <w:rFonts w:ascii="Tahoma" w:eastAsia="Calibri" w:hAnsi="Tahoma" w:cs="Tahoma"/>
          <w:sz w:val="19"/>
          <w:szCs w:val="19"/>
          <w:rtl/>
        </w:rPr>
        <w:br/>
      </w:r>
      <w:r w:rsidRPr="00441EB5">
        <w:rPr>
          <w:rFonts w:ascii="Tahoma" w:eastAsia="Calibri" w:hAnsi="Tahoma" w:cs="Tahoma"/>
          <w:sz w:val="19"/>
          <w:szCs w:val="19"/>
          <w:rtl/>
        </w:rPr>
        <w:t xml:space="preserve">ב-95% לפחות מזו שברכבים חדשים שנרשמו לתנועה בשנת 2020. אם יושגו יעדי הממשלה האמורים, בהדרגה יהיו בבניינים משותפים יותר מ-20% רכבים חשמליים, ולכן יידרש תיקון של תקנות תכנון ובניה (התקנת מקומות חניה), התשמ"ג-1983 שהחל ממרץ 2023 מחייבות כי לוח החשמל של בניין מגורים חדש יתמוך בטעינה של 20% מכלל הרכבים בבניין. </w:t>
      </w:r>
    </w:p>
    <w:p w:rsidR="00441EB5" w:rsidRPr="00441EB5" w:rsidP="0030386A">
      <w:pPr>
        <w:spacing w:after="120" w:line="288" w:lineRule="auto"/>
        <w:ind w:left="282" w:right="-567"/>
        <w:rPr>
          <w:rFonts w:ascii="Tahoma" w:eastAsia="Calibri" w:hAnsi="Tahoma" w:cs="Tahoma"/>
          <w:sz w:val="19"/>
          <w:szCs w:val="19"/>
          <w:rtl/>
        </w:rPr>
      </w:pPr>
      <w:r w:rsidRPr="00441EB5">
        <w:rPr>
          <w:rFonts w:ascii="Tahoma" w:eastAsia="Calibri" w:hAnsi="Tahoma" w:cs="Tahoma"/>
          <w:sz w:val="19"/>
          <w:szCs w:val="19"/>
          <w:rtl/>
        </w:rPr>
        <w:t xml:space="preserve">בביקורת המעקב נמצא כי הליקוי </w:t>
      </w:r>
      <w:r w:rsidRPr="00441EB5">
        <w:rPr>
          <w:rFonts w:ascii="Tahoma" w:eastAsia="Calibri" w:hAnsi="Tahoma" w:cs="Tahoma"/>
          <w:b/>
          <w:bCs/>
          <w:sz w:val="19"/>
          <w:szCs w:val="19"/>
          <w:rtl/>
        </w:rPr>
        <w:t>לא תוקן</w:t>
      </w:r>
      <w:r w:rsidRPr="00441EB5">
        <w:rPr>
          <w:rFonts w:ascii="Tahoma" w:eastAsia="Calibri" w:hAnsi="Tahoma" w:cs="Tahoma"/>
          <w:sz w:val="19"/>
          <w:szCs w:val="19"/>
          <w:rtl/>
        </w:rPr>
        <w:t>. עלה כי במועד סיומה (ינואר 2026) לא תוקנו התקנות, ועדיין בבניין מגורים חדש בבנייה רוויה די בכך שלוח החשמל צריך לתמוך בטעינה של 20% מכלל מקומות החניה בבניין.</w:t>
      </w:r>
    </w:p>
    <w:p w:rsidR="00441EB5" w:rsidRPr="00441EB5" w:rsidP="00DF2479">
      <w:pPr>
        <w:numPr>
          <w:ilvl w:val="0"/>
          <w:numId w:val="29"/>
        </w:numPr>
        <w:spacing w:after="120" w:line="288" w:lineRule="auto"/>
        <w:ind w:left="282" w:right="-567" w:hanging="357"/>
        <w:rPr>
          <w:rFonts w:ascii="Tahoma" w:eastAsia="Calibri" w:hAnsi="Tahoma" w:cs="Tahoma"/>
          <w:sz w:val="19"/>
          <w:szCs w:val="19"/>
        </w:rPr>
      </w:pPr>
      <w:r w:rsidRPr="00441EB5">
        <w:rPr>
          <w:rFonts w:ascii="Tahoma" w:eastAsia="Calibri" w:hAnsi="Tahoma" w:cs="Tahoma"/>
          <w:b/>
          <w:bCs/>
          <w:sz w:val="19"/>
          <w:szCs w:val="19"/>
          <w:rtl/>
        </w:rPr>
        <w:t>הקמת עמדות טעינה ציבוריות ובהן עמדות במרחב הבין-עירוני</w:t>
      </w:r>
      <w:r w:rsidRPr="00441EB5">
        <w:rPr>
          <w:rFonts w:ascii="Tahoma" w:eastAsia="Calibri" w:hAnsi="Tahoma" w:cs="Tahoma"/>
          <w:sz w:val="19"/>
          <w:szCs w:val="19"/>
          <w:rtl/>
        </w:rPr>
        <w:t xml:space="preserve"> - בביקורת הקודמת עלו, בין השאר, הליקויים האלה לגבי נושא של הקמת עמדות ציבוריות ובהן עמדות במרחב הבין-עירוני: </w:t>
      </w:r>
      <w:r w:rsidR="008E7BE1">
        <w:rPr>
          <w:rFonts w:ascii="Tahoma" w:eastAsia="Calibri" w:hAnsi="Tahoma" w:cs="Tahoma"/>
          <w:sz w:val="19"/>
          <w:szCs w:val="19"/>
          <w:rtl/>
        </w:rPr>
        <w:br/>
      </w:r>
      <w:r w:rsidRPr="00441EB5">
        <w:rPr>
          <w:rFonts w:ascii="Tahoma" w:eastAsia="Calibri" w:hAnsi="Tahoma" w:cs="Tahoma"/>
          <w:sz w:val="19"/>
          <w:szCs w:val="19"/>
          <w:rtl/>
        </w:rPr>
        <w:t xml:space="preserve">(א) בישראל לא נקבעו יעדים כמותיים להקמת עמדות ציבוריות, אך בהחלטת הממשלה 542 מאוקטובר 2021 ניתנו הנחיות איכותניות מסוימות לפריסת עמדות לטעינת כלי רכב חשמליים במרחב הציבורי. (ב) במועד סיום הביקורת הקודמת משרד התחבורה והצוות הבין-משרדי בהובלת מינהל התכנון היו בעיצומה של בחינת ההנחיות של הממשלה בנושא היערכות לפריסת עמדות טעינה ציבוריות לכלי רכב חשמליים אך התוכניות טרם הושלמו עד אותו המועד. (ג) משרדי האנרגיה והתחבורה פעלו לקידום פריסת עמדות ציבוריות בתחנות דלק, אולם הם לא סיכמו יעדים כמותיים לפריסתן, לא קבעו הנחיות לפריסתן הגיאוגרפית ולא קבעו את סוגי העמדות המתאימות לפריסה בכבישים בין-עירוניים. (ד) משרד התחבורה והלמ"ס פעלו לביצוע סקר ארצי של הרגלי נסיעה אך הוא לא הושלם עד מועד סיום הביקורת הקודמת. (ה) טרם הושלם עדכון תוכנית המתאר הארצית - תמ"א 18 (תוספת עמדות טעינה חשמליות בתחנות תדלוק), וטרם הושלמה התאמתו לפריסת עמדות טעינה במרחב הציבורי. בביקורת המעקב נמצא כי הליקוי </w:t>
      </w:r>
      <w:r w:rsidRPr="00441EB5">
        <w:rPr>
          <w:rFonts w:ascii="Tahoma" w:eastAsia="Calibri" w:hAnsi="Tahoma" w:cs="Tahoma"/>
          <w:b/>
          <w:bCs/>
          <w:sz w:val="19"/>
          <w:szCs w:val="19"/>
          <w:rtl/>
        </w:rPr>
        <w:t>תוקן במידה מועטה</w:t>
      </w:r>
      <w:r w:rsidRPr="00441EB5">
        <w:rPr>
          <w:rFonts w:ascii="Tahoma" w:eastAsia="Calibri" w:hAnsi="Tahoma" w:cs="Tahoma"/>
          <w:sz w:val="19"/>
          <w:szCs w:val="19"/>
          <w:rtl/>
        </w:rPr>
        <w:t>.</w:t>
      </w:r>
    </w:p>
    <w:p w:rsidR="00441EB5" w:rsidRPr="00441EB5" w:rsidP="00DF2479">
      <w:pPr>
        <w:spacing w:after="120" w:line="288" w:lineRule="auto"/>
        <w:ind w:left="282" w:right="-567"/>
        <w:rPr>
          <w:rFonts w:ascii="Tahoma" w:eastAsia="Calibri" w:hAnsi="Tahoma" w:cs="Tahoma"/>
          <w:sz w:val="19"/>
          <w:szCs w:val="19"/>
          <w:rtl/>
        </w:rPr>
      </w:pPr>
      <w:r w:rsidRPr="00441EB5">
        <w:rPr>
          <w:rFonts w:ascii="Tahoma" w:eastAsia="Calibri" w:hAnsi="Tahoma" w:cs="Tahoma"/>
          <w:sz w:val="19"/>
          <w:szCs w:val="19"/>
          <w:rtl/>
        </w:rPr>
        <w:t>בביקורת המעקב עלה כי:</w:t>
      </w:r>
    </w:p>
    <w:p w:rsidR="00441EB5" w:rsidRPr="00441EB5" w:rsidP="00DF2479">
      <w:pPr>
        <w:numPr>
          <w:ilvl w:val="0"/>
          <w:numId w:val="31"/>
        </w:numPr>
        <w:spacing w:after="160" w:line="288" w:lineRule="auto"/>
        <w:ind w:left="707" w:right="-567" w:hanging="438"/>
        <w:rPr>
          <w:rFonts w:ascii="Tahoma" w:eastAsia="Calibri" w:hAnsi="Tahoma" w:cs="Tahoma"/>
          <w:sz w:val="19"/>
          <w:szCs w:val="19"/>
          <w:rtl/>
        </w:rPr>
      </w:pPr>
      <w:r w:rsidRPr="00441EB5">
        <w:rPr>
          <w:rFonts w:ascii="Tahoma" w:eastAsia="Calibri" w:hAnsi="Tahoma" w:cs="Tahoma"/>
          <w:sz w:val="19"/>
          <w:szCs w:val="19"/>
          <w:rtl/>
        </w:rPr>
        <w:t xml:space="preserve">מהמסמך של משרד האנרגיה "תשתית טעינה לרכבים חשמליים במרחב הציבורי הערכת מצב אסטרטגית" מיוני 2023 עלו, בין השאר, התובנות האלה: (א) עמדות הטעינה במרחב הפרטי, בבתי המגורים ובמקומות העבודה אינם מספקים מענה מקיף על צורכי בעלי הרכבים החשמליים. </w:t>
      </w:r>
      <w:r w:rsidR="00DF2479">
        <w:rPr>
          <w:rFonts w:ascii="Tahoma" w:eastAsia="Calibri" w:hAnsi="Tahoma" w:cs="Tahoma"/>
          <w:sz w:val="19"/>
          <w:szCs w:val="19"/>
          <w:rtl/>
        </w:rPr>
        <w:br/>
      </w:r>
      <w:r w:rsidRPr="00441EB5">
        <w:rPr>
          <w:rFonts w:ascii="Tahoma" w:eastAsia="Calibri" w:hAnsi="Tahoma" w:cs="Tahoma"/>
          <w:sz w:val="19"/>
          <w:szCs w:val="19"/>
          <w:rtl/>
        </w:rPr>
        <w:t xml:space="preserve">(ב) חרדת טווח הנסיעה ברכב חשמלי היא חסם משמעותי עבור כ-60% מהציבור אשר שוקל לרכוש רכב חשמלי. (ג) למרבית הרשויות המקומיות אין תוכנית סדורה לפריסת עמדות טעינה במרחב הציבורי בתחום שיפוטן; ויש מחסור במקומות חניה. (ד) כארבע שנים וחצי לאחר פרסום קולות קוראים להקמתן של עמדות הטעינה ברשויות, שיעור הביצוע הממוצע הוא כ-70.6% בלבד מהעמדות המוצעות. </w:t>
      </w:r>
    </w:p>
    <w:p w:rsidR="00441EB5" w:rsidRPr="00441EB5" w:rsidP="00716153">
      <w:pPr>
        <w:numPr>
          <w:ilvl w:val="0"/>
          <w:numId w:val="31"/>
        </w:numPr>
        <w:spacing w:after="160" w:line="288" w:lineRule="auto"/>
        <w:ind w:left="707" w:right="-567" w:hanging="438"/>
        <w:rPr>
          <w:rFonts w:ascii="Tahoma" w:eastAsia="Calibri" w:hAnsi="Tahoma" w:cs="Tahoma"/>
          <w:sz w:val="19"/>
          <w:szCs w:val="19"/>
        </w:rPr>
      </w:pPr>
      <w:r w:rsidRPr="00441EB5">
        <w:rPr>
          <w:rFonts w:ascii="Tahoma" w:eastAsia="Calibri" w:hAnsi="Tahoma" w:cs="Tahoma"/>
          <w:sz w:val="19"/>
          <w:szCs w:val="19"/>
          <w:rtl/>
        </w:rPr>
        <w:t xml:space="preserve">הלמ"ס פרסמה סקר כלי רכב חשמליים במאי 2024. מממצאים ראשוניים של הסקר עולה, בין השאר: (א) 51% מהטוענים בעמדה ציבורית מהירה דיווחו שכאשר הם מגיעים לעמדה כזאת, היא בדרך כלל תקינה אך תפוסה; (ב) כ-97% מבעלי כלי הרכב החשמליים, שמשתמשים בעמדות טעינה ציבוריות, חושבים שיש מחסור בעמדות הטעינה הציבוריות, הן מהירות והן איטיות. </w:t>
      </w:r>
    </w:p>
    <w:p w:rsidR="00441EB5" w:rsidRPr="00441EB5" w:rsidP="00716153">
      <w:pPr>
        <w:numPr>
          <w:ilvl w:val="0"/>
          <w:numId w:val="31"/>
        </w:numPr>
        <w:spacing w:after="160" w:line="288" w:lineRule="auto"/>
        <w:ind w:left="707" w:right="-567" w:hanging="438"/>
        <w:rPr>
          <w:rFonts w:ascii="Tahoma" w:eastAsia="Calibri" w:hAnsi="Tahoma" w:cs="Tahoma"/>
          <w:sz w:val="19"/>
          <w:szCs w:val="19"/>
        </w:rPr>
      </w:pPr>
      <w:r w:rsidRPr="00441EB5">
        <w:rPr>
          <w:rFonts w:ascii="Tahoma" w:eastAsia="Calibri" w:hAnsi="Tahoma" w:cs="Tahoma"/>
          <w:sz w:val="19"/>
          <w:szCs w:val="19"/>
          <w:rtl/>
        </w:rPr>
        <w:t>משרד האנרגיה גיבש את טיוטת תקנות מקורות האנרגיה (עמדות טעינה לרכב חשמלי), התשפ"ה-2025, שמטרתן לרכז מידע תקופתי על עמדות הטעינה החשמליות ברחבי הארץ וליצור ממשק למידע בזמן אמת על אודותיהן, כדי להקל על השימוש ברכבים חשמליים. במועד סיום ביקורת המעקב (ינואר 2026) פורסמה טיוטת התקנות להערות הציבור ומועד מתן ההערות הסתיים בסוף יוני 2025.</w:t>
      </w:r>
    </w:p>
    <w:p w:rsidR="00441EB5" w:rsidRPr="00441EB5" w:rsidP="00716153">
      <w:pPr>
        <w:numPr>
          <w:ilvl w:val="0"/>
          <w:numId w:val="31"/>
        </w:numPr>
        <w:spacing w:after="160" w:line="288" w:lineRule="auto"/>
        <w:ind w:left="707" w:right="-567" w:hanging="438"/>
        <w:rPr>
          <w:rFonts w:ascii="Tahoma" w:eastAsia="Calibri" w:hAnsi="Tahoma" w:cs="Tahoma"/>
          <w:sz w:val="19"/>
          <w:szCs w:val="19"/>
        </w:rPr>
      </w:pPr>
      <w:r w:rsidRPr="00441EB5">
        <w:rPr>
          <w:rFonts w:ascii="Tahoma" w:eastAsia="Calibri" w:hAnsi="Tahoma" w:cs="Tahoma"/>
          <w:sz w:val="19"/>
          <w:szCs w:val="19"/>
          <w:rtl/>
        </w:rPr>
        <w:t>משרד האנרגיה הכין דוח לגיבוש האסדרה בנושא "תקנות דיווח בנושא תשתיות רכב חשמלי מכוח חוק מקורות האנרגיה". בדוח נכתב כי המטרה הבסיסית של האסדרה בתחום עמדות הטעינה הציבוריות לרכבים חשמליים היא להביא להסרה של כל החסמים המרכזיים אשר מביאים לפעולה בלתי סדירה של השוק.</w:t>
      </w:r>
    </w:p>
    <w:p w:rsidR="00441EB5" w:rsidRPr="00441EB5" w:rsidP="00716153">
      <w:pPr>
        <w:spacing w:after="240" w:line="288" w:lineRule="auto"/>
        <w:ind w:left="707" w:right="-567"/>
        <w:rPr>
          <w:rFonts w:ascii="Tahoma" w:eastAsia="Calibri" w:hAnsi="Tahoma" w:cs="Tahoma"/>
          <w:sz w:val="19"/>
          <w:szCs w:val="19"/>
        </w:rPr>
      </w:pPr>
      <w:r w:rsidRPr="00441EB5">
        <w:rPr>
          <w:rFonts w:ascii="Tahoma" w:eastAsia="Calibri" w:hAnsi="Tahoma" w:cs="Tahoma"/>
          <w:sz w:val="19"/>
          <w:szCs w:val="19"/>
          <w:rtl/>
        </w:rPr>
        <w:t>במועד סיום ביקורת המעקב (ינואר 2026) עלה כי על פי נתונים של משרד האנרגיה (הנכונים לאפריל 2025), היו בישראל כ-7,907 שקעי טעינה זמינים לכלי רכב חשמליים במרחב הציבורי, שמתוכם כ-6,393 שקעי טעינה איטית והשאר, כ-1,514 בלבד, הם שקעי טעינה מהירה. מכיוון שבסוף שנת 2024 היו בישראל כ-162,708 כלי רכב חשמליים, שקעי הטעינה הקיימים במרחב הציבורי מספיקים לטעינה בו-זמנית של כ-4.9% מכלי הרכב החשמליים. עוד עלה כי מאז שנת 2018, שבה נקבעו יעדים למספר עמדות הטעינה לשנת 2022, לא נקבעו יעדים כמותיים או גיאוגרפיים חדשים להקמת עמדות טעינה ציבוריות. עוד עלה בביקורת המעקב כי במועד סיומה (ינואר 2026) הכנת שינוי 3/4/18</w:t>
      </w:r>
      <w:r>
        <w:rPr>
          <w:rFonts w:ascii="Tahoma" w:eastAsia="Calibri" w:hAnsi="Tahoma" w:cs="Tahoma"/>
          <w:sz w:val="19"/>
          <w:szCs w:val="19"/>
          <w:vertAlign w:val="superscript"/>
          <w:rtl/>
        </w:rPr>
        <w:footnoteReference w:id="5"/>
      </w:r>
      <w:r w:rsidRPr="00441EB5">
        <w:rPr>
          <w:rFonts w:ascii="Tahoma" w:eastAsia="Calibri" w:hAnsi="Tahoma" w:cs="Tahoma"/>
          <w:sz w:val="19"/>
          <w:szCs w:val="19"/>
          <w:rtl/>
        </w:rPr>
        <w:t xml:space="preserve"> של תמ"א 18 עדיין נמצא בשלבי אישור במוסדות התכנון. לאחר סיום ביקורת המעקב ב-24.4.26 פורסמה התוכנית בעיתונות, לצורך קבלת הערות הוועדות המחוזיות והשגות הציבור.</w:t>
      </w:r>
    </w:p>
    <w:p w:rsidR="00441EB5" w:rsidRPr="00441EB5" w:rsidP="00441EB5">
      <w:pPr>
        <w:numPr>
          <w:ilvl w:val="0"/>
          <w:numId w:val="27"/>
        </w:numPr>
        <w:spacing w:after="120" w:line="288" w:lineRule="auto"/>
        <w:ind w:left="-142" w:right="-567" w:hanging="595"/>
        <w:rPr>
          <w:rFonts w:ascii="Tahoma" w:eastAsia="Calibri" w:hAnsi="Tahoma" w:cs="Tahoma"/>
          <w:sz w:val="19"/>
          <w:szCs w:val="19"/>
        </w:rPr>
      </w:pPr>
      <w:r w:rsidRPr="00441EB5">
        <w:rPr>
          <w:rFonts w:ascii="Tahoma" w:eastAsia="Calibri" w:hAnsi="Tahoma" w:cs="Tahoma"/>
          <w:b/>
          <w:bCs/>
          <w:sz w:val="19"/>
          <w:szCs w:val="19"/>
          <w:rtl/>
        </w:rPr>
        <w:t>מיחזור סוללות של כלי רכב חשמליים בתום תקופת השירות</w:t>
      </w:r>
      <w:r w:rsidRPr="00441EB5">
        <w:rPr>
          <w:rFonts w:ascii="Tahoma" w:eastAsia="Calibri" w:hAnsi="Tahoma" w:cs="Tahoma"/>
          <w:sz w:val="19"/>
          <w:szCs w:val="19"/>
          <w:rtl/>
        </w:rPr>
        <w:t xml:space="preserve"> - בביקורת הקודמת עלה כי במועד סיומה (אפריל 2023) לא הייתה בישראל אסדרה חוקית של הטיפול בסוללות הרכבים החשמליים בתום תקופת שירותן. עוד עלה בביקורת הקודמת כי בשנים 2021 - 2022 יובאו לישראל כ-40,000 רכבים חשמליים ומאות אוטובוסים עירוניים חשמליים. משקל סוללה של כלי רכב חשמלי בכלל ושל סוללת אוטובוס בפרט עשוי להגיע למאות קילוגרמים ואף ליותר מזה. נוסף על כך, בסוף שנת 2022 היו בישראל קרוב ל-363,000 רכבים היברידיים, שאף הם מצוידים בסוללה גדולה יחסית, שמשקלה עשוי להגיע לעשרות קילוגרמים. משמעות הדבר היא שבחלוף כעשר שנים ממועד הביקורת הקודמת עשרות אלפי סוללות של רכבים חשמליים, מאות אלפי סוללות של רכבים היברידיים ומאות סוללות כבדות של אוטובוסים עירוניים חשמליים יסיימו את תקופת שירותן ברכבים החשמליים וההיברידיים ובאוטובוסים, ומיחזורן יציב אתגר עצום בטיפול ב"סוף מחזור החיים" (</w:t>
      </w:r>
      <w:r w:rsidRPr="00441EB5">
        <w:rPr>
          <w:rFonts w:ascii="Tahoma" w:eastAsia="Calibri" w:hAnsi="Tahoma" w:cs="Tahoma"/>
          <w:sz w:val="19"/>
          <w:szCs w:val="19"/>
        </w:rPr>
        <w:t>End of life management</w:t>
      </w:r>
      <w:r w:rsidRPr="00441EB5">
        <w:rPr>
          <w:rFonts w:ascii="Tahoma" w:eastAsia="Calibri" w:hAnsi="Tahoma" w:cs="Tahoma"/>
          <w:sz w:val="19"/>
          <w:szCs w:val="19"/>
          <w:rtl/>
        </w:rPr>
        <w:t xml:space="preserve">) שלהן. </w:t>
      </w:r>
    </w:p>
    <w:p w:rsidR="00441EB5" w:rsidRPr="00441EB5" w:rsidP="00441EB5">
      <w:pPr>
        <w:spacing w:after="120" w:line="288" w:lineRule="auto"/>
        <w:ind w:left="-142" w:right="-567"/>
        <w:rPr>
          <w:rFonts w:ascii="Tahoma" w:eastAsia="Calibri" w:hAnsi="Tahoma" w:cs="Tahoma"/>
          <w:sz w:val="19"/>
          <w:szCs w:val="19"/>
          <w:rtl/>
        </w:rPr>
      </w:pPr>
      <w:r w:rsidRPr="00441EB5">
        <w:rPr>
          <w:rFonts w:ascii="Tahoma" w:eastAsia="Calibri" w:hAnsi="Tahoma" w:cs="Tahoma"/>
          <w:sz w:val="19"/>
          <w:szCs w:val="19"/>
          <w:rtl/>
        </w:rPr>
        <w:t xml:space="preserve">בביקורת המעקב נמצא כי הליקוי </w:t>
      </w:r>
      <w:r w:rsidRPr="00441EB5">
        <w:rPr>
          <w:rFonts w:ascii="Tahoma" w:eastAsia="Calibri" w:hAnsi="Tahoma" w:cs="Tahoma"/>
          <w:b/>
          <w:bCs/>
          <w:sz w:val="19"/>
          <w:szCs w:val="19"/>
          <w:rtl/>
        </w:rPr>
        <w:t>תוקן במידה מועטה</w:t>
      </w:r>
      <w:r w:rsidRPr="00441EB5">
        <w:rPr>
          <w:rFonts w:ascii="Tahoma" w:eastAsia="Calibri" w:hAnsi="Tahoma" w:cs="Tahoma"/>
          <w:sz w:val="19"/>
          <w:szCs w:val="19"/>
          <w:rtl/>
        </w:rPr>
        <w:t xml:space="preserve">. עלה כי המפעל הראשון בארץ למיחזור סוללות ליתיום-יון בענף התחבורה הוקם על ידי חברה פרטית בדרום הארץ, והוא התחיל לפעול מיולי 2024. עוד עלה בביקורת המעקב כי נכון למועד סיומה (ינואר 2026) מוקם בדרום הארץ מפעל פרטי נוסף למיחזור סוללות של כלי רכב חשמליים, בהשקעה של כ-50 מיליון ש"ח. המפעל שבהקמה אמור להיות מסוגל למחזר </w:t>
      </w:r>
      <w:r w:rsidR="00716153">
        <w:rPr>
          <w:rFonts w:ascii="Tahoma" w:eastAsia="Calibri" w:hAnsi="Tahoma" w:cs="Tahoma"/>
          <w:sz w:val="19"/>
          <w:szCs w:val="19"/>
          <w:rtl/>
        </w:rPr>
        <w:br/>
      </w:r>
      <w:r w:rsidRPr="00441EB5">
        <w:rPr>
          <w:rFonts w:ascii="Tahoma" w:eastAsia="Calibri" w:hAnsi="Tahoma" w:cs="Tahoma"/>
          <w:sz w:val="19"/>
          <w:szCs w:val="19"/>
          <w:rtl/>
        </w:rPr>
        <w:t xml:space="preserve">כ-10,000 טונות סוללות של כלי רכב חשמליים. הנחת אבן הפינה למפעל בוצעה ביולי 2025, והוא אמור להתחיל לפעול בשנת 2026. </w:t>
      </w:r>
    </w:p>
    <w:p w:rsidR="00441EB5" w:rsidRPr="00441EB5" w:rsidP="00441EB5">
      <w:pPr>
        <w:spacing w:after="160" w:line="288" w:lineRule="auto"/>
        <w:ind w:left="-143" w:right="-567"/>
        <w:rPr>
          <w:rFonts w:ascii="Tahoma" w:eastAsia="Calibri" w:hAnsi="Tahoma" w:cs="Tahoma"/>
          <w:sz w:val="19"/>
          <w:szCs w:val="19"/>
          <w:rtl/>
        </w:rPr>
      </w:pPr>
      <w:r w:rsidRPr="00441EB5">
        <w:rPr>
          <w:rFonts w:ascii="Tahoma" w:eastAsia="Calibri" w:hAnsi="Tahoma" w:cs="Tahoma"/>
          <w:sz w:val="19"/>
          <w:szCs w:val="19"/>
          <w:rtl/>
        </w:rPr>
        <w:t>א</w:t>
      </w:r>
      <w:r w:rsidR="00880F2A">
        <w:rPr>
          <w:rFonts w:ascii="Tahoma" w:eastAsia="Calibri" w:hAnsi="Tahoma" w:cs="Tahoma" w:hint="cs"/>
          <w:sz w:val="19"/>
          <w:szCs w:val="19"/>
          <w:rtl/>
        </w:rPr>
        <w:t>ו</w:t>
      </w:r>
      <w:r w:rsidRPr="00441EB5">
        <w:rPr>
          <w:rFonts w:ascii="Tahoma" w:eastAsia="Calibri" w:hAnsi="Tahoma" w:cs="Tahoma"/>
          <w:sz w:val="19"/>
          <w:szCs w:val="19"/>
          <w:rtl/>
        </w:rPr>
        <w:t>מנם הוגשו הצעות החוק הפרטיות שהציעו לחייב מיחזור פסולת רכב חשמלי ורכב היברידי אך, נכון למועד סיום ביקורת המעקב (ינואר 2026), אין בישראל אסדרה חוקית של הטיפול בסוללות של הרכבים החשמליים ורכבים היברידיים בתום תקופת שירותן.</w:t>
      </w:r>
    </w:p>
    <w:p w:rsidR="00441EB5" w:rsidRPr="00441EB5" w:rsidP="00880F2A">
      <w:pPr>
        <w:spacing w:before="240" w:after="160" w:line="288" w:lineRule="auto"/>
        <w:ind w:left="-283" w:right="-567" w:hanging="454"/>
        <w:rPr>
          <w:rFonts w:ascii="Tahoma" w:eastAsia="Calibri" w:hAnsi="Tahoma" w:cs="Tahoma"/>
          <w:sz w:val="19"/>
          <w:szCs w:val="19"/>
          <w:rtl/>
        </w:rPr>
      </w:pPr>
      <w:r w:rsidRPr="00441EB5">
        <w:rPr>
          <w:rFonts w:ascii="Tahoma" w:eastAsia="Calibri" w:hAnsi="Tahoma" w:cs="Tahoma"/>
          <w:noProof/>
          <w:sz w:val="19"/>
          <w:szCs w:val="19"/>
          <w:rtl/>
        </w:rPr>
        <w:drawing>
          <wp:inline distT="0" distB="0" distL="0" distR="0">
            <wp:extent cx="2710450" cy="207831"/>
            <wp:effectExtent l="0" t="0" r="0" b="1905"/>
            <wp:docPr id="48" name="תמונה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like.png"/>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10450" cy="207831"/>
                    </a:xfrm>
                    <a:prstGeom prst="rect">
                      <a:avLst/>
                    </a:prstGeom>
                  </pic:spPr>
                </pic:pic>
              </a:graphicData>
            </a:graphic>
          </wp:inline>
        </w:drawing>
      </w:r>
    </w:p>
    <w:p w:rsidR="00441EB5" w:rsidRPr="00441EB5" w:rsidP="00441EB5">
      <w:pPr>
        <w:spacing w:after="120" w:line="288" w:lineRule="auto"/>
        <w:ind w:left="-147" w:right="-567"/>
        <w:rPr>
          <w:rFonts w:ascii="Tahoma" w:eastAsia="Calibri" w:hAnsi="Tahoma" w:cs="Tahoma"/>
          <w:rtl/>
        </w:rPr>
      </w:pPr>
      <w:r w:rsidRPr="00441EB5">
        <w:rPr>
          <w:rFonts w:ascii="Tahoma" w:eastAsia="Calibri" w:hAnsi="Tahoma" w:cs="Tahoma"/>
          <w:b/>
          <w:bCs/>
          <w:sz w:val="19"/>
          <w:szCs w:val="19"/>
          <w:rtl/>
        </w:rPr>
        <w:t xml:space="preserve">התקנת מסנני חלקיקים ופעולות נוספות לצמצום זיהום האוויר </w:t>
      </w:r>
      <w:r w:rsidRPr="00441EB5">
        <w:rPr>
          <w:rFonts w:ascii="Tahoma" w:eastAsia="Calibri" w:hAnsi="Tahoma" w:cs="Tahoma"/>
          <w:sz w:val="19"/>
          <w:szCs w:val="19"/>
          <w:rtl/>
        </w:rPr>
        <w:t xml:space="preserve">- בביקורת הקודמת עלה כי על פי מידע שהתקבל מהמשרד להגנ"ס, בתקופה שמפברואר 2018 עד פברואר 2023 הותקנו 6,560 מסננים בכלי רכב כבדים והם סובסדו על ידי המשרד בעלות של כ-124 מיליון ש"ח (עלות ממוצעת של 18,900 ש"ח לרכב). </w:t>
      </w:r>
      <w:r w:rsidR="009557B5">
        <w:rPr>
          <w:rFonts w:ascii="Tahoma" w:eastAsia="Calibri" w:hAnsi="Tahoma" w:cs="Tahoma"/>
          <w:sz w:val="19"/>
          <w:szCs w:val="19"/>
          <w:rtl/>
        </w:rPr>
        <w:br/>
      </w:r>
      <w:r w:rsidRPr="00441EB5">
        <w:rPr>
          <w:rFonts w:ascii="Tahoma" w:eastAsia="Calibri" w:hAnsi="Tahoma" w:cs="Tahoma"/>
          <w:sz w:val="19"/>
          <w:szCs w:val="19"/>
          <w:rtl/>
        </w:rPr>
        <w:t xml:space="preserve">כ-80% מההתקנות נעשו ברכבים שיוצרו בשנים 2000 - 2006, ועיקרן (73%) בשנת 2019. בביקורת המעקב נמצא כי הליקוי </w:t>
      </w:r>
      <w:r w:rsidRPr="00441EB5">
        <w:rPr>
          <w:rFonts w:ascii="Tahoma" w:eastAsia="Calibri" w:hAnsi="Tahoma" w:cs="Tahoma"/>
          <w:b/>
          <w:bCs/>
          <w:sz w:val="19"/>
          <w:szCs w:val="19"/>
          <w:rtl/>
        </w:rPr>
        <w:t>תוקן באופן מלא</w:t>
      </w:r>
      <w:r w:rsidRPr="00441EB5">
        <w:rPr>
          <w:rFonts w:ascii="Tahoma" w:eastAsia="Calibri" w:hAnsi="Tahoma" w:cs="Tahoma"/>
          <w:sz w:val="19"/>
          <w:szCs w:val="19"/>
          <w:rtl/>
        </w:rPr>
        <w:t>.</w:t>
      </w:r>
      <w:r w:rsidRPr="00441EB5">
        <w:rPr>
          <w:rFonts w:ascii="Tahoma" w:eastAsia="Calibri" w:hAnsi="Tahoma" w:cs="Tahoma"/>
          <w:rtl/>
        </w:rPr>
        <w:t xml:space="preserve"> </w:t>
      </w:r>
    </w:p>
    <w:p w:rsidR="00441EB5" w:rsidRPr="00441EB5" w:rsidP="00441EB5">
      <w:pPr>
        <w:spacing w:after="120" w:line="288" w:lineRule="auto"/>
        <w:ind w:left="-147" w:right="-567"/>
        <w:rPr>
          <w:rFonts w:ascii="Tahoma" w:eastAsia="Calibri" w:hAnsi="Tahoma" w:cs="Tahoma"/>
          <w:sz w:val="19"/>
          <w:szCs w:val="19"/>
          <w:rtl/>
        </w:rPr>
      </w:pPr>
      <w:r w:rsidRPr="00441EB5">
        <w:rPr>
          <w:rFonts w:ascii="Tahoma" w:eastAsia="Calibri" w:hAnsi="Tahoma" w:cs="Tahoma"/>
          <w:sz w:val="19"/>
          <w:szCs w:val="19"/>
          <w:rtl/>
        </w:rPr>
        <w:t>בביקורת המעקב עלה כי: מספרם של המסננים המותקנים בכלי רכב הלך ופחת במידה רבה,</w:t>
      </w:r>
      <w:r w:rsidRPr="00441EB5">
        <w:rPr>
          <w:rFonts w:ascii="Tahoma" w:eastAsia="Calibri" w:hAnsi="Tahoma" w:cs="Tahoma"/>
          <w:rtl/>
        </w:rPr>
        <w:t xml:space="preserve"> </w:t>
      </w:r>
      <w:r w:rsidRPr="00441EB5">
        <w:rPr>
          <w:rFonts w:ascii="Tahoma" w:eastAsia="Calibri" w:hAnsi="Tahoma" w:cs="Tahoma"/>
          <w:sz w:val="19"/>
          <w:szCs w:val="19"/>
          <w:rtl/>
        </w:rPr>
        <w:t xml:space="preserve">במשך השנים, ואולם יעדי ההתקנה הושגו. מספר ההתקנות של מסנני חלקיקים בכלי רכב כבדים ירד מ-4,683 בשנת 2019 ל-8 בלבד בשנת 2023 (ירידה של כ-99.8%). </w:t>
      </w:r>
    </w:p>
    <w:p w:rsidR="00441EB5" w:rsidRPr="00441EB5" w:rsidP="00441EB5">
      <w:pPr>
        <w:spacing w:after="120" w:line="288" w:lineRule="auto"/>
        <w:ind w:left="-147" w:right="-567"/>
        <w:rPr>
          <w:rFonts w:ascii="Tahoma" w:eastAsia="Calibri" w:hAnsi="Tahoma" w:cs="Tahoma"/>
          <w:sz w:val="19"/>
          <w:szCs w:val="19"/>
          <w:rtl/>
        </w:rPr>
      </w:pPr>
      <w:r w:rsidRPr="00441EB5">
        <w:rPr>
          <w:rFonts w:ascii="Tahoma" w:eastAsia="Calibri" w:hAnsi="Tahoma" w:cs="Tahoma"/>
          <w:sz w:val="19"/>
          <w:szCs w:val="19"/>
          <w:rtl/>
        </w:rPr>
        <w:t xml:space="preserve">יצוין כי הדבר נובע בעיקר מהוצאת כלי רכב כבדים המותאמים לתקן יורו 4 ומטה משימוש בציי כלי רכב כבדים ומעבר לכלי רכב כבדים המותאמים לתקן יורו 6, וכן בשל השימוש בכלי רכב כבד בהנעה חלופית. לפי ההוראות של המשרד להגנ"ס, החל ב-1.1.20 לא תעלה פליטת החלקיקים הממוצעת מצי רכב כבד מעל 0.03 גרם חלקיקים לק"מ נסיעה של הרכב. </w:t>
      </w:r>
    </w:p>
    <w:p w:rsidR="00441EB5" w:rsidRPr="00441EB5" w:rsidP="00441EB5">
      <w:pPr>
        <w:spacing w:after="120" w:line="288" w:lineRule="auto"/>
        <w:ind w:left="-147" w:right="-567"/>
        <w:rPr>
          <w:rFonts w:ascii="Tahoma" w:eastAsia="Calibri" w:hAnsi="Tahoma" w:cs="Tahoma"/>
          <w:sz w:val="19"/>
          <w:szCs w:val="19"/>
          <w:rtl/>
        </w:rPr>
      </w:pPr>
      <w:r w:rsidRPr="00441EB5">
        <w:rPr>
          <w:rFonts w:ascii="Tahoma" w:eastAsia="Calibri" w:hAnsi="Tahoma" w:cs="Tahoma"/>
          <w:sz w:val="19"/>
          <w:szCs w:val="19"/>
          <w:rtl/>
        </w:rPr>
        <w:t xml:space="preserve">עוד עלה כי בשנת 2024 כמות פליטות החלקיקים השנתית הממוצעת מכלי רכב כבד הייתה כ-0.0027 גרם לק"מ נסיעה של רכב, וכי בשנת 2024 ירדה כמות פליטות החלקיקים השנתית הממוצעת בכלי רכב כבד בשיעור של כ-93% ביחס לשנת 2014. </w:t>
      </w:r>
    </w:p>
    <w:p w:rsidR="00441EB5" w:rsidRPr="00441EB5" w:rsidP="00441EB5">
      <w:pPr>
        <w:spacing w:after="120" w:line="288" w:lineRule="auto"/>
        <w:ind w:left="-147" w:right="-567"/>
        <w:rPr>
          <w:rFonts w:ascii="Tahoma" w:eastAsia="Calibri" w:hAnsi="Tahoma" w:cs="Tahoma"/>
          <w:sz w:val="19"/>
          <w:szCs w:val="19"/>
        </w:rPr>
      </w:pPr>
      <w:r w:rsidRPr="00441EB5">
        <w:rPr>
          <w:rFonts w:ascii="Tahoma" w:eastAsia="Calibri" w:hAnsi="Tahoma" w:cs="Tahoma"/>
          <w:sz w:val="19"/>
          <w:szCs w:val="19"/>
          <w:rtl/>
        </w:rPr>
        <w:t xml:space="preserve">נוסף על כך, בשנת 2024 כמות החלקיקים שנפלטו מכלל כלי הרכב הכבד בציים הייתה כשלוש טונות, לעומת כ-22 טונות בשנת 2014 (הפחתה בשיעור של כ-86%). </w:t>
      </w:r>
    </w:p>
    <w:p w:rsidR="00441EB5" w:rsidRPr="00441EB5" w:rsidP="00441EB5">
      <w:pPr>
        <w:spacing w:after="240" w:line="288" w:lineRule="auto"/>
        <w:ind w:left="-150" w:right="-567"/>
        <w:rPr>
          <w:rFonts w:ascii="Tahoma" w:eastAsia="Calibri" w:hAnsi="Tahoma" w:cs="Tahoma"/>
          <w:sz w:val="19"/>
          <w:szCs w:val="19"/>
          <w:rtl/>
        </w:rPr>
      </w:pPr>
      <w:r w:rsidRPr="00441EB5">
        <w:rPr>
          <w:rFonts w:ascii="Tahoma" w:eastAsia="Calibri" w:hAnsi="Tahoma" w:cs="Tahoma"/>
          <w:sz w:val="19"/>
          <w:szCs w:val="19"/>
          <w:rtl/>
        </w:rPr>
        <w:t>בביקורת המעקב גם עלה כי ממסמכי המשרד להגנ"ס ממרץ 2025, ובהמשך לקול קורא שפורסם על ידי המשרד בספטמבר 2024 עולה כי כ-20 משאיות אשפה חשמליות ומאופְּסות פליטות יפעלו ב-11 רשויות מקומיות בישראל, וכי המשרד להגנ"ס יתמוך בסכום של כ-8 מיליון ש"ח ברכישת משאיות אשפה אלו.</w:t>
      </w:r>
      <w:r w:rsidRPr="00441EB5">
        <w:rPr>
          <w:rFonts w:ascii="Tahoma" w:eastAsia="Calibri" w:hAnsi="Tahoma" w:cs="Tahoma"/>
          <w:rtl/>
        </w:rPr>
        <w:t xml:space="preserve"> </w:t>
      </w:r>
      <w:r w:rsidRPr="00441EB5">
        <w:rPr>
          <w:rFonts w:ascii="Tahoma" w:eastAsia="Calibri" w:hAnsi="Tahoma" w:cs="Tahoma"/>
          <w:sz w:val="19"/>
          <w:szCs w:val="19"/>
          <w:rtl/>
        </w:rPr>
        <w:t>מהמסמך של ועדת המומחים משנת 2025</w:t>
      </w:r>
      <w:r>
        <w:rPr>
          <w:rFonts w:ascii="Tahoma" w:eastAsia="Calibri" w:hAnsi="Tahoma" w:cs="Tahoma"/>
          <w:vertAlign w:val="superscript"/>
          <w:rtl/>
        </w:rPr>
        <w:footnoteReference w:id="6"/>
      </w:r>
      <w:r w:rsidRPr="00441EB5">
        <w:rPr>
          <w:rFonts w:ascii="Tahoma" w:eastAsia="Calibri" w:hAnsi="Tahoma" w:cs="Tahoma"/>
          <w:sz w:val="19"/>
          <w:szCs w:val="19"/>
          <w:rtl/>
        </w:rPr>
        <w:t xml:space="preserve"> עלה כי הטכנולוגיה של משאיות חשמליות זמינה בכל טווחי המשקל שלהן, ויש תועלת כלכלית בכמה שימושים במשקלים קלים ובינוניים (עד עשר טונות). טווחי הנסיעה של משאיות חשמליות קלות במשקל כאמור, מתאימים לרוב השימושים העירוניים והבין-עירוניים. עם זאת, מצוין במסמך זה כי החסמים המרכזיים למעבר למשאיות מאופסות פליטות מגוונים, ובהם אלו: עלות הרכישה הגבוהה (פי 2 - 3 ממשאית דיזל), חוסר הוודאות לגבי האסדרה העתידית והקצב והמימון של פריסת תשתיות הטעינה.</w:t>
      </w:r>
    </w:p>
    <w:p w:rsidR="00441EB5" w:rsidRPr="00441EB5" w:rsidP="00441EB5">
      <w:pPr>
        <w:spacing w:after="120" w:line="288" w:lineRule="auto"/>
        <w:ind w:left="-142" w:right="-567"/>
        <w:rPr>
          <w:rFonts w:ascii="Tahoma" w:eastAsia="Calibri" w:hAnsi="Tahoma" w:cs="Tahoma"/>
          <w:sz w:val="19"/>
          <w:szCs w:val="19"/>
        </w:rPr>
      </w:pPr>
      <w:r w:rsidRPr="00441EB5">
        <w:rPr>
          <w:rFonts w:ascii="Tahoma" w:eastAsia="Calibri" w:hAnsi="Tahoma" w:cs="Tahoma"/>
          <w:b/>
          <w:bCs/>
          <w:sz w:val="19"/>
          <w:szCs w:val="19"/>
          <w:rtl/>
        </w:rPr>
        <w:t xml:space="preserve">גריטת רכבים כבדים </w:t>
      </w:r>
      <w:r w:rsidRPr="00441EB5">
        <w:rPr>
          <w:rFonts w:ascii="Tahoma" w:eastAsia="Calibri" w:hAnsi="Tahoma" w:cs="Tahoma"/>
          <w:sz w:val="19"/>
          <w:szCs w:val="19"/>
          <w:rtl/>
        </w:rPr>
        <w:t xml:space="preserve">- אחד הפתרונות לטיפול בבעיית הזיהום הוא גריטת כלי רכב הפולטים גזים מזהמים, כלומר הפיכת הרכב לגרוטה ופירוקו. רכב שנועד לגריטה מועבר למגרש ייעודי לפירוק, מנוע הרכב הגרוט מושבת, ושאר חלקי הרכב מועברים למיחזור או לשימוש חוזר. בביקורת הקודמת עלה כי בשנים 2018 - 2020 נגרטו 1,251 כלי רכב כבדים, 869 מתוכם הם אוטובוסים (כ-69%) ו-375 מתוכם הם רכבי משא (כ-30%). רוב הרכבים נגרטו בשנת 2019 (כ-929 רכבים שהם כ-74%) ובשנת 2020 נגרטו רק 27 רכבים (כ-2% מהרכבים </w:t>
      </w:r>
      <w:r w:rsidRPr="00441EB5">
        <w:rPr>
          <w:rFonts w:ascii="Tahoma" w:eastAsia="Calibri" w:hAnsi="Tahoma" w:cs="Tahoma"/>
          <w:sz w:val="19"/>
          <w:szCs w:val="19"/>
          <w:rtl/>
        </w:rPr>
        <w:t>שנגרטו). על פי נתוני המשרד להגנ"ס ממאי 2020, שולמו לבעלי רכבים הללו כ-23.6 מיליון ש"ח (כ-19,000 ש"ח בממוצע לרכב).</w:t>
      </w:r>
      <w:r w:rsidRPr="00441EB5">
        <w:rPr>
          <w:rFonts w:ascii="Tahoma" w:eastAsia="Calibri" w:hAnsi="Tahoma" w:cs="Tahoma"/>
          <w:b/>
          <w:bCs/>
          <w:sz w:val="19"/>
          <w:szCs w:val="19"/>
          <w:rtl/>
        </w:rPr>
        <w:t xml:space="preserve"> </w:t>
      </w:r>
      <w:r w:rsidRPr="00441EB5">
        <w:rPr>
          <w:rFonts w:ascii="Tahoma" w:eastAsia="Calibri" w:hAnsi="Tahoma" w:cs="Tahoma"/>
          <w:sz w:val="19"/>
          <w:szCs w:val="19"/>
          <w:rtl/>
        </w:rPr>
        <w:t xml:space="preserve">עוד עלה בביקורת הקודמת כי על פי נתוני מרץ 2023, היו בישראל 4,531 כלי רכב מסחריים שמשקלם 3.5 עד 12 טונות שלא נכללו בתוכניות הגריטה ושהטיפול בהם מסתכם בסימונם במדבקה ובאיסור כניסתם לשני אזורי אוויר נקי בחיפה ובירושלים. רכבים מסוג זה וכן משאיות כבדות יותר נכללים בקבוצת הרכבים הפולטים 29% מכלל זיהום האוויר בתחבורה. </w:t>
      </w:r>
    </w:p>
    <w:p w:rsidR="00441EB5" w:rsidRPr="00441EB5" w:rsidP="00441EB5">
      <w:pPr>
        <w:spacing w:after="120" w:line="288" w:lineRule="auto"/>
        <w:ind w:left="-142" w:right="-567"/>
        <w:rPr>
          <w:rFonts w:ascii="Tahoma" w:eastAsia="Calibri" w:hAnsi="Tahoma" w:cs="Tahoma"/>
          <w:sz w:val="19"/>
          <w:szCs w:val="19"/>
          <w:rtl/>
        </w:rPr>
      </w:pPr>
      <w:r w:rsidRPr="00441EB5">
        <w:rPr>
          <w:rFonts w:ascii="Tahoma" w:eastAsia="Calibri" w:hAnsi="Tahoma" w:cs="Tahoma"/>
          <w:sz w:val="19"/>
          <w:szCs w:val="19"/>
          <w:rtl/>
        </w:rPr>
        <w:t xml:space="preserve">בביקורת המעקב נמצא כי הליקוי </w:t>
      </w:r>
      <w:r w:rsidRPr="00441EB5">
        <w:rPr>
          <w:rFonts w:ascii="Tahoma" w:eastAsia="Calibri" w:hAnsi="Tahoma" w:cs="Tahoma"/>
          <w:b/>
          <w:bCs/>
          <w:sz w:val="19"/>
          <w:szCs w:val="19"/>
          <w:rtl/>
        </w:rPr>
        <w:t>תוקן במידה רבה</w:t>
      </w:r>
      <w:r w:rsidRPr="00441EB5">
        <w:rPr>
          <w:rFonts w:ascii="Tahoma" w:eastAsia="Calibri" w:hAnsi="Tahoma" w:cs="Tahoma"/>
          <w:sz w:val="19"/>
          <w:szCs w:val="19"/>
          <w:rtl/>
        </w:rPr>
        <w:t xml:space="preserve">. עלה כי התוכנית לגריטת כלי רכב כבדים התקיימה בתקופה שמאוגוסט 2018 עד מאי 2020, ומאז לא חודשה. </w:t>
      </w:r>
    </w:p>
    <w:p w:rsidR="00441EB5" w:rsidRPr="00441EB5" w:rsidP="00441EB5">
      <w:pPr>
        <w:spacing w:after="120" w:line="288" w:lineRule="auto"/>
        <w:ind w:left="-142" w:right="-567"/>
        <w:rPr>
          <w:rFonts w:ascii="Tahoma" w:eastAsia="Calibri" w:hAnsi="Tahoma" w:cs="Tahoma"/>
          <w:sz w:val="19"/>
          <w:szCs w:val="19"/>
          <w:rtl/>
        </w:rPr>
      </w:pPr>
      <w:r w:rsidRPr="00441EB5">
        <w:rPr>
          <w:rFonts w:ascii="Tahoma" w:eastAsia="Calibri" w:hAnsi="Tahoma" w:cs="Tahoma"/>
          <w:sz w:val="19"/>
          <w:szCs w:val="19"/>
          <w:rtl/>
        </w:rPr>
        <w:t>עם זאת, נמצא כי מספר ההתקנות של מסנני חלקיקים בכלי רכב כבדים ירד בין השנים 2019 - 2023 מ-4,683 בשנת 2019 ל-8 בלבד בשנת 2023 (ירידה של כ-99.8%). יצוין כי הדבר נובע בעיקר מהוצאת כלי רכב כבדים המותאמים לתקן יורו 4 ומטה משימוש בציי כלי רכב כבדים ומעבר לכלי רכב כבדים המותאמים לתקן יורו 6, וכן בשל השימוש בכלי רכב כבד בהנעה חלופית. בנוסף, עלה כי בשנת 2024 ירדה כמות פליטות החלקיקים השנתית הממוצעת בכלי רכב כבד בשיעור של כ-93% ביחס לשנת 2014.</w:t>
      </w:r>
    </w:p>
    <w:p w:rsidR="00441EB5" w:rsidRPr="00441EB5" w:rsidP="00441EB5">
      <w:pPr>
        <w:spacing w:after="240" w:line="288" w:lineRule="auto"/>
        <w:ind w:left="-142" w:right="-567"/>
        <w:rPr>
          <w:rFonts w:ascii="Tahoma" w:eastAsia="Calibri" w:hAnsi="Tahoma" w:cs="Tahoma"/>
          <w:sz w:val="19"/>
          <w:szCs w:val="19"/>
          <w:rtl/>
        </w:rPr>
      </w:pPr>
      <w:r w:rsidRPr="00441EB5">
        <w:rPr>
          <w:rFonts w:ascii="Tahoma" w:eastAsia="Calibri" w:hAnsi="Tahoma" w:cs="Tahoma"/>
          <w:sz w:val="19"/>
          <w:szCs w:val="19"/>
          <w:rtl/>
        </w:rPr>
        <w:t>עוד עלה בביקורת המעקב כי בטיוטת דוח לגיבוש האסדרה שהכין המשרד להגנ"ס בשנת 2025 בוצע ניתוח התועלות והעלויות של גריטה או החלפה של כלי רכב ישנים מזהמים, והוצגו בה העלות המשקית הכוללת של הזיהום, העלות התקציבית הכוללת של הגריטה ושל ההחלפה. עם זאת, במועד סיום ביקורת המעקב בינואר 2026 טיוטת הדוח טרם הושלמה והמסמך נמצא בתהליך עדכון.</w:t>
      </w:r>
    </w:p>
    <w:p w:rsidR="00441EB5" w:rsidRPr="00441EB5" w:rsidP="00441EB5">
      <w:pPr>
        <w:spacing w:after="120" w:line="288" w:lineRule="auto"/>
        <w:ind w:left="-147" w:right="-567"/>
        <w:rPr>
          <w:rFonts w:ascii="Tahoma" w:eastAsia="Calibri" w:hAnsi="Tahoma" w:cs="Tahoma"/>
          <w:sz w:val="19"/>
          <w:szCs w:val="19"/>
          <w:rtl/>
        </w:rPr>
      </w:pPr>
      <w:r w:rsidRPr="00441EB5">
        <w:rPr>
          <w:rFonts w:ascii="Tahoma" w:eastAsia="Calibri" w:hAnsi="Tahoma" w:cs="Tahoma"/>
          <w:b/>
          <w:bCs/>
          <w:sz w:val="19"/>
          <w:szCs w:val="19"/>
          <w:rtl/>
        </w:rPr>
        <w:t>תוכנית פיתוח מקטע ייצור החשמל - היערכות לגידול בביקוש לחשמל בשל עלייה במספר הרכבים חשמליים</w:t>
      </w:r>
      <w:r w:rsidRPr="00441EB5">
        <w:rPr>
          <w:rFonts w:ascii="Tahoma" w:eastAsia="Calibri" w:hAnsi="Tahoma" w:cs="Tahoma"/>
          <w:sz w:val="19"/>
          <w:szCs w:val="19"/>
          <w:rtl/>
        </w:rPr>
        <w:t xml:space="preserve"> - בביקורת הקודמת עלה כי בתוכנית הפיתוח של חברת ממשלתית נגה - ניהול מערכת החשמל בע"מ (נגה) עד שנת 2030 הוצגה גם סוגיית הכניסה של הרכבים החשמליים שהתרחשה בתקופתה של מגפת הקורונה. על פי התוכנית, התחזית לכניסת כלי רכב חשמליים הייתה כי בשנת 2030 יהיו בישראל 600,000 עד 700,000 רכבים חשמליים. עם זאת, על פי תוכנית הפיתוח, התחזית של כניסת כלי רכב חשמליים ואופן טעינתם נתונה לשינויים לנוכח אי-ודאות רבה. לדוגמה, באוקטובר 2022, כחודשיים לאחר פרסום תוכנית הפיתוח במרשתת, הציג משרד התחבורה מודל ביקושים שלפיו מספר כלי הרכב החשמליים בשנת 2030 עשוי להיות כ-1.25 מיליון, כפול מההערכות בתוכנית. כלומר תחזית חברת נגה לא תאמה את הערכות משרד התחבורה. </w:t>
      </w:r>
    </w:p>
    <w:p w:rsidR="00441EB5" w:rsidRPr="00441EB5" w:rsidP="00441EB5">
      <w:pPr>
        <w:spacing w:after="120" w:line="288" w:lineRule="auto"/>
        <w:ind w:left="-147" w:right="-567"/>
        <w:rPr>
          <w:rFonts w:ascii="Tahoma" w:eastAsia="Calibri" w:hAnsi="Tahoma" w:cs="Tahoma"/>
          <w:sz w:val="19"/>
          <w:szCs w:val="19"/>
          <w:rtl/>
        </w:rPr>
      </w:pPr>
      <w:r w:rsidRPr="00441EB5">
        <w:rPr>
          <w:rFonts w:ascii="Tahoma" w:eastAsia="Calibri" w:hAnsi="Tahoma" w:cs="Tahoma"/>
          <w:sz w:val="19"/>
          <w:szCs w:val="19"/>
          <w:rtl/>
        </w:rPr>
        <w:t xml:space="preserve">עוד עלה בביקורת הקודמת כי תחזית הביקוש של חברת נגה מתבססת על הנחת עבודה שלפיה חדירת כלי הרכב החשמליים החדשים תושלם ל-100% החל משנת 2035, ובשנת 2030 כ-70% מכלי הרכב החדשים יהיו חשמליים, אף שעל פי החלטת הממשלה 171 מיולי 2021, החל משנת 2030 יהיו לפחות 95% מכלי הרכב החדשים ללא פליטת גזי חממה. </w:t>
      </w:r>
    </w:p>
    <w:p w:rsidR="00441EB5" w:rsidRPr="00441EB5" w:rsidP="00441EB5">
      <w:pPr>
        <w:spacing w:after="240" w:line="288" w:lineRule="auto"/>
        <w:ind w:left="-150" w:right="-567"/>
        <w:rPr>
          <w:rFonts w:ascii="Tahoma" w:eastAsia="Calibri" w:hAnsi="Tahoma" w:cs="Tahoma"/>
          <w:sz w:val="19"/>
          <w:szCs w:val="19"/>
          <w:rtl/>
        </w:rPr>
      </w:pPr>
      <w:r w:rsidRPr="00441EB5">
        <w:rPr>
          <w:rFonts w:ascii="Tahoma" w:eastAsia="Calibri" w:hAnsi="Tahoma" w:cs="Tahoma"/>
          <w:sz w:val="19"/>
          <w:szCs w:val="19"/>
          <w:rtl/>
        </w:rPr>
        <w:t xml:space="preserve">בביקורת המעקב נמצא כי הליקוי </w:t>
      </w:r>
      <w:r w:rsidRPr="00441EB5">
        <w:rPr>
          <w:rFonts w:ascii="Tahoma" w:eastAsia="Calibri" w:hAnsi="Tahoma" w:cs="Tahoma"/>
          <w:b/>
          <w:bCs/>
          <w:sz w:val="19"/>
          <w:szCs w:val="19"/>
          <w:rtl/>
        </w:rPr>
        <w:t>תוקן באופן מלא</w:t>
      </w:r>
      <w:r w:rsidRPr="00441EB5">
        <w:rPr>
          <w:rFonts w:ascii="Tahoma" w:eastAsia="Calibri" w:hAnsi="Tahoma" w:cs="Tahoma"/>
          <w:sz w:val="19"/>
          <w:szCs w:val="19"/>
          <w:rtl/>
        </w:rPr>
        <w:t>. מפרסום ההודעה של משרד האנרגיה מספטמבר 2023, אשר מפרט את תחזית מודל הביקושים לכלי רכב חשמליים, עולה כי לפי התרחיש המרכזי בתחזית שפרסם משרד האנרגיה, בשנת 2030 מספר כלי הרכב החשמליים הפרטיים צפוי להסתכם בכ-1.3 מיליון. לפי אותה התחזית, תחזית הביקוש לחשמל עבור טעינת כלי הרכב החשמליים הפרטיים, באותה השנה, צפויה להגיע לכ-4 טרה-ואט שעה (</w:t>
      </w:r>
      <w:r w:rsidRPr="00441EB5">
        <w:rPr>
          <w:rFonts w:ascii="Tahoma" w:eastAsia="Calibri" w:hAnsi="Tahoma" w:cs="Tahoma"/>
          <w:sz w:val="19"/>
          <w:szCs w:val="19"/>
        </w:rPr>
        <w:t>TWh</w:t>
      </w:r>
      <w:r w:rsidRPr="00441EB5">
        <w:rPr>
          <w:rFonts w:ascii="Tahoma" w:eastAsia="Calibri" w:hAnsi="Tahoma" w:cs="Tahoma"/>
          <w:sz w:val="19"/>
          <w:szCs w:val="19"/>
          <w:rtl/>
        </w:rPr>
        <w:t>), והוא יהיה, על פי הערכות של נגה, כ-4.35% מתחזית הביקוש לצריכת החשמל בכלל המשק, אשר מוערכת בכ-92 טרה-ואט שעה (</w:t>
      </w:r>
      <w:r w:rsidRPr="00441EB5">
        <w:rPr>
          <w:rFonts w:ascii="Tahoma" w:eastAsia="Calibri" w:hAnsi="Tahoma" w:cs="Tahoma"/>
          <w:sz w:val="19"/>
          <w:szCs w:val="19"/>
        </w:rPr>
        <w:t>TWh</w:t>
      </w:r>
      <w:r w:rsidRPr="00441EB5">
        <w:rPr>
          <w:rFonts w:ascii="Tahoma" w:eastAsia="Calibri" w:hAnsi="Tahoma" w:cs="Tahoma"/>
          <w:sz w:val="19"/>
          <w:szCs w:val="19"/>
          <w:rtl/>
        </w:rPr>
        <w:t>) לשנה זו. יוצא מכאן, כי תחזית מודל הביקושים לכלי רכב חשמליים של חברת נגה לשנת 2030 תואמת לתחזית מודל הביקושים לכלי רכב חשמליים של משרד האנרגיה שפורסמה בספטמבר 2023.</w:t>
      </w:r>
    </w:p>
    <w:p w:rsidR="00441EB5" w:rsidRPr="00441EB5" w:rsidP="00441EB5">
      <w:pPr>
        <w:spacing w:after="120" w:line="288" w:lineRule="auto"/>
        <w:ind w:left="-147" w:right="-567"/>
        <w:rPr>
          <w:rFonts w:ascii="Tahoma" w:eastAsia="Calibri" w:hAnsi="Tahoma" w:cs="Tahoma"/>
          <w:sz w:val="19"/>
          <w:szCs w:val="19"/>
          <w:rtl/>
        </w:rPr>
      </w:pPr>
      <w:r w:rsidRPr="00441EB5">
        <w:rPr>
          <w:rFonts w:ascii="Tahoma" w:eastAsia="Calibri" w:hAnsi="Tahoma" w:cs="Tahoma"/>
          <w:b/>
          <w:bCs/>
          <w:sz w:val="19"/>
          <w:szCs w:val="19"/>
          <w:rtl/>
        </w:rPr>
        <w:t xml:space="preserve">שעות טעינה של כלי רכב חשמליים וטעינה מנוהלת </w:t>
      </w:r>
      <w:r w:rsidRPr="00441EB5">
        <w:rPr>
          <w:rFonts w:ascii="Tahoma" w:eastAsia="Calibri" w:hAnsi="Tahoma" w:cs="Tahoma"/>
          <w:sz w:val="19"/>
          <w:szCs w:val="19"/>
          <w:rtl/>
        </w:rPr>
        <w:t>-</w:t>
      </w:r>
      <w:r w:rsidRPr="00441EB5">
        <w:rPr>
          <w:rFonts w:ascii="Tahoma" w:eastAsia="Calibri" w:hAnsi="Tahoma" w:cs="Tahoma"/>
          <w:b/>
          <w:bCs/>
          <w:sz w:val="19"/>
          <w:szCs w:val="19"/>
          <w:rtl/>
        </w:rPr>
        <w:t xml:space="preserve"> </w:t>
      </w:r>
      <w:r w:rsidRPr="00441EB5">
        <w:rPr>
          <w:rFonts w:ascii="Tahoma" w:eastAsia="Calibri" w:hAnsi="Tahoma" w:cs="Tahoma"/>
          <w:sz w:val="19"/>
          <w:szCs w:val="19"/>
          <w:rtl/>
        </w:rPr>
        <w:t>בביקורת הקודמת עלה כי על פי נתוני דוח מצב משק החשמל לשנת 2021, היו בישראל כ-108,000 מונים חכמים, שהם כ-3.5% מכלל המונים בישראל. נתון זה היה נמוך ביחס לנתון המקביל במדינות מפותחות אחרות. על פי בדיקת הנציבות האירופית, עד שנת 2019 השלימו שוודיה, פינלנד, איטליה, מלטה וספרד פריסה מלאה של מונים חכמים. באותו מועד יותר מ-34% מהמונים במדינות החברות באיחוד האירופי היו חכמים, פי עשרה יותר מהנתון המקביל בישראל בשנת 2021. בביקורת הקודמת גם עלה כי התקנת "מונים חכמים" עשויה להביא לידי התייעלות אנרגטית, והיא נדרשת כדי לקדם טעינה מנוהלת של רכבים חשמליים.</w:t>
      </w:r>
      <w:r w:rsidRPr="00441EB5">
        <w:rPr>
          <w:rFonts w:ascii="Tahoma" w:eastAsia="Calibri" w:hAnsi="Tahoma" w:cs="Tahoma"/>
          <w:b/>
          <w:bCs/>
          <w:sz w:val="19"/>
          <w:szCs w:val="19"/>
          <w:rtl/>
        </w:rPr>
        <w:t xml:space="preserve"> </w:t>
      </w:r>
      <w:r w:rsidRPr="00441EB5">
        <w:rPr>
          <w:rFonts w:ascii="Tahoma" w:eastAsia="Calibri" w:hAnsi="Tahoma" w:cs="Tahoma"/>
          <w:sz w:val="19"/>
          <w:szCs w:val="19"/>
          <w:rtl/>
        </w:rPr>
        <w:t xml:space="preserve">בביקורת המעקב נמצא כי הליקוי </w:t>
      </w:r>
      <w:r w:rsidRPr="00441EB5">
        <w:rPr>
          <w:rFonts w:ascii="Tahoma" w:eastAsia="Calibri" w:hAnsi="Tahoma" w:cs="Tahoma"/>
          <w:b/>
          <w:bCs/>
          <w:sz w:val="19"/>
          <w:szCs w:val="19"/>
          <w:rtl/>
        </w:rPr>
        <w:t xml:space="preserve">תוקן במידה רבה. </w:t>
      </w:r>
    </w:p>
    <w:p w:rsidR="00441EB5" w:rsidRPr="00441EB5" w:rsidP="00441EB5">
      <w:pPr>
        <w:spacing w:after="120" w:line="288" w:lineRule="auto"/>
        <w:ind w:left="-147" w:right="-567"/>
        <w:rPr>
          <w:rFonts w:ascii="Tahoma" w:eastAsia="Calibri" w:hAnsi="Tahoma" w:cs="Tahoma"/>
          <w:sz w:val="19"/>
          <w:szCs w:val="19"/>
          <w:rtl/>
        </w:rPr>
      </w:pPr>
      <w:r w:rsidRPr="00441EB5">
        <w:rPr>
          <w:rFonts w:ascii="Tahoma" w:eastAsia="Calibri" w:hAnsi="Tahoma" w:cs="Tahoma"/>
          <w:sz w:val="19"/>
          <w:szCs w:val="19"/>
          <w:rtl/>
        </w:rPr>
        <w:t xml:space="preserve">עלה כי ביוני 2023 החליטה רשות החשמל להאיץ את תוכנית הפריסה של המונים החכמים כך שעד סוף שנת 2028 יוחלפו כל המונים של צרכני חברת החשמל למונים חכמים. המונים החכמים עשויים להביא לשיפור באמינות אספקת החשמל, להגברת התחרות במקטע אספקת החשמל, לחיסכון בעלויות, וכן לאיסוף, ניטור ועיבוד של נתונים והתייעלות כללית למשק החשמל. </w:t>
      </w:r>
    </w:p>
    <w:p w:rsidR="00441EB5" w:rsidRPr="00441EB5" w:rsidP="00441EB5">
      <w:pPr>
        <w:spacing w:after="240" w:line="288" w:lineRule="auto"/>
        <w:ind w:left="-147" w:right="-567"/>
        <w:rPr>
          <w:rFonts w:ascii="Tahoma" w:eastAsia="Calibri" w:hAnsi="Tahoma" w:cs="Tahoma"/>
          <w:sz w:val="19"/>
          <w:szCs w:val="19"/>
          <w:rtl/>
        </w:rPr>
      </w:pPr>
      <w:r w:rsidRPr="00441EB5">
        <w:rPr>
          <w:rFonts w:ascii="Tahoma" w:eastAsia="Calibri" w:hAnsi="Tahoma" w:cs="Tahoma"/>
          <w:sz w:val="19"/>
          <w:szCs w:val="19"/>
          <w:rtl/>
        </w:rPr>
        <w:t xml:space="preserve">עוד עלה בביקורת המעקב כי מרבית התקנות המונים החכמים התבצעו על ידי חברת החשמל בחודשים ינואר 2023 - אוגוסט 2024. בסוף אוגוסט 2024 מספר המונים החכמים שהותקנו (במצטבר) היה גדול פי כ-3.53 ממספרם בסוף שנת 2022 (1 מיליון מונים בסוף אוגוסט 2024 לעומת 283,000 מונים בסוף שנת 2022). </w:t>
      </w:r>
    </w:p>
    <w:p w:rsidR="00441EB5" w:rsidRPr="00441EB5" w:rsidP="00441EB5">
      <w:pPr>
        <w:spacing w:after="120" w:line="288" w:lineRule="auto"/>
        <w:ind w:left="-147" w:right="-567"/>
        <w:rPr>
          <w:rFonts w:ascii="Tahoma" w:eastAsia="Calibri" w:hAnsi="Tahoma" w:cs="Tahoma"/>
          <w:sz w:val="19"/>
          <w:szCs w:val="19"/>
          <w:rtl/>
        </w:rPr>
      </w:pPr>
      <w:r w:rsidRPr="00441EB5">
        <w:rPr>
          <w:rFonts w:ascii="Tahoma" w:eastAsia="Calibri" w:hAnsi="Tahoma" w:cs="Tahoma"/>
          <w:b/>
          <w:bCs/>
          <w:sz w:val="19"/>
          <w:szCs w:val="19"/>
          <w:rtl/>
        </w:rPr>
        <w:t xml:space="preserve">תשתיות התפעול של אוטובוסים חשמליים - </w:t>
      </w:r>
      <w:r w:rsidRPr="00441EB5">
        <w:rPr>
          <w:rFonts w:ascii="Tahoma" w:eastAsia="Calibri" w:hAnsi="Tahoma" w:cs="Tahoma"/>
          <w:sz w:val="19"/>
          <w:szCs w:val="19"/>
          <w:rtl/>
        </w:rPr>
        <w:t xml:space="preserve">בביקורת הקודמת עלה כי משרד התחבורה וחברת נתיבי איילון קידמו תוכנית לתשתית לאומית לחשמול מסופי אוטובוסים, שמכונה "תת"ל 130". במסגרת הדיונים לקראת העברת התוכנית להערות הוועדות המחוזיות ולהשגות הציבור, הוצג הצורך בהסדרת נושא חשמול המסופים. עוד עלה בביקורת הקודמת כי לפי טענת משרד התחבורה, כפי שהוצגה במסמך מיולי 2022 במסגרת קידום תת"ל 130, כדי להקים מסופים מחושמלים בהתאם למתווה הממשלה נדרשים 2,500 דונם למסופים ולחניוני לילה, ובמועד הצגת התוכנית ביולי 2022 יש 1,700 דונם זמינים לנושא. כלומר, במועד הצגת התוכנית היו חסרים כ-800 דונם להקמת המסופים והחניונים. בביקורת המעקב נמצא כי הליקוי </w:t>
      </w:r>
      <w:r w:rsidRPr="00441EB5">
        <w:rPr>
          <w:rFonts w:ascii="Tahoma" w:eastAsia="Calibri" w:hAnsi="Tahoma" w:cs="Tahoma"/>
          <w:b/>
          <w:bCs/>
          <w:sz w:val="19"/>
          <w:szCs w:val="19"/>
          <w:rtl/>
        </w:rPr>
        <w:t>תוקן במידה רבה</w:t>
      </w:r>
      <w:r w:rsidRPr="00441EB5">
        <w:rPr>
          <w:rFonts w:ascii="Tahoma" w:eastAsia="Calibri" w:hAnsi="Tahoma" w:cs="Tahoma"/>
          <w:sz w:val="19"/>
          <w:szCs w:val="19"/>
          <w:rtl/>
        </w:rPr>
        <w:t>.</w:t>
      </w:r>
      <w:r w:rsidRPr="00441EB5">
        <w:rPr>
          <w:rFonts w:ascii="Tahoma" w:eastAsia="Calibri" w:hAnsi="Tahoma" w:cs="Tahoma"/>
          <w:b/>
          <w:bCs/>
          <w:sz w:val="19"/>
          <w:szCs w:val="19"/>
          <w:rtl/>
        </w:rPr>
        <w:t xml:space="preserve"> </w:t>
      </w:r>
    </w:p>
    <w:p w:rsidR="00441EB5" w:rsidRPr="00441EB5" w:rsidP="00441EB5">
      <w:pPr>
        <w:spacing w:after="120" w:line="288" w:lineRule="auto"/>
        <w:ind w:left="-147" w:right="-567"/>
        <w:rPr>
          <w:rFonts w:ascii="Tahoma" w:eastAsia="Calibri" w:hAnsi="Tahoma" w:cs="Tahoma"/>
          <w:sz w:val="19"/>
          <w:szCs w:val="19"/>
          <w:rtl/>
        </w:rPr>
      </w:pPr>
      <w:r w:rsidRPr="00441EB5">
        <w:rPr>
          <w:rFonts w:ascii="Tahoma" w:eastAsia="Calibri" w:hAnsi="Tahoma" w:cs="Tahoma"/>
          <w:sz w:val="19"/>
          <w:szCs w:val="19"/>
          <w:rtl/>
        </w:rPr>
        <w:t xml:space="preserve">עלה כי תת"ל 130 הכוללת כ-320 מתקנים לטעינת אוטובוסים חשמליים בפריסה ארצית אושרה בממשלה באוקטובר 2023. יצוין כי חלק ממתקנים כבר קיימים, והשאר יקומו בשטחים של מסופים או חניונים של האוטובוסים. עוד עלה בביקורת המעקב כי לצד תת"ל 130 מקודמות גם התוכניות: תת"ל 120, תת"ל 121, ותת"ל 135; שלושתן יחדיו מקדמות הסדרה של 20 מרכזי תחבורה ומתקני תשתית לתפעול התחבורה הציבורית באוטובוסים ברחבי הארץ. נמצא כי שלוש התוכניות אושרו על ידי הממשלה, ודבר אישורן פורסם ברשומות בתקופה שממאי 2023 עד פברואר 2024. </w:t>
      </w:r>
    </w:p>
    <w:p w:rsidR="00441EB5" w:rsidRPr="00441EB5" w:rsidP="00441EB5">
      <w:pPr>
        <w:spacing w:after="120" w:line="288" w:lineRule="auto"/>
        <w:ind w:left="-147" w:right="-567"/>
        <w:rPr>
          <w:rFonts w:ascii="Tahoma" w:eastAsia="Calibri" w:hAnsi="Tahoma" w:cs="Tahoma"/>
          <w:sz w:val="19"/>
          <w:szCs w:val="19"/>
          <w:rtl/>
        </w:rPr>
      </w:pPr>
      <w:r w:rsidRPr="00441EB5">
        <w:rPr>
          <w:rFonts w:ascii="Tahoma" w:eastAsia="Calibri" w:hAnsi="Tahoma" w:cs="Tahoma"/>
          <w:sz w:val="19"/>
          <w:szCs w:val="19"/>
          <w:rtl/>
        </w:rPr>
        <w:t>בביקורת המעקב גם עלה כי תוכניות תת"ל 151 עד 153 כוללות פריסה של תשעה מתקני תשתית לתפעול התחבורה הציבורית ברחבי הארץ מהצפון ועד הדרום. שלוש התוכניות אושרו על ידי הממשלה בתקופה שמיוני 2025 עד נובמבר 2025; ופורסמו ב"רשומות" בתקופה שמאוגוסט 2025 עד דצמבר 2025.</w:t>
      </w:r>
    </w:p>
    <w:p w:rsidR="00441EB5" w:rsidRPr="00441EB5" w:rsidP="00441EB5">
      <w:pPr>
        <w:spacing w:after="240" w:line="288" w:lineRule="auto"/>
        <w:ind w:left="-150" w:right="-567"/>
        <w:rPr>
          <w:rFonts w:ascii="Tahoma" w:eastAsia="Calibri" w:hAnsi="Tahoma" w:cs="Tahoma"/>
          <w:sz w:val="19"/>
          <w:szCs w:val="19"/>
          <w:rtl/>
        </w:rPr>
      </w:pPr>
      <w:r w:rsidRPr="00441EB5">
        <w:rPr>
          <w:rFonts w:ascii="Tahoma" w:eastAsia="Calibri" w:hAnsi="Tahoma" w:cs="Tahoma"/>
          <w:sz w:val="19"/>
          <w:szCs w:val="19"/>
          <w:rtl/>
        </w:rPr>
        <w:t>כן, קודמו גם תוכניות תת"ל 154, 155, 156, 158. מטרתן, בין השאר, להסדיר מרכזי תחבורה ומתקני תשתית לתפעול התחבורה הציבורית באוטובוסים. הן כוללות כ-13 מתקנים ברחבי הארץ מצפון ועד מרכז. למועד סיום ביקורת המעקב (ינואר 2026), תוכניות אלו נמצאו בשלב של שמיעת הערות והשגות. לאחר מועד סיום ביקורת המעקב (ינואר 2026) תת"ל 155 ותת"ל 158, אושרו במוסדות התכנון, במרץ 2026; ותת"ל 158 אושרה בממשלה ופורסם דבר אישורה ברשומות במאי 2026. כמו כן, מקודמת גם תת"ל 157 שמטרתה לייעד קרקע להקמת מרכזי תחבורה ומתקני תשתית לתפעול התחבורה הציבורית באוטובוסים, וכן להקמת לחניוני לילה. התוכנית כוללת כארבעה מתקנים במחוז חיפה ובמחוז הדרום. למועד סיום ביקורת המעקב (ינואר 2026), תוכנית זו מצויה בשלב הכנת מסמך תסקיר סביבתי.</w:t>
      </w:r>
    </w:p>
    <w:p w:rsidR="00441EB5" w:rsidRPr="00441EB5" w:rsidP="00441EB5">
      <w:pPr>
        <w:spacing w:after="240" w:line="288" w:lineRule="auto"/>
        <w:ind w:left="-150" w:right="-567"/>
        <w:rPr>
          <w:rFonts w:ascii="Tahoma" w:eastAsia="Calibri" w:hAnsi="Tahoma" w:cs="Tahoma"/>
          <w:sz w:val="19"/>
          <w:szCs w:val="19"/>
          <w:rtl/>
        </w:rPr>
      </w:pPr>
      <w:r w:rsidRPr="00441EB5">
        <w:rPr>
          <w:rFonts w:ascii="Tahoma" w:eastAsia="Calibri" w:hAnsi="Tahoma" w:cs="Tahoma"/>
          <w:bCs/>
          <w:sz w:val="19"/>
          <w:szCs w:val="19"/>
          <w:rtl/>
        </w:rPr>
        <w:t xml:space="preserve">תוכנית חשמול שנתית של אוטובוסים לשנים 2022 - 2024 </w:t>
      </w:r>
      <w:r w:rsidRPr="00441EB5">
        <w:rPr>
          <w:rFonts w:ascii="Tahoma" w:eastAsia="Calibri" w:hAnsi="Tahoma" w:cs="Tahoma"/>
          <w:b/>
          <w:sz w:val="19"/>
          <w:szCs w:val="19"/>
          <w:rtl/>
        </w:rPr>
        <w:t>-</w:t>
      </w:r>
      <w:r w:rsidRPr="00441EB5">
        <w:rPr>
          <w:rFonts w:ascii="Tahoma" w:eastAsia="Calibri" w:hAnsi="Tahoma" w:cs="Tahoma"/>
          <w:bCs/>
          <w:sz w:val="19"/>
          <w:szCs w:val="19"/>
          <w:rtl/>
        </w:rPr>
        <w:t xml:space="preserve"> </w:t>
      </w:r>
      <w:r w:rsidRPr="00441EB5">
        <w:rPr>
          <w:rFonts w:ascii="Tahoma" w:eastAsia="Calibri" w:hAnsi="Tahoma" w:cs="Tahoma"/>
          <w:sz w:val="19"/>
          <w:szCs w:val="19"/>
          <w:rtl/>
        </w:rPr>
        <w:t>בביקורת הקודמת עלה כי על פי נתוני משרד התחבורה, בסוף שנת 2021 הופעלו בישראל 95 אוטובוסים חשמליים עירוניים מתוך כ-7,100 אוטובוסים עירוניים. עוד עלה בביקורת הקודמת כי על פי נתוני משרד התחבורה, בסוף שנת 2022 היו בישראל 613 אוטובוסים עירוניים חשמליים מתוך 7,133 אוטובוסים עירוניים (כ-8.6%), וזאת כאשר על פי תוכנית ההצטיידות של משרד התחבורה לשנים 2022 - 2024, בסוף שנת 2022 היו אמורים להיות בישראל 475 אוטובוסים כאלה. משרד מבקר המדינה המליץ למשרד התחבורה ולמשרד להגנת הסביבה להוסיף דרכי פעולה להמשך עידוד רכישת אוטובוסים חשמליים על ידי מפעילי התחבורה הציבורית העירונית ולניצול התקציב המוקצב לכך. בביקורת המעקב נמצא כי</w:t>
      </w:r>
      <w:r w:rsidRPr="00441EB5">
        <w:rPr>
          <w:rFonts w:ascii="Tahoma" w:eastAsia="Calibri" w:hAnsi="Tahoma" w:cs="Tahoma"/>
          <w:b/>
          <w:bCs/>
          <w:sz w:val="19"/>
          <w:szCs w:val="19"/>
          <w:rtl/>
        </w:rPr>
        <w:t xml:space="preserve"> ההמלצות מדוח הביקורת הקודם יושמו באופן מלא</w:t>
      </w:r>
      <w:r w:rsidRPr="00441EB5">
        <w:rPr>
          <w:rFonts w:ascii="Tahoma" w:eastAsia="Calibri" w:hAnsi="Tahoma" w:cs="Tahoma"/>
          <w:sz w:val="19"/>
          <w:szCs w:val="19"/>
          <w:rtl/>
        </w:rPr>
        <w:t>. עלה כי בסוף שנת 2025 מספר האוטובוסים החשמליים מוערך בכ-3,239 אוטובוסים לעומת 95 שהיו בסוף שנת 2021 (עלייה של פי כ-34 בין אותן השנים). עוד עלה כי בסוף שנת 2026 יהיו כ-4,366 אוטובוסים חשמליים עירוניים בישראל, מספר הגבוה פי כ-46 ממספר האוטובוסים החשמליים העירוניים שהיו בסוף שנת 2021. עוד עלה בביקורת המעקב כי על פי נתונים של המשרד להגנ"ס, בשנת 2024 אוטובוסים חשמליים היו כ-22% מכלל האוטובוסים העירוניים הפעילים לאותה השנה, וכ-13% מצי האוטובוסים הכולל אשר משמש את התח</w:t>
      </w:r>
      <w:r w:rsidR="00472AFF">
        <w:rPr>
          <w:rFonts w:ascii="Tahoma" w:eastAsia="Calibri" w:hAnsi="Tahoma" w:cs="Tahoma" w:hint="cs"/>
          <w:sz w:val="19"/>
          <w:szCs w:val="19"/>
          <w:rtl/>
        </w:rPr>
        <w:t>בורה הציבורית</w:t>
      </w:r>
      <w:r w:rsidRPr="00441EB5">
        <w:rPr>
          <w:rFonts w:ascii="Tahoma" w:eastAsia="Calibri" w:hAnsi="Tahoma" w:cs="Tahoma"/>
          <w:sz w:val="19"/>
          <w:szCs w:val="19"/>
          <w:rtl/>
        </w:rPr>
        <w:t xml:space="preserve"> </w:t>
      </w:r>
      <w:r w:rsidRPr="00441EB5">
        <w:rPr>
          <w:rFonts w:ascii="Tahoma" w:eastAsia="Calibri" w:hAnsi="Tahoma" w:cs="Tahoma"/>
          <w:sz w:val="19"/>
          <w:szCs w:val="19"/>
          <w:rtl/>
        </w:rPr>
        <w:t xml:space="preserve">(אוטובוסים עירוניים ובין-עירוניים). בביקורת המעקב גם עלה כי על פי תוכנית החשמול לאוטובוסים עירוניים של משרד התחבורה לשנים 2024 - 2025 שפורסמה בנובמבר 2023, הצפי היה כי בסוף שנת 2025 יהיו </w:t>
      </w:r>
      <w:r w:rsidR="00472AFF">
        <w:rPr>
          <w:rFonts w:ascii="Tahoma" w:eastAsia="Calibri" w:hAnsi="Tahoma" w:cs="Tahoma"/>
          <w:sz w:val="19"/>
          <w:szCs w:val="19"/>
          <w:rtl/>
        </w:rPr>
        <w:br/>
      </w:r>
      <w:r w:rsidRPr="00441EB5">
        <w:rPr>
          <w:rFonts w:ascii="Tahoma" w:eastAsia="Calibri" w:hAnsi="Tahoma" w:cs="Tahoma"/>
          <w:sz w:val="19"/>
          <w:szCs w:val="19"/>
          <w:rtl/>
        </w:rPr>
        <w:t>כ-3,050 עמדות טעינה לאוטובוסים חשמליים בישראל, לעומת 95 עמדות טעינה שהיו בסוף שנת 2021 (עליה של פי כ-32 בין אותן השנים), וכי בסוף שנת 2026 יהיו כ-4,171 עמדות טעינה לאוטובוסים חשמליים בישראל. מספר עמדות זה גבוה פי כ-44 ממספר העמדות שהיה בסוף שנת 2021. יוצא מכאן, כי בסוף שנת 2026 תהיה בקירוב רב עמדת טעינה אחת לכל אוטובוס חשמלי (מספר של כ-4,336 אוטובוסים חשמליים לעומת מספר של כ-4,171 עמדות טעינה באותה השנה, נתונים אלו משקפים יחס של כ-1.04 אוטובוסים לכל עמדת טעינה).</w:t>
      </w:r>
    </w:p>
    <w:p w:rsidR="00441EB5" w:rsidRPr="00441EB5" w:rsidP="00441EB5">
      <w:pPr>
        <w:spacing w:after="120" w:line="288" w:lineRule="auto"/>
        <w:ind w:left="-147" w:right="-567"/>
        <w:rPr>
          <w:rFonts w:ascii="Tahoma" w:eastAsia="Calibri" w:hAnsi="Tahoma" w:cs="Tahoma"/>
          <w:sz w:val="19"/>
          <w:szCs w:val="19"/>
          <w:rtl/>
        </w:rPr>
      </w:pPr>
      <w:r w:rsidRPr="00441EB5">
        <w:rPr>
          <w:rFonts w:ascii="Tahoma" w:eastAsia="Calibri" w:hAnsi="Tahoma" w:cs="Tahoma"/>
          <w:b/>
          <w:bCs/>
          <w:sz w:val="19"/>
          <w:szCs w:val="19"/>
          <w:rtl/>
        </w:rPr>
        <w:t xml:space="preserve">כלי רכב כבדים המונעים בטכנולוגיית המימן </w:t>
      </w:r>
      <w:r w:rsidRPr="00441EB5">
        <w:rPr>
          <w:rFonts w:ascii="Tahoma" w:eastAsia="Calibri" w:hAnsi="Tahoma" w:cs="Tahoma"/>
          <w:sz w:val="19"/>
          <w:szCs w:val="19"/>
          <w:rtl/>
        </w:rPr>
        <w:t>-</w:t>
      </w:r>
      <w:r w:rsidRPr="00441EB5">
        <w:rPr>
          <w:rFonts w:ascii="Tahoma" w:eastAsia="Calibri" w:hAnsi="Tahoma" w:cs="Tahoma"/>
          <w:b/>
          <w:bCs/>
          <w:sz w:val="19"/>
          <w:szCs w:val="19"/>
          <w:rtl/>
        </w:rPr>
        <w:t xml:space="preserve"> </w:t>
      </w:r>
      <w:r w:rsidRPr="00441EB5">
        <w:rPr>
          <w:rFonts w:ascii="Tahoma" w:eastAsia="Calibri" w:hAnsi="Tahoma" w:cs="Tahoma"/>
          <w:sz w:val="19"/>
          <w:szCs w:val="19"/>
          <w:rtl/>
        </w:rPr>
        <w:t xml:space="preserve">בביקורת הקודמת עלה כי טכנולוגיית ההנעה במימן היא טכנולוגיה חדשה יחסית, שנמצאת בשלבי פיתוח בעולם וגם בישראל. טכנולוגיית מימן עשויה לאפשר תדלוק מהיר ונסיעה ללא פליטת מזהמים לטווחים ארוכים ביחס לרכבים חשמליים המונעים בסוללות. טכנולוגיית מימן רווחת גם בשימוש מסחרי בעולם, לרבות ברכבים קלים. משרד מבקר המדינה המליץ למשרדי התחבורה והאנרגיה להמשיך בבחינת שילובה של טכנולוגיית מימן בהנעת כלי רכב בישראל, בשים לב להתפתחויות הטכנולוגיה והאסדרה בתחום זה במדינות מתקדמות בעולם. </w:t>
      </w:r>
    </w:p>
    <w:p w:rsidR="00441EB5" w:rsidP="00441EB5">
      <w:pPr>
        <w:spacing w:after="240" w:line="288" w:lineRule="auto"/>
        <w:ind w:left="-150" w:right="-567"/>
        <w:rPr>
          <w:rFonts w:ascii="Tahoma" w:eastAsia="Calibri" w:hAnsi="Tahoma" w:cs="Tahoma"/>
          <w:rtl/>
        </w:rPr>
      </w:pPr>
      <w:r w:rsidRPr="00441EB5">
        <w:rPr>
          <w:rFonts w:ascii="Tahoma" w:eastAsia="Calibri" w:hAnsi="Tahoma" w:cs="Tahoma"/>
          <w:sz w:val="19"/>
          <w:szCs w:val="19"/>
          <w:rtl/>
        </w:rPr>
        <w:t>בביקורת המעקב נמצא כי</w:t>
      </w:r>
      <w:r w:rsidRPr="00441EB5">
        <w:rPr>
          <w:rFonts w:ascii="Tahoma" w:eastAsia="Calibri" w:hAnsi="Tahoma" w:cs="Tahoma"/>
          <w:b/>
          <w:bCs/>
          <w:sz w:val="19"/>
          <w:szCs w:val="19"/>
          <w:rtl/>
        </w:rPr>
        <w:t xml:space="preserve"> ההמלצות מדוח הביקורת הקודם יושמו באופן מלא</w:t>
      </w:r>
      <w:r w:rsidRPr="00441EB5">
        <w:rPr>
          <w:rFonts w:ascii="Tahoma" w:eastAsia="Calibri" w:hAnsi="Tahoma" w:cs="Tahoma"/>
          <w:sz w:val="19"/>
          <w:szCs w:val="19"/>
          <w:rtl/>
        </w:rPr>
        <w:t>. עלה כי שתי חברות שעסקו בפרויקט מטעם משרד האנרגיה הכינו דוחות סיכום באוגוסט 2023, בדצמבר 2023 ובפברואר 2024. מדוחות אלה עלה כי בוצעו רכש, קליטה והפעלה של משאיות המונעות בטכנולוגיית תאי דלק מימן, והוקמה תחנת תדלוק עבור משאיות אלה. בעקבות פרויקט זה עודכן צו הפעלת רכב (מנועים ודלק) (הפעלת רכב במימן), התשפ"ג-2022, והוא מאפשר הפעלת רכב בהנעה על ידי מימן. לכן נוסעות בכבישי הארץ שלוש משאיות בעלות רישוי בתוקף שמונעות בטכנולוגיית מימן. כן עלה כי המשאיות מתודלקות בתחנה ייחודית לתדלוק במימן, הפועלת על פי כל כללי האסדרה בישראל.</w:t>
      </w:r>
    </w:p>
    <w:p w:rsidR="00880F2A" w:rsidRPr="00441EB5" w:rsidP="00441EB5">
      <w:pPr>
        <w:spacing w:after="240" w:line="288" w:lineRule="auto"/>
        <w:ind w:left="-150" w:right="-567"/>
        <w:rPr>
          <w:rFonts w:ascii="Tahoma" w:eastAsia="Calibri" w:hAnsi="Tahoma" w:cs="Tahoma"/>
          <w:sz w:val="8"/>
          <w:szCs w:val="12"/>
        </w:rPr>
      </w:pPr>
    </w:p>
    <w:tbl>
      <w:tblPr>
        <w:tblStyle w:val="11"/>
        <w:tblpPr w:leftFromText="180" w:rightFromText="180" w:vertAnchor="text" w:tblpXSpec="center" w:tblpY="1"/>
        <w:tblOverlap w:val="never"/>
        <w:bidiVisual/>
        <w:tblW w:w="9783" w:type="dxa"/>
        <w:tblLayout w:type="fixed"/>
        <w:tblLook w:val="04A0"/>
      </w:tblPr>
      <w:tblGrid>
        <w:gridCol w:w="9783"/>
      </w:tblGrid>
      <w:tr w:rsidTr="00C14BE6">
        <w:tblPrEx>
          <w:tblW w:w="9783" w:type="dxa"/>
          <w:tblLayout w:type="fixed"/>
          <w:tblLook w:val="04A0"/>
        </w:tblPrEx>
        <w:trPr>
          <w:trHeight w:val="851"/>
        </w:trPr>
        <w:tc>
          <w:tcPr>
            <w:tcW w:w="9783" w:type="dxa"/>
            <w:tcBorders>
              <w:top w:val="nil"/>
              <w:left w:val="nil"/>
              <w:bottom w:val="nil"/>
              <w:right w:val="nil"/>
            </w:tcBorders>
          </w:tcPr>
          <w:p w:rsidR="00441EB5" w:rsidRPr="00441EB5" w:rsidP="00441EB5">
            <w:pPr>
              <w:spacing w:line="288" w:lineRule="auto"/>
              <w:rPr>
                <w:rFonts w:eastAsia="Calibri"/>
                <w:szCs w:val="24"/>
                <w:rtl/>
              </w:rPr>
            </w:pPr>
            <w:r w:rsidRPr="00441EB5">
              <w:rPr>
                <w:rFonts w:eastAsia="Calibri"/>
                <w:noProof/>
                <w:rtl/>
              </w:rPr>
              <w:drawing>
                <wp:inline distT="0" distB="0" distL="0" distR="0">
                  <wp:extent cx="6091555" cy="439381"/>
                  <wp:effectExtent l="0" t="0" r="0" b="0"/>
                  <wp:docPr id="49" name="תמונה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תקציר תמונה 3.4.png"/>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6249763" cy="450792"/>
                          </a:xfrm>
                          <a:prstGeom prst="rect">
                            <a:avLst/>
                          </a:prstGeom>
                        </pic:spPr>
                      </pic:pic>
                    </a:graphicData>
                  </a:graphic>
                </wp:inline>
              </w:drawing>
            </w:r>
          </w:p>
        </w:tc>
      </w:tr>
      <w:tr w:rsidTr="00C14BE6">
        <w:tblPrEx>
          <w:tblW w:w="9783" w:type="dxa"/>
          <w:tblLayout w:type="fixed"/>
          <w:tblLook w:val="04A0"/>
        </w:tblPrEx>
        <w:trPr>
          <w:trHeight w:val="2156"/>
        </w:trPr>
        <w:tc>
          <w:tcPr>
            <w:tcW w:w="9783" w:type="dxa"/>
            <w:tcBorders>
              <w:top w:val="nil"/>
              <w:left w:val="nil"/>
              <w:bottom w:val="nil"/>
              <w:right w:val="nil"/>
            </w:tcBorders>
            <w:shd w:val="clear" w:color="auto" w:fill="F1F5F9"/>
          </w:tcPr>
          <w:p w:rsidR="00441EB5" w:rsidRPr="00441EB5" w:rsidP="00441EB5">
            <w:pPr>
              <w:spacing w:line="288" w:lineRule="auto"/>
              <w:ind w:left="598" w:right="173" w:hanging="598"/>
              <w:rPr>
                <w:rFonts w:eastAsia="Calibri"/>
                <w:sz w:val="13"/>
                <w:szCs w:val="13"/>
              </w:rPr>
            </w:pPr>
          </w:p>
          <w:p w:rsidR="00441EB5" w:rsidRPr="00441EB5" w:rsidP="00472AFF">
            <w:pPr>
              <w:numPr>
                <w:ilvl w:val="0"/>
                <w:numId w:val="28"/>
              </w:numPr>
              <w:spacing w:before="120" w:after="240" w:line="288" w:lineRule="auto"/>
              <w:ind w:left="739" w:right="456" w:hanging="567"/>
              <w:jc w:val="both"/>
              <w:rPr>
                <w:rFonts w:ascii="Tahoma" w:eastAsia="Calibri" w:hAnsi="Tahoma" w:cs="Tahoma"/>
                <w:sz w:val="19"/>
                <w:szCs w:val="19"/>
              </w:rPr>
            </w:pPr>
            <w:r w:rsidRPr="00441EB5">
              <w:rPr>
                <w:rFonts w:ascii="Tahoma" w:eastAsia="Calibri" w:hAnsi="Tahoma" w:cs="Tahoma"/>
                <w:sz w:val="19"/>
                <w:szCs w:val="19"/>
                <w:rtl/>
              </w:rPr>
              <w:t>מומלץ כי משרד התחבורה ימשיך ויעקוב אחר נתונים של גיל המשאיות הממוצע בישראל, משום שתרומתן לעלות החיצונית של זיהום האוויר היא הגבוהה ביותר יחסית לשאר סוגי הרכב, ומשום שהן מתיישנות בקצב מהיר יותר משאר כלי רכב. עוד מומלץ כי משרד התחבורה ומשרד להגנת הסביבה יקבעו דרכים (למשל באמצעות תוכנית גריטה בתשלום של רכבים ישנים, או מתן תמריצים כלכליים לרכישת משאיות חדשות) להחלפת רכבי משא ומשאיות כבדות ישנים כדי להפחית את הגיל הממוצע של המשאיות בישראל.</w:t>
            </w:r>
          </w:p>
          <w:p w:rsidR="00441EB5" w:rsidRPr="00441EB5" w:rsidP="00472AFF">
            <w:pPr>
              <w:numPr>
                <w:ilvl w:val="0"/>
                <w:numId w:val="28"/>
              </w:numPr>
              <w:spacing w:before="120" w:after="240" w:line="288" w:lineRule="auto"/>
              <w:ind w:left="739" w:right="456" w:hanging="567"/>
              <w:jc w:val="both"/>
              <w:rPr>
                <w:rFonts w:ascii="Tahoma" w:eastAsia="Calibri" w:hAnsi="Tahoma" w:cs="Tahoma"/>
                <w:sz w:val="19"/>
                <w:szCs w:val="19"/>
              </w:rPr>
            </w:pPr>
            <w:r w:rsidRPr="00441EB5">
              <w:rPr>
                <w:rFonts w:ascii="Tahoma" w:eastAsia="Calibri" w:hAnsi="Tahoma" w:cs="Tahoma"/>
                <w:sz w:val="19"/>
                <w:szCs w:val="19"/>
                <w:rtl/>
              </w:rPr>
              <w:t>מומלץ למשרד להגנ"ס ומשרד התחבורה לשקול חידוש תוכנית גריטתם של כלי רכב כבדים, אשר הסתיימה בשנת 2020. עוד מומלץ לגרוט רכבי משא כבדים שמשקלם 3.5 עד 12 טונות שלא נכללו בתכניות הגריטה בעבר. כמו כן, מומלץ לקבוע דרכים נוספות לעידוד הטיפול בכלי רכב כבדים שמשקלם מעל 12 טונות ורכבי משא שמשקלם מעל 3.5 טונות, באמצעות גריטתם או בדרכים אחרות (סבסוד, החלפה, תמיכות או בכל דרך אחרת), וזאת כדי להחליף אותם בכלי רכב כבדים לא-מזהמים.</w:t>
            </w:r>
          </w:p>
          <w:p w:rsidR="00441EB5" w:rsidRPr="00441EB5" w:rsidP="00472AFF">
            <w:pPr>
              <w:numPr>
                <w:ilvl w:val="0"/>
                <w:numId w:val="28"/>
              </w:numPr>
              <w:spacing w:before="120" w:after="240" w:line="288" w:lineRule="auto"/>
              <w:ind w:left="739" w:right="456" w:hanging="567"/>
              <w:jc w:val="both"/>
              <w:rPr>
                <w:rFonts w:ascii="Tahoma" w:eastAsia="Calibri" w:hAnsi="Tahoma" w:cs="Tahoma"/>
                <w:sz w:val="19"/>
                <w:szCs w:val="19"/>
              </w:rPr>
            </w:pPr>
            <w:r w:rsidRPr="00441EB5">
              <w:rPr>
                <w:rFonts w:ascii="Tahoma" w:eastAsia="Calibri" w:hAnsi="Tahoma" w:cs="Tahoma"/>
                <w:sz w:val="19"/>
                <w:szCs w:val="19"/>
                <w:rtl/>
              </w:rPr>
              <w:t>מומלץ כי המשרד להגנת הסביבה, בשיתוף משרד התחבורה, ימשיך לקדם את הקמת אזורי "אוויר נקי" (או לחלופין אזורים מופחתי פליטות) ברשויות מקומיות נוספות לנוכח תרומתם לבריאות הציבור, ובכלל זה מומלץ להשלים פרסום של קול קורא שני אשר מיועד לרשויות המקומיות ונושאו הוא צמצום זיהום האוויר מתחבורה ברשויות מקומיות. כמו כן, מומלץ למשרד להגנ"ס להמשיך למפות את נתוני מערך ניטור האוויר הארצי כדי לאתר רשויות מקומיות מרובות זיהום, שבהן תהיה העדפה להקמת "אזור אוויר נקי". כמו כן מומלץ כי המשרד להגנת הסביבה ומשרד התחבורה ישלימו את התקנת תקנות התעבורה אשר ייתנו כלים יעילים לצורך אכיפה של מניעת זיהום האוויר בתחבורה, ובייחוד באזורים שהוגדרו</w:t>
            </w:r>
            <w:r w:rsidR="00472AFF">
              <w:rPr>
                <w:rFonts w:ascii="Tahoma" w:eastAsia="Calibri" w:hAnsi="Tahoma" w:cs="Tahoma"/>
                <w:sz w:val="19"/>
                <w:szCs w:val="19"/>
                <w:rtl/>
              </w:rPr>
              <w:br/>
            </w:r>
            <w:r w:rsidR="00472AFF">
              <w:rPr>
                <w:rFonts w:ascii="Tahoma" w:eastAsia="Calibri" w:hAnsi="Tahoma" w:cs="Tahoma"/>
                <w:sz w:val="19"/>
                <w:szCs w:val="19"/>
                <w:rtl/>
              </w:rPr>
              <w:br/>
            </w:r>
            <w:r w:rsidR="00472AFF">
              <w:rPr>
                <w:rFonts w:ascii="Tahoma" w:eastAsia="Calibri" w:hAnsi="Tahoma" w:cs="Tahoma"/>
                <w:sz w:val="19"/>
                <w:szCs w:val="19"/>
                <w:rtl/>
              </w:rPr>
              <w:br/>
            </w:r>
            <w:r w:rsidRPr="00441EB5">
              <w:rPr>
                <w:rFonts w:ascii="Tahoma" w:eastAsia="Calibri" w:hAnsi="Tahoma" w:cs="Tahoma"/>
                <w:sz w:val="19"/>
                <w:szCs w:val="19"/>
                <w:rtl/>
              </w:rPr>
              <w:t xml:space="preserve">"אזור אוויר נקי" או "אזור מופחת פליטות", ומומלץ למשרד להגנת הסביבה להמשיך לקדם את טיוטת דוח </w:t>
            </w:r>
            <w:r w:rsidRPr="00441EB5">
              <w:rPr>
                <w:rFonts w:ascii="Tahoma" w:eastAsia="Calibri" w:hAnsi="Tahoma" w:cs="Tahoma"/>
                <w:sz w:val="19"/>
                <w:szCs w:val="19"/>
              </w:rPr>
              <w:t>RIA</w:t>
            </w:r>
            <w:r w:rsidRPr="00441EB5">
              <w:rPr>
                <w:rFonts w:ascii="Tahoma" w:eastAsia="Calibri" w:hAnsi="Tahoma" w:cs="Tahoma"/>
                <w:sz w:val="19"/>
                <w:szCs w:val="19"/>
                <w:rtl/>
              </w:rPr>
              <w:t xml:space="preserve"> לגיבוש האסדרה ולתת כלי אכיפה טובים יותר לרשויות המקומיות כדי למנוע מרכבים מזהמים כניסה לאזורים שהוגדרו כ"אזור אוויר נקי" (או אזורים מופחתי פליטות).</w:t>
            </w:r>
          </w:p>
          <w:p w:rsidR="00441EB5" w:rsidRPr="00441EB5" w:rsidP="00472AFF">
            <w:pPr>
              <w:numPr>
                <w:ilvl w:val="0"/>
                <w:numId w:val="28"/>
              </w:numPr>
              <w:spacing w:before="120" w:after="240" w:line="288" w:lineRule="auto"/>
              <w:ind w:left="739" w:right="456" w:hanging="567"/>
              <w:jc w:val="both"/>
              <w:rPr>
                <w:rFonts w:ascii="Tahoma" w:eastAsia="Calibri" w:hAnsi="Tahoma" w:cs="Tahoma"/>
                <w:sz w:val="19"/>
                <w:szCs w:val="19"/>
              </w:rPr>
            </w:pPr>
            <w:r w:rsidRPr="00441EB5">
              <w:rPr>
                <w:rFonts w:ascii="Tahoma" w:eastAsia="Calibri" w:hAnsi="Tahoma" w:cs="Tahoma"/>
                <w:sz w:val="19"/>
                <w:szCs w:val="19"/>
                <w:rtl/>
              </w:rPr>
              <w:t>מומלץ כי משרד האנרגיה, משרד התחבורה ומשרד המשפטים ימשיכו ויפעלו לקידום הצעת חוק המקרקעין (תיקון מס' 36) (התקנת עמדת טעינה לרכב חשמלי בבית משותף ודייני מקרקעין), התשפ"ג-2022. ללא הסדרת הנושא של חיבור עמדות טעינה בבתים משותפים קיימים, יהיה קושי להמשיך לקדם את נושא מכירת כלי רכב חשמליים לציבור בישראל. כמו כן, מומלץ למשרד הפנים ומשרד האנרגיה, כפי שהומלץ בדוח הקודם, לקדם עדכון הדרגתי של התקנות תכנון ובניה (התקנת מקומות חניה), התשמ"ג-1983, החלות על בניינים חדשים (בניינים שהבקשה לבנייתם הוגשה החל ממרץ 2023) כדי להגיע לכך שחיבור החשמל של הבניין יתמוך בטעינת הרכבים החשמליים בבניין, בהיקף שיתעדכן בהדרגה עם העלייה בשיעור הרכבים החשמליים במשק, ולא ב-20% כפי שנדרש בתקנות כיום, וזאת בהתאם להתקדמות המעבר לרכבים חשמליים על פי היעד הממשלתי. כן מומלץ כי משרד האנרגיה ומשרד הפנים יבחנו את האפשרות להתקנת תקנות שיסדירו את אופן התקנת עמדות הטעינה בבתים משותפים.</w:t>
            </w:r>
          </w:p>
          <w:p w:rsidR="00441EB5" w:rsidRPr="00441EB5" w:rsidP="00472AFF">
            <w:pPr>
              <w:numPr>
                <w:ilvl w:val="0"/>
                <w:numId w:val="28"/>
              </w:numPr>
              <w:spacing w:before="120" w:after="240" w:line="288" w:lineRule="auto"/>
              <w:ind w:left="739" w:right="456" w:hanging="567"/>
              <w:jc w:val="both"/>
              <w:rPr>
                <w:rFonts w:ascii="Tahoma" w:eastAsia="Calibri" w:hAnsi="Tahoma" w:cs="Tahoma"/>
                <w:sz w:val="19"/>
                <w:szCs w:val="19"/>
              </w:rPr>
            </w:pPr>
            <w:r w:rsidRPr="00441EB5">
              <w:rPr>
                <w:rFonts w:ascii="Tahoma" w:eastAsia="Calibri" w:hAnsi="Tahoma" w:cs="Tahoma"/>
                <w:sz w:val="19"/>
                <w:szCs w:val="19"/>
                <w:rtl/>
              </w:rPr>
              <w:t>מומלץ למשרד התחבורה ולמשרד האנרגיה, כפי שהומלץ גם בדוח הקודם, לקבוע יעדים כמותיים לפריסת עמדות ציבוריות לטעינת כלי רכב חשמליים ברחבי הארץ ולבחון אם יש מקום לאמץ אסדרה בנוגע לפריסה הגיאוגרפית של העמדות, כפי שמקובל באיחוד האירופי, לרבות ברגולציית ה-</w:t>
            </w:r>
            <w:r w:rsidRPr="00441EB5">
              <w:rPr>
                <w:rFonts w:ascii="Tahoma" w:eastAsia="Calibri" w:hAnsi="Tahoma" w:cs="Tahoma"/>
                <w:sz w:val="19"/>
                <w:szCs w:val="19"/>
              </w:rPr>
              <w:t>AFIR</w:t>
            </w:r>
            <w:r>
              <w:rPr>
                <w:rFonts w:ascii="Tahoma" w:eastAsia="Calibri" w:hAnsi="Tahoma" w:cs="Tahoma"/>
                <w:sz w:val="19"/>
                <w:szCs w:val="19"/>
                <w:vertAlign w:val="superscript"/>
                <w:rtl/>
              </w:rPr>
              <w:footnoteReference w:id="7"/>
            </w:r>
            <w:r w:rsidRPr="00441EB5">
              <w:rPr>
                <w:rFonts w:ascii="Tahoma" w:eastAsia="Calibri" w:hAnsi="Tahoma" w:cs="Tahoma"/>
                <w:sz w:val="19"/>
                <w:szCs w:val="19"/>
                <w:rtl/>
              </w:rPr>
              <w:t xml:space="preserve"> שהוזכרה בתשובת משרד האנרגיה ממרץ 2026 ובארה"ב. עוד מומלץ לקבוע יעדים מדידים לגבי עמדות טעינה ותשתית אשר עשויים לסייע בהקמת עמדות אלה ולשפר את היכולת להקימן ולעקוב אחר מימושן, וכן ממליץ להשלים את הסדרת מאגר המידע המקוון בעניין העמדות הציבוריות ואת הסדרת הדיווח התקופתי על כלל עמדות הטעינה בישראל. כמו כן, מומלץ כי מינהל התכנון, משרד התחבורה, המשרד להגנת הסביבה ומשרד האנרגיה ימשיכו לפעול, כל אחד בהתאם לסמכויותיו ולתפקידיו, כדי להשלים את הכנת שינוי 3 לתמ"א 18, כיוון ששינוי זה נדרש כדי לאפשר הקמת תשתית פיזית ותמיכה בעמדות הטעינה הקיימות וגם באלה העתידות לקום בתחנות התדלוק.</w:t>
            </w:r>
          </w:p>
          <w:p w:rsidR="00441EB5" w:rsidRPr="00441EB5" w:rsidP="00472AFF">
            <w:pPr>
              <w:numPr>
                <w:ilvl w:val="0"/>
                <w:numId w:val="28"/>
              </w:numPr>
              <w:spacing w:before="120" w:after="240" w:line="288" w:lineRule="auto"/>
              <w:ind w:left="739" w:right="456" w:hanging="567"/>
              <w:jc w:val="both"/>
              <w:rPr>
                <w:rFonts w:ascii="Tahoma" w:eastAsia="Calibri" w:hAnsi="Tahoma" w:cs="Tahoma"/>
                <w:sz w:val="19"/>
                <w:szCs w:val="19"/>
              </w:rPr>
            </w:pPr>
            <w:r w:rsidRPr="00441EB5">
              <w:rPr>
                <w:rFonts w:ascii="Tahoma" w:eastAsia="Calibri" w:hAnsi="Tahoma" w:cs="Tahoma"/>
                <w:sz w:val="19"/>
                <w:szCs w:val="19"/>
                <w:rtl/>
              </w:rPr>
              <w:t>מומלץ כי המשרד להגנת הסביבה יפעל להשלמת האסדרה של הטיפול בסוללות הרכבים הקיימים, זאת באמצעות תיקון החוק לטיפול סביבתי בציוד חשמלי ואלקטרוני ובסוללות, התשע"ב-2012, כך שיחול על סוללות רכבים חשמליים ורכבים היברידיים, או על ידי חקיקת חוק לחובת מיחזור פסולת רכב חשמלי ורכב היברידי שקידומו החל בדצמבר 2022, או בדרך אחרת שתיקבע על ידי משרדי הממשלה הרלוונטיים.</w:t>
            </w:r>
          </w:p>
          <w:p w:rsidR="00441EB5" w:rsidRPr="00441EB5" w:rsidP="00472AFF">
            <w:pPr>
              <w:numPr>
                <w:ilvl w:val="0"/>
                <w:numId w:val="28"/>
              </w:numPr>
              <w:spacing w:before="120" w:after="240" w:line="288" w:lineRule="auto"/>
              <w:ind w:left="739" w:right="456" w:hanging="567"/>
              <w:jc w:val="both"/>
              <w:rPr>
                <w:rFonts w:eastAsia="Calibri"/>
                <w:sz w:val="19"/>
                <w:szCs w:val="19"/>
                <w:rtl/>
              </w:rPr>
            </w:pPr>
            <w:r w:rsidRPr="00441EB5">
              <w:rPr>
                <w:rFonts w:ascii="Tahoma" w:eastAsia="Calibri" w:hAnsi="Tahoma" w:cs="Tahoma"/>
                <w:sz w:val="19"/>
                <w:szCs w:val="19"/>
                <w:rtl/>
              </w:rPr>
              <w:t>על רשות מקרקעי ישראל, המועצה האזורית עמק המעיינות, עיריית קריית ביאליק ועיריית בית שאן לדווח למשרד מבקר המדינה על תיקון הליקויים בהתאם לחוק מבקר המדינה, התשי"ח-1958 [נוסח משולב].</w:t>
            </w:r>
          </w:p>
        </w:tc>
      </w:tr>
    </w:tbl>
    <w:p w:rsidR="00880F2A" w:rsidP="00441EB5">
      <w:pPr>
        <w:spacing w:before="200" w:line="288" w:lineRule="auto"/>
        <w:ind w:left="-851"/>
        <w:rPr>
          <w:rFonts w:ascii="Tahoma" w:eastAsia="Calibri" w:hAnsi="Tahoma" w:cs="Tahoma"/>
          <w:rtl/>
        </w:rPr>
      </w:pPr>
    </w:p>
    <w:p w:rsidR="00880F2A">
      <w:pPr>
        <w:bidi w:val="0"/>
        <w:spacing w:after="200" w:line="276" w:lineRule="auto"/>
        <w:rPr>
          <w:rFonts w:ascii="Tahoma" w:eastAsia="Calibri" w:hAnsi="Tahoma" w:cs="Tahoma"/>
          <w:rtl/>
        </w:rPr>
      </w:pPr>
      <w:r>
        <w:rPr>
          <w:rFonts w:ascii="Tahoma" w:eastAsia="Calibri" w:hAnsi="Tahoma" w:cs="Tahoma"/>
          <w:rtl/>
        </w:rPr>
        <w:br w:type="page"/>
      </w:r>
    </w:p>
    <w:p w:rsidR="0073075A" w:rsidP="00880F2A">
      <w:pPr>
        <w:spacing w:before="200" w:line="288" w:lineRule="auto"/>
        <w:ind w:left="-851"/>
        <w:jc w:val="left"/>
        <w:rPr>
          <w:rFonts w:ascii="Tahoma" w:eastAsia="Calibri" w:hAnsi="Tahoma" w:cs="Tahoma"/>
          <w:b/>
          <w:bCs/>
          <w:noProof/>
          <w:color w:val="FFFFFF"/>
          <w:sz w:val="22"/>
          <w:szCs w:val="22"/>
          <w:rtl/>
        </w:rPr>
      </w:pPr>
      <w:r w:rsidRPr="00441EB5">
        <w:rPr>
          <w:rFonts w:ascii="Tahoma" w:eastAsia="Calibri" w:hAnsi="Tahoma" w:cs="Tahoma"/>
          <w:b/>
          <w:bCs/>
          <w:noProof/>
          <w:color w:val="FFFFFF"/>
          <w:sz w:val="22"/>
          <w:szCs w:val="22"/>
          <w:rtl/>
        </w:rPr>
        <w:drawing>
          <wp:anchor distT="0" distB="0" distL="114300" distR="114300" simplePos="0" relativeHeight="251660288" behindDoc="1" locked="0" layoutInCell="1" allowOverlap="1">
            <wp:simplePos x="0" y="0"/>
            <wp:positionH relativeFrom="margin">
              <wp:posOffset>342265</wp:posOffset>
            </wp:positionH>
            <wp:positionV relativeFrom="paragraph">
              <wp:posOffset>189230</wp:posOffset>
            </wp:positionV>
            <wp:extent cx="5558790" cy="844550"/>
            <wp:effectExtent l="0" t="0" r="3810" b="0"/>
            <wp:wrapNone/>
            <wp:docPr id="50" name="תמונה 50"/>
            <wp:cNvGraphicFramePr/>
            <a:graphic xmlns:a="http://schemas.openxmlformats.org/drawingml/2006/main">
              <a:graphicData uri="http://schemas.openxmlformats.org/drawingml/2006/picture">
                <pic:pic xmlns:pic="http://schemas.openxmlformats.org/drawingml/2006/picture">
                  <pic:nvPicPr>
                    <pic:cNvPr id="50" name="תקציר-03.png"/>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5558790" cy="844550"/>
                    </a:xfrm>
                    <a:prstGeom prst="rect">
                      <a:avLst/>
                    </a:prstGeom>
                  </pic:spPr>
                </pic:pic>
              </a:graphicData>
            </a:graphic>
            <wp14:sizeRelH relativeFrom="page">
              <wp14:pctWidth>0</wp14:pctWidth>
            </wp14:sizeRelH>
            <wp14:sizeRelV relativeFrom="page">
              <wp14:pctHeight>0</wp14:pctHeight>
            </wp14:sizeRelV>
          </wp:anchor>
        </w:drawing>
      </w:r>
    </w:p>
    <w:p w:rsidR="00441EB5" w:rsidRPr="00441EB5" w:rsidP="00880F2A">
      <w:pPr>
        <w:spacing w:before="200" w:line="288" w:lineRule="auto"/>
        <w:ind w:left="-851"/>
        <w:jc w:val="left"/>
        <w:rPr>
          <w:rFonts w:ascii="Tahoma" w:eastAsia="Calibri" w:hAnsi="Tahoma" w:cs="Tahoma"/>
          <w:b/>
          <w:bCs/>
          <w:noProof/>
          <w:color w:val="FFFFFF"/>
          <w:sz w:val="22"/>
          <w:szCs w:val="22"/>
          <w:rtl/>
        </w:rPr>
      </w:pPr>
      <w:r w:rsidRPr="00441EB5">
        <w:rPr>
          <w:rFonts w:ascii="Tahoma" w:eastAsia="Calibri" w:hAnsi="Tahoma" w:cs="Tahoma"/>
          <w:b/>
          <w:bCs/>
          <w:noProof/>
          <w:color w:val="FFFFFF"/>
          <w:sz w:val="22"/>
          <w:szCs w:val="22"/>
          <w:rtl/>
        </w:rPr>
        <w:t xml:space="preserve">סך מצבת כלי הרכב החשמליים ושיעורם מסך כלי הרכב בישראל (באחוזים), </w:t>
      </w:r>
      <w:r w:rsidR="00880F2A">
        <w:rPr>
          <w:rFonts w:ascii="Tahoma" w:eastAsia="Calibri" w:hAnsi="Tahoma" w:cs="Tahoma"/>
          <w:b/>
          <w:bCs/>
          <w:noProof/>
          <w:color w:val="FFFFFF"/>
          <w:sz w:val="22"/>
          <w:szCs w:val="22"/>
          <w:rtl/>
        </w:rPr>
        <w:br/>
      </w:r>
      <w:r w:rsidRPr="00441EB5">
        <w:rPr>
          <w:rFonts w:ascii="Tahoma" w:eastAsia="Calibri" w:hAnsi="Tahoma" w:cs="Tahoma"/>
          <w:b/>
          <w:bCs/>
          <w:noProof/>
          <w:color w:val="FFFFFF"/>
          <w:sz w:val="22"/>
          <w:szCs w:val="22"/>
          <w:rtl/>
        </w:rPr>
        <w:t>2018 - 2025</w:t>
      </w:r>
    </w:p>
    <w:p w:rsidR="00441EB5" w:rsidRPr="00441EB5" w:rsidP="00441EB5">
      <w:pPr>
        <w:spacing w:line="288" w:lineRule="auto"/>
        <w:rPr>
          <w:rFonts w:ascii="Tahoma" w:eastAsia="Calibri" w:hAnsi="Tahoma" w:cs="Tahoma"/>
          <w:color w:val="FFFFFF"/>
          <w:rtl/>
        </w:rPr>
      </w:pPr>
    </w:p>
    <w:p w:rsidR="00441EB5" w:rsidRPr="00441EB5" w:rsidP="00441EB5">
      <w:pPr>
        <w:spacing w:line="288" w:lineRule="auto"/>
        <w:ind w:left="-851"/>
        <w:rPr>
          <w:rFonts w:ascii="Tahoma" w:eastAsia="Calibri" w:hAnsi="Tahoma" w:cs="Tahoma"/>
          <w:sz w:val="19"/>
          <w:szCs w:val="19"/>
          <w:rtl/>
        </w:rPr>
      </w:pPr>
    </w:p>
    <w:p w:rsidR="00441EB5" w:rsidRPr="00441EB5" w:rsidP="00441EB5">
      <w:pPr>
        <w:spacing w:line="288" w:lineRule="auto"/>
        <w:ind w:left="-851"/>
        <w:jc w:val="center"/>
        <w:rPr>
          <w:rFonts w:ascii="Tahoma" w:eastAsia="Calibri" w:hAnsi="Tahoma" w:cs="Tahoma"/>
          <w:sz w:val="19"/>
          <w:szCs w:val="19"/>
          <w:rtl/>
        </w:rPr>
      </w:pPr>
      <w:r w:rsidRPr="00441EB5">
        <w:rPr>
          <w:rFonts w:ascii="Tahoma" w:eastAsia="Calibri" w:hAnsi="Tahoma" w:cs="Tahoma"/>
          <w:noProof/>
          <w:sz w:val="19"/>
          <w:szCs w:val="19"/>
          <w:rtl/>
          <w:lang w:val="he-IL"/>
        </w:rPr>
        <w:drawing>
          <wp:inline distT="0" distB="0" distL="0" distR="0">
            <wp:extent cx="5220335" cy="3438525"/>
            <wp:effectExtent l="0" t="0" r="0" b="9525"/>
            <wp:docPr id="3" name="תמונה 3" descr="תוכן התרשים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רשים 10.JPG"/>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a:xfrm>
                      <a:off x="0" y="0"/>
                      <a:ext cx="5220335" cy="3438525"/>
                    </a:xfrm>
                    <a:prstGeom prst="rect">
                      <a:avLst/>
                    </a:prstGeom>
                  </pic:spPr>
                </pic:pic>
              </a:graphicData>
            </a:graphic>
          </wp:inline>
        </w:drawing>
      </w:r>
    </w:p>
    <w:p w:rsidR="00441EB5" w:rsidRPr="00441EB5" w:rsidP="00441EB5">
      <w:pPr>
        <w:spacing w:line="288" w:lineRule="auto"/>
        <w:ind w:left="-851"/>
        <w:jc w:val="left"/>
        <w:rPr>
          <w:rFonts w:ascii="Tahoma" w:eastAsia="Calibri" w:hAnsi="Tahoma" w:cs="Tahoma"/>
          <w:sz w:val="16"/>
          <w:szCs w:val="16"/>
          <w:rtl/>
        </w:rPr>
      </w:pPr>
      <w:r w:rsidRPr="00441EB5">
        <w:rPr>
          <w:rFonts w:ascii="Tahoma" w:eastAsia="Calibri" w:hAnsi="Tahoma" w:cs="Tahoma"/>
          <w:sz w:val="16"/>
          <w:szCs w:val="16"/>
          <w:rtl/>
        </w:rPr>
        <w:t>על פי נתונים של הלמ"ס בנושא כלי רכב מנועיים 2023 וכלי רכב מנועיים בשנת 2024, בעיבוד משרד מבקר המדינה.</w:t>
      </w:r>
    </w:p>
    <w:p w:rsidR="00441EB5" w:rsidRPr="00441EB5" w:rsidP="00880F2A">
      <w:pPr>
        <w:spacing w:line="288" w:lineRule="auto"/>
        <w:ind w:left="-851" w:right="-709"/>
        <w:jc w:val="left"/>
        <w:rPr>
          <w:rFonts w:ascii="Tahoma" w:eastAsia="Calibri" w:hAnsi="Tahoma" w:cs="Tahoma"/>
          <w:sz w:val="22"/>
          <w:szCs w:val="22"/>
          <w:rtl/>
        </w:rPr>
      </w:pPr>
      <w:bookmarkStart w:id="2" w:name="_Hlk132888702"/>
      <w:r w:rsidRPr="00441EB5">
        <w:rPr>
          <w:rFonts w:ascii="Tahoma" w:eastAsia="Calibri" w:hAnsi="Tahoma" w:cs="Tahoma"/>
          <w:sz w:val="16"/>
          <w:szCs w:val="16"/>
          <w:rtl/>
        </w:rPr>
        <w:t>* אומדן משוער של משרד התחבורה לסוף שנת 2025. יצוין כי למועד סיום ביקורת המעקב (ינואר 2026) אין עדיין פרסום נתון לגבי סך כלי הרכב לאותה השנה.</w:t>
      </w:r>
      <w:bookmarkEnd w:id="2"/>
    </w:p>
    <w:p w:rsidR="00441EB5" w:rsidP="00441EB5">
      <w:pPr>
        <w:spacing w:line="288" w:lineRule="auto"/>
        <w:ind w:left="-851"/>
        <w:jc w:val="left"/>
        <w:rPr>
          <w:rFonts w:ascii="Tahoma" w:eastAsia="Calibri" w:hAnsi="Tahoma" w:cs="Tahoma"/>
          <w:sz w:val="22"/>
          <w:szCs w:val="22"/>
          <w:rtl/>
        </w:rPr>
      </w:pPr>
    </w:p>
    <w:p w:rsidR="00880F2A" w:rsidRPr="00441EB5" w:rsidP="00441EB5">
      <w:pPr>
        <w:spacing w:line="288" w:lineRule="auto"/>
        <w:ind w:left="-851"/>
        <w:jc w:val="left"/>
        <w:rPr>
          <w:rFonts w:ascii="Tahoma" w:eastAsia="Calibri" w:hAnsi="Tahoma" w:cs="Tahoma"/>
          <w:sz w:val="22"/>
          <w:szCs w:val="22"/>
          <w:rtl/>
        </w:rPr>
      </w:pPr>
    </w:p>
    <w:p w:rsidR="00441EB5" w:rsidRPr="00441EB5" w:rsidP="00441EB5">
      <w:pPr>
        <w:spacing w:after="160" w:line="288" w:lineRule="auto"/>
        <w:ind w:left="-851" w:right="-851"/>
        <w:rPr>
          <w:rFonts w:ascii="Tahoma" w:eastAsia="Calibri" w:hAnsi="Tahoma" w:cs="Tahoma"/>
          <w:sz w:val="22"/>
          <w:szCs w:val="22"/>
          <w:rtl/>
        </w:rPr>
      </w:pPr>
      <w:r w:rsidRPr="00441EB5">
        <w:rPr>
          <w:rFonts w:ascii="Tahoma" w:eastAsia="Calibri" w:hAnsi="Tahoma" w:cs="Tahoma"/>
          <w:noProof/>
        </w:rPr>
        <w:drawing>
          <wp:inline distT="0" distB="0" distL="0" distR="0">
            <wp:extent cx="6256412" cy="310551"/>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4"/>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375087" cy="316442"/>
                    </a:xfrm>
                    <a:prstGeom prst="rect">
                      <a:avLst/>
                    </a:prstGeom>
                    <a:noFill/>
                    <a:ln>
                      <a:noFill/>
                    </a:ln>
                  </pic:spPr>
                </pic:pic>
              </a:graphicData>
            </a:graphic>
          </wp:inline>
        </w:drawing>
      </w:r>
    </w:p>
    <w:p w:rsidR="00441EB5" w:rsidRPr="00441EB5" w:rsidP="00880F2A">
      <w:pPr>
        <w:spacing w:before="120" w:line="288" w:lineRule="auto"/>
        <w:ind w:left="-851" w:right="-709"/>
        <w:rPr>
          <w:rFonts w:ascii="Tahoma" w:eastAsia="Calibri" w:hAnsi="Tahoma" w:cs="Tahoma"/>
          <w:sz w:val="19"/>
          <w:szCs w:val="19"/>
          <w:rtl/>
        </w:rPr>
      </w:pPr>
      <w:r w:rsidRPr="00441EB5">
        <w:rPr>
          <w:rFonts w:ascii="Tahoma" w:eastAsia="Calibri" w:hAnsi="Tahoma" w:cs="Tahoma"/>
          <w:sz w:val="19"/>
          <w:szCs w:val="19"/>
          <w:rtl/>
        </w:rPr>
        <w:t>זיהום האוויר, ובכלל זה זיהום האוויר מתחבורה, משפיע על בריאותם ועל איכות חייהם של כלל תושבי ישראל ולכן יש לייחס חשיבות רבה לטיפול בו בידי כל הגופים העסקיים הפרטיים והציבוריים העוסקים בתחבורה. בשנת 2024 סך העלויות החיצוניות של הפליטות לאוויר בישראל נאמדו בכ-36.9 מיליארד ש"ח, מתוכן כ-10.9 מיליארד ש"ח (כ-29.5%) הן עלויות של זיהום האוויר שמקורו בתחבורה.</w:t>
      </w:r>
    </w:p>
    <w:p w:rsidR="00441EB5" w:rsidRPr="00441EB5" w:rsidP="00880F2A">
      <w:pPr>
        <w:spacing w:before="120" w:line="288" w:lineRule="auto"/>
        <w:ind w:left="-851" w:right="-709"/>
        <w:rPr>
          <w:rFonts w:ascii="Tahoma" w:eastAsia="Calibri" w:hAnsi="Tahoma" w:cs="Tahoma"/>
          <w:sz w:val="19"/>
          <w:szCs w:val="19"/>
          <w:rtl/>
        </w:rPr>
      </w:pPr>
      <w:r w:rsidRPr="00441EB5">
        <w:rPr>
          <w:rFonts w:ascii="Tahoma" w:eastAsia="Calibri" w:hAnsi="Tahoma" w:cs="Tahoma"/>
          <w:sz w:val="19"/>
          <w:szCs w:val="19"/>
          <w:rtl/>
        </w:rPr>
        <w:t>בצד החלפת ציי רכב כבד ברכבים חדישים העומדים בתקנות מחמירות יותר, כלי רכב חשמליים עשויים לצמצם את היקף זיהום האוויר והנזק הנובע ממנו. היתרונות המרכזיים של כלי הרכב החשמליים הם היעדר פליטות ישירות של גזי חממה ומזהמים אחרים לאוויר, עלות תחזוקה נמוכה ונסיעה שקטה. כמו כן, ישראל עשויה להפיק יתרונות של ממש מאימוץ תחבורה חשמלית בשל התנאים הייחודיים שבה, ובהם מחירי חשמל נמוכים יחסית למחיר הממוצע במדינות האיחוד האירופי (כ-0.6402 ש"ח לקילו-ואט שעה בישראל לעומת כ-1.2165 ש"ח לקילו-ואט שעה באיחוד האירופי), מרחקי נסיעה קצרים, מקורות עצמיים לייצור אנרגיה וחתירה לחדשנות.</w:t>
      </w:r>
    </w:p>
    <w:p w:rsidR="00441EB5" w:rsidRPr="00441EB5" w:rsidP="00880F2A">
      <w:pPr>
        <w:spacing w:before="120" w:line="288" w:lineRule="auto"/>
        <w:ind w:left="-851" w:right="-709"/>
        <w:rPr>
          <w:rFonts w:ascii="Tahoma" w:eastAsia="Calibri" w:hAnsi="Tahoma" w:cs="Tahoma"/>
          <w:sz w:val="19"/>
          <w:szCs w:val="19"/>
          <w:rtl/>
        </w:rPr>
      </w:pPr>
      <w:r w:rsidRPr="00441EB5">
        <w:rPr>
          <w:rFonts w:ascii="Tahoma" w:eastAsia="Calibri" w:hAnsi="Tahoma" w:cs="Tahoma"/>
          <w:sz w:val="19"/>
          <w:szCs w:val="19"/>
          <w:rtl/>
        </w:rPr>
        <w:t xml:space="preserve">ביקורת המעקב בדוח זה התמקדה במידת תיקונם של 12 ליקויים שעלו בדוח הקודם: ליקוי אחד לא תוקן כלל: חקיקת משנה בנושא התקנת עמדות טעינה לכלי רכב חשמליים בבתים משותפים חדשים. חמישה ליקויים נוספים תוקנו במידה מועטה: גיל כלי רכב הכבדים; הקמת אזורים מופחתי פליטות נוספים; הסדרת ההיבטים החוקיים של חיבור עמדות טעינה בבתים משותפים קיימים; הקמת עמדות טעינה ציבוריות ובהן עמדות במרחב הבין-עירוני; ומיחזור סוללות של כלי </w:t>
      </w:r>
      <w:r w:rsidRPr="00441EB5">
        <w:rPr>
          <w:rFonts w:ascii="Tahoma" w:eastAsia="Calibri" w:hAnsi="Tahoma" w:cs="Tahoma"/>
          <w:sz w:val="19"/>
          <w:szCs w:val="19"/>
          <w:rtl/>
        </w:rPr>
        <w:t>רכב חשמליים בתום תקופת השירות שלהן. ליקוי אחד נוסף תוקן במידה חלקית: סימון כלי רכב מזהמים באמצעות תווית; שלושה ליקויים נוספים תוקנו במידה רבה: גריטת רכבים כבדים; תשתיות התפעול של אוטובוסים חשמליים; שעות טעינה של כלי רכב חשמליים וטעינה מנוהלת. ושני ליקויים נוספים תוקנו באופן מלא: צמצום זיהום האוויר מכלי רכב כבדים; היערכות לגידול בביקוש לחשמל בשל עלייה במספר כלי רכב חשמליים.</w:t>
      </w:r>
    </w:p>
    <w:p w:rsidR="00441EB5" w:rsidRPr="00441EB5" w:rsidP="00880F2A">
      <w:pPr>
        <w:spacing w:before="120" w:line="288" w:lineRule="auto"/>
        <w:ind w:left="-851" w:right="-709"/>
        <w:rPr>
          <w:rFonts w:ascii="Tahoma" w:eastAsia="Calibri" w:hAnsi="Tahoma" w:cs="Tahoma"/>
          <w:sz w:val="19"/>
          <w:szCs w:val="19"/>
          <w:rtl/>
        </w:rPr>
      </w:pPr>
      <w:r w:rsidRPr="00441EB5">
        <w:rPr>
          <w:rFonts w:ascii="Tahoma" w:eastAsia="Calibri" w:hAnsi="Tahoma" w:cs="Tahoma"/>
          <w:sz w:val="19"/>
          <w:szCs w:val="19"/>
          <w:rtl/>
        </w:rPr>
        <w:t>יצוין כי במועד סיום ביקורת המעקב (ינואר 2026) על פי נתונים של משרד האנרגיה (הנכונים לאפריל 2025) היו ברחבי הארץ כ-7,907 שקעי טעינה זמינים לטעינת כלי רכב חשמליים, במרחב הציבורי, מתוכם כ-6,393 שקעי טעינה איטית, והשאר שקעי טעינה מהירה. כיוון שבסוף שנת 2024 היו כ-162,708 כלי רכב חשמליים שנעו בכבישי הארץ, שקעי הטעינה הזמינים שקיימים מספיקים לטעינה של כ-4.9% כלי רכב חשמליים בלבד, בו-זמנית, במרחב הציבורי.</w:t>
      </w:r>
    </w:p>
    <w:p w:rsidR="00441EB5" w:rsidRPr="00441EB5" w:rsidP="00880F2A">
      <w:pPr>
        <w:spacing w:before="120" w:line="288" w:lineRule="auto"/>
        <w:ind w:left="-851" w:right="-709"/>
        <w:rPr>
          <w:rFonts w:ascii="Tahoma" w:eastAsia="Calibri" w:hAnsi="Tahoma" w:cs="Tahoma"/>
          <w:sz w:val="19"/>
          <w:szCs w:val="19"/>
          <w:rtl/>
        </w:rPr>
      </w:pPr>
      <w:r w:rsidRPr="00441EB5">
        <w:rPr>
          <w:rFonts w:ascii="Tahoma" w:eastAsia="Calibri" w:hAnsi="Tahoma" w:cs="Tahoma"/>
          <w:sz w:val="19"/>
          <w:szCs w:val="19"/>
          <w:rtl/>
        </w:rPr>
        <w:t>על משרד התחבורה ומשרד האנרגיה להמשיך לתקן את הליקויים שנמצאו בביקורת המעקב ולא תוקנו כלל או תוקנו במידה מועטה או חלקית.</w:t>
      </w:r>
    </w:p>
    <w:p w:rsidR="00441EB5" w:rsidRPr="00441EB5" w:rsidP="00880F2A">
      <w:pPr>
        <w:spacing w:before="120" w:line="288" w:lineRule="auto"/>
        <w:ind w:left="-851" w:right="-709"/>
        <w:rPr>
          <w:rFonts w:ascii="Tahoma" w:eastAsia="Calibri" w:hAnsi="Tahoma" w:cs="Tahoma"/>
          <w:sz w:val="19"/>
          <w:szCs w:val="19"/>
          <w:rtl/>
        </w:rPr>
      </w:pPr>
      <w:r w:rsidRPr="00441EB5">
        <w:rPr>
          <w:rFonts w:ascii="Tahoma" w:eastAsia="Calibri" w:hAnsi="Tahoma" w:cs="Tahoma"/>
          <w:sz w:val="19"/>
          <w:szCs w:val="19"/>
          <w:rtl/>
        </w:rPr>
        <w:t xml:space="preserve">מומלץ למשרד להגנת הסביבה בשיתוף משרד התחבורה להמשיך לקדם את הקמת אזורי "אזור אוויר נקי" (או לחלופין אזור מופחת פליטות) בישראל לנוכח תרומתם לבריאות הציבור, ומומלץ למשרד להגנת הסביבה להמשיך למפות את נתוני מערך ניטור האוויר הארצי כדי לאתר רשויות מקומיות מרובות זיהום, שבהן תהיה העדפה להקמת "אזור אוויר נקי". </w:t>
      </w:r>
    </w:p>
    <w:p w:rsidR="00441EB5" w:rsidRPr="00441EB5" w:rsidP="00880F2A">
      <w:pPr>
        <w:spacing w:before="120" w:line="288" w:lineRule="auto"/>
        <w:ind w:left="-851" w:right="-709"/>
        <w:rPr>
          <w:rFonts w:ascii="Tahoma" w:eastAsia="Calibri" w:hAnsi="Tahoma" w:cs="Tahoma"/>
          <w:sz w:val="19"/>
          <w:szCs w:val="19"/>
          <w:rtl/>
        </w:rPr>
      </w:pPr>
      <w:r w:rsidRPr="00441EB5">
        <w:rPr>
          <w:rFonts w:ascii="Tahoma" w:eastAsia="Calibri" w:hAnsi="Tahoma" w:cs="Tahoma"/>
          <w:sz w:val="19"/>
          <w:szCs w:val="19"/>
          <w:rtl/>
        </w:rPr>
        <w:t>על משרד התחבורה ומשרד האנרגיה לקבוע יעדים כמותיים לפריסת עמדות ציבוריות לטעינת כלי רכב חשמליים ברחבי הארץ ולעקוב אחר העמידה ביעדים. עוד ממליץ משרד מבקר המדינה לקבוע יעדים מדידים לגבי עמדות טעינה ותשתית אשר עשויים לסייע בהקמת עמדות אלה ולשפר את היכולת להקימן. כדי ליישם את הפריסה שתיקבע על מינהל התכנון, משרד התחבורה, המשרד להגנת הסביבה ומשרד האנרגיה להמשיך ולפעול, כל אחד בהתאם לסמכויותיו ותפקידיו, להשלמת הכנת שינוי 3 לתמ"א 18 כדי לספק תשתית פיזית ותמיכה בעמדות הטעינה הקיימות וגם באלה אשר עתידות לקום בתחנות התדלוק.</w:t>
      </w:r>
    </w:p>
    <w:p w:rsidR="00441EB5" w:rsidRPr="00441EB5" w:rsidP="00441EB5">
      <w:pPr>
        <w:bidi w:val="0"/>
        <w:spacing w:after="160" w:line="288" w:lineRule="auto"/>
        <w:jc w:val="left"/>
        <w:rPr>
          <w:rFonts w:ascii="Tahoma" w:eastAsia="Calibri" w:hAnsi="Tahoma" w:cs="Tahoma"/>
          <w:sz w:val="22"/>
          <w:szCs w:val="22"/>
        </w:rPr>
      </w:pPr>
      <w:r w:rsidRPr="00441EB5">
        <w:rPr>
          <w:rFonts w:ascii="Tahoma" w:eastAsia="Calibri" w:hAnsi="Tahoma" w:cs="Tahoma"/>
          <w:sz w:val="22"/>
          <w:szCs w:val="22"/>
          <w:rtl/>
        </w:rPr>
        <w:br w:type="page"/>
      </w:r>
    </w:p>
    <w:p w:rsidR="00441EB5" w:rsidRPr="00441EB5" w:rsidP="00472AFF">
      <w:pPr>
        <w:spacing w:before="200" w:line="288" w:lineRule="auto"/>
        <w:ind w:left="-1419"/>
        <w:jc w:val="left"/>
        <w:rPr>
          <w:rFonts w:ascii="Tahoma" w:eastAsia="Calibri" w:hAnsi="Tahoma" w:cs="Tahoma"/>
          <w:b/>
          <w:bCs/>
          <w:noProof/>
          <w:color w:val="FFFFFF"/>
          <w:rtl/>
        </w:rPr>
      </w:pPr>
      <w:r w:rsidRPr="00441EB5">
        <w:rPr>
          <w:rFonts w:ascii="Tahoma" w:eastAsia="Calibri" w:hAnsi="Tahoma" w:cs="Tahoma"/>
          <w:b/>
          <w:bCs/>
          <w:noProof/>
          <w:color w:val="FFFFFF"/>
          <w:sz w:val="22"/>
          <w:szCs w:val="22"/>
          <w:rtl/>
        </w:rPr>
        <w:drawing>
          <wp:anchor distT="0" distB="0" distL="114300" distR="114300" simplePos="0" relativeHeight="251661312" behindDoc="1" locked="0" layoutInCell="1" allowOverlap="1">
            <wp:simplePos x="0" y="0"/>
            <wp:positionH relativeFrom="column">
              <wp:posOffset>2714478</wp:posOffset>
            </wp:positionH>
            <wp:positionV relativeFrom="paragraph">
              <wp:posOffset>-96667</wp:posOffset>
            </wp:positionV>
            <wp:extent cx="3538855" cy="499712"/>
            <wp:effectExtent l="0" t="0" r="4445" b="0"/>
            <wp:wrapNone/>
            <wp:docPr id="537237150" name="תמונה 53"/>
            <wp:cNvGraphicFramePr/>
            <a:graphic xmlns:a="http://schemas.openxmlformats.org/drawingml/2006/main">
              <a:graphicData uri="http://schemas.openxmlformats.org/drawingml/2006/picture">
                <pic:pic xmlns:pic="http://schemas.openxmlformats.org/drawingml/2006/picture">
                  <pic:nvPicPr>
                    <pic:cNvPr id="537237150" name="תקציר-03.png"/>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538855" cy="499712"/>
                    </a:xfrm>
                    <a:prstGeom prst="rect">
                      <a:avLst/>
                    </a:prstGeom>
                  </pic:spPr>
                </pic:pic>
              </a:graphicData>
            </a:graphic>
            <wp14:sizeRelH relativeFrom="page">
              <wp14:pctWidth>0</wp14:pctWidth>
            </wp14:sizeRelH>
            <wp14:sizeRelV relativeFrom="page">
              <wp14:pctHeight>0</wp14:pctHeight>
            </wp14:sizeRelV>
          </wp:anchor>
        </w:drawing>
      </w:r>
      <w:r w:rsidRPr="00441EB5">
        <w:rPr>
          <w:rFonts w:ascii="Tahoma" w:eastAsia="Calibri" w:hAnsi="Tahoma" w:cs="Tahoma"/>
          <w:b/>
          <w:bCs/>
          <w:noProof/>
          <w:color w:val="FFFFFF"/>
          <w:sz w:val="22"/>
          <w:szCs w:val="22"/>
          <w:rtl/>
        </w:rPr>
        <w:t xml:space="preserve">מידת תיקון עיקרי הליקויים שעלו בדוח הקודם </w:t>
      </w:r>
    </w:p>
    <w:p w:rsidR="00441EB5" w:rsidRPr="00441EB5" w:rsidP="00441EB5">
      <w:pPr>
        <w:spacing w:line="288" w:lineRule="auto"/>
        <w:ind w:left="-851"/>
        <w:rPr>
          <w:rFonts w:ascii="Tahoma" w:eastAsia="Calibri" w:hAnsi="Tahoma" w:cs="Tahoma"/>
          <w:sz w:val="22"/>
          <w:szCs w:val="22"/>
          <w:rtl/>
        </w:rPr>
      </w:pPr>
    </w:p>
    <w:p w:rsidR="00441EB5" w:rsidRPr="00441EB5" w:rsidP="00441EB5">
      <w:pPr>
        <w:spacing w:line="288" w:lineRule="auto"/>
        <w:ind w:left="-851"/>
        <w:rPr>
          <w:rFonts w:ascii="Tahoma" w:eastAsia="Calibri" w:hAnsi="Tahoma" w:cs="Tahoma"/>
          <w:sz w:val="22"/>
          <w:szCs w:val="22"/>
          <w:rtl/>
        </w:rPr>
      </w:pPr>
    </w:p>
    <w:tbl>
      <w:tblPr>
        <w:tblStyle w:val="26"/>
        <w:tblpPr w:leftFromText="180" w:rightFromText="180" w:vertAnchor="text" w:tblpXSpec="center" w:tblpY="1"/>
        <w:tblOverlap w:val="never"/>
        <w:bidiVisual/>
        <w:tblW w:w="11042" w:type="dxa"/>
        <w:tblLook w:val="04A0"/>
      </w:tblPr>
      <w:tblGrid>
        <w:gridCol w:w="1966"/>
        <w:gridCol w:w="1036"/>
        <w:gridCol w:w="2677"/>
        <w:gridCol w:w="1080"/>
        <w:gridCol w:w="1071"/>
        <w:gridCol w:w="1071"/>
        <w:gridCol w:w="1071"/>
        <w:gridCol w:w="1070"/>
      </w:tblGrid>
      <w:tr w:rsidTr="00472AFF">
        <w:tblPrEx>
          <w:tblW w:w="11042" w:type="dxa"/>
          <w:tblLook w:val="04A0"/>
        </w:tblPrEx>
        <w:trPr>
          <w:tblHeader/>
        </w:trPr>
        <w:tc>
          <w:tcPr>
            <w:tcW w:w="1976" w:type="dxa"/>
            <w:vMerge w:val="restart"/>
            <w:shd w:val="clear" w:color="auto" w:fill="C6D9F1"/>
            <w:vAlign w:val="center"/>
          </w:tcPr>
          <w:p w:rsidR="00441EB5" w:rsidRPr="00441EB5" w:rsidP="00472AFF">
            <w:pPr>
              <w:spacing w:before="120" w:after="120" w:line="288" w:lineRule="auto"/>
              <w:jc w:val="center"/>
              <w:rPr>
                <w:rFonts w:ascii="Tahoma" w:eastAsia="Calibri" w:hAnsi="Tahoma" w:cs="Tahoma"/>
                <w:b/>
                <w:bCs/>
                <w:sz w:val="19"/>
                <w:szCs w:val="19"/>
                <w:rtl/>
              </w:rPr>
            </w:pPr>
            <w:r w:rsidRPr="00441EB5">
              <w:rPr>
                <w:rFonts w:ascii="Tahoma" w:eastAsia="Calibri" w:hAnsi="Tahoma" w:cs="Tahoma"/>
                <w:b/>
                <w:bCs/>
                <w:sz w:val="19"/>
                <w:szCs w:val="19"/>
                <w:rtl/>
              </w:rPr>
              <w:t>פרק הביקורת</w:t>
            </w:r>
          </w:p>
        </w:tc>
        <w:tc>
          <w:tcPr>
            <w:tcW w:w="992" w:type="dxa"/>
            <w:vMerge w:val="restart"/>
            <w:shd w:val="clear" w:color="auto" w:fill="C6D9F1"/>
            <w:vAlign w:val="center"/>
          </w:tcPr>
          <w:p w:rsidR="00441EB5" w:rsidRPr="00441EB5" w:rsidP="00472AFF">
            <w:pPr>
              <w:spacing w:before="120" w:after="120" w:line="240" w:lineRule="auto"/>
              <w:jc w:val="center"/>
              <w:rPr>
                <w:rFonts w:ascii="Tahoma" w:eastAsia="Calibri" w:hAnsi="Tahoma" w:cs="Tahoma"/>
                <w:b/>
                <w:bCs/>
                <w:sz w:val="19"/>
                <w:szCs w:val="19"/>
                <w:rtl/>
              </w:rPr>
            </w:pPr>
            <w:r w:rsidRPr="00441EB5">
              <w:rPr>
                <w:rFonts w:ascii="Tahoma" w:eastAsia="Calibri" w:hAnsi="Tahoma" w:cs="Tahoma"/>
                <w:b/>
                <w:bCs/>
                <w:sz w:val="19"/>
                <w:szCs w:val="19"/>
                <w:rtl/>
              </w:rPr>
              <w:t>הגוף המבוקר</w:t>
            </w:r>
          </w:p>
        </w:tc>
        <w:tc>
          <w:tcPr>
            <w:tcW w:w="2693" w:type="dxa"/>
            <w:vMerge w:val="restart"/>
            <w:shd w:val="clear" w:color="auto" w:fill="C6D9F1"/>
            <w:vAlign w:val="center"/>
          </w:tcPr>
          <w:p w:rsidR="00441EB5" w:rsidRPr="00441EB5" w:rsidP="00472AFF">
            <w:pPr>
              <w:spacing w:before="120" w:after="120" w:line="240" w:lineRule="auto"/>
              <w:jc w:val="center"/>
              <w:rPr>
                <w:rFonts w:ascii="Tahoma" w:eastAsia="Calibri" w:hAnsi="Tahoma" w:cs="Tahoma"/>
                <w:b/>
                <w:bCs/>
                <w:sz w:val="19"/>
                <w:szCs w:val="19"/>
                <w:rtl/>
              </w:rPr>
            </w:pPr>
            <w:r w:rsidRPr="00441EB5">
              <w:rPr>
                <w:rFonts w:ascii="Tahoma" w:eastAsia="Calibri" w:hAnsi="Tahoma" w:cs="Tahoma"/>
                <w:b/>
                <w:bCs/>
                <w:sz w:val="19"/>
                <w:szCs w:val="19"/>
                <w:rtl/>
              </w:rPr>
              <w:t>הליקוי</w:t>
            </w:r>
          </w:p>
          <w:p w:rsidR="00441EB5" w:rsidRPr="00441EB5" w:rsidP="00472AFF">
            <w:pPr>
              <w:spacing w:before="120" w:after="120" w:line="240" w:lineRule="auto"/>
              <w:jc w:val="center"/>
              <w:rPr>
                <w:rFonts w:ascii="Tahoma" w:eastAsia="Calibri" w:hAnsi="Tahoma" w:cs="Tahoma"/>
                <w:sz w:val="19"/>
                <w:szCs w:val="19"/>
                <w:rtl/>
              </w:rPr>
            </w:pPr>
            <w:r w:rsidRPr="00441EB5">
              <w:rPr>
                <w:rFonts w:ascii="Tahoma" w:eastAsia="Calibri" w:hAnsi="Tahoma" w:cs="Tahoma"/>
                <w:b/>
                <w:bCs/>
                <w:sz w:val="19"/>
                <w:szCs w:val="19"/>
                <w:rtl/>
              </w:rPr>
              <w:t>בדוח הביקורת הקודם</w:t>
            </w:r>
          </w:p>
        </w:tc>
        <w:tc>
          <w:tcPr>
            <w:tcW w:w="5381" w:type="dxa"/>
            <w:gridSpan w:val="5"/>
            <w:shd w:val="clear" w:color="auto" w:fill="C6D9F1"/>
            <w:vAlign w:val="center"/>
          </w:tcPr>
          <w:p w:rsidR="00441EB5" w:rsidRPr="00441EB5" w:rsidP="00472AFF">
            <w:pPr>
              <w:spacing w:before="120" w:after="120" w:line="288" w:lineRule="auto"/>
              <w:jc w:val="center"/>
              <w:rPr>
                <w:rFonts w:ascii="Tahoma" w:eastAsia="Calibri" w:hAnsi="Tahoma" w:cs="Tahoma"/>
                <w:b/>
                <w:bCs/>
                <w:sz w:val="19"/>
                <w:szCs w:val="19"/>
                <w:rtl/>
              </w:rPr>
            </w:pPr>
            <w:r w:rsidRPr="00441EB5">
              <w:rPr>
                <w:rFonts w:ascii="Tahoma" w:eastAsia="Calibri" w:hAnsi="Tahoma" w:cs="Tahoma"/>
                <w:b/>
                <w:bCs/>
                <w:sz w:val="19"/>
                <w:szCs w:val="19"/>
                <w:rtl/>
              </w:rPr>
              <w:t>מידת תיקון הליקוי כפי שעלה בביקורת במעקב</w:t>
            </w:r>
          </w:p>
        </w:tc>
      </w:tr>
      <w:tr w:rsidTr="00472AFF">
        <w:tblPrEx>
          <w:tblW w:w="11042" w:type="dxa"/>
          <w:tblLook w:val="04A0"/>
        </w:tblPrEx>
        <w:trPr>
          <w:tblHeader/>
        </w:trPr>
        <w:tc>
          <w:tcPr>
            <w:tcW w:w="1976" w:type="dxa"/>
            <w:vMerge/>
            <w:vAlign w:val="center"/>
          </w:tcPr>
          <w:p w:rsidR="00441EB5" w:rsidRPr="00441EB5" w:rsidP="00472AFF">
            <w:pPr>
              <w:spacing w:before="120" w:after="120" w:line="288" w:lineRule="auto"/>
              <w:jc w:val="center"/>
              <w:rPr>
                <w:rFonts w:ascii="Tahoma" w:eastAsia="Calibri" w:hAnsi="Tahoma" w:cs="Tahoma"/>
                <w:sz w:val="19"/>
                <w:szCs w:val="19"/>
                <w:rtl/>
              </w:rPr>
            </w:pPr>
          </w:p>
        </w:tc>
        <w:tc>
          <w:tcPr>
            <w:tcW w:w="992" w:type="dxa"/>
            <w:vMerge/>
            <w:vAlign w:val="center"/>
          </w:tcPr>
          <w:p w:rsidR="00441EB5" w:rsidRPr="00441EB5" w:rsidP="00472AFF">
            <w:pPr>
              <w:spacing w:before="120" w:after="120" w:line="288" w:lineRule="auto"/>
              <w:jc w:val="center"/>
              <w:rPr>
                <w:rFonts w:ascii="Tahoma" w:eastAsia="Calibri" w:hAnsi="Tahoma" w:cs="Tahoma"/>
                <w:sz w:val="19"/>
                <w:szCs w:val="19"/>
                <w:rtl/>
              </w:rPr>
            </w:pPr>
          </w:p>
        </w:tc>
        <w:tc>
          <w:tcPr>
            <w:tcW w:w="2693" w:type="dxa"/>
            <w:vMerge/>
            <w:vAlign w:val="center"/>
          </w:tcPr>
          <w:p w:rsidR="00441EB5" w:rsidRPr="00441EB5" w:rsidP="00472AFF">
            <w:pPr>
              <w:spacing w:before="120" w:after="120" w:line="288" w:lineRule="auto"/>
              <w:jc w:val="center"/>
              <w:rPr>
                <w:rFonts w:ascii="Tahoma" w:eastAsia="Calibri" w:hAnsi="Tahoma" w:cs="Tahoma"/>
                <w:sz w:val="19"/>
                <w:szCs w:val="19"/>
                <w:rtl/>
              </w:rPr>
            </w:pPr>
          </w:p>
        </w:tc>
        <w:tc>
          <w:tcPr>
            <w:tcW w:w="1085" w:type="dxa"/>
            <w:shd w:val="clear" w:color="auto" w:fill="FF5A5A"/>
            <w:vAlign w:val="center"/>
          </w:tcPr>
          <w:p w:rsidR="00441EB5" w:rsidRPr="00441EB5" w:rsidP="00472AFF">
            <w:pPr>
              <w:spacing w:before="120" w:after="120" w:line="288" w:lineRule="auto"/>
              <w:jc w:val="center"/>
              <w:rPr>
                <w:rFonts w:ascii="Tahoma" w:eastAsia="Calibri" w:hAnsi="Tahoma" w:cs="Tahoma"/>
                <w:b/>
                <w:bCs/>
                <w:sz w:val="19"/>
                <w:szCs w:val="19"/>
                <w:rtl/>
              </w:rPr>
            </w:pPr>
            <w:r w:rsidRPr="00441EB5">
              <w:rPr>
                <w:rFonts w:ascii="Tahoma" w:eastAsia="Calibri" w:hAnsi="Tahoma" w:cs="Tahoma"/>
                <w:b/>
                <w:bCs/>
                <w:sz w:val="19"/>
                <w:szCs w:val="19"/>
                <w:rtl/>
              </w:rPr>
              <w:t>לא תוקן</w:t>
            </w:r>
          </w:p>
        </w:tc>
        <w:tc>
          <w:tcPr>
            <w:tcW w:w="1074" w:type="dxa"/>
            <w:shd w:val="clear" w:color="auto" w:fill="FF8250"/>
            <w:vAlign w:val="center"/>
          </w:tcPr>
          <w:p w:rsidR="00441EB5" w:rsidRPr="00441EB5" w:rsidP="00472AFF">
            <w:pPr>
              <w:spacing w:before="120" w:after="120" w:line="240" w:lineRule="auto"/>
              <w:jc w:val="center"/>
              <w:rPr>
                <w:rFonts w:ascii="Tahoma" w:eastAsia="Calibri" w:hAnsi="Tahoma" w:cs="Tahoma"/>
                <w:b/>
                <w:bCs/>
                <w:sz w:val="19"/>
                <w:szCs w:val="19"/>
                <w:rtl/>
              </w:rPr>
            </w:pPr>
            <w:r w:rsidRPr="00441EB5">
              <w:rPr>
                <w:rFonts w:ascii="Tahoma" w:eastAsia="Calibri" w:hAnsi="Tahoma" w:cs="Tahoma"/>
                <w:b/>
                <w:bCs/>
                <w:sz w:val="19"/>
                <w:szCs w:val="19"/>
                <w:rtl/>
              </w:rPr>
              <w:t>תוקן במידה מועטה</w:t>
            </w:r>
          </w:p>
        </w:tc>
        <w:tc>
          <w:tcPr>
            <w:tcW w:w="1074" w:type="dxa"/>
            <w:shd w:val="clear" w:color="auto" w:fill="FABE5A"/>
            <w:vAlign w:val="center"/>
          </w:tcPr>
          <w:p w:rsidR="00441EB5" w:rsidRPr="00441EB5" w:rsidP="00472AFF">
            <w:pPr>
              <w:spacing w:before="120" w:after="120" w:line="240" w:lineRule="auto"/>
              <w:jc w:val="center"/>
              <w:rPr>
                <w:rFonts w:ascii="Tahoma" w:eastAsia="Calibri" w:hAnsi="Tahoma" w:cs="Tahoma"/>
                <w:b/>
                <w:bCs/>
                <w:sz w:val="19"/>
                <w:szCs w:val="19"/>
                <w:rtl/>
              </w:rPr>
            </w:pPr>
            <w:r w:rsidRPr="00441EB5">
              <w:rPr>
                <w:rFonts w:ascii="Tahoma" w:eastAsia="Calibri" w:hAnsi="Tahoma" w:cs="Tahoma"/>
                <w:b/>
                <w:bCs/>
                <w:sz w:val="19"/>
                <w:szCs w:val="19"/>
                <w:rtl/>
              </w:rPr>
              <w:t>תוקן במידה חלקית</w:t>
            </w:r>
          </w:p>
        </w:tc>
        <w:tc>
          <w:tcPr>
            <w:tcW w:w="1074" w:type="dxa"/>
            <w:shd w:val="clear" w:color="auto" w:fill="FAF050"/>
            <w:vAlign w:val="center"/>
          </w:tcPr>
          <w:p w:rsidR="00441EB5" w:rsidRPr="00441EB5" w:rsidP="00472AFF">
            <w:pPr>
              <w:spacing w:before="120" w:after="120" w:line="240" w:lineRule="auto"/>
              <w:jc w:val="center"/>
              <w:rPr>
                <w:rFonts w:ascii="Tahoma" w:eastAsia="Calibri" w:hAnsi="Tahoma" w:cs="Tahoma"/>
                <w:b/>
                <w:bCs/>
                <w:sz w:val="19"/>
                <w:szCs w:val="19"/>
                <w:rtl/>
              </w:rPr>
            </w:pPr>
            <w:r w:rsidRPr="00441EB5">
              <w:rPr>
                <w:rFonts w:ascii="Tahoma" w:eastAsia="Calibri" w:hAnsi="Tahoma" w:cs="Tahoma"/>
                <w:b/>
                <w:bCs/>
                <w:sz w:val="19"/>
                <w:szCs w:val="19"/>
                <w:rtl/>
              </w:rPr>
              <w:t>תוקן במידה רבה</w:t>
            </w:r>
          </w:p>
        </w:tc>
        <w:tc>
          <w:tcPr>
            <w:tcW w:w="1074" w:type="dxa"/>
            <w:shd w:val="clear" w:color="auto" w:fill="7DB48C"/>
            <w:vAlign w:val="center"/>
          </w:tcPr>
          <w:p w:rsidR="00441EB5" w:rsidRPr="00441EB5" w:rsidP="00472AFF">
            <w:pPr>
              <w:spacing w:before="120" w:after="120" w:line="240" w:lineRule="auto"/>
              <w:jc w:val="center"/>
              <w:rPr>
                <w:rFonts w:ascii="Tahoma" w:eastAsia="Calibri" w:hAnsi="Tahoma" w:cs="Tahoma"/>
                <w:b/>
                <w:bCs/>
                <w:sz w:val="19"/>
                <w:szCs w:val="19"/>
                <w:rtl/>
              </w:rPr>
            </w:pPr>
            <w:r w:rsidRPr="00441EB5">
              <w:rPr>
                <w:rFonts w:ascii="Tahoma" w:eastAsia="Calibri" w:hAnsi="Tahoma" w:cs="Tahoma"/>
                <w:b/>
                <w:bCs/>
                <w:sz w:val="19"/>
                <w:szCs w:val="19"/>
                <w:rtl/>
              </w:rPr>
              <w:t>תוקן באופן מלא</w:t>
            </w:r>
          </w:p>
        </w:tc>
      </w:tr>
      <w:tr w:rsidTr="00C14BE6">
        <w:tblPrEx>
          <w:tblW w:w="11042" w:type="dxa"/>
          <w:tblLook w:val="04A0"/>
        </w:tblPrEx>
        <w:trPr>
          <w:trHeight w:val="1036"/>
        </w:trPr>
        <w:tc>
          <w:tcPr>
            <w:tcW w:w="1976" w:type="dxa"/>
            <w:vAlign w:val="center"/>
          </w:tcPr>
          <w:p w:rsidR="00441EB5" w:rsidRPr="00441EB5" w:rsidP="00441EB5">
            <w:pPr>
              <w:spacing w:after="200" w:line="240" w:lineRule="auto"/>
              <w:rPr>
                <w:rFonts w:ascii="Tahoma" w:eastAsia="Calibri" w:hAnsi="Tahoma" w:cs="Tahoma"/>
                <w:sz w:val="18"/>
                <w:szCs w:val="18"/>
                <w:rtl/>
              </w:rPr>
            </w:pPr>
            <w:r w:rsidRPr="00441EB5">
              <w:rPr>
                <w:rFonts w:ascii="Tahoma" w:eastAsia="Calibri" w:hAnsi="Tahoma" w:cs="Tahoma"/>
                <w:sz w:val="18"/>
                <w:szCs w:val="18"/>
                <w:rtl/>
              </w:rPr>
              <w:t>השפעת גיל כלי הרכב הכבדים על זיהום האוויר</w:t>
            </w:r>
          </w:p>
        </w:tc>
        <w:tc>
          <w:tcPr>
            <w:tcW w:w="992" w:type="dxa"/>
            <w:vAlign w:val="center"/>
          </w:tcPr>
          <w:p w:rsidR="00441EB5" w:rsidRPr="00441EB5" w:rsidP="00441EB5">
            <w:pPr>
              <w:spacing w:after="200" w:line="240" w:lineRule="auto"/>
              <w:rPr>
                <w:rFonts w:ascii="Tahoma" w:eastAsia="Calibri" w:hAnsi="Tahoma" w:cs="Tahoma"/>
                <w:sz w:val="18"/>
                <w:szCs w:val="18"/>
                <w:rtl/>
              </w:rPr>
            </w:pPr>
            <w:r w:rsidRPr="00441EB5">
              <w:rPr>
                <w:rFonts w:ascii="Tahoma" w:eastAsia="Calibri" w:hAnsi="Tahoma" w:cs="Tahoma"/>
                <w:sz w:val="18"/>
                <w:szCs w:val="18"/>
                <w:rtl/>
              </w:rPr>
              <w:t>משרד התחבורה</w:t>
            </w:r>
          </w:p>
        </w:tc>
        <w:tc>
          <w:tcPr>
            <w:tcW w:w="2693" w:type="dxa"/>
            <w:vAlign w:val="center"/>
          </w:tcPr>
          <w:p w:rsidR="00441EB5" w:rsidRPr="00441EB5" w:rsidP="00441EB5">
            <w:pPr>
              <w:spacing w:after="200" w:line="240" w:lineRule="auto"/>
              <w:rPr>
                <w:rFonts w:ascii="Tahoma" w:eastAsia="Calibri" w:hAnsi="Tahoma" w:cs="Tahoma"/>
                <w:sz w:val="18"/>
                <w:szCs w:val="18"/>
                <w:rtl/>
              </w:rPr>
            </w:pPr>
            <w:r w:rsidRPr="00441EB5">
              <w:rPr>
                <w:rFonts w:ascii="Tahoma" w:eastAsia="Calibri" w:hAnsi="Tahoma" w:cs="Tahoma"/>
                <w:sz w:val="18"/>
                <w:szCs w:val="18"/>
                <w:rtl/>
              </w:rPr>
              <w:t>בביקורת הקודמת עלה כי צי המשאיות בישראל מתיישן בקצב גבוה ביחס לקצב השינוי בגיל הממוצע של כלל כלי הרכב בישראל: גילן הממוצע של המשאיות נמצא במגמת עלייה - הוא עלה מ-5.1 שנים בשנת 2000 ל-9.4 שנים בשנת 2021 (עלייה של 84.3%). על פי נתוני הלשכה המרכזית לסטטיסטיקה, בשנים 2000 - 2021 עלה הגיל הממוצע של כלל הרכבים בישראל בשנה אחת בלבד, ל-7.1 שנים (16.4%).</w:t>
            </w:r>
          </w:p>
        </w:tc>
        <w:tc>
          <w:tcPr>
            <w:tcW w:w="1085" w:type="dxa"/>
            <w:vAlign w:val="center"/>
          </w:tcPr>
          <w:p w:rsidR="00441EB5" w:rsidRPr="00441EB5" w:rsidP="00441EB5">
            <w:pPr>
              <w:spacing w:after="200" w:line="288" w:lineRule="auto"/>
              <w:rPr>
                <w:rFonts w:ascii="Tahoma" w:eastAsia="Calibri" w:hAnsi="Tahoma" w:cs="Tahoma"/>
                <w:noProof/>
                <w:sz w:val="19"/>
                <w:szCs w:val="19"/>
                <w:rtl/>
              </w:rPr>
            </w:pPr>
          </w:p>
        </w:tc>
        <w:tc>
          <w:tcPr>
            <w:tcW w:w="1074" w:type="dxa"/>
            <w:vAlign w:val="center"/>
          </w:tcPr>
          <w:p w:rsidR="00441EB5" w:rsidRPr="00441EB5" w:rsidP="00441EB5">
            <w:pPr>
              <w:spacing w:after="200" w:line="288" w:lineRule="auto"/>
              <w:rPr>
                <w:rFonts w:ascii="Tahoma" w:eastAsia="Calibri" w:hAnsi="Tahoma" w:cs="Tahoma"/>
                <w:sz w:val="19"/>
                <w:szCs w:val="19"/>
                <w:rtl/>
              </w:rPr>
            </w:pPr>
            <w:r w:rsidRPr="00441EB5">
              <w:rPr>
                <w:rFonts w:ascii="Tahoma" w:eastAsia="Calibri" w:hAnsi="Tahoma" w:cs="Tahoma"/>
                <w:noProof/>
                <w:sz w:val="19"/>
                <w:szCs w:val="19"/>
                <w:rtl/>
              </w:rPr>
              <mc:AlternateContent>
                <mc:Choice Requires="wps">
                  <w:drawing>
                    <wp:anchor distT="0" distB="0" distL="114300" distR="114300" simplePos="0" relativeHeight="251683840" behindDoc="0" locked="0" layoutInCell="1" allowOverlap="1">
                      <wp:simplePos x="0" y="0"/>
                      <wp:positionH relativeFrom="column">
                        <wp:posOffset>-28575</wp:posOffset>
                      </wp:positionH>
                      <wp:positionV relativeFrom="paragraph">
                        <wp:posOffset>718185</wp:posOffset>
                      </wp:positionV>
                      <wp:extent cx="1314450" cy="295275"/>
                      <wp:effectExtent l="0" t="0" r="19050" b="28575"/>
                      <wp:wrapNone/>
                      <wp:docPr id="1" name="חץ שמאלה 2"/>
                      <wp:cNvGraphicFramePr/>
                      <a:graphic xmlns:a="http://schemas.openxmlformats.org/drawingml/2006/main">
                        <a:graphicData uri="http://schemas.microsoft.com/office/word/2010/wordprocessingShape">
                          <wps:wsp xmlns:wps="http://schemas.microsoft.com/office/word/2010/wordprocessingShape">
                            <wps:cNvSpPr/>
                            <wps:spPr>
                              <a:xfrm>
                                <a:off x="0" y="0"/>
                                <a:ext cx="1314450" cy="295275"/>
                              </a:xfrm>
                              <a:prstGeom prst="leftArrow">
                                <a:avLst/>
                              </a:prstGeom>
                              <a:solidFill>
                                <a:srgbClr val="FF8250"/>
                              </a:solidFill>
                              <a:ln w="3175">
                                <a:solidFill>
                                  <a:sysClr val="windowText" lastClr="000000"/>
                                </a:solidFill>
                                <a:prstDash val="solid"/>
                              </a:ln>
                              <a:effectLst/>
                            </wps:spPr>
                            <wps:txbx>
                              <w:txbxContent>
                                <w:p w:rsidR="00441EB5" w:rsidP="00441EB5">
                                  <w:pPr>
                                    <w:shd w:val="clear" w:color="auto" w:fill="FF8250"/>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חץ שמאלה 2" o:spid="_x0000_s1025" type="#_x0000_t66" style="width:103.5pt;height:23.25pt;margin-top:56.55pt;margin-left:-2.25pt;mso-height-percent:0;mso-height-relative:margin;mso-width-percent:0;mso-width-relative:margin;mso-wrap-distance-bottom:0;mso-wrap-distance-left:9pt;mso-wrap-distance-right:9pt;mso-wrap-distance-top:0;mso-wrap-style:square;position:absolute;visibility:visible;v-text-anchor:middle;z-index:251684864" adj="2426" fillcolor="#ff8250" strokecolor="black" strokeweight="0.25pt">
                      <v:textbox>
                        <w:txbxContent>
                          <w:p w:rsidR="00441EB5" w:rsidP="00441EB5">
                            <w:pPr>
                              <w:shd w:val="clear" w:color="auto" w:fill="FF8250"/>
                              <w:jc w:val="center"/>
                            </w:pPr>
                          </w:p>
                        </w:txbxContent>
                      </v:textbox>
                    </v:shape>
                  </w:pict>
                </mc:Fallback>
              </mc:AlternateContent>
            </w:r>
          </w:p>
        </w:tc>
        <w:tc>
          <w:tcPr>
            <w:tcW w:w="1074" w:type="dxa"/>
            <w:vAlign w:val="center"/>
          </w:tcPr>
          <w:p w:rsidR="00441EB5" w:rsidRPr="00441EB5" w:rsidP="00441EB5">
            <w:pPr>
              <w:spacing w:after="200" w:line="288" w:lineRule="auto"/>
              <w:rPr>
                <w:rFonts w:ascii="Tahoma" w:eastAsia="Calibri" w:hAnsi="Tahoma" w:cs="Tahoma"/>
                <w:sz w:val="19"/>
                <w:szCs w:val="19"/>
                <w:rtl/>
              </w:rPr>
            </w:pPr>
          </w:p>
        </w:tc>
        <w:tc>
          <w:tcPr>
            <w:tcW w:w="1074" w:type="dxa"/>
            <w:vAlign w:val="center"/>
          </w:tcPr>
          <w:p w:rsidR="00441EB5" w:rsidRPr="00441EB5" w:rsidP="00441EB5">
            <w:pPr>
              <w:spacing w:after="200" w:line="288" w:lineRule="auto"/>
              <w:rPr>
                <w:rFonts w:ascii="Tahoma" w:eastAsia="Calibri" w:hAnsi="Tahoma" w:cs="Tahoma"/>
                <w:sz w:val="19"/>
                <w:szCs w:val="19"/>
                <w:rtl/>
              </w:rPr>
            </w:pPr>
          </w:p>
        </w:tc>
        <w:tc>
          <w:tcPr>
            <w:tcW w:w="1074" w:type="dxa"/>
            <w:vAlign w:val="center"/>
          </w:tcPr>
          <w:p w:rsidR="00441EB5" w:rsidRPr="00441EB5" w:rsidP="00441EB5">
            <w:pPr>
              <w:spacing w:after="200" w:line="288" w:lineRule="auto"/>
              <w:rPr>
                <w:rFonts w:ascii="Tahoma" w:eastAsia="Calibri" w:hAnsi="Tahoma" w:cs="Tahoma"/>
                <w:sz w:val="19"/>
                <w:szCs w:val="19"/>
                <w:rtl/>
              </w:rPr>
            </w:pPr>
          </w:p>
        </w:tc>
      </w:tr>
      <w:tr w:rsidTr="00C14BE6">
        <w:tblPrEx>
          <w:tblW w:w="11042" w:type="dxa"/>
          <w:tblLook w:val="04A0"/>
        </w:tblPrEx>
        <w:trPr>
          <w:trHeight w:val="1036"/>
        </w:trPr>
        <w:tc>
          <w:tcPr>
            <w:tcW w:w="1976" w:type="dxa"/>
            <w:vAlign w:val="center"/>
          </w:tcPr>
          <w:p w:rsidR="00441EB5" w:rsidRPr="00441EB5" w:rsidP="00441EB5">
            <w:pPr>
              <w:spacing w:after="200" w:line="240" w:lineRule="auto"/>
              <w:rPr>
                <w:rFonts w:ascii="Tahoma" w:eastAsia="Calibri" w:hAnsi="Tahoma" w:cs="Tahoma"/>
                <w:sz w:val="18"/>
                <w:szCs w:val="18"/>
                <w:rtl/>
              </w:rPr>
            </w:pPr>
            <w:r w:rsidRPr="00441EB5">
              <w:rPr>
                <w:rFonts w:ascii="Tahoma" w:eastAsia="Calibri" w:hAnsi="Tahoma" w:cs="Tahoma"/>
                <w:sz w:val="18"/>
                <w:szCs w:val="18"/>
                <w:rtl/>
              </w:rPr>
              <w:t>התקנת מסנני חלקיקים</w:t>
            </w:r>
          </w:p>
        </w:tc>
        <w:tc>
          <w:tcPr>
            <w:tcW w:w="992" w:type="dxa"/>
            <w:vAlign w:val="center"/>
          </w:tcPr>
          <w:p w:rsidR="00441EB5" w:rsidRPr="00441EB5" w:rsidP="00441EB5">
            <w:pPr>
              <w:spacing w:after="200" w:line="240" w:lineRule="auto"/>
              <w:rPr>
                <w:rFonts w:ascii="Tahoma" w:eastAsia="Calibri" w:hAnsi="Tahoma" w:cs="Tahoma"/>
                <w:sz w:val="18"/>
                <w:szCs w:val="18"/>
                <w:rtl/>
              </w:rPr>
            </w:pPr>
            <w:r w:rsidRPr="00441EB5">
              <w:rPr>
                <w:rFonts w:ascii="Tahoma" w:eastAsia="Calibri" w:hAnsi="Tahoma" w:cs="Tahoma"/>
                <w:sz w:val="18"/>
                <w:szCs w:val="18"/>
                <w:rtl/>
              </w:rPr>
              <w:t>המשרד להגנת הסביבה, משרד התחבורה</w:t>
            </w:r>
          </w:p>
        </w:tc>
        <w:tc>
          <w:tcPr>
            <w:tcW w:w="2693" w:type="dxa"/>
            <w:vAlign w:val="center"/>
          </w:tcPr>
          <w:p w:rsidR="00441EB5" w:rsidRPr="00441EB5" w:rsidP="00441EB5">
            <w:pPr>
              <w:spacing w:after="200" w:line="240" w:lineRule="auto"/>
              <w:rPr>
                <w:rFonts w:ascii="Tahoma" w:eastAsia="Calibri" w:hAnsi="Tahoma" w:cs="Tahoma"/>
                <w:sz w:val="18"/>
                <w:szCs w:val="18"/>
                <w:rtl/>
              </w:rPr>
            </w:pPr>
            <w:r w:rsidRPr="00441EB5">
              <w:rPr>
                <w:rFonts w:ascii="Tahoma" w:eastAsia="Calibri" w:hAnsi="Tahoma" w:cs="Tahoma"/>
                <w:sz w:val="18"/>
                <w:szCs w:val="18"/>
                <w:rtl/>
              </w:rPr>
              <w:t>בביקורת הקודמת עלה כי על פי מידע שהתקבל מהמשרד להגנ"ס, בתקופה שמפברואר 2018 עד פברואר 2023 הותקנו 6,560 מסננים בכלי רכב כבדים, והם סובסדו על ידי המשרד בעלות של כ-124 מיליון ש"ח (עלות ממוצעת של 18,900 ש"ח לרכב). כ-80% מההתקנות נעשו ברכבים שיוצרו בשנים 2000 - 2006, ועיקרן (73%) בשנת 2019.</w:t>
            </w:r>
          </w:p>
        </w:tc>
        <w:tc>
          <w:tcPr>
            <w:tcW w:w="1085" w:type="dxa"/>
            <w:vAlign w:val="center"/>
          </w:tcPr>
          <w:p w:rsidR="00441EB5" w:rsidRPr="00441EB5" w:rsidP="00441EB5">
            <w:pPr>
              <w:spacing w:after="200" w:line="288" w:lineRule="auto"/>
              <w:rPr>
                <w:rFonts w:ascii="Tahoma" w:eastAsia="Calibri" w:hAnsi="Tahoma" w:cs="Tahoma"/>
                <w:noProof/>
                <w:sz w:val="19"/>
                <w:szCs w:val="19"/>
                <w:rtl/>
              </w:rPr>
            </w:pPr>
          </w:p>
        </w:tc>
        <w:tc>
          <w:tcPr>
            <w:tcW w:w="1074" w:type="dxa"/>
            <w:vAlign w:val="center"/>
          </w:tcPr>
          <w:p w:rsidR="00441EB5" w:rsidRPr="00441EB5" w:rsidP="00441EB5">
            <w:pPr>
              <w:spacing w:after="200" w:line="288" w:lineRule="auto"/>
              <w:rPr>
                <w:rFonts w:ascii="Tahoma" w:eastAsia="Calibri" w:hAnsi="Tahoma" w:cs="Tahoma"/>
                <w:sz w:val="19"/>
                <w:szCs w:val="19"/>
                <w:rtl/>
              </w:rPr>
            </w:pPr>
          </w:p>
        </w:tc>
        <w:tc>
          <w:tcPr>
            <w:tcW w:w="1074" w:type="dxa"/>
            <w:vAlign w:val="center"/>
          </w:tcPr>
          <w:p w:rsidR="00441EB5" w:rsidRPr="00441EB5" w:rsidP="00441EB5">
            <w:pPr>
              <w:spacing w:after="200" w:line="288" w:lineRule="auto"/>
              <w:rPr>
                <w:rFonts w:ascii="Tahoma" w:eastAsia="Calibri" w:hAnsi="Tahoma" w:cs="Tahoma"/>
                <w:noProof/>
                <w:sz w:val="19"/>
                <w:szCs w:val="19"/>
                <w:rtl/>
              </w:rPr>
            </w:pPr>
          </w:p>
        </w:tc>
        <w:tc>
          <w:tcPr>
            <w:tcW w:w="1074" w:type="dxa"/>
            <w:vAlign w:val="center"/>
          </w:tcPr>
          <w:p w:rsidR="00441EB5" w:rsidRPr="00441EB5" w:rsidP="00441EB5">
            <w:pPr>
              <w:spacing w:after="200" w:line="288" w:lineRule="auto"/>
              <w:rPr>
                <w:rFonts w:ascii="Tahoma" w:eastAsia="Calibri" w:hAnsi="Tahoma" w:cs="Tahoma"/>
                <w:noProof/>
                <w:sz w:val="19"/>
                <w:szCs w:val="19"/>
                <w:rtl/>
              </w:rPr>
            </w:pPr>
          </w:p>
        </w:tc>
        <w:tc>
          <w:tcPr>
            <w:tcW w:w="1074" w:type="dxa"/>
            <w:vAlign w:val="center"/>
          </w:tcPr>
          <w:p w:rsidR="00441EB5" w:rsidRPr="00441EB5" w:rsidP="00441EB5">
            <w:pPr>
              <w:spacing w:after="200" w:line="288" w:lineRule="auto"/>
              <w:rPr>
                <w:rFonts w:ascii="Tahoma" w:eastAsia="Calibri" w:hAnsi="Tahoma" w:cs="Tahoma"/>
                <w:sz w:val="19"/>
                <w:szCs w:val="19"/>
                <w:rtl/>
              </w:rPr>
            </w:pPr>
            <w:r w:rsidRPr="00441EB5">
              <w:rPr>
                <w:rFonts w:ascii="Tahoma" w:eastAsia="Calibri" w:hAnsi="Tahoma" w:cs="Tahoma"/>
                <w:noProof/>
                <w:sz w:val="19"/>
                <w:szCs w:val="19"/>
                <w:rtl/>
              </w:rPr>
              <mc:AlternateContent>
                <mc:Choice Requires="wps">
                  <w:drawing>
                    <wp:anchor distT="0" distB="0" distL="114300" distR="114300" simplePos="0" relativeHeight="251666432" behindDoc="0" locked="0" layoutInCell="1" allowOverlap="1">
                      <wp:simplePos x="0" y="0"/>
                      <wp:positionH relativeFrom="column">
                        <wp:posOffset>-60325</wp:posOffset>
                      </wp:positionH>
                      <wp:positionV relativeFrom="paragraph">
                        <wp:posOffset>232410</wp:posOffset>
                      </wp:positionV>
                      <wp:extent cx="3394075" cy="295275"/>
                      <wp:effectExtent l="0" t="0" r="15875" b="28575"/>
                      <wp:wrapNone/>
                      <wp:docPr id="20" name="חץ שמאלה 16"/>
                      <wp:cNvGraphicFramePr/>
                      <a:graphic xmlns:a="http://schemas.openxmlformats.org/drawingml/2006/main">
                        <a:graphicData uri="http://schemas.microsoft.com/office/word/2010/wordprocessingShape">
                          <wps:wsp xmlns:wps="http://schemas.microsoft.com/office/word/2010/wordprocessingShape">
                            <wps:cNvSpPr/>
                            <wps:spPr>
                              <a:xfrm>
                                <a:off x="0" y="0"/>
                                <a:ext cx="3394075" cy="295275"/>
                              </a:xfrm>
                              <a:prstGeom prst="leftArrow">
                                <a:avLst/>
                              </a:prstGeom>
                              <a:solidFill>
                                <a:srgbClr val="7DB48C"/>
                              </a:solidFill>
                              <a:ln w="3175">
                                <a:solidFill>
                                  <a:sysClr val="windowText" lastClr="000000"/>
                                </a:solidFill>
                                <a:prstDash val="solid"/>
                              </a:ln>
                              <a:effectLst/>
                            </wps:spPr>
                            <wps:txbx>
                              <w:txbxContent>
                                <w:p w:rsidR="00441EB5" w:rsidP="00441EB5">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16" o:spid="_x0000_s1026" type="#_x0000_t66" style="width:267.25pt;height:23.25pt;margin-top:18.3pt;margin-left:-4.75pt;mso-height-percent:0;mso-height-relative:margin;mso-width-percent:0;mso-width-relative:margin;mso-wrap-distance-bottom:0;mso-wrap-distance-left:9pt;mso-wrap-distance-right:9pt;mso-wrap-distance-top:0;mso-wrap-style:square;position:absolute;visibility:visible;v-text-anchor:middle;z-index:251667456" adj="940" fillcolor="#7db48c" strokecolor="black" strokeweight="0.25pt">
                      <v:textbox>
                        <w:txbxContent>
                          <w:p w:rsidR="00441EB5" w:rsidP="00441EB5">
                            <w:pPr>
                              <w:jc w:val="center"/>
                            </w:pPr>
                          </w:p>
                        </w:txbxContent>
                      </v:textbox>
                    </v:shape>
                  </w:pict>
                </mc:Fallback>
              </mc:AlternateContent>
            </w:r>
          </w:p>
        </w:tc>
      </w:tr>
      <w:tr w:rsidTr="00C14BE6">
        <w:tblPrEx>
          <w:tblW w:w="11042" w:type="dxa"/>
          <w:tblLook w:val="04A0"/>
        </w:tblPrEx>
        <w:trPr>
          <w:trHeight w:val="1036"/>
        </w:trPr>
        <w:tc>
          <w:tcPr>
            <w:tcW w:w="1976" w:type="dxa"/>
            <w:vAlign w:val="center"/>
          </w:tcPr>
          <w:p w:rsidR="00441EB5" w:rsidRPr="00441EB5" w:rsidP="00441EB5">
            <w:pPr>
              <w:spacing w:after="200" w:line="240" w:lineRule="auto"/>
              <w:rPr>
                <w:rFonts w:ascii="Tahoma" w:eastAsia="Calibri" w:hAnsi="Tahoma" w:cs="Tahoma"/>
                <w:sz w:val="18"/>
                <w:szCs w:val="18"/>
                <w:rtl/>
              </w:rPr>
            </w:pPr>
            <w:r w:rsidRPr="00441EB5">
              <w:rPr>
                <w:rFonts w:ascii="Tahoma" w:eastAsia="Calibri" w:hAnsi="Tahoma" w:cs="Tahoma"/>
                <w:sz w:val="18"/>
                <w:szCs w:val="18"/>
                <w:rtl/>
              </w:rPr>
              <w:t>גריטת רכבים כבדים</w:t>
            </w:r>
          </w:p>
        </w:tc>
        <w:tc>
          <w:tcPr>
            <w:tcW w:w="992" w:type="dxa"/>
            <w:vAlign w:val="center"/>
          </w:tcPr>
          <w:p w:rsidR="00441EB5" w:rsidRPr="00441EB5" w:rsidP="00441EB5">
            <w:pPr>
              <w:spacing w:after="200" w:line="240" w:lineRule="auto"/>
              <w:rPr>
                <w:rFonts w:ascii="Tahoma" w:eastAsia="Calibri" w:hAnsi="Tahoma" w:cs="Tahoma"/>
                <w:sz w:val="18"/>
                <w:szCs w:val="18"/>
                <w:rtl/>
              </w:rPr>
            </w:pPr>
            <w:r w:rsidRPr="00441EB5">
              <w:rPr>
                <w:rFonts w:ascii="Tahoma" w:eastAsia="Calibri" w:hAnsi="Tahoma" w:cs="Tahoma"/>
                <w:sz w:val="18"/>
                <w:szCs w:val="18"/>
                <w:rtl/>
              </w:rPr>
              <w:t>המשרד להגנת הסביבה, משרד התחבורה</w:t>
            </w:r>
          </w:p>
        </w:tc>
        <w:tc>
          <w:tcPr>
            <w:tcW w:w="2693" w:type="dxa"/>
            <w:vAlign w:val="center"/>
          </w:tcPr>
          <w:p w:rsidR="00441EB5" w:rsidRPr="00441EB5" w:rsidP="00441EB5">
            <w:pPr>
              <w:spacing w:after="200" w:line="240" w:lineRule="auto"/>
              <w:rPr>
                <w:rFonts w:ascii="Tahoma" w:eastAsia="Calibri" w:hAnsi="Tahoma" w:cs="Tahoma"/>
                <w:sz w:val="18"/>
                <w:szCs w:val="18"/>
                <w:rtl/>
              </w:rPr>
            </w:pPr>
            <w:r w:rsidRPr="00441EB5">
              <w:rPr>
                <w:rFonts w:ascii="Tahoma" w:eastAsia="Calibri" w:hAnsi="Tahoma" w:cs="Tahoma"/>
                <w:sz w:val="18"/>
                <w:szCs w:val="18"/>
                <w:rtl/>
              </w:rPr>
              <w:t xml:space="preserve">עלה בביקורת הקודמת כי על פי נתוני מרץ 2023 היו בארץ 4,531 כלי רכב מסחריים במשקל 3.5 עד 12 טונות שהטיפול בהם מסתכם בסימונם במדבקה ובאיסור כניסתם לשני אזורי אוויר נקי בחיפה ובירושלים. רכבים מסוג זה, וכן משאיות כבדות יותר, נכללים בקבוצת הרכבים הפולטים 29% מכלל זיהום האוויר בתחבורה. כמו כן, בביקורת הקודמת עלה כי התוכנית לגריטה התבססה על בדיקת כדאיות כלכלית שבוצעה בשנת 2003 ובה נמצא כי אין כדאיות כלכלית לגריטת רכבים אלו, וכי לא בוצעה בדיקה נוספת. </w:t>
            </w:r>
          </w:p>
        </w:tc>
        <w:tc>
          <w:tcPr>
            <w:tcW w:w="1085" w:type="dxa"/>
            <w:vAlign w:val="center"/>
          </w:tcPr>
          <w:p w:rsidR="00441EB5" w:rsidRPr="00441EB5" w:rsidP="00441EB5">
            <w:pPr>
              <w:spacing w:after="200" w:line="288" w:lineRule="auto"/>
              <w:rPr>
                <w:rFonts w:ascii="Tahoma" w:eastAsia="Calibri" w:hAnsi="Tahoma" w:cs="Tahoma"/>
                <w:noProof/>
                <w:sz w:val="19"/>
                <w:szCs w:val="19"/>
                <w:rtl/>
              </w:rPr>
            </w:pPr>
          </w:p>
        </w:tc>
        <w:tc>
          <w:tcPr>
            <w:tcW w:w="1074" w:type="dxa"/>
            <w:vAlign w:val="center"/>
          </w:tcPr>
          <w:p w:rsidR="00441EB5" w:rsidRPr="00441EB5" w:rsidP="00441EB5">
            <w:pPr>
              <w:spacing w:after="200" w:line="288" w:lineRule="auto"/>
              <w:rPr>
                <w:rFonts w:ascii="Tahoma" w:eastAsia="Calibri" w:hAnsi="Tahoma" w:cs="Tahoma"/>
                <w:sz w:val="19"/>
                <w:szCs w:val="19"/>
                <w:rtl/>
              </w:rPr>
            </w:pPr>
          </w:p>
        </w:tc>
        <w:tc>
          <w:tcPr>
            <w:tcW w:w="1074" w:type="dxa"/>
            <w:vAlign w:val="center"/>
          </w:tcPr>
          <w:p w:rsidR="00441EB5" w:rsidRPr="00441EB5" w:rsidP="00441EB5">
            <w:pPr>
              <w:spacing w:after="200" w:line="288" w:lineRule="auto"/>
              <w:rPr>
                <w:rFonts w:ascii="Tahoma" w:eastAsia="Calibri" w:hAnsi="Tahoma" w:cs="Tahoma"/>
                <w:sz w:val="19"/>
                <w:szCs w:val="19"/>
                <w:rtl/>
              </w:rPr>
            </w:pPr>
          </w:p>
        </w:tc>
        <w:tc>
          <w:tcPr>
            <w:tcW w:w="1074" w:type="dxa"/>
            <w:vAlign w:val="center"/>
          </w:tcPr>
          <w:p w:rsidR="00441EB5" w:rsidRPr="00441EB5" w:rsidP="00441EB5">
            <w:pPr>
              <w:spacing w:after="200" w:line="288" w:lineRule="auto"/>
              <w:rPr>
                <w:rFonts w:ascii="Tahoma" w:eastAsia="Calibri" w:hAnsi="Tahoma" w:cs="Tahoma"/>
                <w:sz w:val="19"/>
                <w:szCs w:val="19"/>
                <w:rtl/>
              </w:rPr>
            </w:pPr>
            <w:r w:rsidRPr="00441EB5">
              <w:rPr>
                <w:rFonts w:ascii="Tahoma" w:eastAsia="Calibri" w:hAnsi="Tahoma" w:cs="Tahoma"/>
                <w:noProof/>
                <w:sz w:val="19"/>
                <w:szCs w:val="19"/>
                <w:rtl/>
              </w:rPr>
              <mc:AlternateContent>
                <mc:Choice Requires="wps">
                  <w:drawing>
                    <wp:anchor distT="0" distB="0" distL="114300" distR="114300" simplePos="0" relativeHeight="251685888" behindDoc="0" locked="0" layoutInCell="1" allowOverlap="1">
                      <wp:simplePos x="0" y="0"/>
                      <wp:positionH relativeFrom="column">
                        <wp:posOffset>-31750</wp:posOffset>
                      </wp:positionH>
                      <wp:positionV relativeFrom="paragraph">
                        <wp:posOffset>-93980</wp:posOffset>
                      </wp:positionV>
                      <wp:extent cx="2679700" cy="295275"/>
                      <wp:effectExtent l="0" t="0" r="25400" b="28575"/>
                      <wp:wrapNone/>
                      <wp:docPr id="9" name="חץ שמאלה 4"/>
                      <wp:cNvGraphicFramePr/>
                      <a:graphic xmlns:a="http://schemas.openxmlformats.org/drawingml/2006/main">
                        <a:graphicData uri="http://schemas.microsoft.com/office/word/2010/wordprocessingShape">
                          <wps:wsp xmlns:wps="http://schemas.microsoft.com/office/word/2010/wordprocessingShape">
                            <wps:cNvSpPr/>
                            <wps:spPr>
                              <a:xfrm>
                                <a:off x="0" y="0"/>
                                <a:ext cx="2679700" cy="295275"/>
                              </a:xfrm>
                              <a:prstGeom prst="leftArrow">
                                <a:avLst/>
                              </a:prstGeom>
                              <a:solidFill>
                                <a:srgbClr val="FAF050"/>
                              </a:solidFill>
                              <a:ln w="3175">
                                <a:solidFill>
                                  <a:sysClr val="windowText" lastClr="000000"/>
                                </a:solidFill>
                                <a:prstDash val="solid"/>
                              </a:ln>
                              <a:effectLst/>
                            </wps:spPr>
                            <wps:txbx>
                              <w:txbxContent>
                                <w:p w:rsidR="00441EB5" w:rsidP="00441EB5">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4" o:spid="_x0000_s1027" type="#_x0000_t66" style="width:211pt;height:23.25pt;margin-top:-7.4pt;margin-left:-2.5pt;mso-height-percent:0;mso-height-relative:margin;mso-width-percent:0;mso-width-relative:margin;mso-wrap-distance-bottom:0;mso-wrap-distance-left:9pt;mso-wrap-distance-right:9pt;mso-wrap-distance-top:0;mso-wrap-style:square;position:absolute;visibility:visible;v-text-anchor:middle;z-index:251686912" adj="1190" fillcolor="#faf050" strokecolor="black" strokeweight="0.25pt">
                      <v:textbox>
                        <w:txbxContent>
                          <w:p w:rsidR="00441EB5" w:rsidP="00441EB5">
                            <w:pPr>
                              <w:jc w:val="center"/>
                            </w:pPr>
                          </w:p>
                        </w:txbxContent>
                      </v:textbox>
                    </v:shape>
                  </w:pict>
                </mc:Fallback>
              </mc:AlternateContent>
            </w:r>
          </w:p>
        </w:tc>
        <w:tc>
          <w:tcPr>
            <w:tcW w:w="1074" w:type="dxa"/>
            <w:vAlign w:val="center"/>
          </w:tcPr>
          <w:p w:rsidR="00441EB5" w:rsidRPr="00441EB5" w:rsidP="00441EB5">
            <w:pPr>
              <w:spacing w:after="200" w:line="288" w:lineRule="auto"/>
              <w:rPr>
                <w:rFonts w:ascii="Tahoma" w:eastAsia="Calibri" w:hAnsi="Tahoma" w:cs="Tahoma"/>
                <w:sz w:val="19"/>
                <w:szCs w:val="19"/>
                <w:rtl/>
              </w:rPr>
            </w:pPr>
          </w:p>
        </w:tc>
      </w:tr>
      <w:tr w:rsidTr="00C14BE6">
        <w:tblPrEx>
          <w:tblW w:w="11042" w:type="dxa"/>
          <w:tblLook w:val="04A0"/>
        </w:tblPrEx>
        <w:trPr>
          <w:trHeight w:val="1036"/>
        </w:trPr>
        <w:tc>
          <w:tcPr>
            <w:tcW w:w="1976" w:type="dxa"/>
            <w:vAlign w:val="center"/>
          </w:tcPr>
          <w:p w:rsidR="00441EB5" w:rsidRPr="00441EB5" w:rsidP="00441EB5">
            <w:pPr>
              <w:spacing w:after="200" w:line="240" w:lineRule="auto"/>
              <w:rPr>
                <w:rFonts w:ascii="Tahoma" w:eastAsia="Calibri" w:hAnsi="Tahoma" w:cs="Tahoma"/>
                <w:sz w:val="18"/>
                <w:szCs w:val="18"/>
                <w:rtl/>
              </w:rPr>
            </w:pPr>
            <w:r w:rsidRPr="00441EB5">
              <w:rPr>
                <w:rFonts w:ascii="Tahoma" w:eastAsia="Calibri" w:hAnsi="Tahoma" w:cs="Tahoma"/>
                <w:sz w:val="18"/>
                <w:szCs w:val="18"/>
                <w:rtl/>
              </w:rPr>
              <w:t>הסדרת אזורי אוויר נקי בישראל</w:t>
            </w:r>
          </w:p>
        </w:tc>
        <w:tc>
          <w:tcPr>
            <w:tcW w:w="992" w:type="dxa"/>
            <w:vAlign w:val="center"/>
          </w:tcPr>
          <w:p w:rsidR="00441EB5" w:rsidRPr="00441EB5" w:rsidP="00441EB5">
            <w:pPr>
              <w:spacing w:after="200" w:line="240" w:lineRule="auto"/>
              <w:rPr>
                <w:rFonts w:ascii="Tahoma" w:eastAsia="Calibri" w:hAnsi="Tahoma" w:cs="Tahoma"/>
                <w:sz w:val="18"/>
                <w:szCs w:val="18"/>
                <w:rtl/>
              </w:rPr>
            </w:pPr>
            <w:r w:rsidRPr="00441EB5">
              <w:rPr>
                <w:rFonts w:ascii="Tahoma" w:eastAsia="Calibri" w:hAnsi="Tahoma" w:cs="Tahoma"/>
                <w:sz w:val="18"/>
                <w:szCs w:val="18"/>
                <w:rtl/>
              </w:rPr>
              <w:t>משרד להגנת הסביבה</w:t>
            </w:r>
          </w:p>
        </w:tc>
        <w:tc>
          <w:tcPr>
            <w:tcW w:w="2693" w:type="dxa"/>
            <w:vAlign w:val="center"/>
          </w:tcPr>
          <w:p w:rsidR="00441EB5" w:rsidRPr="00441EB5" w:rsidP="00441EB5">
            <w:pPr>
              <w:spacing w:after="200" w:line="240" w:lineRule="auto"/>
              <w:rPr>
                <w:rFonts w:ascii="Tahoma" w:eastAsia="Calibri" w:hAnsi="Tahoma" w:cs="Tahoma"/>
                <w:sz w:val="18"/>
                <w:szCs w:val="18"/>
                <w:rtl/>
              </w:rPr>
            </w:pPr>
            <w:r w:rsidRPr="00441EB5">
              <w:rPr>
                <w:rFonts w:ascii="Tahoma" w:eastAsia="Calibri" w:hAnsi="Tahoma" w:cs="Tahoma"/>
                <w:sz w:val="18"/>
                <w:szCs w:val="18"/>
                <w:rtl/>
              </w:rPr>
              <w:t>עד מועד סיום הביקורת הקודמת (אפריל 2023), הוכרזו שני אזורים בישראל כ"אזור אוויר נקי" (או "אזור מופחת פליטות"). בביקורת הקודמת עלה כי בישראל ההכרזה על אזור מופחת זיהום בישראל היא "מלמטה למעלה", קרי הנושא מצוי באחריות כל עירייה בנפרד והיא שיוזמת את המהלך; כמו כן אין קריטריונים לאיתור אזורים פוטנציאליים שבהם יוכרז אזור אוויר נקי. אין למשרד להגנ"ס תוכנית ארוכת-טווח בנושא, וסמכות ההכרזה על אזור מופחת זיהום בישראל היא בידי הרשות המקומית, כרשות ולא חובה.</w:t>
            </w:r>
          </w:p>
        </w:tc>
        <w:tc>
          <w:tcPr>
            <w:tcW w:w="1085" w:type="dxa"/>
            <w:vAlign w:val="center"/>
          </w:tcPr>
          <w:p w:rsidR="00441EB5" w:rsidRPr="00441EB5" w:rsidP="00441EB5">
            <w:pPr>
              <w:spacing w:after="200" w:line="288" w:lineRule="auto"/>
              <w:rPr>
                <w:rFonts w:ascii="Tahoma" w:eastAsia="Calibri" w:hAnsi="Tahoma" w:cs="Tahoma"/>
                <w:sz w:val="19"/>
                <w:szCs w:val="19"/>
                <w:rtl/>
              </w:rPr>
            </w:pPr>
            <w:r w:rsidRPr="00441EB5">
              <w:rPr>
                <w:rFonts w:ascii="Tahoma" w:eastAsia="Calibri" w:hAnsi="Tahoma" w:cs="Tahoma"/>
                <w:noProof/>
                <w:sz w:val="19"/>
                <w:szCs w:val="19"/>
                <w:rtl/>
              </w:rPr>
              <mc:AlternateContent>
                <mc:Choice Requires="wps">
                  <w:drawing>
                    <wp:anchor distT="0" distB="0" distL="114300" distR="114300" simplePos="0" relativeHeight="251668480" behindDoc="0" locked="0" layoutInCell="1" allowOverlap="1">
                      <wp:simplePos x="0" y="0"/>
                      <wp:positionH relativeFrom="column">
                        <wp:posOffset>-704215</wp:posOffset>
                      </wp:positionH>
                      <wp:positionV relativeFrom="paragraph">
                        <wp:posOffset>-3810</wp:posOffset>
                      </wp:positionV>
                      <wp:extent cx="1314450" cy="295275"/>
                      <wp:effectExtent l="0" t="0" r="19050" b="28575"/>
                      <wp:wrapNone/>
                      <wp:docPr id="24" name="חץ שמאלה 2"/>
                      <wp:cNvGraphicFramePr/>
                      <a:graphic xmlns:a="http://schemas.openxmlformats.org/drawingml/2006/main">
                        <a:graphicData uri="http://schemas.microsoft.com/office/word/2010/wordprocessingShape">
                          <wps:wsp xmlns:wps="http://schemas.microsoft.com/office/word/2010/wordprocessingShape">
                            <wps:cNvSpPr/>
                            <wps:spPr>
                              <a:xfrm>
                                <a:off x="0" y="0"/>
                                <a:ext cx="1314450" cy="295275"/>
                              </a:xfrm>
                              <a:prstGeom prst="leftArrow">
                                <a:avLst/>
                              </a:prstGeom>
                              <a:solidFill>
                                <a:srgbClr val="FF8250"/>
                              </a:solidFill>
                              <a:ln w="3175">
                                <a:solidFill>
                                  <a:sysClr val="windowText" lastClr="000000"/>
                                </a:solidFill>
                                <a:prstDash val="solid"/>
                              </a:ln>
                              <a:effectLst/>
                            </wps:spPr>
                            <wps:txbx>
                              <w:txbxContent>
                                <w:p w:rsidR="00441EB5" w:rsidP="00441EB5">
                                  <w:pPr>
                                    <w:shd w:val="clear" w:color="auto" w:fill="FF8250"/>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8" type="#_x0000_t66" style="width:103.5pt;height:23.25pt;margin-top:-0.3pt;margin-left:-55.45pt;mso-height-percent:0;mso-height-relative:margin;mso-width-percent:0;mso-width-relative:margin;mso-wrap-distance-bottom:0;mso-wrap-distance-left:9pt;mso-wrap-distance-right:9pt;mso-wrap-distance-top:0;mso-wrap-style:square;position:absolute;visibility:visible;v-text-anchor:middle;z-index:251669504" adj="2426" fillcolor="#ff8250" strokecolor="black" strokeweight="0.25pt">
                      <v:textbox>
                        <w:txbxContent>
                          <w:p w:rsidR="00441EB5" w:rsidP="00441EB5">
                            <w:pPr>
                              <w:shd w:val="clear" w:color="auto" w:fill="FF8250"/>
                              <w:jc w:val="center"/>
                            </w:pPr>
                          </w:p>
                        </w:txbxContent>
                      </v:textbox>
                    </v:shape>
                  </w:pict>
                </mc:Fallback>
              </mc:AlternateContent>
            </w:r>
          </w:p>
        </w:tc>
        <w:tc>
          <w:tcPr>
            <w:tcW w:w="1074" w:type="dxa"/>
            <w:vAlign w:val="center"/>
          </w:tcPr>
          <w:p w:rsidR="00441EB5" w:rsidRPr="00441EB5" w:rsidP="00441EB5">
            <w:pPr>
              <w:spacing w:after="200" w:line="288" w:lineRule="auto"/>
              <w:rPr>
                <w:rFonts w:ascii="Tahoma" w:eastAsia="Calibri" w:hAnsi="Tahoma" w:cs="Tahoma"/>
                <w:sz w:val="19"/>
                <w:szCs w:val="19"/>
                <w:rtl/>
              </w:rPr>
            </w:pPr>
          </w:p>
        </w:tc>
        <w:tc>
          <w:tcPr>
            <w:tcW w:w="1074" w:type="dxa"/>
            <w:vAlign w:val="center"/>
          </w:tcPr>
          <w:p w:rsidR="00441EB5" w:rsidRPr="00441EB5" w:rsidP="00441EB5">
            <w:pPr>
              <w:spacing w:after="200" w:line="288" w:lineRule="auto"/>
              <w:rPr>
                <w:rFonts w:ascii="Tahoma" w:eastAsia="Calibri" w:hAnsi="Tahoma" w:cs="Tahoma"/>
                <w:sz w:val="19"/>
                <w:szCs w:val="19"/>
                <w:rtl/>
              </w:rPr>
            </w:pPr>
          </w:p>
        </w:tc>
        <w:tc>
          <w:tcPr>
            <w:tcW w:w="1074" w:type="dxa"/>
            <w:vAlign w:val="center"/>
          </w:tcPr>
          <w:p w:rsidR="00441EB5" w:rsidRPr="00441EB5" w:rsidP="00441EB5">
            <w:pPr>
              <w:spacing w:after="200" w:line="288" w:lineRule="auto"/>
              <w:rPr>
                <w:rFonts w:ascii="Tahoma" w:eastAsia="Calibri" w:hAnsi="Tahoma" w:cs="Tahoma"/>
                <w:sz w:val="19"/>
                <w:szCs w:val="19"/>
                <w:rtl/>
              </w:rPr>
            </w:pPr>
          </w:p>
        </w:tc>
        <w:tc>
          <w:tcPr>
            <w:tcW w:w="1074" w:type="dxa"/>
            <w:vAlign w:val="center"/>
          </w:tcPr>
          <w:p w:rsidR="00441EB5" w:rsidRPr="00441EB5" w:rsidP="00441EB5">
            <w:pPr>
              <w:spacing w:after="200" w:line="288" w:lineRule="auto"/>
              <w:rPr>
                <w:rFonts w:ascii="Tahoma" w:eastAsia="Calibri" w:hAnsi="Tahoma" w:cs="Tahoma"/>
                <w:sz w:val="19"/>
                <w:szCs w:val="19"/>
                <w:rtl/>
              </w:rPr>
            </w:pPr>
          </w:p>
        </w:tc>
      </w:tr>
      <w:tr w:rsidTr="00C14BE6">
        <w:tblPrEx>
          <w:tblW w:w="11042" w:type="dxa"/>
          <w:tblLook w:val="04A0"/>
        </w:tblPrEx>
        <w:trPr>
          <w:trHeight w:val="1036"/>
        </w:trPr>
        <w:tc>
          <w:tcPr>
            <w:tcW w:w="1976" w:type="dxa"/>
            <w:vAlign w:val="center"/>
          </w:tcPr>
          <w:p w:rsidR="00441EB5" w:rsidRPr="00441EB5" w:rsidP="00441EB5">
            <w:pPr>
              <w:spacing w:after="200" w:line="240" w:lineRule="auto"/>
              <w:rPr>
                <w:rFonts w:ascii="Tahoma" w:eastAsia="Calibri" w:hAnsi="Tahoma" w:cs="Tahoma"/>
                <w:sz w:val="18"/>
                <w:szCs w:val="18"/>
                <w:rtl/>
              </w:rPr>
            </w:pPr>
            <w:r w:rsidRPr="00441EB5">
              <w:rPr>
                <w:rFonts w:ascii="Tahoma" w:eastAsia="Calibri" w:hAnsi="Tahoma" w:cs="Tahoma"/>
                <w:sz w:val="18"/>
                <w:szCs w:val="18"/>
                <w:rtl/>
              </w:rPr>
              <w:t>סימון כלי רכב מזהמים באמצעות תווית</w:t>
            </w:r>
          </w:p>
        </w:tc>
        <w:tc>
          <w:tcPr>
            <w:tcW w:w="992" w:type="dxa"/>
            <w:vAlign w:val="center"/>
          </w:tcPr>
          <w:p w:rsidR="00441EB5" w:rsidRPr="00441EB5" w:rsidP="00441EB5">
            <w:pPr>
              <w:spacing w:after="200" w:line="240" w:lineRule="auto"/>
              <w:rPr>
                <w:rFonts w:ascii="Tahoma" w:eastAsia="Calibri" w:hAnsi="Tahoma" w:cs="Tahoma"/>
                <w:sz w:val="18"/>
                <w:szCs w:val="18"/>
                <w:rtl/>
              </w:rPr>
            </w:pPr>
            <w:r w:rsidRPr="00441EB5">
              <w:rPr>
                <w:rFonts w:ascii="Tahoma" w:eastAsia="Calibri" w:hAnsi="Tahoma" w:cs="Tahoma"/>
                <w:sz w:val="18"/>
                <w:szCs w:val="18"/>
                <w:rtl/>
              </w:rPr>
              <w:t>המשרד להגנת הסביבה, משרד התחבורה</w:t>
            </w:r>
          </w:p>
        </w:tc>
        <w:tc>
          <w:tcPr>
            <w:tcW w:w="2693" w:type="dxa"/>
            <w:vAlign w:val="center"/>
          </w:tcPr>
          <w:p w:rsidR="00441EB5" w:rsidRPr="00441EB5" w:rsidP="00441EB5">
            <w:pPr>
              <w:spacing w:after="200" w:line="240" w:lineRule="auto"/>
              <w:rPr>
                <w:rFonts w:ascii="Tahoma" w:eastAsia="Calibri" w:hAnsi="Tahoma" w:cs="Tahoma"/>
                <w:sz w:val="18"/>
                <w:szCs w:val="18"/>
              </w:rPr>
            </w:pPr>
            <w:r w:rsidRPr="00441EB5">
              <w:rPr>
                <w:rFonts w:ascii="Tahoma" w:eastAsia="Calibri" w:hAnsi="Tahoma" w:cs="Tahoma"/>
                <w:sz w:val="18"/>
                <w:szCs w:val="18"/>
                <w:rtl/>
              </w:rPr>
              <w:t>בביקורת הקודמת עלה כי במרץ 2023 היו 42,402 כלי רכב המוגדרים "מזהמים" שאינם "כלי רכב כבד ישן". הטיפול ברכבים אלה מסתכם בסימונם במדבקה בעת ביצוע מבחן הרישוי השנתי וכן באיסור כניסתם לשני אזורי אוויר נקי בחיפה ובירושלים. עוד נמצא כי אין בידי המשרד להגנ"ס ומשרד התחבורה תוכנית סדורה לטיפול עתידי בכלי הרכב הללו, והם רשאים לנוע בכל כבישי ישראל פרט לשני אזורי האוויר הנקי.</w:t>
            </w:r>
          </w:p>
        </w:tc>
        <w:tc>
          <w:tcPr>
            <w:tcW w:w="1085" w:type="dxa"/>
            <w:vAlign w:val="center"/>
          </w:tcPr>
          <w:p w:rsidR="00441EB5" w:rsidRPr="00441EB5" w:rsidP="00441EB5">
            <w:pPr>
              <w:spacing w:after="200" w:line="288" w:lineRule="auto"/>
              <w:rPr>
                <w:rFonts w:ascii="Tahoma" w:eastAsia="Calibri" w:hAnsi="Tahoma" w:cs="Tahoma"/>
                <w:sz w:val="19"/>
                <w:szCs w:val="19"/>
                <w:rtl/>
              </w:rPr>
            </w:pPr>
            <w:r w:rsidRPr="00441EB5">
              <w:rPr>
                <w:rFonts w:ascii="Tahoma" w:eastAsia="Calibri" w:hAnsi="Tahoma" w:cs="Tahoma"/>
                <w:noProof/>
                <w:sz w:val="19"/>
                <w:szCs w:val="19"/>
                <w:rtl/>
              </w:rPr>
              <mc:AlternateContent>
                <mc:Choice Requires="wps">
                  <w:drawing>
                    <wp:anchor distT="0" distB="0" distL="114300" distR="114300" simplePos="0" relativeHeight="251670528" behindDoc="0" locked="0" layoutInCell="1" allowOverlap="1">
                      <wp:simplePos x="0" y="0"/>
                      <wp:positionH relativeFrom="column">
                        <wp:posOffset>-1378585</wp:posOffset>
                      </wp:positionH>
                      <wp:positionV relativeFrom="paragraph">
                        <wp:posOffset>-79375</wp:posOffset>
                      </wp:positionV>
                      <wp:extent cx="1974850" cy="295275"/>
                      <wp:effectExtent l="0" t="0" r="25400" b="28575"/>
                      <wp:wrapNone/>
                      <wp:docPr id="26" name="חץ שמאלה 1"/>
                      <wp:cNvGraphicFramePr/>
                      <a:graphic xmlns:a="http://schemas.openxmlformats.org/drawingml/2006/main">
                        <a:graphicData uri="http://schemas.microsoft.com/office/word/2010/wordprocessingShape">
                          <wps:wsp xmlns:wps="http://schemas.microsoft.com/office/word/2010/wordprocessingShape">
                            <wps:cNvSpPr/>
                            <wps:spPr>
                              <a:xfrm>
                                <a:off x="0" y="0"/>
                                <a:ext cx="1974850" cy="295275"/>
                              </a:xfrm>
                              <a:prstGeom prst="leftArrow">
                                <a:avLst/>
                              </a:prstGeom>
                              <a:solidFill>
                                <a:srgbClr val="FABE5A"/>
                              </a:solidFill>
                              <a:ln w="3175">
                                <a:solidFill>
                                  <a:sysClr val="windowText" lastClr="000000"/>
                                </a:solidFill>
                                <a:prstDash val="solid"/>
                              </a:ln>
                              <a:effectLst/>
                            </wps:spPr>
                            <wps:txbx>
                              <w:txbxContent>
                                <w:p w:rsidR="00441EB5" w:rsidP="00441EB5">
                                  <w:pPr>
                                    <w:shd w:val="clear" w:color="auto" w:fill="FABE5A"/>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1" o:spid="_x0000_s1029" type="#_x0000_t66" style="width:155.5pt;height:23.25pt;margin-top:-6.25pt;margin-left:-108.55pt;mso-height-percent:0;mso-height-relative:margin;mso-width-percent:0;mso-width-relative:margin;mso-wrap-distance-bottom:0;mso-wrap-distance-left:9pt;mso-wrap-distance-right:9pt;mso-wrap-distance-top:0;mso-wrap-style:square;position:absolute;visibility:visible;v-text-anchor:middle;z-index:251671552" adj="1615" fillcolor="#fabe5a" strokecolor="black" strokeweight="0.25pt">
                      <v:textbox>
                        <w:txbxContent>
                          <w:p w:rsidR="00441EB5" w:rsidP="00441EB5">
                            <w:pPr>
                              <w:shd w:val="clear" w:color="auto" w:fill="FABE5A"/>
                              <w:jc w:val="center"/>
                            </w:pPr>
                          </w:p>
                        </w:txbxContent>
                      </v:textbox>
                    </v:shape>
                  </w:pict>
                </mc:Fallback>
              </mc:AlternateContent>
            </w:r>
          </w:p>
        </w:tc>
        <w:tc>
          <w:tcPr>
            <w:tcW w:w="1074" w:type="dxa"/>
            <w:vAlign w:val="center"/>
          </w:tcPr>
          <w:p w:rsidR="00441EB5" w:rsidRPr="00441EB5" w:rsidP="00441EB5">
            <w:pPr>
              <w:spacing w:after="200" w:line="288" w:lineRule="auto"/>
              <w:rPr>
                <w:rFonts w:ascii="Tahoma" w:eastAsia="Calibri" w:hAnsi="Tahoma" w:cs="Tahoma"/>
                <w:sz w:val="19"/>
                <w:szCs w:val="19"/>
                <w:rtl/>
              </w:rPr>
            </w:pPr>
          </w:p>
        </w:tc>
        <w:tc>
          <w:tcPr>
            <w:tcW w:w="1074" w:type="dxa"/>
            <w:vAlign w:val="center"/>
          </w:tcPr>
          <w:p w:rsidR="00441EB5" w:rsidRPr="00441EB5" w:rsidP="00441EB5">
            <w:pPr>
              <w:spacing w:after="200" w:line="288" w:lineRule="auto"/>
              <w:rPr>
                <w:rFonts w:ascii="Tahoma" w:eastAsia="Calibri" w:hAnsi="Tahoma" w:cs="Tahoma"/>
                <w:sz w:val="19"/>
                <w:szCs w:val="19"/>
                <w:rtl/>
              </w:rPr>
            </w:pPr>
          </w:p>
        </w:tc>
        <w:tc>
          <w:tcPr>
            <w:tcW w:w="1074" w:type="dxa"/>
            <w:vAlign w:val="center"/>
          </w:tcPr>
          <w:p w:rsidR="00441EB5" w:rsidRPr="00441EB5" w:rsidP="00441EB5">
            <w:pPr>
              <w:spacing w:after="200" w:line="288" w:lineRule="auto"/>
              <w:rPr>
                <w:rFonts w:ascii="Tahoma" w:eastAsia="Calibri" w:hAnsi="Tahoma" w:cs="Tahoma"/>
                <w:noProof/>
                <w:sz w:val="19"/>
                <w:szCs w:val="19"/>
                <w:rtl/>
              </w:rPr>
            </w:pPr>
          </w:p>
        </w:tc>
        <w:tc>
          <w:tcPr>
            <w:tcW w:w="1074" w:type="dxa"/>
            <w:vAlign w:val="center"/>
          </w:tcPr>
          <w:p w:rsidR="00441EB5" w:rsidRPr="00441EB5" w:rsidP="00441EB5">
            <w:pPr>
              <w:spacing w:after="200" w:line="288" w:lineRule="auto"/>
              <w:rPr>
                <w:rFonts w:ascii="Tahoma" w:eastAsia="Calibri" w:hAnsi="Tahoma" w:cs="Tahoma"/>
                <w:sz w:val="19"/>
                <w:szCs w:val="19"/>
                <w:rtl/>
              </w:rPr>
            </w:pPr>
          </w:p>
        </w:tc>
      </w:tr>
      <w:tr w:rsidTr="00C14BE6">
        <w:tblPrEx>
          <w:tblW w:w="11042" w:type="dxa"/>
          <w:tblLook w:val="04A0"/>
        </w:tblPrEx>
        <w:trPr>
          <w:trHeight w:val="1036"/>
        </w:trPr>
        <w:tc>
          <w:tcPr>
            <w:tcW w:w="1976" w:type="dxa"/>
            <w:vAlign w:val="center"/>
          </w:tcPr>
          <w:p w:rsidR="00441EB5" w:rsidRPr="00441EB5" w:rsidP="00441EB5">
            <w:pPr>
              <w:spacing w:after="200" w:line="240" w:lineRule="auto"/>
              <w:rPr>
                <w:rFonts w:ascii="Tahoma" w:eastAsia="Calibri" w:hAnsi="Tahoma" w:cs="Tahoma"/>
                <w:sz w:val="18"/>
                <w:szCs w:val="18"/>
                <w:rtl/>
              </w:rPr>
            </w:pPr>
            <w:r w:rsidRPr="00441EB5">
              <w:rPr>
                <w:rFonts w:ascii="Tahoma" w:eastAsia="Calibri" w:hAnsi="Tahoma" w:cs="Tahoma"/>
                <w:sz w:val="18"/>
                <w:szCs w:val="18"/>
                <w:rtl/>
              </w:rPr>
              <w:t>הסדרת ההיבטים החוקיים של חיבור עמדות טעינה בבתים משותפים קיימים</w:t>
            </w:r>
          </w:p>
        </w:tc>
        <w:tc>
          <w:tcPr>
            <w:tcW w:w="992" w:type="dxa"/>
            <w:vAlign w:val="center"/>
          </w:tcPr>
          <w:p w:rsidR="00441EB5" w:rsidRPr="00441EB5" w:rsidP="00441EB5">
            <w:pPr>
              <w:spacing w:after="200" w:line="240" w:lineRule="auto"/>
              <w:rPr>
                <w:rFonts w:ascii="Tahoma" w:eastAsia="Calibri" w:hAnsi="Tahoma" w:cs="Tahoma"/>
                <w:sz w:val="18"/>
                <w:szCs w:val="18"/>
                <w:rtl/>
              </w:rPr>
            </w:pPr>
            <w:r w:rsidRPr="00441EB5">
              <w:rPr>
                <w:rFonts w:ascii="Tahoma" w:eastAsia="Calibri" w:hAnsi="Tahoma" w:cs="Tahoma"/>
                <w:sz w:val="18"/>
                <w:szCs w:val="18"/>
                <w:rtl/>
              </w:rPr>
              <w:t>משרד האנרגיה, משרד התחבורה, משרד המשפטים</w:t>
            </w:r>
          </w:p>
        </w:tc>
        <w:tc>
          <w:tcPr>
            <w:tcW w:w="2693" w:type="dxa"/>
            <w:vAlign w:val="center"/>
          </w:tcPr>
          <w:p w:rsidR="00441EB5" w:rsidRPr="00441EB5" w:rsidP="00441EB5">
            <w:pPr>
              <w:spacing w:after="200" w:line="240" w:lineRule="auto"/>
              <w:rPr>
                <w:rFonts w:ascii="Tahoma" w:eastAsia="Calibri" w:hAnsi="Tahoma" w:cs="Tahoma"/>
                <w:sz w:val="18"/>
                <w:szCs w:val="18"/>
                <w:rtl/>
              </w:rPr>
            </w:pPr>
            <w:r w:rsidRPr="00441EB5">
              <w:rPr>
                <w:rFonts w:ascii="Tahoma" w:eastAsia="Calibri" w:hAnsi="Tahoma" w:cs="Tahoma"/>
                <w:sz w:val="18"/>
                <w:szCs w:val="18"/>
                <w:rtl/>
              </w:rPr>
              <w:t>בביקורת הקודמת עלה כי כאמור, בהחלטת ממשלה 208 מאוגוסט 2021, הוחלט להטיל על שר המשפטים לתקן עד סוף שנת 2021, בתיאום עם שר האוצר, את חוק המקרקעין, התשכ"ט-1969, כך שניתן יהיה להקים עמדות טעינה לרכבים חשמליים בבתים משותפים. במועד סיום הביקורת הקודמת, אפריל 2023, עדיין לא הוסדר הנושא. בהיעדר הסדרה חוקית הנוגעת להתקנת עמדות טעינה לרכבים חשמליים בבתים משותפים עלולים להיווצר מחלוקות בין דיירים וסכסוכי שכנים. סכסוכים כאלה והקושי בהגעה להסכמות עלולים להיות חסם משמעותי בפני כניסה נרחבת של כלי רכב חשמליים.</w:t>
            </w:r>
          </w:p>
        </w:tc>
        <w:tc>
          <w:tcPr>
            <w:tcW w:w="1085" w:type="dxa"/>
            <w:vAlign w:val="center"/>
          </w:tcPr>
          <w:p w:rsidR="00441EB5" w:rsidRPr="00441EB5" w:rsidP="00441EB5">
            <w:pPr>
              <w:spacing w:after="200" w:line="288" w:lineRule="auto"/>
              <w:rPr>
                <w:rFonts w:ascii="Tahoma" w:eastAsia="Calibri" w:hAnsi="Tahoma" w:cs="Tahoma"/>
                <w:sz w:val="19"/>
                <w:szCs w:val="19"/>
                <w:rtl/>
              </w:rPr>
            </w:pPr>
            <w:r w:rsidRPr="00441EB5">
              <w:rPr>
                <w:rFonts w:ascii="Tahoma" w:eastAsia="Calibri" w:hAnsi="Tahoma" w:cs="Tahoma"/>
                <w:noProof/>
                <w:sz w:val="19"/>
                <w:szCs w:val="19"/>
                <w:rtl/>
              </w:rPr>
              <mc:AlternateContent>
                <mc:Choice Requires="wps">
                  <w:drawing>
                    <wp:anchor distT="0" distB="0" distL="114300" distR="114300" simplePos="0" relativeHeight="251662336" behindDoc="0" locked="0" layoutInCell="1" allowOverlap="1">
                      <wp:simplePos x="0" y="0"/>
                      <wp:positionH relativeFrom="column">
                        <wp:posOffset>-711835</wp:posOffset>
                      </wp:positionH>
                      <wp:positionV relativeFrom="paragraph">
                        <wp:posOffset>-84455</wp:posOffset>
                      </wp:positionV>
                      <wp:extent cx="1314450" cy="295275"/>
                      <wp:effectExtent l="0" t="0" r="19050" b="28575"/>
                      <wp:wrapNone/>
                      <wp:docPr id="36" name="חץ שמאלה 2"/>
                      <wp:cNvGraphicFramePr/>
                      <a:graphic xmlns:a="http://schemas.openxmlformats.org/drawingml/2006/main">
                        <a:graphicData uri="http://schemas.microsoft.com/office/word/2010/wordprocessingShape">
                          <wps:wsp xmlns:wps="http://schemas.microsoft.com/office/word/2010/wordprocessingShape">
                            <wps:cNvSpPr/>
                            <wps:spPr>
                              <a:xfrm>
                                <a:off x="0" y="0"/>
                                <a:ext cx="1314450" cy="295275"/>
                              </a:xfrm>
                              <a:prstGeom prst="leftArrow">
                                <a:avLst/>
                              </a:prstGeom>
                              <a:solidFill>
                                <a:srgbClr val="FF8250"/>
                              </a:solidFill>
                              <a:ln w="3175">
                                <a:solidFill>
                                  <a:sysClr val="windowText" lastClr="000000"/>
                                </a:solidFill>
                                <a:prstDash val="solid"/>
                              </a:ln>
                              <a:effectLst/>
                            </wps:spPr>
                            <wps:txbx>
                              <w:txbxContent>
                                <w:p w:rsidR="00441EB5" w:rsidP="00441EB5">
                                  <w:pPr>
                                    <w:shd w:val="clear" w:color="auto" w:fill="FF8250"/>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0" type="#_x0000_t66" style="width:103.5pt;height:23.25pt;margin-top:-6.65pt;margin-left:-56.05pt;mso-height-percent:0;mso-height-relative:margin;mso-width-percent:0;mso-width-relative:margin;mso-wrap-distance-bottom:0;mso-wrap-distance-left:9pt;mso-wrap-distance-right:9pt;mso-wrap-distance-top:0;mso-wrap-style:square;position:absolute;visibility:visible;v-text-anchor:middle;z-index:251663360" adj="2426" fillcolor="#ff8250" strokecolor="black" strokeweight="0.25pt">
                      <v:textbox>
                        <w:txbxContent>
                          <w:p w:rsidR="00441EB5" w:rsidP="00441EB5">
                            <w:pPr>
                              <w:shd w:val="clear" w:color="auto" w:fill="FF8250"/>
                              <w:jc w:val="center"/>
                            </w:pPr>
                          </w:p>
                        </w:txbxContent>
                      </v:textbox>
                    </v:shape>
                  </w:pict>
                </mc:Fallback>
              </mc:AlternateContent>
            </w:r>
          </w:p>
        </w:tc>
        <w:tc>
          <w:tcPr>
            <w:tcW w:w="1074" w:type="dxa"/>
            <w:vAlign w:val="center"/>
          </w:tcPr>
          <w:p w:rsidR="00441EB5" w:rsidRPr="00441EB5" w:rsidP="00441EB5">
            <w:pPr>
              <w:spacing w:after="200" w:line="288" w:lineRule="auto"/>
              <w:rPr>
                <w:rFonts w:ascii="Tahoma" w:eastAsia="Calibri" w:hAnsi="Tahoma" w:cs="Tahoma"/>
                <w:sz w:val="19"/>
                <w:szCs w:val="19"/>
                <w:rtl/>
              </w:rPr>
            </w:pPr>
          </w:p>
        </w:tc>
        <w:tc>
          <w:tcPr>
            <w:tcW w:w="1074" w:type="dxa"/>
            <w:vAlign w:val="center"/>
          </w:tcPr>
          <w:p w:rsidR="00441EB5" w:rsidRPr="00441EB5" w:rsidP="00441EB5">
            <w:pPr>
              <w:spacing w:after="200" w:line="288" w:lineRule="auto"/>
              <w:rPr>
                <w:rFonts w:ascii="Tahoma" w:eastAsia="Calibri" w:hAnsi="Tahoma" w:cs="Tahoma"/>
                <w:sz w:val="19"/>
                <w:szCs w:val="19"/>
                <w:rtl/>
              </w:rPr>
            </w:pPr>
          </w:p>
        </w:tc>
        <w:tc>
          <w:tcPr>
            <w:tcW w:w="1074" w:type="dxa"/>
            <w:vAlign w:val="center"/>
          </w:tcPr>
          <w:p w:rsidR="00441EB5" w:rsidRPr="00441EB5" w:rsidP="00441EB5">
            <w:pPr>
              <w:spacing w:after="200" w:line="288" w:lineRule="auto"/>
              <w:rPr>
                <w:rFonts w:ascii="Tahoma" w:eastAsia="Calibri" w:hAnsi="Tahoma" w:cs="Tahoma"/>
                <w:noProof/>
                <w:sz w:val="19"/>
                <w:szCs w:val="19"/>
                <w:rtl/>
              </w:rPr>
            </w:pPr>
          </w:p>
        </w:tc>
        <w:tc>
          <w:tcPr>
            <w:tcW w:w="1074" w:type="dxa"/>
            <w:vAlign w:val="center"/>
          </w:tcPr>
          <w:p w:rsidR="00441EB5" w:rsidRPr="00441EB5" w:rsidP="00441EB5">
            <w:pPr>
              <w:spacing w:after="200" w:line="288" w:lineRule="auto"/>
              <w:rPr>
                <w:rFonts w:ascii="Tahoma" w:eastAsia="Calibri" w:hAnsi="Tahoma" w:cs="Tahoma"/>
                <w:sz w:val="19"/>
                <w:szCs w:val="19"/>
                <w:rtl/>
              </w:rPr>
            </w:pPr>
          </w:p>
        </w:tc>
      </w:tr>
      <w:tr w:rsidTr="00C14BE6">
        <w:tblPrEx>
          <w:tblW w:w="11042" w:type="dxa"/>
          <w:tblLook w:val="04A0"/>
        </w:tblPrEx>
        <w:trPr>
          <w:trHeight w:val="1036"/>
        </w:trPr>
        <w:tc>
          <w:tcPr>
            <w:tcW w:w="1976" w:type="dxa"/>
            <w:vAlign w:val="center"/>
          </w:tcPr>
          <w:p w:rsidR="00441EB5" w:rsidRPr="00441EB5" w:rsidP="00441EB5">
            <w:pPr>
              <w:spacing w:after="200" w:line="240" w:lineRule="auto"/>
              <w:rPr>
                <w:rFonts w:ascii="Tahoma" w:eastAsia="Calibri" w:hAnsi="Tahoma" w:cs="Tahoma"/>
                <w:sz w:val="18"/>
                <w:szCs w:val="18"/>
                <w:rtl/>
              </w:rPr>
            </w:pPr>
            <w:r w:rsidRPr="00441EB5">
              <w:rPr>
                <w:rFonts w:ascii="Tahoma" w:eastAsia="Calibri" w:hAnsi="Tahoma" w:cs="Tahoma"/>
                <w:sz w:val="18"/>
                <w:szCs w:val="18"/>
                <w:rtl/>
              </w:rPr>
              <w:t>חקיקת משנה בנושא בתים משותפים חדשים</w:t>
            </w:r>
          </w:p>
        </w:tc>
        <w:tc>
          <w:tcPr>
            <w:tcW w:w="992" w:type="dxa"/>
            <w:vAlign w:val="center"/>
          </w:tcPr>
          <w:p w:rsidR="00441EB5" w:rsidRPr="00441EB5" w:rsidP="00441EB5">
            <w:pPr>
              <w:spacing w:after="200" w:line="240" w:lineRule="auto"/>
              <w:rPr>
                <w:rFonts w:ascii="Tahoma" w:eastAsia="Calibri" w:hAnsi="Tahoma" w:cs="Tahoma"/>
                <w:sz w:val="18"/>
                <w:szCs w:val="18"/>
                <w:rtl/>
              </w:rPr>
            </w:pPr>
            <w:r w:rsidRPr="00441EB5">
              <w:rPr>
                <w:rFonts w:ascii="Tahoma" w:eastAsia="Calibri" w:hAnsi="Tahoma" w:cs="Tahoma"/>
                <w:sz w:val="18"/>
                <w:szCs w:val="18"/>
                <w:rtl/>
              </w:rPr>
              <w:t>משרד הפנים, משרד האנרגיה</w:t>
            </w:r>
          </w:p>
        </w:tc>
        <w:tc>
          <w:tcPr>
            <w:tcW w:w="2693" w:type="dxa"/>
            <w:vAlign w:val="center"/>
          </w:tcPr>
          <w:p w:rsidR="00441EB5" w:rsidRPr="00441EB5" w:rsidP="00441EB5">
            <w:pPr>
              <w:spacing w:after="200" w:line="240" w:lineRule="auto"/>
              <w:rPr>
                <w:rFonts w:ascii="Tahoma" w:eastAsia="Calibri" w:hAnsi="Tahoma" w:cs="Tahoma"/>
                <w:sz w:val="18"/>
                <w:szCs w:val="18"/>
                <w:rtl/>
              </w:rPr>
            </w:pPr>
            <w:r w:rsidRPr="00441EB5">
              <w:rPr>
                <w:rFonts w:ascii="Tahoma" w:eastAsia="Calibri" w:hAnsi="Tahoma" w:cs="Tahoma"/>
                <w:sz w:val="18"/>
                <w:szCs w:val="18"/>
                <w:rtl/>
              </w:rPr>
              <w:t xml:space="preserve">בביקורת הקודמת עלה כי בהחלטת ממשלה 171 מיולי 2021 נקבע שלשם השגת היעדים הלאומיים בעניין הפחתת פליטות גזי חממה </w:t>
            </w:r>
            <w:r w:rsidRPr="00441EB5">
              <w:rPr>
                <w:rFonts w:ascii="Tahoma" w:eastAsia="Calibri" w:hAnsi="Tahoma" w:cs="Tahoma"/>
                <w:sz w:val="18"/>
                <w:szCs w:val="18"/>
                <w:rtl/>
              </w:rPr>
              <w:t>ומעבר לכלכלה דלת פחמן עד שנת 2050, תוגבל כמות פליטת גזי החממה של הרכבים שיירשמו לתנועה בישראל החל משנת 2030, והיא תהיה קטנה ב-95% לפחות מזו שברכבים חדשים שנרשמו לתנועה בשנת 2020.</w:t>
            </w:r>
            <w:r w:rsidRPr="00441EB5">
              <w:rPr>
                <w:rFonts w:ascii="Tahoma" w:eastAsia="Calibri" w:hAnsi="Tahoma" w:cs="Tahoma"/>
                <w:sz w:val="18"/>
                <w:szCs w:val="18"/>
                <w:rtl/>
              </w:rPr>
              <w:t xml:space="preserve"> </w:t>
            </w:r>
            <w:r w:rsidRPr="00441EB5">
              <w:rPr>
                <w:rFonts w:ascii="Tahoma" w:eastAsia="Calibri" w:hAnsi="Tahoma" w:cs="Tahoma"/>
                <w:sz w:val="18"/>
                <w:szCs w:val="18"/>
                <w:rtl/>
              </w:rPr>
              <w:t>אם יושגו יעדי הממשלה האמורים, בהדרגה יהיו בבניינים משותפים יותר מ-20% רכבים חשמליים, ולכן יידרש תיקון של תקנות התכנון והבנייה (התקנת מקומות חניה), התשמ"ג-1983, המחייבות כי לוח החשמל של בניין מגורים חדש יתמוך בטעינה של 20% בלבד מכלל הרכבים בבניין.</w:t>
            </w:r>
          </w:p>
        </w:tc>
        <w:tc>
          <w:tcPr>
            <w:tcW w:w="1085" w:type="dxa"/>
            <w:vAlign w:val="center"/>
          </w:tcPr>
          <w:p w:rsidR="00441EB5" w:rsidRPr="00441EB5" w:rsidP="00441EB5">
            <w:pPr>
              <w:spacing w:after="200" w:line="288" w:lineRule="auto"/>
              <w:rPr>
                <w:rFonts w:ascii="Tahoma" w:eastAsia="Calibri" w:hAnsi="Tahoma" w:cs="Tahoma"/>
                <w:sz w:val="19"/>
                <w:szCs w:val="19"/>
                <w:rtl/>
              </w:rPr>
            </w:pPr>
            <w:r w:rsidRPr="00441EB5">
              <w:rPr>
                <w:rFonts w:ascii="Tahoma" w:eastAsia="Calibri" w:hAnsi="Tahoma" w:cs="Tahoma"/>
                <w:noProof/>
                <w:sz w:val="19"/>
                <w:szCs w:val="19"/>
                <w:rtl/>
              </w:rPr>
              <mc:AlternateContent>
                <mc:Choice Requires="wps">
                  <w:drawing>
                    <wp:anchor distT="0" distB="0" distL="114300" distR="114300" simplePos="0" relativeHeight="251672576" behindDoc="0" locked="0" layoutInCell="1" allowOverlap="1">
                      <wp:simplePos x="0" y="0"/>
                      <wp:positionH relativeFrom="column">
                        <wp:posOffset>-36195</wp:posOffset>
                      </wp:positionH>
                      <wp:positionV relativeFrom="paragraph">
                        <wp:posOffset>20320</wp:posOffset>
                      </wp:positionV>
                      <wp:extent cx="612775" cy="295275"/>
                      <wp:effectExtent l="0" t="0" r="15875" b="28575"/>
                      <wp:wrapNone/>
                      <wp:docPr id="28" name="חץ שמאלה 3"/>
                      <wp:cNvGraphicFramePr/>
                      <a:graphic xmlns:a="http://schemas.openxmlformats.org/drawingml/2006/main">
                        <a:graphicData uri="http://schemas.microsoft.com/office/word/2010/wordprocessingShape">
                          <wps:wsp xmlns:wps="http://schemas.microsoft.com/office/word/2010/wordprocessingShape">
                            <wps:cNvSpPr/>
                            <wps:spPr>
                              <a:xfrm>
                                <a:off x="0" y="0"/>
                                <a:ext cx="612775" cy="295275"/>
                              </a:xfrm>
                              <a:prstGeom prst="leftArrow">
                                <a:avLst/>
                              </a:prstGeom>
                              <a:solidFill>
                                <a:srgbClr val="FF5A5A"/>
                              </a:solidFill>
                              <a:ln w="3175">
                                <a:solidFill>
                                  <a:sysClr val="windowText" lastClr="000000"/>
                                </a:solidFill>
                                <a:prstDash val="solid"/>
                              </a:ln>
                              <a:effectLst/>
                            </wps:spPr>
                            <wps:txbx>
                              <w:txbxContent>
                                <w:p w:rsidR="00441EB5" w:rsidP="00441EB5">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3" o:spid="_x0000_s1031" type="#_x0000_t66" style="width:48.25pt;height:23.25pt;margin-top:1.6pt;margin-left:-2.85pt;mso-height-percent:0;mso-height-relative:margin;mso-width-percent:0;mso-width-relative:margin;mso-wrap-distance-bottom:0;mso-wrap-distance-left:9pt;mso-wrap-distance-right:9pt;mso-wrap-distance-top:0;mso-wrap-style:square;position:absolute;visibility:visible;v-text-anchor:middle;z-index:251673600" adj="5204" fillcolor="#ff5a5a" strokecolor="black" strokeweight="0.25pt">
                      <v:textbox>
                        <w:txbxContent>
                          <w:p w:rsidR="00441EB5" w:rsidP="00441EB5">
                            <w:pPr>
                              <w:jc w:val="center"/>
                            </w:pPr>
                          </w:p>
                        </w:txbxContent>
                      </v:textbox>
                    </v:shape>
                  </w:pict>
                </mc:Fallback>
              </mc:AlternateContent>
            </w:r>
          </w:p>
        </w:tc>
        <w:tc>
          <w:tcPr>
            <w:tcW w:w="1074" w:type="dxa"/>
            <w:vAlign w:val="center"/>
          </w:tcPr>
          <w:p w:rsidR="00441EB5" w:rsidRPr="00441EB5" w:rsidP="00441EB5">
            <w:pPr>
              <w:spacing w:after="200" w:line="288" w:lineRule="auto"/>
              <w:rPr>
                <w:rFonts w:ascii="Tahoma" w:eastAsia="Calibri" w:hAnsi="Tahoma" w:cs="Tahoma"/>
                <w:sz w:val="19"/>
                <w:szCs w:val="19"/>
                <w:rtl/>
              </w:rPr>
            </w:pPr>
          </w:p>
        </w:tc>
        <w:tc>
          <w:tcPr>
            <w:tcW w:w="1074" w:type="dxa"/>
            <w:vAlign w:val="center"/>
          </w:tcPr>
          <w:p w:rsidR="00441EB5" w:rsidRPr="00441EB5" w:rsidP="00441EB5">
            <w:pPr>
              <w:spacing w:after="200" w:line="288" w:lineRule="auto"/>
              <w:rPr>
                <w:rFonts w:ascii="Tahoma" w:eastAsia="Calibri" w:hAnsi="Tahoma" w:cs="Tahoma"/>
                <w:sz w:val="19"/>
                <w:szCs w:val="19"/>
                <w:rtl/>
              </w:rPr>
            </w:pPr>
          </w:p>
        </w:tc>
        <w:tc>
          <w:tcPr>
            <w:tcW w:w="1074" w:type="dxa"/>
            <w:vAlign w:val="center"/>
          </w:tcPr>
          <w:p w:rsidR="00441EB5" w:rsidRPr="00441EB5" w:rsidP="00441EB5">
            <w:pPr>
              <w:spacing w:after="200" w:line="288" w:lineRule="auto"/>
              <w:rPr>
                <w:rFonts w:ascii="Tahoma" w:eastAsia="Calibri" w:hAnsi="Tahoma" w:cs="Tahoma"/>
                <w:noProof/>
                <w:sz w:val="19"/>
                <w:szCs w:val="19"/>
                <w:rtl/>
              </w:rPr>
            </w:pPr>
          </w:p>
        </w:tc>
        <w:tc>
          <w:tcPr>
            <w:tcW w:w="1074" w:type="dxa"/>
            <w:vAlign w:val="center"/>
          </w:tcPr>
          <w:p w:rsidR="00441EB5" w:rsidRPr="00441EB5" w:rsidP="00441EB5">
            <w:pPr>
              <w:spacing w:after="200" w:line="288" w:lineRule="auto"/>
              <w:rPr>
                <w:rFonts w:ascii="Tahoma" w:eastAsia="Calibri" w:hAnsi="Tahoma" w:cs="Tahoma"/>
                <w:sz w:val="19"/>
                <w:szCs w:val="19"/>
                <w:rtl/>
              </w:rPr>
            </w:pPr>
          </w:p>
        </w:tc>
      </w:tr>
      <w:tr w:rsidTr="00C14BE6">
        <w:tblPrEx>
          <w:tblW w:w="11042" w:type="dxa"/>
          <w:tblLook w:val="04A0"/>
        </w:tblPrEx>
        <w:trPr>
          <w:trHeight w:val="1036"/>
        </w:trPr>
        <w:tc>
          <w:tcPr>
            <w:tcW w:w="1976" w:type="dxa"/>
            <w:vAlign w:val="center"/>
          </w:tcPr>
          <w:p w:rsidR="00441EB5" w:rsidRPr="00441EB5" w:rsidP="00441EB5">
            <w:pPr>
              <w:spacing w:after="200" w:line="240" w:lineRule="auto"/>
              <w:rPr>
                <w:rFonts w:ascii="Tahoma" w:eastAsia="Calibri" w:hAnsi="Tahoma" w:cs="Tahoma"/>
                <w:sz w:val="18"/>
                <w:szCs w:val="18"/>
                <w:rtl/>
              </w:rPr>
            </w:pPr>
            <w:r w:rsidRPr="00441EB5">
              <w:rPr>
                <w:rFonts w:ascii="Tahoma" w:eastAsia="Calibri" w:hAnsi="Tahoma" w:cs="Tahoma"/>
                <w:sz w:val="18"/>
                <w:szCs w:val="18"/>
                <w:rtl/>
              </w:rPr>
              <w:t>הקמת עמדות טעינה ציבוריות ובהן עמדות במרחב הבין-עירוני</w:t>
            </w:r>
          </w:p>
        </w:tc>
        <w:tc>
          <w:tcPr>
            <w:tcW w:w="992" w:type="dxa"/>
            <w:vAlign w:val="center"/>
          </w:tcPr>
          <w:p w:rsidR="00441EB5" w:rsidRPr="00441EB5" w:rsidP="00441EB5">
            <w:pPr>
              <w:spacing w:after="200" w:line="240" w:lineRule="auto"/>
              <w:rPr>
                <w:rFonts w:ascii="Tahoma" w:eastAsia="Calibri" w:hAnsi="Tahoma" w:cs="Tahoma"/>
                <w:sz w:val="18"/>
                <w:szCs w:val="18"/>
                <w:rtl/>
              </w:rPr>
            </w:pPr>
            <w:r w:rsidRPr="00441EB5">
              <w:rPr>
                <w:rFonts w:ascii="Tahoma" w:eastAsia="Calibri" w:hAnsi="Tahoma" w:cs="Tahoma"/>
                <w:sz w:val="18"/>
                <w:szCs w:val="18"/>
                <w:rtl/>
              </w:rPr>
              <w:t>משרד התחבורה, משרד האנרגיה, משרד להגנת הסביבה, מינהל התכנון</w:t>
            </w:r>
          </w:p>
        </w:tc>
        <w:tc>
          <w:tcPr>
            <w:tcW w:w="2693" w:type="dxa"/>
            <w:vAlign w:val="center"/>
          </w:tcPr>
          <w:p w:rsidR="00441EB5" w:rsidRPr="00441EB5" w:rsidP="00441EB5">
            <w:pPr>
              <w:spacing w:after="200" w:line="240" w:lineRule="auto"/>
              <w:rPr>
                <w:rFonts w:ascii="Tahoma" w:eastAsia="Calibri" w:hAnsi="Tahoma" w:cs="Tahoma"/>
                <w:sz w:val="18"/>
                <w:szCs w:val="18"/>
                <w:rtl/>
              </w:rPr>
            </w:pPr>
            <w:r w:rsidRPr="00441EB5">
              <w:rPr>
                <w:rFonts w:ascii="Tahoma" w:eastAsia="Calibri" w:hAnsi="Tahoma" w:cs="Tahoma"/>
                <w:sz w:val="18"/>
                <w:szCs w:val="18"/>
                <w:rtl/>
              </w:rPr>
              <w:t xml:space="preserve">מהדוח קודם עלה כי במועד סיום הביקורת הקודמת (אפריל 2023) ברחבי ישראל היו פרוסות כ-900 עמדות טעינה, מהן יותר מ-500 באזור גוש דן על פי הגדרות הלשכה המרכזית לסטטיסטיקה (מאזור אשדוד בדרום ועד עמק חפר בצפון). בהיעדר כללים המחייבים פריסת עמדות על פני הדרכים, בדומה להנחיות האיחוד האירופי, יש בישראל אזורים שפריסת העמדות בהם איננה צפופה. משרד התחבורה וצוות הבין-משרדי בהובלת מינהל התכנון בחנו את ההנחיות של הממשלה בנושא היערכות לפריסת עמדות טעינה ציבוריות לכלי רכב, אך התוכניות טרם הושלמו. עוד עלה בביקורת הקודמת כי משרדי האנרגיה והתחבורה עד מועד סיום הביקורת הקודמת לא סיכמו יעדים כמותיים לפריסת העמדות, לא קבעו הנחיות לפריסתן הגיאוגרפית ולא קבעו את סוגי העמדות המתאימות לפריסה בכבישים בין-עירוניים. עוד עלה כי לא הושלם עדכון תוכנית המתאר הארצית - תמ"א 18 - וטרם הושלמה התאמתה לפריסת עמדות הטעינה במרחב הציבורי. כמו כן, בביקורת הקודמת עלה כי משרד התחבורה והלמ"ס לא השלימו את ההיערכות לביצוע סקר ארצי של הרגלי נסיעה. </w:t>
            </w:r>
          </w:p>
        </w:tc>
        <w:tc>
          <w:tcPr>
            <w:tcW w:w="1085" w:type="dxa"/>
            <w:vAlign w:val="center"/>
          </w:tcPr>
          <w:p w:rsidR="00441EB5" w:rsidRPr="00441EB5" w:rsidP="00441EB5">
            <w:pPr>
              <w:spacing w:after="200" w:line="288" w:lineRule="auto"/>
              <w:rPr>
                <w:rFonts w:ascii="Tahoma" w:eastAsia="Calibri" w:hAnsi="Tahoma" w:cs="Tahoma"/>
                <w:sz w:val="19"/>
                <w:szCs w:val="19"/>
                <w:rtl/>
              </w:rPr>
            </w:pPr>
            <w:r w:rsidRPr="00441EB5">
              <w:rPr>
                <w:rFonts w:ascii="Tahoma" w:eastAsia="Calibri" w:hAnsi="Tahoma" w:cs="Tahoma"/>
                <w:noProof/>
                <w:sz w:val="19"/>
                <w:szCs w:val="19"/>
                <w:rtl/>
              </w:rPr>
              <mc:AlternateContent>
                <mc:Choice Requires="wps">
                  <w:drawing>
                    <wp:anchor distT="0" distB="0" distL="114300" distR="114300" simplePos="0" relativeHeight="251674624" behindDoc="0" locked="0" layoutInCell="1" allowOverlap="1">
                      <wp:simplePos x="0" y="0"/>
                      <wp:positionH relativeFrom="column">
                        <wp:posOffset>-708025</wp:posOffset>
                      </wp:positionH>
                      <wp:positionV relativeFrom="paragraph">
                        <wp:posOffset>-66040</wp:posOffset>
                      </wp:positionV>
                      <wp:extent cx="1314450" cy="295275"/>
                      <wp:effectExtent l="0" t="0" r="19050" b="28575"/>
                      <wp:wrapNone/>
                      <wp:docPr id="29" name="חץ שמאלה 2"/>
                      <wp:cNvGraphicFramePr/>
                      <a:graphic xmlns:a="http://schemas.openxmlformats.org/drawingml/2006/main">
                        <a:graphicData uri="http://schemas.microsoft.com/office/word/2010/wordprocessingShape">
                          <wps:wsp xmlns:wps="http://schemas.microsoft.com/office/word/2010/wordprocessingShape">
                            <wps:cNvSpPr/>
                            <wps:spPr>
                              <a:xfrm>
                                <a:off x="0" y="0"/>
                                <a:ext cx="1314450" cy="295275"/>
                              </a:xfrm>
                              <a:prstGeom prst="leftArrow">
                                <a:avLst/>
                              </a:prstGeom>
                              <a:solidFill>
                                <a:srgbClr val="FF8250"/>
                              </a:solidFill>
                              <a:ln w="3175">
                                <a:solidFill>
                                  <a:sysClr val="windowText" lastClr="000000"/>
                                </a:solidFill>
                                <a:prstDash val="solid"/>
                              </a:ln>
                              <a:effectLst/>
                            </wps:spPr>
                            <wps:txbx>
                              <w:txbxContent>
                                <w:p w:rsidR="00441EB5" w:rsidP="00441EB5">
                                  <w:pPr>
                                    <w:shd w:val="clear" w:color="auto" w:fill="FF8250"/>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2" type="#_x0000_t66" style="width:103.5pt;height:23.25pt;margin-top:-5.2pt;margin-left:-55.75pt;mso-height-percent:0;mso-height-relative:margin;mso-width-percent:0;mso-width-relative:margin;mso-wrap-distance-bottom:0;mso-wrap-distance-left:9pt;mso-wrap-distance-right:9pt;mso-wrap-distance-top:0;mso-wrap-style:square;position:absolute;visibility:visible;v-text-anchor:middle;z-index:251675648" adj="2426" fillcolor="#ff8250" strokecolor="black" strokeweight="0.25pt">
                      <v:textbox>
                        <w:txbxContent>
                          <w:p w:rsidR="00441EB5" w:rsidP="00441EB5">
                            <w:pPr>
                              <w:shd w:val="clear" w:color="auto" w:fill="FF8250"/>
                              <w:jc w:val="center"/>
                            </w:pPr>
                          </w:p>
                        </w:txbxContent>
                      </v:textbox>
                    </v:shape>
                  </w:pict>
                </mc:Fallback>
              </mc:AlternateContent>
            </w:r>
          </w:p>
        </w:tc>
        <w:tc>
          <w:tcPr>
            <w:tcW w:w="1074" w:type="dxa"/>
            <w:vAlign w:val="center"/>
          </w:tcPr>
          <w:p w:rsidR="00441EB5" w:rsidRPr="00441EB5" w:rsidP="00441EB5">
            <w:pPr>
              <w:spacing w:after="200" w:line="288" w:lineRule="auto"/>
              <w:rPr>
                <w:rFonts w:ascii="Tahoma" w:eastAsia="Calibri" w:hAnsi="Tahoma" w:cs="Tahoma"/>
                <w:sz w:val="19"/>
                <w:szCs w:val="19"/>
                <w:rtl/>
              </w:rPr>
            </w:pPr>
          </w:p>
        </w:tc>
        <w:tc>
          <w:tcPr>
            <w:tcW w:w="1074" w:type="dxa"/>
            <w:vAlign w:val="center"/>
          </w:tcPr>
          <w:p w:rsidR="00441EB5" w:rsidRPr="00441EB5" w:rsidP="00441EB5">
            <w:pPr>
              <w:spacing w:after="200" w:line="288" w:lineRule="auto"/>
              <w:rPr>
                <w:rFonts w:ascii="Tahoma" w:eastAsia="Calibri" w:hAnsi="Tahoma" w:cs="Tahoma"/>
                <w:sz w:val="19"/>
                <w:szCs w:val="19"/>
                <w:rtl/>
              </w:rPr>
            </w:pPr>
          </w:p>
        </w:tc>
        <w:tc>
          <w:tcPr>
            <w:tcW w:w="1074" w:type="dxa"/>
            <w:vAlign w:val="center"/>
          </w:tcPr>
          <w:p w:rsidR="00441EB5" w:rsidRPr="00441EB5" w:rsidP="00441EB5">
            <w:pPr>
              <w:spacing w:after="200" w:line="288" w:lineRule="auto"/>
              <w:rPr>
                <w:rFonts w:ascii="Tahoma" w:eastAsia="Calibri" w:hAnsi="Tahoma" w:cs="Tahoma"/>
                <w:noProof/>
                <w:sz w:val="19"/>
                <w:szCs w:val="19"/>
                <w:rtl/>
              </w:rPr>
            </w:pPr>
          </w:p>
        </w:tc>
        <w:tc>
          <w:tcPr>
            <w:tcW w:w="1074" w:type="dxa"/>
            <w:vAlign w:val="center"/>
          </w:tcPr>
          <w:p w:rsidR="00441EB5" w:rsidRPr="00441EB5" w:rsidP="00441EB5">
            <w:pPr>
              <w:spacing w:after="200" w:line="288" w:lineRule="auto"/>
              <w:rPr>
                <w:rFonts w:ascii="Tahoma" w:eastAsia="Calibri" w:hAnsi="Tahoma" w:cs="Tahoma"/>
                <w:sz w:val="19"/>
                <w:szCs w:val="19"/>
                <w:rtl/>
              </w:rPr>
            </w:pPr>
          </w:p>
        </w:tc>
      </w:tr>
      <w:tr w:rsidTr="00C14BE6">
        <w:tblPrEx>
          <w:tblW w:w="11042" w:type="dxa"/>
          <w:tblLook w:val="04A0"/>
        </w:tblPrEx>
        <w:trPr>
          <w:trHeight w:val="1036"/>
        </w:trPr>
        <w:tc>
          <w:tcPr>
            <w:tcW w:w="1976" w:type="dxa"/>
            <w:vAlign w:val="center"/>
          </w:tcPr>
          <w:p w:rsidR="00441EB5" w:rsidRPr="00441EB5" w:rsidP="00441EB5">
            <w:pPr>
              <w:spacing w:after="200" w:line="240" w:lineRule="auto"/>
              <w:rPr>
                <w:rFonts w:ascii="Tahoma" w:eastAsia="Calibri" w:hAnsi="Tahoma" w:cs="Tahoma"/>
                <w:sz w:val="18"/>
                <w:szCs w:val="18"/>
                <w:rtl/>
              </w:rPr>
            </w:pPr>
            <w:r w:rsidRPr="00441EB5">
              <w:rPr>
                <w:rFonts w:ascii="Tahoma" w:eastAsia="Calibri" w:hAnsi="Tahoma" w:cs="Tahoma"/>
                <w:sz w:val="18"/>
                <w:szCs w:val="18"/>
                <w:rtl/>
              </w:rPr>
              <w:t>תוכנית פיתוח מקטע ייצור החשמל - היערכות לגידול בביקוש לחשמל בשל עלייה במספר הרכבים החשמליים</w:t>
            </w:r>
          </w:p>
        </w:tc>
        <w:tc>
          <w:tcPr>
            <w:tcW w:w="992" w:type="dxa"/>
            <w:vAlign w:val="center"/>
          </w:tcPr>
          <w:p w:rsidR="00441EB5" w:rsidRPr="00441EB5" w:rsidP="00441EB5">
            <w:pPr>
              <w:spacing w:after="200" w:line="240" w:lineRule="auto"/>
              <w:rPr>
                <w:rFonts w:ascii="Tahoma" w:eastAsia="Calibri" w:hAnsi="Tahoma" w:cs="Tahoma"/>
                <w:sz w:val="18"/>
                <w:szCs w:val="18"/>
                <w:rtl/>
              </w:rPr>
            </w:pPr>
            <w:r w:rsidRPr="00441EB5">
              <w:rPr>
                <w:rFonts w:ascii="Tahoma" w:eastAsia="Calibri" w:hAnsi="Tahoma" w:cs="Tahoma"/>
                <w:sz w:val="18"/>
                <w:szCs w:val="18"/>
                <w:rtl/>
              </w:rPr>
              <w:t>משרד האנרגיה, חברת נגה</w:t>
            </w:r>
          </w:p>
        </w:tc>
        <w:tc>
          <w:tcPr>
            <w:tcW w:w="2693" w:type="dxa"/>
            <w:vAlign w:val="center"/>
          </w:tcPr>
          <w:p w:rsidR="00441EB5" w:rsidRPr="00441EB5" w:rsidP="00441EB5">
            <w:pPr>
              <w:spacing w:after="200" w:line="240" w:lineRule="auto"/>
              <w:rPr>
                <w:rFonts w:ascii="Tahoma" w:eastAsia="Calibri" w:hAnsi="Tahoma" w:cs="Tahoma"/>
                <w:sz w:val="18"/>
                <w:szCs w:val="18"/>
                <w:rtl/>
              </w:rPr>
            </w:pPr>
            <w:r w:rsidRPr="00441EB5">
              <w:rPr>
                <w:rFonts w:ascii="Tahoma" w:eastAsia="Calibri" w:hAnsi="Tahoma" w:cs="Tahoma"/>
                <w:sz w:val="18"/>
                <w:szCs w:val="18"/>
                <w:rtl/>
              </w:rPr>
              <w:t>בביקורת הקודמת עלה כי במועד סיומה (אפריל 2023), תחזית הביקוש המעודכנת של חברת נגה התבססה על הנחת עבודה שלפיה חדירת כלי הרכב החשמליים החדשים תושלם ל-100% החל משנת 2035, ובשנת 2030 כ-70% מכלי הרכב החדשים יהיו חשמליים, אף שעל פי החלטת הממשלה 171 מיולי 2021, החל משנת 2030 לפחות 95% מכלי הרכב החדשים יהיו ללא פליטת גזי חממה.</w:t>
            </w:r>
          </w:p>
        </w:tc>
        <w:tc>
          <w:tcPr>
            <w:tcW w:w="1085" w:type="dxa"/>
            <w:vAlign w:val="center"/>
          </w:tcPr>
          <w:p w:rsidR="00441EB5" w:rsidRPr="00441EB5" w:rsidP="00441EB5">
            <w:pPr>
              <w:spacing w:after="200" w:line="288" w:lineRule="auto"/>
              <w:rPr>
                <w:rFonts w:ascii="Tahoma" w:eastAsia="Calibri" w:hAnsi="Tahoma" w:cs="Tahoma"/>
                <w:sz w:val="19"/>
                <w:szCs w:val="19"/>
                <w:rtl/>
              </w:rPr>
            </w:pPr>
            <w:r w:rsidRPr="00441EB5">
              <w:rPr>
                <w:rFonts w:ascii="Tahoma" w:eastAsia="Calibri" w:hAnsi="Tahoma" w:cs="Tahoma"/>
                <w:noProof/>
                <w:sz w:val="19"/>
                <w:szCs w:val="19"/>
                <w:rtl/>
              </w:rPr>
              <mc:AlternateContent>
                <mc:Choice Requires="wps">
                  <w:drawing>
                    <wp:anchor distT="0" distB="0" distL="114300" distR="114300" simplePos="0" relativeHeight="251676672" behindDoc="0" locked="0" layoutInCell="1" allowOverlap="1">
                      <wp:simplePos x="0" y="0"/>
                      <wp:positionH relativeFrom="column">
                        <wp:posOffset>-2797810</wp:posOffset>
                      </wp:positionH>
                      <wp:positionV relativeFrom="paragraph">
                        <wp:posOffset>104775</wp:posOffset>
                      </wp:positionV>
                      <wp:extent cx="3394075" cy="295275"/>
                      <wp:effectExtent l="0" t="0" r="15875" b="28575"/>
                      <wp:wrapNone/>
                      <wp:docPr id="30" name="חץ שמאלה 16"/>
                      <wp:cNvGraphicFramePr/>
                      <a:graphic xmlns:a="http://schemas.openxmlformats.org/drawingml/2006/main">
                        <a:graphicData uri="http://schemas.microsoft.com/office/word/2010/wordprocessingShape">
                          <wps:wsp xmlns:wps="http://schemas.microsoft.com/office/word/2010/wordprocessingShape">
                            <wps:cNvSpPr/>
                            <wps:spPr>
                              <a:xfrm>
                                <a:off x="0" y="0"/>
                                <a:ext cx="3394075" cy="295275"/>
                              </a:xfrm>
                              <a:prstGeom prst="leftArrow">
                                <a:avLst/>
                              </a:prstGeom>
                              <a:solidFill>
                                <a:srgbClr val="7DB48C"/>
                              </a:solidFill>
                              <a:ln w="3175">
                                <a:solidFill>
                                  <a:sysClr val="windowText" lastClr="000000"/>
                                </a:solidFill>
                                <a:prstDash val="solid"/>
                              </a:ln>
                              <a:effectLst/>
                            </wps:spPr>
                            <wps:txbx>
                              <w:txbxContent>
                                <w:p w:rsidR="00441EB5" w:rsidP="00441EB5">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3" type="#_x0000_t66" style="width:267.25pt;height:23.25pt;margin-top:8.25pt;margin-left:-220.3pt;mso-height-percent:0;mso-height-relative:margin;mso-width-percent:0;mso-width-relative:margin;mso-wrap-distance-bottom:0;mso-wrap-distance-left:9pt;mso-wrap-distance-right:9pt;mso-wrap-distance-top:0;mso-wrap-style:square;position:absolute;visibility:visible;v-text-anchor:middle;z-index:251677696" adj="940" fillcolor="#7db48c" strokecolor="black" strokeweight="0.25pt">
                      <v:textbox>
                        <w:txbxContent>
                          <w:p w:rsidR="00441EB5" w:rsidP="00441EB5">
                            <w:pPr>
                              <w:jc w:val="center"/>
                            </w:pPr>
                          </w:p>
                        </w:txbxContent>
                      </v:textbox>
                    </v:shape>
                  </w:pict>
                </mc:Fallback>
              </mc:AlternateContent>
            </w:r>
          </w:p>
        </w:tc>
        <w:tc>
          <w:tcPr>
            <w:tcW w:w="1074" w:type="dxa"/>
            <w:vAlign w:val="center"/>
          </w:tcPr>
          <w:p w:rsidR="00441EB5" w:rsidRPr="00441EB5" w:rsidP="00441EB5">
            <w:pPr>
              <w:spacing w:after="200" w:line="288" w:lineRule="auto"/>
              <w:rPr>
                <w:rFonts w:ascii="Tahoma" w:eastAsia="Calibri" w:hAnsi="Tahoma" w:cs="Tahoma"/>
                <w:sz w:val="19"/>
                <w:szCs w:val="19"/>
                <w:rtl/>
              </w:rPr>
            </w:pPr>
          </w:p>
        </w:tc>
        <w:tc>
          <w:tcPr>
            <w:tcW w:w="1074" w:type="dxa"/>
            <w:vAlign w:val="center"/>
          </w:tcPr>
          <w:p w:rsidR="00441EB5" w:rsidRPr="00441EB5" w:rsidP="00441EB5">
            <w:pPr>
              <w:spacing w:after="200" w:line="288" w:lineRule="auto"/>
              <w:rPr>
                <w:rFonts w:ascii="Tahoma" w:eastAsia="Calibri" w:hAnsi="Tahoma" w:cs="Tahoma"/>
                <w:sz w:val="19"/>
                <w:szCs w:val="19"/>
                <w:rtl/>
              </w:rPr>
            </w:pPr>
          </w:p>
        </w:tc>
        <w:tc>
          <w:tcPr>
            <w:tcW w:w="1074" w:type="dxa"/>
            <w:vAlign w:val="center"/>
          </w:tcPr>
          <w:p w:rsidR="00441EB5" w:rsidRPr="00441EB5" w:rsidP="00441EB5">
            <w:pPr>
              <w:spacing w:after="200" w:line="288" w:lineRule="auto"/>
              <w:rPr>
                <w:rFonts w:ascii="Tahoma" w:eastAsia="Calibri" w:hAnsi="Tahoma" w:cs="Tahoma"/>
                <w:noProof/>
                <w:sz w:val="19"/>
                <w:szCs w:val="19"/>
                <w:rtl/>
              </w:rPr>
            </w:pPr>
          </w:p>
        </w:tc>
        <w:tc>
          <w:tcPr>
            <w:tcW w:w="1074" w:type="dxa"/>
            <w:vAlign w:val="center"/>
          </w:tcPr>
          <w:p w:rsidR="00441EB5" w:rsidRPr="00441EB5" w:rsidP="00441EB5">
            <w:pPr>
              <w:spacing w:after="200" w:line="288" w:lineRule="auto"/>
              <w:rPr>
                <w:rFonts w:ascii="Tahoma" w:eastAsia="Calibri" w:hAnsi="Tahoma" w:cs="Tahoma"/>
                <w:sz w:val="19"/>
                <w:szCs w:val="19"/>
                <w:rtl/>
              </w:rPr>
            </w:pPr>
          </w:p>
        </w:tc>
      </w:tr>
      <w:tr w:rsidTr="00C14BE6">
        <w:tblPrEx>
          <w:tblW w:w="11042" w:type="dxa"/>
          <w:tblLook w:val="04A0"/>
        </w:tblPrEx>
        <w:trPr>
          <w:trHeight w:val="1036"/>
        </w:trPr>
        <w:tc>
          <w:tcPr>
            <w:tcW w:w="1976" w:type="dxa"/>
            <w:vAlign w:val="center"/>
          </w:tcPr>
          <w:p w:rsidR="00441EB5" w:rsidRPr="00441EB5" w:rsidP="00441EB5">
            <w:pPr>
              <w:spacing w:after="200" w:line="240" w:lineRule="auto"/>
              <w:rPr>
                <w:rFonts w:ascii="Tahoma" w:eastAsia="Calibri" w:hAnsi="Tahoma" w:cs="Tahoma"/>
                <w:sz w:val="18"/>
                <w:szCs w:val="18"/>
              </w:rPr>
            </w:pPr>
            <w:r w:rsidRPr="00441EB5">
              <w:rPr>
                <w:rFonts w:ascii="Tahoma" w:eastAsia="Calibri" w:hAnsi="Tahoma" w:cs="Tahoma"/>
                <w:sz w:val="18"/>
                <w:szCs w:val="18"/>
                <w:rtl/>
              </w:rPr>
              <w:t>שעות טעינה של כלי רכב חשמליים וטעינה מנוהלת</w:t>
            </w:r>
          </w:p>
        </w:tc>
        <w:tc>
          <w:tcPr>
            <w:tcW w:w="992" w:type="dxa"/>
            <w:vAlign w:val="center"/>
          </w:tcPr>
          <w:p w:rsidR="00441EB5" w:rsidRPr="00441EB5" w:rsidP="00441EB5">
            <w:pPr>
              <w:spacing w:after="200" w:line="240" w:lineRule="auto"/>
              <w:rPr>
                <w:rFonts w:ascii="Tahoma" w:eastAsia="Calibri" w:hAnsi="Tahoma" w:cs="Tahoma"/>
                <w:sz w:val="18"/>
                <w:szCs w:val="18"/>
                <w:rtl/>
              </w:rPr>
            </w:pPr>
            <w:r w:rsidRPr="00441EB5">
              <w:rPr>
                <w:rFonts w:ascii="Tahoma" w:eastAsia="Calibri" w:hAnsi="Tahoma" w:cs="Tahoma"/>
                <w:sz w:val="18"/>
                <w:szCs w:val="18"/>
                <w:rtl/>
              </w:rPr>
              <w:t>משרד האנרגיה, משרד התחבורה</w:t>
            </w:r>
          </w:p>
        </w:tc>
        <w:tc>
          <w:tcPr>
            <w:tcW w:w="2693" w:type="dxa"/>
            <w:vAlign w:val="center"/>
          </w:tcPr>
          <w:p w:rsidR="00441EB5" w:rsidRPr="00441EB5" w:rsidP="00441EB5">
            <w:pPr>
              <w:spacing w:after="200" w:line="240" w:lineRule="auto"/>
              <w:rPr>
                <w:rFonts w:ascii="Tahoma" w:eastAsia="Calibri" w:hAnsi="Tahoma" w:cs="Tahoma"/>
                <w:sz w:val="18"/>
                <w:szCs w:val="18"/>
                <w:rtl/>
              </w:rPr>
            </w:pPr>
            <w:r w:rsidRPr="00441EB5">
              <w:rPr>
                <w:rFonts w:ascii="Tahoma" w:eastAsia="Calibri" w:hAnsi="Tahoma" w:cs="Tahoma"/>
                <w:sz w:val="18"/>
                <w:szCs w:val="18"/>
                <w:rtl/>
              </w:rPr>
              <w:t>בביקורת הקודמת עלה כי על פי נתוני דוח מצב משק החשמל לשנת 2021, היו בישראל כ-108,000 מונים חכמים, שהם כ-3.5% מכל המונים בישראל. נתון זה נמוך ביחס לנתון המקביל במדינות מפותחות אחרות. באותו מועד, יותר מ-34% מהמונים במדינות החברות באיחוד האירופי היו חכמים, פי עשרה יותר מהנתון המקביל בישראל. בביקורת הקודמת גם עלה כי התקנת "מונים חכמים" עשויה להביא לידי התייעלות אנרגטית, הנדרשת כדי לקדם טעינה מנוהלת של רכבים חשמליים.</w:t>
            </w:r>
          </w:p>
        </w:tc>
        <w:tc>
          <w:tcPr>
            <w:tcW w:w="1085" w:type="dxa"/>
            <w:vAlign w:val="center"/>
          </w:tcPr>
          <w:p w:rsidR="00441EB5" w:rsidRPr="00441EB5" w:rsidP="00441EB5">
            <w:pPr>
              <w:spacing w:after="200" w:line="288" w:lineRule="auto"/>
              <w:rPr>
                <w:rFonts w:ascii="Tahoma" w:eastAsia="Calibri" w:hAnsi="Tahoma" w:cs="Tahoma"/>
                <w:sz w:val="19"/>
                <w:szCs w:val="19"/>
                <w:rtl/>
              </w:rPr>
            </w:pPr>
          </w:p>
        </w:tc>
        <w:tc>
          <w:tcPr>
            <w:tcW w:w="1074" w:type="dxa"/>
            <w:vAlign w:val="center"/>
          </w:tcPr>
          <w:p w:rsidR="00441EB5" w:rsidRPr="00441EB5" w:rsidP="00441EB5">
            <w:pPr>
              <w:spacing w:after="200" w:line="288" w:lineRule="auto"/>
              <w:rPr>
                <w:rFonts w:ascii="Tahoma" w:eastAsia="Calibri" w:hAnsi="Tahoma" w:cs="Tahoma"/>
                <w:sz w:val="19"/>
                <w:szCs w:val="19"/>
                <w:rtl/>
              </w:rPr>
            </w:pPr>
          </w:p>
        </w:tc>
        <w:tc>
          <w:tcPr>
            <w:tcW w:w="1074" w:type="dxa"/>
            <w:vAlign w:val="center"/>
          </w:tcPr>
          <w:p w:rsidR="00441EB5" w:rsidRPr="00441EB5" w:rsidP="00441EB5">
            <w:pPr>
              <w:spacing w:after="200" w:line="288" w:lineRule="auto"/>
              <w:rPr>
                <w:rFonts w:ascii="Tahoma" w:eastAsia="Calibri" w:hAnsi="Tahoma" w:cs="Tahoma"/>
                <w:sz w:val="19"/>
                <w:szCs w:val="19"/>
                <w:rtl/>
              </w:rPr>
            </w:pPr>
            <w:r w:rsidRPr="00441EB5">
              <w:rPr>
                <w:rFonts w:ascii="Tahoma" w:eastAsia="Calibri" w:hAnsi="Tahoma" w:cs="Tahoma"/>
                <w:noProof/>
                <w:sz w:val="19"/>
                <w:szCs w:val="19"/>
                <w:rtl/>
              </w:rPr>
              <mc:AlternateContent>
                <mc:Choice Requires="wps">
                  <w:drawing>
                    <wp:anchor distT="0" distB="0" distL="114300" distR="114300" simplePos="0" relativeHeight="251664384" behindDoc="0" locked="0" layoutInCell="1" allowOverlap="1">
                      <wp:simplePos x="0" y="0"/>
                      <wp:positionH relativeFrom="column">
                        <wp:posOffset>-705485</wp:posOffset>
                      </wp:positionH>
                      <wp:positionV relativeFrom="paragraph">
                        <wp:posOffset>121920</wp:posOffset>
                      </wp:positionV>
                      <wp:extent cx="2679700" cy="295275"/>
                      <wp:effectExtent l="0" t="0" r="25400" b="28575"/>
                      <wp:wrapNone/>
                      <wp:docPr id="40" name="חץ שמאלה 4"/>
                      <wp:cNvGraphicFramePr/>
                      <a:graphic xmlns:a="http://schemas.openxmlformats.org/drawingml/2006/main">
                        <a:graphicData uri="http://schemas.microsoft.com/office/word/2010/wordprocessingShape">
                          <wps:wsp xmlns:wps="http://schemas.microsoft.com/office/word/2010/wordprocessingShape">
                            <wps:cNvSpPr/>
                            <wps:spPr>
                              <a:xfrm>
                                <a:off x="0" y="0"/>
                                <a:ext cx="2679700" cy="295275"/>
                              </a:xfrm>
                              <a:prstGeom prst="leftArrow">
                                <a:avLst/>
                              </a:prstGeom>
                              <a:solidFill>
                                <a:srgbClr val="FAF050"/>
                              </a:solidFill>
                              <a:ln w="3175">
                                <a:solidFill>
                                  <a:sysClr val="windowText" lastClr="000000"/>
                                </a:solidFill>
                                <a:prstDash val="solid"/>
                              </a:ln>
                              <a:effectLst/>
                            </wps:spPr>
                            <wps:txbx>
                              <w:txbxContent>
                                <w:p w:rsidR="00441EB5" w:rsidP="00441EB5">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4" type="#_x0000_t66" style="width:211pt;height:23.25pt;margin-top:9.6pt;margin-left:-55.55pt;mso-height-percent:0;mso-height-relative:margin;mso-width-percent:0;mso-width-relative:margin;mso-wrap-distance-bottom:0;mso-wrap-distance-left:9pt;mso-wrap-distance-right:9pt;mso-wrap-distance-top:0;mso-wrap-style:square;position:absolute;visibility:visible;v-text-anchor:middle;z-index:251665408" adj="1190" fillcolor="#faf050" strokecolor="black" strokeweight="0.25pt">
                      <v:textbox>
                        <w:txbxContent>
                          <w:p w:rsidR="00441EB5" w:rsidP="00441EB5">
                            <w:pPr>
                              <w:jc w:val="center"/>
                            </w:pPr>
                          </w:p>
                        </w:txbxContent>
                      </v:textbox>
                    </v:shape>
                  </w:pict>
                </mc:Fallback>
              </mc:AlternateContent>
            </w:r>
          </w:p>
        </w:tc>
        <w:tc>
          <w:tcPr>
            <w:tcW w:w="1074" w:type="dxa"/>
            <w:vAlign w:val="center"/>
          </w:tcPr>
          <w:p w:rsidR="00441EB5" w:rsidRPr="00441EB5" w:rsidP="00441EB5">
            <w:pPr>
              <w:spacing w:after="200" w:line="288" w:lineRule="auto"/>
              <w:rPr>
                <w:rFonts w:ascii="Tahoma" w:eastAsia="Calibri" w:hAnsi="Tahoma" w:cs="Tahoma"/>
                <w:noProof/>
                <w:sz w:val="19"/>
                <w:szCs w:val="19"/>
                <w:rtl/>
              </w:rPr>
            </w:pPr>
          </w:p>
        </w:tc>
        <w:tc>
          <w:tcPr>
            <w:tcW w:w="1074" w:type="dxa"/>
            <w:vAlign w:val="center"/>
          </w:tcPr>
          <w:p w:rsidR="00441EB5" w:rsidRPr="00441EB5" w:rsidP="00441EB5">
            <w:pPr>
              <w:spacing w:after="200" w:line="288" w:lineRule="auto"/>
              <w:rPr>
                <w:rFonts w:ascii="Tahoma" w:eastAsia="Calibri" w:hAnsi="Tahoma" w:cs="Tahoma"/>
                <w:sz w:val="19"/>
                <w:szCs w:val="19"/>
                <w:rtl/>
              </w:rPr>
            </w:pPr>
          </w:p>
        </w:tc>
      </w:tr>
      <w:tr w:rsidTr="00C14BE6">
        <w:tblPrEx>
          <w:tblW w:w="11042" w:type="dxa"/>
          <w:tblLook w:val="04A0"/>
        </w:tblPrEx>
        <w:trPr>
          <w:trHeight w:val="1036"/>
        </w:trPr>
        <w:tc>
          <w:tcPr>
            <w:tcW w:w="1976" w:type="dxa"/>
            <w:vAlign w:val="center"/>
          </w:tcPr>
          <w:p w:rsidR="00441EB5" w:rsidRPr="00441EB5" w:rsidP="00441EB5">
            <w:pPr>
              <w:spacing w:after="200" w:line="240" w:lineRule="auto"/>
              <w:rPr>
                <w:rFonts w:ascii="Tahoma" w:eastAsia="Calibri" w:hAnsi="Tahoma" w:cs="Tahoma"/>
                <w:sz w:val="18"/>
                <w:szCs w:val="18"/>
                <w:rtl/>
              </w:rPr>
            </w:pPr>
            <w:r w:rsidRPr="00441EB5">
              <w:rPr>
                <w:rFonts w:ascii="Tahoma" w:eastAsia="Calibri" w:hAnsi="Tahoma" w:cs="Tahoma"/>
                <w:sz w:val="18"/>
                <w:szCs w:val="18"/>
                <w:rtl/>
              </w:rPr>
              <w:t>מיחזור סוללות של כלי רכב חשמליים בתום תקופת השירות</w:t>
            </w:r>
          </w:p>
        </w:tc>
        <w:tc>
          <w:tcPr>
            <w:tcW w:w="992" w:type="dxa"/>
            <w:vAlign w:val="center"/>
          </w:tcPr>
          <w:p w:rsidR="00441EB5" w:rsidRPr="00441EB5" w:rsidP="00441EB5">
            <w:pPr>
              <w:spacing w:after="200" w:line="240" w:lineRule="auto"/>
              <w:rPr>
                <w:rFonts w:ascii="Tahoma" w:eastAsia="Calibri" w:hAnsi="Tahoma" w:cs="Tahoma"/>
                <w:sz w:val="18"/>
                <w:szCs w:val="18"/>
                <w:rtl/>
              </w:rPr>
            </w:pPr>
            <w:r w:rsidRPr="00441EB5">
              <w:rPr>
                <w:rFonts w:ascii="Tahoma" w:eastAsia="Calibri" w:hAnsi="Tahoma" w:cs="Tahoma"/>
                <w:sz w:val="18"/>
                <w:szCs w:val="18"/>
                <w:rtl/>
              </w:rPr>
              <w:t>משרד האנרגיה, משרד להגנת הסביבה</w:t>
            </w:r>
          </w:p>
        </w:tc>
        <w:tc>
          <w:tcPr>
            <w:tcW w:w="2693" w:type="dxa"/>
            <w:vAlign w:val="center"/>
          </w:tcPr>
          <w:p w:rsidR="00441EB5" w:rsidRPr="00441EB5" w:rsidP="00441EB5">
            <w:pPr>
              <w:spacing w:after="200" w:line="240" w:lineRule="auto"/>
              <w:rPr>
                <w:rFonts w:ascii="Tahoma" w:eastAsia="Calibri" w:hAnsi="Tahoma" w:cs="Tahoma"/>
                <w:sz w:val="18"/>
                <w:szCs w:val="18"/>
                <w:rtl/>
              </w:rPr>
            </w:pPr>
            <w:r w:rsidRPr="00441EB5">
              <w:rPr>
                <w:rFonts w:ascii="Tahoma" w:eastAsia="Calibri" w:hAnsi="Tahoma" w:cs="Tahoma"/>
                <w:sz w:val="18"/>
                <w:szCs w:val="18"/>
                <w:rtl/>
              </w:rPr>
              <w:t>בביקורת הקודמת עלה כי במועד סיומה (אפריל 2023) לא הייתה בישראל הסדרה חוקית של הטיפול בסוללות הרכבים החשמליים בתום תקופת שירותן. בביקורת הקודמת גם עלה כי בשנים 2021 - 2022 יובאו לישראל כ-40,000 רכבים חשמליים ומאות אוטובוסים עירוניים. משקל סוללה של כלי רכב חשמלי בכלל ושל סוללת אוטובוס בפרט עשוי להגיע למאות קילוגרמים ואף יותר. נוסף על כך, בסוף שנת 2022 היו בישראל קרוב ל-363,000 רכבים היברידיים, שאף הם מצוידים בסוללה גדולה יחסית שמשקלה עשוי להגיע לעשרות קילוגרמים.</w:t>
            </w:r>
          </w:p>
        </w:tc>
        <w:tc>
          <w:tcPr>
            <w:tcW w:w="1085" w:type="dxa"/>
            <w:vAlign w:val="center"/>
          </w:tcPr>
          <w:p w:rsidR="00441EB5" w:rsidRPr="00441EB5" w:rsidP="00441EB5">
            <w:pPr>
              <w:spacing w:after="200" w:line="288" w:lineRule="auto"/>
              <w:rPr>
                <w:rFonts w:ascii="Tahoma" w:eastAsia="Calibri" w:hAnsi="Tahoma" w:cs="Tahoma"/>
                <w:sz w:val="19"/>
                <w:szCs w:val="19"/>
                <w:rtl/>
              </w:rPr>
            </w:pPr>
          </w:p>
        </w:tc>
        <w:tc>
          <w:tcPr>
            <w:tcW w:w="1074" w:type="dxa"/>
            <w:vAlign w:val="center"/>
          </w:tcPr>
          <w:p w:rsidR="00441EB5" w:rsidRPr="00441EB5" w:rsidP="00441EB5">
            <w:pPr>
              <w:spacing w:after="200" w:line="288" w:lineRule="auto"/>
              <w:rPr>
                <w:rFonts w:ascii="Tahoma" w:eastAsia="Calibri" w:hAnsi="Tahoma" w:cs="Tahoma"/>
                <w:sz w:val="19"/>
                <w:szCs w:val="19"/>
                <w:rtl/>
              </w:rPr>
            </w:pPr>
            <w:r w:rsidRPr="00441EB5">
              <w:rPr>
                <w:rFonts w:ascii="Tahoma" w:eastAsia="Calibri" w:hAnsi="Tahoma" w:cs="Tahoma"/>
                <w:noProof/>
                <w:sz w:val="19"/>
                <w:szCs w:val="19"/>
                <w:rtl/>
              </w:rPr>
              <mc:AlternateContent>
                <mc:Choice Requires="wps">
                  <w:drawing>
                    <wp:anchor distT="0" distB="0" distL="114300" distR="114300" simplePos="0" relativeHeight="251678720" behindDoc="0" locked="0" layoutInCell="1" allowOverlap="1">
                      <wp:simplePos x="0" y="0"/>
                      <wp:positionH relativeFrom="column">
                        <wp:posOffset>-50800</wp:posOffset>
                      </wp:positionH>
                      <wp:positionV relativeFrom="paragraph">
                        <wp:posOffset>157480</wp:posOffset>
                      </wp:positionV>
                      <wp:extent cx="1314450" cy="295275"/>
                      <wp:effectExtent l="0" t="0" r="19050" b="28575"/>
                      <wp:wrapNone/>
                      <wp:docPr id="31" name="חץ שמאלה 2"/>
                      <wp:cNvGraphicFramePr/>
                      <a:graphic xmlns:a="http://schemas.openxmlformats.org/drawingml/2006/main">
                        <a:graphicData uri="http://schemas.microsoft.com/office/word/2010/wordprocessingShape">
                          <wps:wsp xmlns:wps="http://schemas.microsoft.com/office/word/2010/wordprocessingShape">
                            <wps:cNvSpPr/>
                            <wps:spPr>
                              <a:xfrm>
                                <a:off x="0" y="0"/>
                                <a:ext cx="1314450" cy="295275"/>
                              </a:xfrm>
                              <a:prstGeom prst="leftArrow">
                                <a:avLst/>
                              </a:prstGeom>
                              <a:solidFill>
                                <a:srgbClr val="FF8250"/>
                              </a:solidFill>
                              <a:ln w="3175">
                                <a:solidFill>
                                  <a:sysClr val="windowText" lastClr="000000"/>
                                </a:solidFill>
                                <a:prstDash val="solid"/>
                              </a:ln>
                              <a:effectLst/>
                            </wps:spPr>
                            <wps:txbx>
                              <w:txbxContent>
                                <w:p w:rsidR="00441EB5" w:rsidP="00441EB5">
                                  <w:pPr>
                                    <w:shd w:val="clear" w:color="auto" w:fill="FF8250"/>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5" type="#_x0000_t66" style="width:103.5pt;height:23.25pt;margin-top:12.4pt;margin-left:-4pt;mso-height-percent:0;mso-height-relative:margin;mso-width-percent:0;mso-width-relative:margin;mso-wrap-distance-bottom:0;mso-wrap-distance-left:9pt;mso-wrap-distance-right:9pt;mso-wrap-distance-top:0;mso-wrap-style:square;position:absolute;visibility:visible;v-text-anchor:middle;z-index:251679744" adj="2426" fillcolor="#ff8250" strokecolor="black" strokeweight="0.25pt">
                      <v:textbox>
                        <w:txbxContent>
                          <w:p w:rsidR="00441EB5" w:rsidP="00441EB5">
                            <w:pPr>
                              <w:shd w:val="clear" w:color="auto" w:fill="FF8250"/>
                              <w:jc w:val="center"/>
                            </w:pPr>
                          </w:p>
                        </w:txbxContent>
                      </v:textbox>
                    </v:shape>
                  </w:pict>
                </mc:Fallback>
              </mc:AlternateContent>
            </w:r>
          </w:p>
        </w:tc>
        <w:tc>
          <w:tcPr>
            <w:tcW w:w="1074" w:type="dxa"/>
            <w:vAlign w:val="center"/>
          </w:tcPr>
          <w:p w:rsidR="00441EB5" w:rsidRPr="00441EB5" w:rsidP="00441EB5">
            <w:pPr>
              <w:spacing w:after="200" w:line="288" w:lineRule="auto"/>
              <w:rPr>
                <w:rFonts w:ascii="Tahoma" w:eastAsia="Calibri" w:hAnsi="Tahoma" w:cs="Tahoma"/>
                <w:sz w:val="19"/>
                <w:szCs w:val="19"/>
                <w:rtl/>
              </w:rPr>
            </w:pPr>
          </w:p>
        </w:tc>
        <w:tc>
          <w:tcPr>
            <w:tcW w:w="1074" w:type="dxa"/>
            <w:vAlign w:val="center"/>
          </w:tcPr>
          <w:p w:rsidR="00441EB5" w:rsidRPr="00441EB5" w:rsidP="00441EB5">
            <w:pPr>
              <w:spacing w:after="200" w:line="288" w:lineRule="auto"/>
              <w:rPr>
                <w:rFonts w:ascii="Tahoma" w:eastAsia="Calibri" w:hAnsi="Tahoma" w:cs="Tahoma"/>
                <w:noProof/>
                <w:sz w:val="19"/>
                <w:szCs w:val="19"/>
                <w:rtl/>
              </w:rPr>
            </w:pPr>
          </w:p>
        </w:tc>
        <w:tc>
          <w:tcPr>
            <w:tcW w:w="1074" w:type="dxa"/>
            <w:vAlign w:val="center"/>
          </w:tcPr>
          <w:p w:rsidR="00441EB5" w:rsidRPr="00441EB5" w:rsidP="00441EB5">
            <w:pPr>
              <w:spacing w:after="200" w:line="288" w:lineRule="auto"/>
              <w:rPr>
                <w:rFonts w:ascii="Tahoma" w:eastAsia="Calibri" w:hAnsi="Tahoma" w:cs="Tahoma"/>
                <w:sz w:val="19"/>
                <w:szCs w:val="19"/>
                <w:rtl/>
              </w:rPr>
            </w:pPr>
          </w:p>
        </w:tc>
      </w:tr>
      <w:tr w:rsidTr="00C14BE6">
        <w:tblPrEx>
          <w:tblW w:w="11042" w:type="dxa"/>
          <w:tblLook w:val="04A0"/>
        </w:tblPrEx>
        <w:trPr>
          <w:trHeight w:val="1036"/>
        </w:trPr>
        <w:tc>
          <w:tcPr>
            <w:tcW w:w="1976" w:type="dxa"/>
            <w:vAlign w:val="center"/>
          </w:tcPr>
          <w:p w:rsidR="00441EB5" w:rsidRPr="00441EB5" w:rsidP="00441EB5">
            <w:pPr>
              <w:spacing w:after="200" w:line="240" w:lineRule="auto"/>
              <w:rPr>
                <w:rFonts w:ascii="Tahoma" w:eastAsia="Calibri" w:hAnsi="Tahoma" w:cs="Tahoma"/>
                <w:sz w:val="18"/>
                <w:szCs w:val="18"/>
                <w:rtl/>
              </w:rPr>
            </w:pPr>
            <w:r w:rsidRPr="00441EB5">
              <w:rPr>
                <w:rFonts w:ascii="Tahoma" w:eastAsia="Calibri" w:hAnsi="Tahoma" w:cs="Tahoma"/>
                <w:sz w:val="18"/>
                <w:szCs w:val="18"/>
                <w:rtl/>
              </w:rPr>
              <w:t xml:space="preserve">תשתיות התפעול של אוטובוסים חשמליים </w:t>
            </w:r>
          </w:p>
        </w:tc>
        <w:tc>
          <w:tcPr>
            <w:tcW w:w="992" w:type="dxa"/>
            <w:vAlign w:val="center"/>
          </w:tcPr>
          <w:p w:rsidR="00441EB5" w:rsidRPr="00441EB5" w:rsidP="00441EB5">
            <w:pPr>
              <w:spacing w:after="200" w:line="240" w:lineRule="auto"/>
              <w:rPr>
                <w:rFonts w:ascii="Tahoma" w:eastAsia="Calibri" w:hAnsi="Tahoma" w:cs="Tahoma"/>
                <w:sz w:val="18"/>
                <w:szCs w:val="18"/>
                <w:rtl/>
              </w:rPr>
            </w:pPr>
            <w:r w:rsidRPr="00441EB5">
              <w:rPr>
                <w:rFonts w:ascii="Tahoma" w:eastAsia="Calibri" w:hAnsi="Tahoma" w:cs="Tahoma"/>
                <w:sz w:val="18"/>
                <w:szCs w:val="18"/>
                <w:rtl/>
              </w:rPr>
              <w:t>משרד האנרגיה, משרד התחבורה</w:t>
            </w:r>
          </w:p>
        </w:tc>
        <w:tc>
          <w:tcPr>
            <w:tcW w:w="2693" w:type="dxa"/>
            <w:vAlign w:val="center"/>
          </w:tcPr>
          <w:p w:rsidR="00441EB5" w:rsidRPr="00441EB5" w:rsidP="00441EB5">
            <w:pPr>
              <w:spacing w:after="200" w:line="240" w:lineRule="auto"/>
              <w:rPr>
                <w:rFonts w:ascii="Tahoma" w:eastAsia="Calibri" w:hAnsi="Tahoma" w:cs="Tahoma"/>
                <w:sz w:val="18"/>
                <w:szCs w:val="18"/>
                <w:rtl/>
              </w:rPr>
            </w:pPr>
            <w:r w:rsidRPr="00441EB5">
              <w:rPr>
                <w:rFonts w:ascii="Tahoma" w:eastAsia="Calibri" w:hAnsi="Tahoma" w:cs="Tahoma"/>
                <w:sz w:val="18"/>
                <w:szCs w:val="18"/>
                <w:rtl/>
              </w:rPr>
              <w:t xml:space="preserve">בדוח הקודם צוין כי משרד התחבורה וחברת נתיבי איילון מקדמים תוכנית לתשתית לאומית לחשמול מסופי אוטובוסים שמכונה "תת"ל 130" (ותוכניות לתשתית לאומית נוספות - ראו להלן). במסגרת הדיונים לקראת </w:t>
            </w:r>
            <w:r w:rsidRPr="00441EB5">
              <w:rPr>
                <w:rFonts w:ascii="Tahoma" w:eastAsia="Calibri" w:hAnsi="Tahoma" w:cs="Tahoma"/>
                <w:sz w:val="18"/>
                <w:szCs w:val="18"/>
                <w:rtl/>
              </w:rPr>
              <w:t>העברת התוכנית להערות הוועדות המחוזיות ולהערות הציבור, הוצג הצורך בהסדרת נושא חשמול המסופים. בדוח הקודם צוין כי משרד התחבורה וחברת נתיבי איילון מקדמים תוכנית לתשתית לאומית לחשמול מסופי אוטובוסים שמכונה "תת"ל 130". לפי טענת משרד התחבורה, כפי שהוצגה במסמך מיולי 2022 במסגרת קידום התת"ל, כדי להקים מסופים מחושמלים בהתאם למתווה הממשלה נדרשים 2,500 דונם למסופים ולחניוני לילה, ובמועד הצגת התוכנית ביולי 2022 יש 1,700 דונם זמינים לנושא. כלומר, במועד הצגת התוכנית היו חסרים כ-800 דונם להקמת המסופים והחניונים.</w:t>
            </w:r>
          </w:p>
        </w:tc>
        <w:tc>
          <w:tcPr>
            <w:tcW w:w="1085" w:type="dxa"/>
            <w:vAlign w:val="center"/>
          </w:tcPr>
          <w:p w:rsidR="00441EB5" w:rsidRPr="00441EB5" w:rsidP="00441EB5">
            <w:pPr>
              <w:spacing w:after="200" w:line="288" w:lineRule="auto"/>
              <w:rPr>
                <w:rFonts w:ascii="Tahoma" w:eastAsia="Calibri" w:hAnsi="Tahoma" w:cs="Tahoma"/>
                <w:sz w:val="19"/>
                <w:szCs w:val="19"/>
                <w:rtl/>
              </w:rPr>
            </w:pPr>
          </w:p>
        </w:tc>
        <w:tc>
          <w:tcPr>
            <w:tcW w:w="1074" w:type="dxa"/>
            <w:vAlign w:val="center"/>
          </w:tcPr>
          <w:p w:rsidR="00441EB5" w:rsidRPr="00441EB5" w:rsidP="00441EB5">
            <w:pPr>
              <w:spacing w:after="200" w:line="288" w:lineRule="auto"/>
              <w:rPr>
                <w:rFonts w:ascii="Tahoma" w:eastAsia="Calibri" w:hAnsi="Tahoma" w:cs="Tahoma"/>
                <w:sz w:val="19"/>
                <w:szCs w:val="19"/>
                <w:rtl/>
              </w:rPr>
            </w:pPr>
          </w:p>
        </w:tc>
        <w:tc>
          <w:tcPr>
            <w:tcW w:w="1074" w:type="dxa"/>
            <w:vAlign w:val="center"/>
          </w:tcPr>
          <w:p w:rsidR="00441EB5" w:rsidRPr="00441EB5" w:rsidP="00441EB5">
            <w:pPr>
              <w:spacing w:after="200" w:line="288" w:lineRule="auto"/>
              <w:rPr>
                <w:rFonts w:ascii="Tahoma" w:eastAsia="Calibri" w:hAnsi="Tahoma" w:cs="Tahoma"/>
                <w:sz w:val="19"/>
                <w:szCs w:val="19"/>
                <w:rtl/>
              </w:rPr>
            </w:pPr>
            <w:r w:rsidRPr="00441EB5">
              <w:rPr>
                <w:rFonts w:ascii="Tahoma" w:eastAsia="Calibri" w:hAnsi="Tahoma" w:cs="Tahoma"/>
                <w:noProof/>
                <w:sz w:val="19"/>
                <w:szCs w:val="19"/>
                <w:rtl/>
              </w:rPr>
              <mc:AlternateContent>
                <mc:Choice Requires="wps">
                  <w:drawing>
                    <wp:anchor distT="0" distB="0" distL="114300" distR="114300" simplePos="0" relativeHeight="251680768" behindDoc="0" locked="0" layoutInCell="1" allowOverlap="1">
                      <wp:simplePos x="0" y="0"/>
                      <wp:positionH relativeFrom="column">
                        <wp:posOffset>-708025</wp:posOffset>
                      </wp:positionH>
                      <wp:positionV relativeFrom="paragraph">
                        <wp:posOffset>250825</wp:posOffset>
                      </wp:positionV>
                      <wp:extent cx="2679700" cy="295275"/>
                      <wp:effectExtent l="0" t="0" r="25400" b="28575"/>
                      <wp:wrapNone/>
                      <wp:docPr id="33" name="חץ שמאלה 4"/>
                      <wp:cNvGraphicFramePr/>
                      <a:graphic xmlns:a="http://schemas.openxmlformats.org/drawingml/2006/main">
                        <a:graphicData uri="http://schemas.microsoft.com/office/word/2010/wordprocessingShape">
                          <wps:wsp xmlns:wps="http://schemas.microsoft.com/office/word/2010/wordprocessingShape">
                            <wps:cNvSpPr/>
                            <wps:spPr>
                              <a:xfrm>
                                <a:off x="0" y="0"/>
                                <a:ext cx="2679700" cy="295275"/>
                              </a:xfrm>
                              <a:prstGeom prst="leftArrow">
                                <a:avLst/>
                              </a:prstGeom>
                              <a:solidFill>
                                <a:srgbClr val="FAF050"/>
                              </a:solidFill>
                              <a:ln w="3175">
                                <a:solidFill>
                                  <a:sysClr val="windowText" lastClr="000000"/>
                                </a:solidFill>
                                <a:prstDash val="solid"/>
                              </a:ln>
                              <a:effectLst/>
                            </wps:spPr>
                            <wps:txbx>
                              <w:txbxContent>
                                <w:p w:rsidR="00441EB5" w:rsidP="00441EB5">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6" type="#_x0000_t66" style="width:211pt;height:23.25pt;margin-top:19.75pt;margin-left:-55.75pt;mso-height-percent:0;mso-height-relative:margin;mso-width-percent:0;mso-width-relative:margin;mso-wrap-distance-bottom:0;mso-wrap-distance-left:9pt;mso-wrap-distance-right:9pt;mso-wrap-distance-top:0;mso-wrap-style:square;position:absolute;visibility:visible;v-text-anchor:middle;z-index:251681792" adj="1190" fillcolor="#faf050" strokecolor="black" strokeweight="0.25pt">
                      <v:textbox>
                        <w:txbxContent>
                          <w:p w:rsidR="00441EB5" w:rsidP="00441EB5">
                            <w:pPr>
                              <w:jc w:val="center"/>
                            </w:pPr>
                          </w:p>
                        </w:txbxContent>
                      </v:textbox>
                    </v:shape>
                  </w:pict>
                </mc:Fallback>
              </mc:AlternateContent>
            </w:r>
          </w:p>
        </w:tc>
        <w:tc>
          <w:tcPr>
            <w:tcW w:w="1074" w:type="dxa"/>
            <w:vAlign w:val="center"/>
          </w:tcPr>
          <w:p w:rsidR="00441EB5" w:rsidRPr="00441EB5" w:rsidP="00441EB5">
            <w:pPr>
              <w:spacing w:after="200" w:line="288" w:lineRule="auto"/>
              <w:rPr>
                <w:rFonts w:ascii="Tahoma" w:eastAsia="Calibri" w:hAnsi="Tahoma" w:cs="Tahoma"/>
                <w:noProof/>
                <w:sz w:val="19"/>
                <w:szCs w:val="19"/>
                <w:rtl/>
              </w:rPr>
            </w:pPr>
          </w:p>
        </w:tc>
        <w:tc>
          <w:tcPr>
            <w:tcW w:w="1074" w:type="dxa"/>
            <w:vAlign w:val="center"/>
          </w:tcPr>
          <w:p w:rsidR="00441EB5" w:rsidRPr="00441EB5" w:rsidP="00441EB5">
            <w:pPr>
              <w:spacing w:after="200" w:line="288" w:lineRule="auto"/>
              <w:rPr>
                <w:rFonts w:ascii="Tahoma" w:eastAsia="Calibri" w:hAnsi="Tahoma" w:cs="Tahoma"/>
                <w:sz w:val="19"/>
                <w:szCs w:val="19"/>
                <w:rtl/>
              </w:rPr>
            </w:pPr>
          </w:p>
        </w:tc>
      </w:tr>
    </w:tbl>
    <w:p w:rsidR="00441EB5" w:rsidRPr="00441EB5" w:rsidP="00441EB5">
      <w:pPr>
        <w:spacing w:line="288" w:lineRule="auto"/>
        <w:rPr>
          <w:rFonts w:ascii="Tahoma" w:eastAsia="Calibri" w:hAnsi="Tahoma" w:cs="Tahoma"/>
          <w:sz w:val="22"/>
          <w:szCs w:val="22"/>
          <w:rtl/>
        </w:rPr>
      </w:pPr>
    </w:p>
    <w:p w:rsidR="00441EB5" w:rsidRPr="00441EB5" w:rsidP="00441EB5">
      <w:pPr>
        <w:spacing w:line="288" w:lineRule="auto"/>
        <w:rPr>
          <w:rFonts w:ascii="Tahoma" w:eastAsia="Calibri" w:hAnsi="Tahoma" w:cs="Tahoma"/>
          <w:sz w:val="22"/>
          <w:szCs w:val="22"/>
          <w:rtl/>
        </w:rPr>
      </w:pPr>
    </w:p>
    <w:p w:rsidR="00441EB5" w:rsidRPr="00441EB5" w:rsidP="00441EB5">
      <w:pPr>
        <w:spacing w:line="288" w:lineRule="auto"/>
        <w:rPr>
          <w:rFonts w:ascii="Tahoma" w:eastAsia="Calibri" w:hAnsi="Tahoma" w:cs="Tahoma"/>
          <w:sz w:val="22"/>
          <w:szCs w:val="22"/>
          <w:rtl/>
        </w:rPr>
      </w:pPr>
    </w:p>
    <w:p w:rsidR="00441EB5" w:rsidRPr="00441EB5" w:rsidP="00441EB5">
      <w:pPr>
        <w:spacing w:line="288" w:lineRule="auto"/>
        <w:rPr>
          <w:rFonts w:ascii="Tahoma" w:eastAsia="Calibri" w:hAnsi="Tahoma" w:cs="Tahoma"/>
          <w:sz w:val="22"/>
          <w:szCs w:val="22"/>
          <w:rtl/>
        </w:rPr>
      </w:pPr>
    </w:p>
    <w:p w:rsidR="00441EB5" w:rsidRPr="00441EB5" w:rsidP="00441EB5">
      <w:pPr>
        <w:spacing w:line="288" w:lineRule="auto"/>
        <w:rPr>
          <w:rFonts w:ascii="Tahoma" w:eastAsia="Calibri" w:hAnsi="Tahoma" w:cs="Tahoma"/>
          <w:sz w:val="22"/>
          <w:szCs w:val="22"/>
          <w:rtl/>
        </w:rPr>
      </w:pPr>
      <w:bookmarkStart w:id="3" w:name="_Hlk194838343"/>
      <w:r w:rsidRPr="00441EB5">
        <w:rPr>
          <w:rFonts w:ascii="Tahoma" w:eastAsia="Calibri" w:hAnsi="Tahoma" w:cs="Tahoma"/>
          <w:b/>
          <w:bCs/>
          <w:noProof/>
          <w:color w:val="FFFFFF"/>
          <w:sz w:val="22"/>
          <w:szCs w:val="22"/>
          <w:rtl/>
        </w:rPr>
        <w:drawing>
          <wp:anchor distT="0" distB="0" distL="114300" distR="114300" simplePos="0" relativeHeight="251682816" behindDoc="1" locked="0" layoutInCell="1" allowOverlap="1">
            <wp:simplePos x="0" y="0"/>
            <wp:positionH relativeFrom="margin">
              <wp:posOffset>1459865</wp:posOffset>
            </wp:positionH>
            <wp:positionV relativeFrom="paragraph">
              <wp:posOffset>-115570</wp:posOffset>
            </wp:positionV>
            <wp:extent cx="3895725" cy="596900"/>
            <wp:effectExtent l="0" t="0" r="9525" b="0"/>
            <wp:wrapNone/>
            <wp:docPr id="44" name="תמונה 44"/>
            <wp:cNvGraphicFramePr/>
            <a:graphic xmlns:a="http://schemas.openxmlformats.org/drawingml/2006/main">
              <a:graphicData uri="http://schemas.openxmlformats.org/drawingml/2006/picture">
                <pic:pic xmlns:pic="http://schemas.openxmlformats.org/drawingml/2006/picture">
                  <pic:nvPicPr>
                    <pic:cNvPr id="44" name="תקציר-03.png"/>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895725" cy="596900"/>
                    </a:xfrm>
                    <a:prstGeom prst="rect">
                      <a:avLst/>
                    </a:prstGeom>
                  </pic:spPr>
                </pic:pic>
              </a:graphicData>
            </a:graphic>
            <wp14:sizeRelH relativeFrom="page">
              <wp14:pctWidth>0</wp14:pctWidth>
            </wp14:sizeRelH>
            <wp14:sizeRelV relativeFrom="page">
              <wp14:pctHeight>0</wp14:pctHeight>
            </wp14:sizeRelV>
          </wp:anchor>
        </w:drawing>
      </w:r>
      <w:r w:rsidRPr="00441EB5">
        <w:rPr>
          <w:rFonts w:ascii="Tahoma" w:eastAsia="Calibri" w:hAnsi="Tahoma" w:cs="Tahoma"/>
          <w:b/>
          <w:bCs/>
          <w:noProof/>
          <w:color w:val="FFFFFF"/>
          <w:sz w:val="22"/>
          <w:szCs w:val="22"/>
          <w:rtl/>
        </w:rPr>
        <w:t>עיקרי הליקויים שעלו בדוח הקודם, לפי מידת תיקונם</w:t>
      </w:r>
      <w:bookmarkEnd w:id="3"/>
      <w:r w:rsidRPr="00441EB5">
        <w:rPr>
          <w:rFonts w:ascii="Tahoma" w:eastAsia="Calibri" w:hAnsi="Tahoma" w:cs="Tahoma"/>
          <w:b/>
          <w:bCs/>
          <w:noProof/>
          <w:color w:val="FFFFFF"/>
          <w:sz w:val="22"/>
          <w:szCs w:val="22"/>
          <w:rtl/>
        </w:rPr>
        <w:t xml:space="preserve"> </w:t>
      </w:r>
    </w:p>
    <w:p w:rsidR="00441EB5" w:rsidRPr="00441EB5" w:rsidP="00441EB5">
      <w:pPr>
        <w:spacing w:line="288" w:lineRule="auto"/>
        <w:jc w:val="center"/>
        <w:rPr>
          <w:rFonts w:ascii="Tahoma" w:eastAsia="Calibri" w:hAnsi="Tahoma" w:cs="Tahoma"/>
          <w:sz w:val="22"/>
          <w:szCs w:val="22"/>
          <w:rtl/>
        </w:rPr>
      </w:pPr>
    </w:p>
    <w:p w:rsidR="00441EB5" w:rsidRPr="00441EB5" w:rsidP="00441EB5">
      <w:pPr>
        <w:spacing w:line="288" w:lineRule="auto"/>
        <w:ind w:left="-851"/>
        <w:rPr>
          <w:rFonts w:ascii="Tahoma" w:eastAsia="Calibri" w:hAnsi="Tahoma" w:cs="Tahoma"/>
          <w:sz w:val="22"/>
          <w:szCs w:val="22"/>
          <w:rtl/>
        </w:rPr>
      </w:pPr>
    </w:p>
    <w:p w:rsidR="00F954E4" w:rsidP="0076799A">
      <w:pPr>
        <w:spacing w:line="288" w:lineRule="auto"/>
        <w:ind w:left="-851"/>
        <w:jc w:val="center"/>
        <w:rPr>
          <w:rFonts w:ascii="Calibri" w:hAnsi="Calibri" w:cs="Calibri"/>
          <w:b/>
          <w:bCs/>
          <w:color w:val="002060"/>
          <w:sz w:val="80"/>
          <w:szCs w:val="80"/>
        </w:rPr>
      </w:pPr>
      <w:bookmarkStart w:id="4" w:name="_GoBack"/>
      <w:r w:rsidRPr="00441EB5">
        <w:rPr>
          <w:rFonts w:ascii="Tahoma" w:eastAsia="Calibri" w:hAnsi="Tahoma" w:cs="Tahoma"/>
          <w:noProof/>
        </w:rPr>
        <w:drawing>
          <wp:inline distT="0" distB="0" distL="0" distR="0">
            <wp:extent cx="4994031" cy="4002258"/>
            <wp:effectExtent l="0" t="0" r="0" b="0"/>
            <wp:docPr id="35" name="תרשים 35" descr="לא תוקן 8%&#10;תוקן במידה מועטה 42%&#10;תוקן במידה חלקית 8%&#10;תוקן במידה רבה 25%&#10;תוקן באופן מלא 17%">
              <a:extLst xmlns:a="http://schemas.openxmlformats.org/drawingml/2006/main">
                <a:ext xmlns:a="http://schemas.openxmlformats.org/drawingml/2006/main"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bookmarkEnd w:id="4"/>
    </w:p>
    <w:sectPr w:rsidSect="006C2C6D">
      <w:headerReference w:type="first" r:id="rId22"/>
      <w:pgSz w:w="11906" w:h="16838"/>
      <w:pgMar w:top="1701" w:right="1985" w:bottom="1588" w:left="1701" w:header="709" w:footer="709"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22E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2186305</wp:posOffset>
              </wp:positionH>
              <wp:positionV relativeFrom="paragraph">
                <wp:posOffset>-1106170</wp:posOffset>
              </wp:positionV>
              <wp:extent cx="2959100" cy="273050"/>
              <wp:effectExtent l="0" t="0" r="0" b="0"/>
              <wp:wrapNone/>
              <wp:docPr id="10" name="תיבת טקסט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A222E2" w:rsidRPr="00A222E2" w:rsidP="00A222E2">
                          <w:pPr>
                            <w:jc w:val="center"/>
                            <w:rPr>
                              <w:rFonts w:ascii="Calibri" w:hAnsi="Calibri" w:cs="Calibri"/>
                              <w:color w:val="FFFFFF" w:themeColor="background1"/>
                              <w:spacing w:val="8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10" o:spid="_x0000_s2063" type="#_x0000_t202" style="width:233pt;height:21.5pt;margin-top:-87.1pt;margin-left:172.15pt;mso-position-horizontal-relative:page;mso-wrap-distance-bottom:0;mso-wrap-distance-left:9pt;mso-wrap-distance-right:9pt;mso-wrap-distance-top:0;mso-wrap-style:square;position:absolute;visibility:visible;v-text-anchor:top;z-index:251659264" filled="f" stroked="f" strokeweight="0.5pt">
              <v:textbox>
                <w:txbxContent>
                  <w:p w:rsidR="00A222E2" w:rsidRPr="00A222E2" w:rsidP="00A222E2">
                    <w:pPr>
                      <w:jc w:val="center"/>
                      <w:rPr>
                        <w:rFonts w:ascii="Calibri" w:hAnsi="Calibri" w:cs="Calibri"/>
                        <w:color w:val="FFFFFF" w:themeColor="background1"/>
                        <w:spacing w:val="8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2451B" w:rsidP="00C23CC9">
      <w:pPr>
        <w:spacing w:line="240" w:lineRule="auto"/>
      </w:pPr>
      <w:r>
        <w:separator/>
      </w:r>
    </w:p>
  </w:footnote>
  <w:footnote w:type="continuationSeparator" w:id="1">
    <w:p w:rsidR="0062451B" w:rsidP="00C23CC9">
      <w:pPr>
        <w:spacing w:line="240" w:lineRule="auto"/>
      </w:pPr>
      <w:r>
        <w:continuationSeparator/>
      </w:r>
    </w:p>
  </w:footnote>
  <w:footnote w:id="2">
    <w:p w:rsidR="00441EB5" w:rsidRPr="00F82F35" w:rsidP="0030386A">
      <w:pPr>
        <w:pStyle w:val="FootnoteText"/>
        <w:ind w:right="-851"/>
        <w:rPr>
          <w:rFonts w:ascii="Tahoma" w:hAnsi="Tahoma" w:cs="Tahoma"/>
          <w:sz w:val="16"/>
          <w:szCs w:val="16"/>
          <w:rtl/>
        </w:rPr>
      </w:pPr>
      <w:r w:rsidRPr="00F82F35">
        <w:rPr>
          <w:rStyle w:val="FootnoteReference1"/>
          <w:rFonts w:ascii="Tahoma" w:hAnsi="Tahoma" w:cs="Tahoma"/>
          <w:sz w:val="16"/>
          <w:szCs w:val="16"/>
        </w:rPr>
        <w:footnoteRef/>
      </w:r>
      <w:r w:rsidRPr="00F82F35">
        <w:rPr>
          <w:rFonts w:ascii="Tahoma" w:hAnsi="Tahoma" w:cs="Tahoma"/>
          <w:sz w:val="16"/>
          <w:szCs w:val="16"/>
          <w:rtl/>
        </w:rPr>
        <w:t xml:space="preserve"> </w:t>
      </w:r>
      <w:r w:rsidRPr="00F82F35">
        <w:rPr>
          <w:rFonts w:ascii="Tahoma" w:hAnsi="Tahoma" w:cs="Tahoma"/>
          <w:sz w:val="16"/>
          <w:szCs w:val="16"/>
          <w:rtl/>
        </w:rPr>
        <w:tab/>
        <w:t>"גזי חממה" - שם כולל לחומרים במצב צבירה של גז שנמצאים באטמוספרה ויכולים לבלוע או לפלוט קרינה אינפרא-אדומה, שידועה גם כקרינה תרמית.</w:t>
      </w:r>
    </w:p>
  </w:footnote>
  <w:footnote w:id="3">
    <w:p w:rsidR="00441EB5" w:rsidRPr="00F82F35" w:rsidP="00441EB5">
      <w:pPr>
        <w:pStyle w:val="FootnoteText"/>
        <w:rPr>
          <w:rFonts w:ascii="Tahoma" w:hAnsi="Tahoma" w:cs="Tahoma"/>
          <w:sz w:val="16"/>
          <w:szCs w:val="16"/>
        </w:rPr>
      </w:pPr>
      <w:r w:rsidRPr="00F82F35">
        <w:rPr>
          <w:rStyle w:val="FootnoteReference1"/>
          <w:rFonts w:ascii="Tahoma" w:hAnsi="Tahoma" w:cs="Tahoma"/>
          <w:sz w:val="16"/>
          <w:szCs w:val="16"/>
        </w:rPr>
        <w:footnoteRef/>
      </w:r>
      <w:r w:rsidRPr="00F82F35">
        <w:rPr>
          <w:rFonts w:ascii="Tahoma" w:hAnsi="Tahoma" w:cs="Tahoma"/>
          <w:sz w:val="16"/>
          <w:szCs w:val="16"/>
          <w:rtl/>
        </w:rPr>
        <w:t xml:space="preserve"> </w:t>
      </w:r>
      <w:r w:rsidRPr="00F82F35">
        <w:rPr>
          <w:rFonts w:ascii="Tahoma" w:hAnsi="Tahoma" w:cs="Tahoma"/>
          <w:sz w:val="16"/>
          <w:szCs w:val="16"/>
          <w:rtl/>
        </w:rPr>
        <w:tab/>
      </w:r>
      <w:r w:rsidRPr="00F82F35">
        <w:rPr>
          <w:rFonts w:ascii="Tahoma" w:hAnsi="Tahoma" w:cs="Tahoma"/>
          <w:sz w:val="16"/>
          <w:szCs w:val="16"/>
          <w:rtl/>
        </w:rPr>
        <w:t xml:space="preserve">מבקר המדינה, </w:t>
      </w:r>
      <w:r w:rsidRPr="00F82F35">
        <w:rPr>
          <w:rFonts w:ascii="Tahoma" w:hAnsi="Tahoma" w:cs="Tahoma"/>
          <w:b/>
          <w:bCs/>
          <w:sz w:val="16"/>
          <w:szCs w:val="16"/>
          <w:rtl/>
        </w:rPr>
        <w:t>דוח מבקר המדינה - ינואר 2024</w:t>
      </w:r>
      <w:r w:rsidRPr="00F82F35">
        <w:rPr>
          <w:rFonts w:ascii="Tahoma" w:hAnsi="Tahoma" w:cs="Tahoma"/>
          <w:sz w:val="16"/>
          <w:szCs w:val="16"/>
          <w:rtl/>
        </w:rPr>
        <w:t>, עמ' 179 - 355.</w:t>
      </w:r>
    </w:p>
  </w:footnote>
  <w:footnote w:id="4">
    <w:p w:rsidR="00441EB5" w:rsidRPr="00F82F35" w:rsidP="00441EB5">
      <w:pPr>
        <w:pStyle w:val="FootnoteText"/>
        <w:ind w:right="-567"/>
        <w:rPr>
          <w:rFonts w:ascii="Tahoma" w:hAnsi="Tahoma" w:cs="Tahoma"/>
          <w:sz w:val="16"/>
          <w:szCs w:val="16"/>
          <w:rtl/>
        </w:rPr>
      </w:pPr>
      <w:r w:rsidRPr="00F82F35">
        <w:rPr>
          <w:rStyle w:val="FootnoteReference1"/>
          <w:rFonts w:ascii="Tahoma" w:hAnsi="Tahoma" w:cs="Tahoma"/>
          <w:sz w:val="16"/>
          <w:szCs w:val="16"/>
        </w:rPr>
        <w:footnoteRef/>
      </w:r>
      <w:r w:rsidRPr="00F82F35">
        <w:rPr>
          <w:rFonts w:ascii="Tahoma" w:hAnsi="Tahoma" w:cs="Tahoma"/>
          <w:sz w:val="16"/>
          <w:szCs w:val="16"/>
          <w:rtl/>
        </w:rPr>
        <w:t xml:space="preserve"> </w:t>
      </w:r>
      <w:r w:rsidRPr="00F82F35">
        <w:rPr>
          <w:rFonts w:ascii="Tahoma" w:hAnsi="Tahoma" w:cs="Tahoma"/>
          <w:sz w:val="16"/>
          <w:szCs w:val="16"/>
          <w:rtl/>
        </w:rPr>
        <w:tab/>
      </w:r>
      <w:r w:rsidRPr="00F82F35">
        <w:rPr>
          <w:rFonts w:ascii="Tahoma" w:hAnsi="Tahoma" w:cs="Tahoma"/>
          <w:sz w:val="16"/>
          <w:szCs w:val="16"/>
          <w:rtl/>
        </w:rPr>
        <w:t>ממסמך של המשרד להגנ"ס מאוגוסט 2021 עולה כי העלות הכלכלית הכוללת של נזקי זיהום האוויר מתחבורה כבישית נאמדת בכ-7.2 מיליארד ש"ח (נכון על פי נתוני שנת 2018), ולכן 44% ממנה מסתכמים בכ-3.2 מיליארד ש"ח.</w:t>
      </w:r>
    </w:p>
  </w:footnote>
  <w:footnote w:id="5">
    <w:p w:rsidR="00441EB5" w:rsidRPr="00F82F35" w:rsidP="00441EB5">
      <w:pPr>
        <w:pStyle w:val="FootnoteText"/>
        <w:rPr>
          <w:rFonts w:ascii="Tahoma" w:hAnsi="Tahoma" w:cs="Tahoma"/>
          <w:sz w:val="16"/>
          <w:szCs w:val="16"/>
          <w:rtl/>
        </w:rPr>
      </w:pPr>
      <w:r w:rsidRPr="00F82F35">
        <w:rPr>
          <w:rStyle w:val="FootnoteReference1"/>
          <w:rFonts w:ascii="Tahoma" w:hAnsi="Tahoma" w:cs="Tahoma"/>
          <w:sz w:val="16"/>
          <w:szCs w:val="16"/>
        </w:rPr>
        <w:footnoteRef/>
      </w:r>
      <w:r w:rsidRPr="00F82F35">
        <w:rPr>
          <w:rFonts w:ascii="Tahoma" w:hAnsi="Tahoma" w:cs="Tahoma"/>
          <w:sz w:val="16"/>
          <w:szCs w:val="16"/>
          <w:rtl/>
        </w:rPr>
        <w:t xml:space="preserve"> </w:t>
      </w:r>
      <w:r w:rsidRPr="00F82F35">
        <w:rPr>
          <w:rFonts w:ascii="Tahoma" w:hAnsi="Tahoma" w:cs="Tahoma"/>
          <w:sz w:val="16"/>
          <w:szCs w:val="16"/>
          <w:rtl/>
        </w:rPr>
        <w:tab/>
      </w:r>
      <w:r w:rsidRPr="00F82F35">
        <w:rPr>
          <w:rFonts w:ascii="Tahoma" w:hAnsi="Tahoma" w:cs="Tahoma"/>
          <w:sz w:val="16"/>
          <w:szCs w:val="16"/>
          <w:rtl/>
        </w:rPr>
        <w:t>שינוי זה עוסק בין השאר בהתאמת תמ"א 18 למגמות הטכנולוגיות החדשות בענף הרכב, ובהן הרכבים המונעים באמצעות חשמל ונדרשים לטעינה חשמלית.</w:t>
      </w:r>
    </w:p>
  </w:footnote>
  <w:footnote w:id="6">
    <w:p w:rsidR="00441EB5" w:rsidRPr="00F82F35" w:rsidP="00441EB5">
      <w:pPr>
        <w:pStyle w:val="FootnoteText"/>
        <w:ind w:right="-567"/>
        <w:rPr>
          <w:rFonts w:ascii="Tahoma" w:hAnsi="Tahoma" w:cs="Tahoma"/>
          <w:sz w:val="16"/>
          <w:szCs w:val="16"/>
          <w:rtl/>
        </w:rPr>
      </w:pPr>
      <w:r w:rsidRPr="00F82F35">
        <w:rPr>
          <w:rStyle w:val="FootnoteReference1"/>
          <w:rFonts w:ascii="Tahoma" w:hAnsi="Tahoma" w:cs="Tahoma"/>
          <w:sz w:val="16"/>
          <w:szCs w:val="16"/>
        </w:rPr>
        <w:footnoteRef/>
      </w:r>
      <w:r w:rsidRPr="00F82F35">
        <w:rPr>
          <w:rFonts w:ascii="Tahoma" w:hAnsi="Tahoma" w:cs="Tahoma"/>
          <w:sz w:val="16"/>
          <w:szCs w:val="16"/>
          <w:rtl/>
        </w:rPr>
        <w:t xml:space="preserve"> </w:t>
      </w:r>
      <w:r w:rsidRPr="00F82F35">
        <w:rPr>
          <w:rFonts w:ascii="Tahoma" w:hAnsi="Tahoma" w:cs="Tahoma"/>
          <w:sz w:val="16"/>
          <w:szCs w:val="16"/>
          <w:rtl/>
        </w:rPr>
        <w:tab/>
      </w:r>
      <w:r w:rsidRPr="00F82F35">
        <w:rPr>
          <w:rFonts w:ascii="Tahoma" w:hAnsi="Tahoma" w:cs="Tahoma"/>
          <w:sz w:val="16"/>
          <w:szCs w:val="16"/>
          <w:rtl/>
        </w:rPr>
        <w:t>מסמך משותף שכותרתו הוא "איפוס פליטות בענף ההובלה במשאיות: רקע, מצב השוק ואתגרים"</w:t>
      </w:r>
      <w:r w:rsidRPr="00F82F35">
        <w:rPr>
          <w:rFonts w:ascii="Tahoma" w:hAnsi="Tahoma" w:cs="Tahoma"/>
          <w:b/>
          <w:bCs/>
          <w:sz w:val="16"/>
          <w:szCs w:val="16"/>
          <w:rtl/>
        </w:rPr>
        <w:t xml:space="preserve"> -</w:t>
      </w:r>
      <w:r w:rsidRPr="00F82F35">
        <w:rPr>
          <w:rFonts w:ascii="Tahoma" w:hAnsi="Tahoma" w:cs="Tahoma"/>
          <w:sz w:val="16"/>
          <w:szCs w:val="16"/>
          <w:rtl/>
        </w:rPr>
        <w:t xml:space="preserve"> סיכום ותובנות של ועדת מומחים ומומחיות (2025). ועדת מומחים לפי מסמך זה, היא "ועדת המומחים להפחתת פליטות בענף ההובלה במשאיות היא מיזם משותף של האגודה הישראלית לאקולוגיה ולמדעי הסביבה ושל לשכת המדענית הראשית במשרד להגנת הסביבה, ובשיתוף רשות המיסים, משרד התחבורה והבטיחות בדרכים, משרד האנרגיה והתשתיות ומשרד האוצר. שיאה של הוועדה היה יום דיונים שהתקיים בינואר 2025 וכלל סדנת שולחנות עגולים שכינסה תחת קורת גג אחת חוקרים וחוקרות מובילים מתחומים רלוונטיים לצד נציגי ממשלה, יבואני משאיות, מנהלי ציי משאיות ונציגים ממועצת המובילים. מטרת ההתכנסות והדו"ח היא להגביר את שיתוף הפעולה בין משרדי הממשלה השונים ובין הממשלה לנציגים מענף המשאיות ולהפגיש אותם עם המומחיות של חוקרים מהאקדמיה".</w:t>
      </w:r>
    </w:p>
  </w:footnote>
  <w:footnote w:id="7">
    <w:p w:rsidR="00441EB5" w:rsidRPr="00F82F35" w:rsidP="00441EB5">
      <w:pPr>
        <w:pStyle w:val="FootnoteText"/>
        <w:ind w:right="-851"/>
        <w:rPr>
          <w:rFonts w:ascii="Tahoma" w:hAnsi="Tahoma" w:cs="Tahoma"/>
          <w:sz w:val="16"/>
          <w:szCs w:val="16"/>
          <w:rtl/>
        </w:rPr>
      </w:pPr>
      <w:r w:rsidRPr="00F82F35">
        <w:rPr>
          <w:rStyle w:val="FootnoteReference1"/>
          <w:rFonts w:ascii="Tahoma" w:hAnsi="Tahoma" w:cs="Tahoma"/>
          <w:sz w:val="16"/>
          <w:szCs w:val="16"/>
        </w:rPr>
        <w:footnoteRef/>
      </w:r>
      <w:r w:rsidRPr="00F82F35">
        <w:rPr>
          <w:rFonts w:ascii="Tahoma" w:hAnsi="Tahoma" w:cs="Tahoma"/>
          <w:sz w:val="16"/>
          <w:szCs w:val="16"/>
          <w:rtl/>
        </w:rPr>
        <w:t xml:space="preserve"> </w:t>
      </w:r>
      <w:r w:rsidRPr="00F82F35">
        <w:rPr>
          <w:rFonts w:ascii="Tahoma" w:hAnsi="Tahoma" w:cs="Tahoma"/>
          <w:sz w:val="16"/>
          <w:szCs w:val="16"/>
          <w:rtl/>
        </w:rPr>
        <w:tab/>
      </w:r>
      <w:r w:rsidRPr="00F82F35">
        <w:rPr>
          <w:rFonts w:ascii="Tahoma" w:hAnsi="Tahoma" w:cs="Tahoma"/>
          <w:sz w:val="16"/>
          <w:szCs w:val="16"/>
          <w:rtl/>
        </w:rPr>
        <w:t>רגולציית תשתיות הדלק האלטרנטיבי (</w:t>
      </w:r>
      <w:r w:rsidRPr="00F82F35">
        <w:rPr>
          <w:rFonts w:ascii="Tahoma" w:hAnsi="Tahoma" w:cs="Tahoma"/>
          <w:sz w:val="16"/>
          <w:szCs w:val="16"/>
        </w:rPr>
        <w:t xml:space="preserve">AFIR </w:t>
      </w:r>
      <w:r>
        <w:rPr>
          <w:rFonts w:ascii="Tahoma" w:hAnsi="Tahoma" w:cs="Tahoma"/>
          <w:sz w:val="16"/>
          <w:szCs w:val="16"/>
        </w:rPr>
        <w:t>-</w:t>
      </w:r>
      <w:r w:rsidRPr="00F82F35">
        <w:rPr>
          <w:rFonts w:ascii="Tahoma" w:hAnsi="Tahoma" w:cs="Tahoma"/>
          <w:sz w:val="16"/>
          <w:szCs w:val="16"/>
        </w:rPr>
        <w:t xml:space="preserve"> Deployment of alternative fuels infrastructure</w:t>
      </w:r>
      <w:r w:rsidRPr="00F82F35">
        <w:rPr>
          <w:rFonts w:ascii="Tahoma" w:hAnsi="Tahoma" w:cs="Tahoma"/>
          <w:sz w:val="16"/>
          <w:szCs w:val="16"/>
          <w:rtl/>
        </w:rPr>
        <w:t xml:space="preserve">) היא רגולציה 2023/1804 של הפרלמנט האירופי והמועצה האירופית שהחליפה את הדירקטיבה האירופית 2014/94 </w:t>
      </w:r>
      <w:r w:rsidRPr="00F82F35">
        <w:rPr>
          <w:rFonts w:ascii="Tahoma" w:hAnsi="Tahoma" w:cs="Tahoma"/>
          <w:sz w:val="16"/>
          <w:szCs w:val="16"/>
        </w:rPr>
        <w:t>EU</w:t>
      </w:r>
      <w:r w:rsidRPr="00F82F35">
        <w:rPr>
          <w:rFonts w:ascii="Tahoma" w:hAnsi="Tahoma" w:cs="Tahoma"/>
          <w:sz w:val="16"/>
          <w:szCs w:val="16"/>
          <w:rtl/>
        </w:rPr>
        <w:t xml:space="preserve">. הרגולציה נכנסה לתוקף </w:t>
      </w:r>
      <w:r>
        <w:rPr>
          <w:rFonts w:ascii="Tahoma" w:hAnsi="Tahoma" w:cs="Tahoma"/>
          <w:sz w:val="16"/>
          <w:szCs w:val="16"/>
          <w:rtl/>
        </w:rPr>
        <w:br/>
      </w:r>
      <w:r w:rsidRPr="00F82F35">
        <w:rPr>
          <w:rFonts w:ascii="Tahoma" w:hAnsi="Tahoma" w:cs="Tahoma"/>
          <w:sz w:val="16"/>
          <w:szCs w:val="16"/>
          <w:rtl/>
        </w:rPr>
        <w:t>ב-13.4.24.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rsidRPr="0062451B" w:rsidP="001F4412">
    <w:pPr>
      <w:pStyle w:val="Header"/>
      <w:tabs>
        <w:tab w:val="clear" w:pos="8306"/>
        <w:tab w:val="right" w:pos="8504"/>
      </w:tabs>
      <w:ind w:right="-709"/>
      <w:jc w:val="right"/>
      <w:rPr>
        <w:rFonts w:asciiTheme="minorHAnsi" w:hAnsiTheme="minorHAnsi" w:cstheme="minorHAnsi"/>
        <w:color w:val="002060"/>
        <w:szCs w:val="20"/>
      </w:rPr>
    </w:pP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6432" behindDoc="0" locked="0" layoutInCell="1" allowOverlap="1">
              <wp:simplePos x="0" y="0"/>
              <wp:positionH relativeFrom="margin">
                <wp:posOffset>2850515</wp:posOffset>
              </wp:positionH>
              <wp:positionV relativeFrom="paragraph">
                <wp:posOffset>216535</wp:posOffset>
              </wp:positionV>
              <wp:extent cx="3173730" cy="285750"/>
              <wp:effectExtent l="0" t="0" r="0" b="0"/>
              <wp:wrapSquare wrapText="bothSides"/>
              <wp:docPr id="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73730" cy="285750"/>
                      </a:xfrm>
                      <a:prstGeom prst="rect">
                        <a:avLst/>
                      </a:prstGeom>
                      <a:noFill/>
                      <a:ln w="9525">
                        <a:noFill/>
                        <a:miter lim="800000"/>
                        <a:headEnd/>
                        <a:tailEnd/>
                      </a:ln>
                    </wps:spPr>
                    <wps:txbx>
                      <w:txbxContent>
                        <w:p w:rsidR="001E204F" w:rsidRPr="001E204F" w:rsidP="00354F9A">
                          <w:pPr>
                            <w:rPr>
                              <w:rFonts w:ascii="Calibri" w:hAnsi="Calibri" w:cs="Calibri"/>
                              <w:color w:val="002060"/>
                              <w:szCs w:val="20"/>
                              <w:rtl/>
                            </w:rPr>
                          </w:pPr>
                          <w:r w:rsidRPr="00441EB5">
                            <w:rPr>
                              <w:rFonts w:ascii="Calibri" w:hAnsi="Calibri" w:cs="Calibri"/>
                              <w:color w:val="002060"/>
                              <w:szCs w:val="20"/>
                              <w:rtl/>
                            </w:rPr>
                            <w:t>זיהום אוויר מכלי רכב וכניסת כלי רכב חשמליים - ביקורת מעקב</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2049" type="#_x0000_t202" style="width:249.9pt;height:22.5pt;margin-top:17.05pt;margin-left:224.4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7456" filled="f" stroked="f">
              <v:textbox>
                <w:txbxContent>
                  <w:p w:rsidR="001E204F" w:rsidRPr="001E204F" w:rsidP="00354F9A">
                    <w:pPr>
                      <w:rPr>
                        <w:rFonts w:ascii="Calibri" w:hAnsi="Calibri" w:cs="Calibri"/>
                        <w:color w:val="002060"/>
                        <w:szCs w:val="20"/>
                        <w:rtl/>
                      </w:rPr>
                    </w:pPr>
                    <w:r w:rsidRPr="00441EB5">
                      <w:rPr>
                        <w:rFonts w:ascii="Calibri" w:hAnsi="Calibri" w:cs="Calibri"/>
                        <w:color w:val="002060"/>
                        <w:szCs w:val="20"/>
                        <w:rtl/>
                      </w:rPr>
                      <w:t>זיהום אוויר מכלי רכב וכניסת כלי רכב חשמליים - ביקורת מעקב</w:t>
                    </w:r>
                  </w:p>
                </w:txbxContent>
              </v:textbox>
              <w10:wrap type="square"/>
            </v:shape>
          </w:pict>
        </mc:Fallback>
      </mc:AlternateContent>
    </w:r>
    <w:r w:rsidR="00F954E4">
      <w:rPr>
        <w:rFonts w:asciiTheme="minorHAnsi" w:hAnsiTheme="minorHAnsi" w:cstheme="minorHAnsi"/>
        <w:noProof/>
        <w:color w:val="002060"/>
        <w:szCs w:val="20"/>
        <w:rtl/>
        <w:lang w:val="he-IL"/>
      </w:rPr>
      <mc:AlternateContent>
        <mc:Choice Requires="wps">
          <w:drawing>
            <wp:anchor distT="0" distB="0" distL="114300" distR="114300" simplePos="0" relativeHeight="251660288"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4" name="מחבר ישר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4" o:spid="_x0000_s2050" style="flip:y;mso-height-percent:0;mso-height-relative:margin;mso-width-percent:0;mso-width-relative:margin;mso-wrap-distance-bottom:0;mso-wrap-distance-left:9pt;mso-wrap-distance-right:9pt;mso-wrap-distance-top:0;mso-wrap-style:square;position:absolute;visibility:visible;z-index:251661312" from="-38.2pt,17.45pt" to="468.45pt,17.45pt" strokecolor="#4579b8"/>
          </w:pict>
        </mc:Fallback>
      </mc:AlternateContent>
    </w:r>
    <w:r w:rsidRPr="0062451B" w:rsidR="00F954E4">
      <w:rPr>
        <w:rFonts w:asciiTheme="minorHAnsi" w:hAnsiTheme="minorHAnsi" w:cs="Times New Roman"/>
        <w:noProof/>
        <w:color w:val="002060"/>
        <w:szCs w:val="20"/>
        <w:rtl/>
      </w:rPr>
      <mc:AlternateContent>
        <mc:Choice Requires="wps">
          <w:drawing>
            <wp:anchor distT="45720" distB="45720" distL="114300" distR="114300" simplePos="0" relativeHeight="251664384"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2451B" w:rsidRPr="0062451B" w:rsidP="0062451B">
                          <w:pPr>
                            <w:jc w:val="right"/>
                            <w:rPr>
                              <w:rFonts w:ascii="Calibri" w:hAnsi="Calibri" w:cs="Calibri"/>
                              <w:color w:val="002060"/>
                              <w:szCs w:val="20"/>
                              <w:rtl/>
                            </w:rPr>
                          </w:pPr>
                          <w:r>
                            <w:rPr>
                              <w:rFonts w:ascii="Calibri" w:hAnsi="Calibri" w:cs="Calibri" w:hint="cs"/>
                              <w:color w:val="002060"/>
                              <w:szCs w:val="20"/>
                              <w:rtl/>
                            </w:rPr>
                            <w:t>תמוז</w:t>
                          </w:r>
                          <w:r w:rsidRPr="00D125D2" w:rsidR="00B4321D">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D125D2" w:rsidR="001E204F">
                            <w:rPr>
                              <w:rFonts w:asciiTheme="minorHAnsi" w:hAnsiTheme="minorHAnsi" w:cstheme="minorHAnsi"/>
                              <w:color w:val="002060"/>
                              <w:spacing w:val="20"/>
                              <w:sz w:val="22"/>
                              <w:szCs w:val="22"/>
                            </w:rPr>
                            <w:t xml:space="preserve"> </w:t>
                          </w:r>
                          <w:r w:rsidRPr="00D125D2" w:rsidR="001E204F">
                            <w:rPr>
                              <w:rFonts w:ascii="Wingdings" w:hAnsi="Wingdings" w:cstheme="minorHAnsi"/>
                              <w:color w:val="002060"/>
                              <w:spacing w:val="20"/>
                              <w:sz w:val="22"/>
                              <w:szCs w:val="22"/>
                            </w:rPr>
                            <w:sym w:font="Wingdings" w:char="F0A7"/>
                          </w:r>
                          <w:r w:rsidR="00D125D2">
                            <w:rPr>
                              <w:rFonts w:ascii="Calibri" w:hAnsi="Calibri" w:cs="Calibri" w:hint="cs"/>
                              <w:color w:val="002060"/>
                              <w:szCs w:val="20"/>
                              <w:rtl/>
                            </w:rPr>
                            <w:t>יוני</w:t>
                          </w:r>
                          <w:r w:rsidRPr="00D125D2" w:rsidR="0039415D">
                            <w:rPr>
                              <w:rFonts w:ascii="Calibri" w:hAnsi="Calibri" w:cs="Calibri" w:hint="cs"/>
                              <w:color w:val="002060"/>
                              <w:szCs w:val="20"/>
                              <w:rtl/>
                            </w:rPr>
                            <w:t xml:space="preserve"> 202</w:t>
                          </w:r>
                          <w:r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1"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51072" filled="f" stroked="f">
              <v:textbox>
                <w:txbxContent>
                  <w:p w:rsidR="0062451B" w:rsidRPr="0062451B" w:rsidP="0062451B">
                    <w:pPr>
                      <w:jc w:val="right"/>
                      <w:rPr>
                        <w:rFonts w:ascii="Calibri" w:hAnsi="Calibri" w:cs="Calibri"/>
                        <w:color w:val="002060"/>
                        <w:szCs w:val="20"/>
                        <w:rtl/>
                      </w:rPr>
                    </w:pPr>
                    <w:r>
                      <w:rPr>
                        <w:rFonts w:ascii="Calibri" w:hAnsi="Calibri" w:cs="Calibri" w:hint="cs"/>
                        <w:color w:val="002060"/>
                        <w:szCs w:val="20"/>
                        <w:rtl/>
                      </w:rPr>
                      <w:t>תמוז</w:t>
                    </w:r>
                    <w:r w:rsidRPr="00D125D2" w:rsidR="00B4321D">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D125D2" w:rsidR="001E204F">
                      <w:rPr>
                        <w:rFonts w:asciiTheme="minorHAnsi" w:hAnsiTheme="minorHAnsi" w:cstheme="minorHAnsi"/>
                        <w:color w:val="002060"/>
                        <w:spacing w:val="20"/>
                        <w:sz w:val="22"/>
                        <w:szCs w:val="22"/>
                      </w:rPr>
                      <w:t xml:space="preserve"> </w:t>
                    </w:r>
                    <w:r w:rsidRPr="00D125D2" w:rsidR="001E204F">
                      <w:rPr>
                        <w:rFonts w:ascii="Wingdings" w:hAnsi="Wingdings" w:cstheme="minorHAnsi"/>
                        <w:color w:val="002060"/>
                        <w:spacing w:val="20"/>
                        <w:sz w:val="22"/>
                        <w:szCs w:val="22"/>
                      </w:rPr>
                      <w:sym w:font="Wingdings" w:char="F0A7"/>
                    </w:r>
                    <w:r w:rsidR="00D125D2">
                      <w:rPr>
                        <w:rFonts w:ascii="Calibri" w:hAnsi="Calibri" w:cs="Calibri" w:hint="cs"/>
                        <w:color w:val="002060"/>
                        <w:szCs w:val="20"/>
                        <w:rtl/>
                      </w:rPr>
                      <w:t>יוני</w:t>
                    </w:r>
                    <w:r w:rsidRPr="00D125D2" w:rsidR="0039415D">
                      <w:rPr>
                        <w:rFonts w:ascii="Calibri" w:hAnsi="Calibri" w:cs="Calibri" w:hint="cs"/>
                        <w:color w:val="002060"/>
                        <w:szCs w:val="20"/>
                        <w:rtl/>
                      </w:rPr>
                      <w:t xml:space="preserve"> 202</w:t>
                    </w:r>
                    <w:r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62451B" w:rsidR="001F4412">
      <w:rPr>
        <w:rFonts w:asciiTheme="minorHAnsi" w:hAnsiTheme="minorHAnsi" w:cs="Times New Roman"/>
        <w:noProof/>
        <w:color w:val="002060"/>
        <w:szCs w:val="20"/>
        <w:rtl/>
      </w:rPr>
      <mc:AlternateContent>
        <mc:Choice Requires="wps">
          <w:drawing>
            <wp:anchor distT="45720" distB="45720" distL="114300" distR="114300" simplePos="0" relativeHeight="251662336" behindDoc="0" locked="0" layoutInCell="1" allowOverlap="1">
              <wp:simplePos x="0" y="0"/>
              <wp:positionH relativeFrom="column">
                <wp:posOffset>2854325</wp:posOffset>
              </wp:positionH>
              <wp:positionV relativeFrom="paragraph">
                <wp:posOffset>-100965</wp:posOffset>
              </wp:positionV>
              <wp:extent cx="3164205" cy="285750"/>
              <wp:effectExtent l="0" t="0" r="0" b="0"/>
              <wp:wrapSquare wrapText="bothSides"/>
              <wp:docPr id="2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2451B" w:rsidRPr="0062451B">
                          <w:pPr>
                            <w:rPr>
                              <w:rFonts w:ascii="Calibri" w:hAnsi="Calibri" w:cs="Calibri"/>
                              <w:color w:val="002060"/>
                              <w:sz w:val="22"/>
                              <w:szCs w:val="22"/>
                              <w:rtl/>
                            </w:rPr>
                          </w:pPr>
                          <w:r w:rsidRPr="0062451B">
                            <w:rPr>
                              <w:rFonts w:ascii="Calibri" w:hAnsi="Calibri" w:cs="Calibri"/>
                              <w:color w:val="002060"/>
                              <w:sz w:val="22"/>
                              <w:szCs w:val="22"/>
                              <w:rtl/>
                            </w:rPr>
                            <w:t xml:space="preserve">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009802D2">
                            <w:rPr>
                              <w:rFonts w:ascii="Calibri" w:hAnsi="Calibri" w:cs="Calibri" w:hint="cs"/>
                              <w:color w:val="002060"/>
                              <w:sz w:val="22"/>
                              <w:szCs w:val="22"/>
                              <w:rtl/>
                            </w:rPr>
                            <w:t xml:space="preserve">| דוח </w:t>
                          </w:r>
                          <w:r w:rsidR="005A2731">
                            <w:rPr>
                              <w:rFonts w:ascii="Calibri" w:hAnsi="Calibri" w:cs="Calibri" w:hint="cs"/>
                              <w:color w:val="002060"/>
                              <w:sz w:val="22"/>
                              <w:szCs w:val="22"/>
                              <w:rtl/>
                            </w:rPr>
                            <w:t>מיוחד בתחום ה</w:t>
                          </w:r>
                          <w:r w:rsidR="009802D2">
                            <w:rPr>
                              <w:rFonts w:ascii="Calibri" w:hAnsi="Calibri" w:cs="Calibri" w:hint="cs"/>
                              <w:color w:val="002060"/>
                              <w:sz w:val="22"/>
                              <w:szCs w:val="22"/>
                              <w:rtl/>
                            </w:rPr>
                            <w:t>כלכלי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2" type="#_x0000_t202" style="width:249.15pt;height:22.5pt;margin-top:-7.95pt;margin-left:224.75pt;flip:x;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62451B" w:rsidRPr="0062451B">
                    <w:pPr>
                      <w:rPr>
                        <w:rFonts w:ascii="Calibri" w:hAnsi="Calibri" w:cs="Calibri"/>
                        <w:color w:val="002060"/>
                        <w:sz w:val="22"/>
                        <w:szCs w:val="22"/>
                        <w:rtl/>
                      </w:rPr>
                    </w:pPr>
                    <w:r w:rsidRPr="0062451B">
                      <w:rPr>
                        <w:rFonts w:ascii="Calibri" w:hAnsi="Calibri" w:cs="Calibri"/>
                        <w:color w:val="002060"/>
                        <w:sz w:val="22"/>
                        <w:szCs w:val="22"/>
                        <w:rtl/>
                      </w:rPr>
                      <w:t xml:space="preserve">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009802D2">
                      <w:rPr>
                        <w:rFonts w:ascii="Calibri" w:hAnsi="Calibri" w:cs="Calibri" w:hint="cs"/>
                        <w:color w:val="002060"/>
                        <w:sz w:val="22"/>
                        <w:szCs w:val="22"/>
                        <w:rtl/>
                      </w:rPr>
                      <w:t xml:space="preserve">| דוח </w:t>
                    </w:r>
                    <w:r w:rsidR="005A2731">
                      <w:rPr>
                        <w:rFonts w:ascii="Calibri" w:hAnsi="Calibri" w:cs="Calibri" w:hint="cs"/>
                        <w:color w:val="002060"/>
                        <w:sz w:val="22"/>
                        <w:szCs w:val="22"/>
                        <w:rtl/>
                      </w:rPr>
                      <w:t>מיוחד בתחום ה</w:t>
                    </w:r>
                    <w:r w:rsidR="009802D2">
                      <w:rPr>
                        <w:rFonts w:ascii="Calibri" w:hAnsi="Calibri" w:cs="Calibri" w:hint="cs"/>
                        <w:color w:val="002060"/>
                        <w:sz w:val="22"/>
                        <w:szCs w:val="22"/>
                        <w:rtl/>
                      </w:rPr>
                      <w:t>כלכלי</w:t>
                    </w:r>
                  </w:p>
                </w:txbxContent>
              </v:textbox>
              <w10:wrap type="square"/>
            </v:shape>
          </w:pict>
        </mc:Fallback>
      </mc:AlternateConten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pPr>
      <w:pStyle w:val="Header"/>
    </w:pPr>
    <w:r>
      <w:rPr>
        <w:noProof/>
      </w:rPr>
      <mc:AlternateContent>
        <mc:Choice Requires="wpg">
          <w:drawing>
            <wp:anchor distT="0" distB="0" distL="114300" distR="114300" simplePos="0" relativeHeight="251658240" behindDoc="0" locked="0" layoutInCell="1" allowOverlap="1">
              <wp:simplePos x="0" y="0"/>
              <wp:positionH relativeFrom="margin">
                <wp:posOffset>1100357</wp:posOffset>
              </wp:positionH>
              <wp:positionV relativeFrom="paragraph">
                <wp:posOffset>-457249</wp:posOffset>
              </wp:positionV>
              <wp:extent cx="2959100" cy="10690225"/>
              <wp:effectExtent l="0" t="0" r="0" b="0"/>
              <wp:wrapNone/>
              <wp:docPr id="52" name="קבוצה 52"/>
              <wp:cNvGraphicFramePr/>
              <a:graphic xmlns:a="http://schemas.openxmlformats.org/drawingml/2006/main">
                <a:graphicData uri="http://schemas.microsoft.com/office/word/2010/wordprocessingGroup">
                  <wpg:wgp xmlns:wpg="http://schemas.microsoft.com/office/word/2010/wordprocessingGroup">
                    <wpg:cNvGrpSpPr/>
                    <wpg:grpSpPr>
                      <a:xfrm>
                        <a:off x="0" y="0"/>
                        <a:ext cx="2959100" cy="10690225"/>
                        <a:chOff x="-31604" y="0"/>
                        <a:chExt cx="2959100" cy="10690225"/>
                      </a:xfrm>
                    </wpg:grpSpPr>
                    <wpg:grpSp>
                      <wpg:cNvPr id="53" name="קבוצה 53"/>
                      <wpg:cNvGrpSpPr/>
                      <wpg:grpSpPr>
                        <a:xfrm>
                          <a:off x="-31604" y="0"/>
                          <a:ext cx="2959100" cy="3009900"/>
                          <a:chOff x="-31604" y="0"/>
                          <a:chExt cx="2959100" cy="3009900"/>
                        </a:xfrm>
                      </wpg:grpSpPr>
                      <wps:wsp xmlns:wps="http://schemas.microsoft.com/office/word/2010/wordprocessingShape">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pic:pic xmlns:pic="http://schemas.openxmlformats.org/drawingml/2006/picture">
                        <pic:nvPicPr>
                          <pic:cNvPr id="55" name="גרפיקה 55"/>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038225" y="1438275"/>
                            <a:ext cx="871220" cy="570865"/>
                          </a:xfrm>
                          <a:prstGeom prst="rect">
                            <a:avLst/>
                          </a:prstGeom>
                        </pic:spPr>
                      </pic:pic>
                      <wps:wsp xmlns:wps="http://schemas.microsoft.com/office/word/2010/wordprocessingShape">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7" name="תיבת טקסט 57"/>
                        <wps:cNvSpPr txBox="1"/>
                        <wps:spPr>
                          <a:xfrm>
                            <a:off x="-31604" y="2544055"/>
                            <a:ext cx="2959100" cy="273050"/>
                          </a:xfrm>
                          <a:prstGeom prst="rect">
                            <a:avLst/>
                          </a:prstGeom>
                          <a:noFill/>
                          <a:ln w="6350">
                            <a:noFill/>
                          </a:ln>
                        </wps:spPr>
                        <wps:txbx>
                          <w:txbxContent>
                            <w:p w:rsidR="0062451B"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grpSp>
                    <wpg:grpSp>
                      <wpg:cNvPr id="58" name="קבוצה 58"/>
                      <wpg:cNvGrpSpPr/>
                      <wpg:grpSpPr>
                        <a:xfrm>
                          <a:off x="219075" y="8324850"/>
                          <a:ext cx="2512060" cy="2365375"/>
                          <a:chOff x="0" y="0"/>
                          <a:chExt cx="2512060" cy="2365375"/>
                        </a:xfrm>
                      </wpg:grpSpPr>
                      <wps:wsp xmlns:wps="http://schemas.microsoft.com/office/word/2010/wordprocessingShape">
                        <wps:cNvPr id="59" name="tbMMHF"/>
                        <wps:cNvSpPr txBox="1"/>
                        <wps:spPr>
                          <a:xfrm>
                            <a:off x="0" y="180975"/>
                            <a:ext cx="2512060" cy="304800"/>
                          </a:xfrm>
                          <a:prstGeom prst="rect">
                            <a:avLst/>
                          </a:prstGeom>
                          <a:solidFill>
                            <a:schemeClr val="bg1"/>
                          </a:solidFill>
                          <a:ln w="6350">
                            <a:noFill/>
                          </a:ln>
                        </wps:spPr>
                        <wps:txbx>
                          <w:txbxContent>
                            <w:p w:rsidR="0062451B" w:rsidRPr="0062451B" w:rsidP="0062451B">
                              <w:pPr>
                                <w:spacing w:line="240" w:lineRule="auto"/>
                                <w:jc w:val="center"/>
                                <w:rPr>
                                  <w:rFonts w:asciiTheme="minorHAnsi" w:hAnsiTheme="minorHAnsi" w:cstheme="minorHAnsi"/>
                                  <w:color w:val="002060"/>
                                  <w:spacing w:val="20"/>
                                  <w:sz w:val="22"/>
                                  <w:szCs w:val="22"/>
                                  <w:rtl/>
                                </w:rPr>
                              </w:pP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tl/>
                                </w:rPr>
                                <w:t xml:space="preserve"> </w:t>
                              </w:r>
                              <w:r w:rsidR="009802D2">
                                <w:rPr>
                                  <w:rFonts w:asciiTheme="minorHAnsi" w:hAnsiTheme="minorHAnsi" w:cstheme="minorHAnsi" w:hint="cs"/>
                                  <w:color w:val="002060"/>
                                  <w:spacing w:val="20"/>
                                  <w:sz w:val="22"/>
                                  <w:szCs w:val="22"/>
                                  <w:rtl/>
                                </w:rPr>
                                <w:t>תמוז</w:t>
                              </w:r>
                              <w:r w:rsidRPr="00D125D2">
                                <w:rPr>
                                  <w:rFonts w:asciiTheme="minorHAnsi" w:hAnsiTheme="minorHAnsi" w:cstheme="minorHAnsi"/>
                                  <w:color w:val="002060"/>
                                  <w:spacing w:val="20"/>
                                  <w:sz w:val="22"/>
                                  <w:szCs w:val="22"/>
                                  <w:rtl/>
                                </w:rPr>
                                <w:t xml:space="preserve"> התשפ"</w:t>
                              </w:r>
                              <w:r w:rsidRPr="00D125D2" w:rsidR="00D05C85">
                                <w:rPr>
                                  <w:rFonts w:asciiTheme="minorHAnsi" w:hAnsiTheme="minorHAnsi" w:cstheme="minorHAnsi" w:hint="cs"/>
                                  <w:color w:val="002060"/>
                                  <w:spacing w:val="20"/>
                                  <w:sz w:val="22"/>
                                  <w:szCs w:val="22"/>
                                  <w:rtl/>
                                </w:rPr>
                                <w:t>ו</w:t>
                              </w:r>
                              <w:r w:rsidRPr="00D125D2">
                                <w:rPr>
                                  <w:rFonts w:asciiTheme="minorHAnsi" w:hAnsiTheme="minorHAnsi" w:cstheme="minorHAnsi"/>
                                  <w:color w:val="002060"/>
                                  <w:spacing w:val="20"/>
                                  <w:sz w:val="22"/>
                                  <w:szCs w:val="22"/>
                                  <w:rtl/>
                                </w:rPr>
                                <w:t xml:space="preserve">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sidR="00D125D2">
                                <w:rPr>
                                  <w:rFonts w:asciiTheme="minorHAnsi" w:hAnsiTheme="minorHAnsi" w:cstheme="minorHAnsi" w:hint="cs"/>
                                  <w:color w:val="002060"/>
                                  <w:spacing w:val="20"/>
                                  <w:sz w:val="22"/>
                                  <w:szCs w:val="22"/>
                                  <w:rtl/>
                                </w:rPr>
                                <w:t>יוני</w:t>
                              </w:r>
                              <w:r w:rsidRPr="00D125D2" w:rsidR="00EE57E1">
                                <w:rPr>
                                  <w:rFonts w:asciiTheme="minorHAnsi" w:hAnsiTheme="minorHAnsi" w:cstheme="minorHAnsi" w:hint="cs"/>
                                  <w:color w:val="002060"/>
                                  <w:spacing w:val="20"/>
                                  <w:sz w:val="22"/>
                                  <w:szCs w:val="22"/>
                                  <w:rtl/>
                                </w:rPr>
                                <w:t xml:space="preserve"> </w:t>
                              </w:r>
                              <w:r w:rsidRPr="00D125D2">
                                <w:rPr>
                                  <w:rFonts w:asciiTheme="minorHAnsi" w:hAnsiTheme="minorHAnsi" w:cstheme="minorHAnsi" w:hint="cs"/>
                                  <w:color w:val="002060"/>
                                  <w:spacing w:val="20"/>
                                  <w:sz w:val="22"/>
                                  <w:szCs w:val="22"/>
                                  <w:rtl/>
                                </w:rPr>
                                <w:t>202</w:t>
                              </w:r>
                              <w:r w:rsidRPr="00D125D2" w:rsidR="00D125D2">
                                <w:rPr>
                                  <w:rFonts w:asciiTheme="minorHAnsi" w:hAnsiTheme="minorHAnsi" w:cstheme="minorHAnsi" w:hint="cs"/>
                                  <w:color w:val="002060"/>
                                  <w:spacing w:val="20"/>
                                  <w:sz w:val="22"/>
                                  <w:szCs w:val="22"/>
                                  <w:rtl/>
                                </w:rPr>
                                <w:t>6</w:t>
                              </w:r>
                              <w:r w:rsidRPr="00D125D2">
                                <w:rPr>
                                  <w:rFonts w:asciiTheme="minorHAnsi" w:hAnsiTheme="minorHAnsi" w:cstheme="minorHAnsi"/>
                                  <w:color w:val="002060"/>
                                  <w:spacing w:val="20"/>
                                  <w:sz w:val="22"/>
                                  <w:szCs w:val="22"/>
                                  <w:rtl/>
                                </w:rPr>
                                <w:t xml:space="preserve"> </w:t>
                              </w: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1" name="מלבן 61"/>
                        <wps:cNvSpPr/>
                        <wps:spPr>
                          <a:xfrm>
                            <a:off x="409575"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grpSp>
                  </wpg:wgp>
                </a:graphicData>
              </a:graphic>
            </wp:anchor>
          </w:drawing>
        </mc:Choice>
        <mc:Fallback>
          <w:pict>
            <v:group id="קבוצה 52" o:spid="_x0000_s2053" style="width:233pt;height:841.75pt;margin-top:-36pt;margin-left:86.65pt;mso-position-horizontal-relative:margin;position:absolute;z-index:251659264" coordorigin="-316,0" coordsize="29591,106902">
              <v:group id="קבוצה 53" o:spid="_x0000_s2054" style="width:29590;height:30099;left:-316;position:absolute" coordorigin="-316,0" coordsize="29591,30099">
                <v:rect id="מלבן 54" o:spid="_x0000_s2055" style="width:16910;height:24638;left:6286;mso-wrap-style:square;position:absolute;visibility:visible;v-text-anchor:middle" fillcolor="#00206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גרפיקה 55" o:spid="_x0000_s2056" type="#_x0000_t75" style="width:8712;height:5709;left:10382;mso-wrap-style:square;position:absolute;top:14382;visibility:visible">
                  <v:imagedata r:id="rId3" o:title=""/>
                </v:shape>
                <v:line id="מחבר ישר 56" o:spid="_x0000_s2057" style="mso-wrap-style:square;position:absolute;visibility:visible" from="6477,30099" to="23241,30099" o:connectortype="straight" strokecolor="#002060" strokeweight="2pt"/>
                <v:shapetype id="_x0000_t202" coordsize="21600,21600" o:spt="202" path="m,l,21600r21600,l21600,xe">
                  <v:stroke joinstyle="miter"/>
                  <v:path gradientshapeok="t" o:connecttype="rect"/>
                </v:shapetype>
                <v:shape id="תיבת טקסט 57" o:spid="_x0000_s2058" type="#_x0000_t202" style="width:29590;height:2731;left:-316;mso-wrap-style:square;position:absolute;top:25440;visibility:visible;v-text-anchor:top" filled="f" stroked="f" strokeweight="0.5pt">
                  <v:textbox>
                    <w:txbxContent>
                      <w:p w:rsidR="0062451B"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v:textbox>
                </v:shape>
              </v:group>
              <v:group id="קבוצה 58" o:spid="_x0000_s2059" style="width:25121;height:23654;left:2190;position:absolute;top:83248" coordsize="25120,23653">
                <v:shape id="tbMMHF" o:spid="_x0000_s2060" type="#_x0000_t202" style="width:25120;height:3048;mso-wrap-style:square;position:absolute;top:1809;visibility:visible;v-text-anchor:top" fillcolor="white" stroked="f" strokeweight="0.5pt">
                  <v:textbox>
                    <w:txbxContent>
                      <w:p w:rsidR="0062451B" w:rsidRPr="0062451B" w:rsidP="0062451B">
                        <w:pPr>
                          <w:spacing w:line="240" w:lineRule="auto"/>
                          <w:jc w:val="center"/>
                          <w:rPr>
                            <w:rFonts w:asciiTheme="minorHAnsi" w:hAnsiTheme="minorHAnsi" w:cstheme="minorHAnsi"/>
                            <w:color w:val="002060"/>
                            <w:spacing w:val="20"/>
                            <w:sz w:val="22"/>
                            <w:szCs w:val="22"/>
                            <w:rtl/>
                          </w:rPr>
                        </w:pP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tl/>
                          </w:rPr>
                          <w:t xml:space="preserve"> </w:t>
                        </w:r>
                        <w:r w:rsidR="009802D2">
                          <w:rPr>
                            <w:rFonts w:asciiTheme="minorHAnsi" w:hAnsiTheme="minorHAnsi" w:cstheme="minorHAnsi" w:hint="cs"/>
                            <w:color w:val="002060"/>
                            <w:spacing w:val="20"/>
                            <w:sz w:val="22"/>
                            <w:szCs w:val="22"/>
                            <w:rtl/>
                          </w:rPr>
                          <w:t>תמוז</w:t>
                        </w:r>
                        <w:r w:rsidRPr="00D125D2">
                          <w:rPr>
                            <w:rFonts w:asciiTheme="minorHAnsi" w:hAnsiTheme="minorHAnsi" w:cstheme="minorHAnsi"/>
                            <w:color w:val="002060"/>
                            <w:spacing w:val="20"/>
                            <w:sz w:val="22"/>
                            <w:szCs w:val="22"/>
                            <w:rtl/>
                          </w:rPr>
                          <w:t xml:space="preserve"> התשפ"</w:t>
                        </w:r>
                        <w:r w:rsidRPr="00D125D2" w:rsidR="00D05C85">
                          <w:rPr>
                            <w:rFonts w:asciiTheme="minorHAnsi" w:hAnsiTheme="minorHAnsi" w:cstheme="minorHAnsi" w:hint="cs"/>
                            <w:color w:val="002060"/>
                            <w:spacing w:val="20"/>
                            <w:sz w:val="22"/>
                            <w:szCs w:val="22"/>
                            <w:rtl/>
                          </w:rPr>
                          <w:t>ו</w:t>
                        </w:r>
                        <w:r w:rsidRPr="00D125D2">
                          <w:rPr>
                            <w:rFonts w:asciiTheme="minorHAnsi" w:hAnsiTheme="minorHAnsi" w:cstheme="minorHAnsi"/>
                            <w:color w:val="002060"/>
                            <w:spacing w:val="20"/>
                            <w:sz w:val="22"/>
                            <w:szCs w:val="22"/>
                            <w:rtl/>
                          </w:rPr>
                          <w:t xml:space="preserve">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sidR="00D125D2">
                          <w:rPr>
                            <w:rFonts w:asciiTheme="minorHAnsi" w:hAnsiTheme="minorHAnsi" w:cstheme="minorHAnsi" w:hint="cs"/>
                            <w:color w:val="002060"/>
                            <w:spacing w:val="20"/>
                            <w:sz w:val="22"/>
                            <w:szCs w:val="22"/>
                            <w:rtl/>
                          </w:rPr>
                          <w:t>יוני</w:t>
                        </w:r>
                        <w:r w:rsidRPr="00D125D2" w:rsidR="00EE57E1">
                          <w:rPr>
                            <w:rFonts w:asciiTheme="minorHAnsi" w:hAnsiTheme="minorHAnsi" w:cstheme="minorHAnsi" w:hint="cs"/>
                            <w:color w:val="002060"/>
                            <w:spacing w:val="20"/>
                            <w:sz w:val="22"/>
                            <w:szCs w:val="22"/>
                            <w:rtl/>
                          </w:rPr>
                          <w:t xml:space="preserve"> </w:t>
                        </w:r>
                        <w:r w:rsidRPr="00D125D2">
                          <w:rPr>
                            <w:rFonts w:asciiTheme="minorHAnsi" w:hAnsiTheme="minorHAnsi" w:cstheme="minorHAnsi" w:hint="cs"/>
                            <w:color w:val="002060"/>
                            <w:spacing w:val="20"/>
                            <w:sz w:val="22"/>
                            <w:szCs w:val="22"/>
                            <w:rtl/>
                          </w:rPr>
                          <w:t>202</w:t>
                        </w:r>
                        <w:r w:rsidRPr="00D125D2" w:rsidR="00D125D2">
                          <w:rPr>
                            <w:rFonts w:asciiTheme="minorHAnsi" w:hAnsiTheme="minorHAnsi" w:cstheme="minorHAnsi" w:hint="cs"/>
                            <w:color w:val="002060"/>
                            <w:spacing w:val="20"/>
                            <w:sz w:val="22"/>
                            <w:szCs w:val="22"/>
                            <w:rtl/>
                          </w:rPr>
                          <w:t>6</w:t>
                        </w:r>
                        <w:r w:rsidRPr="00D125D2">
                          <w:rPr>
                            <w:rFonts w:asciiTheme="minorHAnsi" w:hAnsiTheme="minorHAnsi" w:cstheme="minorHAnsi"/>
                            <w:color w:val="002060"/>
                            <w:spacing w:val="20"/>
                            <w:sz w:val="22"/>
                            <w:szCs w:val="22"/>
                            <w:rtl/>
                          </w:rPr>
                          <w:t xml:space="preserve"> </w:t>
                        </w: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Pr>
                          <w:softHyphen/>
                        </w:r>
                      </w:p>
                    </w:txbxContent>
                  </v:textbox>
                </v:shape>
                <v:line id="מחבר ישר 60" o:spid="_x0000_s2061" style="mso-wrap-style:square;position:absolute;visibility:visible" from="4286,0" to="21050,0" o:connectortype="straight" strokecolor="#002060" strokeweight="1.25pt"/>
                <v:rect id="מלבן 61" o:spid="_x0000_s2062" style="width:16910;height:17843;left:4095;mso-wrap-style:square;position:absolute;top:5810;visibility:visible;v-text-anchor:middle" fillcolor="#002060" stroked="f" strokeweight="2pt"/>
              </v:group>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25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4539" w:rsidRPr="00441EB5" w:rsidP="00EF4539">
    <w:pPr>
      <w:pStyle w:val="Header"/>
      <w:tabs>
        <w:tab w:val="clear" w:pos="8306"/>
        <w:tab w:val="right" w:pos="8504"/>
      </w:tabs>
      <w:ind w:right="-709"/>
      <w:jc w:val="right"/>
      <w:rPr>
        <w:rFonts w:ascii="Calibri" w:hAnsi="Calibri" w:cs="Calibri"/>
        <w:color w:val="002060"/>
        <w:szCs w:val="20"/>
      </w:rPr>
    </w:pPr>
    <w:r w:rsidRPr="00441EB5">
      <w:rPr>
        <w:rFonts w:ascii="Calibri" w:hAnsi="Calibri" w:cs="Calibri"/>
        <w:noProof/>
        <w:color w:val="002060"/>
        <w:szCs w:val="20"/>
        <w:rtl/>
        <w:lang w:val="he-IL"/>
      </w:rPr>
      <mc:AlternateContent>
        <mc:Choice Requires="wps">
          <w:drawing>
            <wp:anchor distT="0" distB="0" distL="114300" distR="114300" simplePos="0" relativeHeight="251668480"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19" name="מחבר ישר 19"/>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19" o:spid="_x0000_s2064" style="flip:y;mso-height-percent:0;mso-height-relative:margin;mso-width-percent:0;mso-width-relative:margin;mso-wrap-distance-bottom:0;mso-wrap-distance-left:9pt;mso-wrap-distance-right:9pt;mso-wrap-distance-top:0;mso-wrap-style:square;position:absolute;visibility:visible;z-index:251669504" from="-38.2pt,17.45pt" to="468.45pt,17.45pt" strokecolor="#4579b8"/>
          </w:pict>
        </mc:Fallback>
      </mc:AlternateContent>
    </w:r>
    <w:r w:rsidRPr="00441EB5">
      <w:rPr>
        <w:rFonts w:ascii="Calibri" w:hAnsi="Calibri" w:cs="Times New Roman"/>
        <w:noProof/>
        <w:color w:val="002060"/>
        <w:szCs w:val="20"/>
        <w:rtl/>
      </w:rPr>
      <mc:AlternateContent>
        <mc:Choice Requires="wps">
          <w:drawing>
            <wp:anchor distT="45720" distB="45720" distL="114300" distR="114300" simplePos="0" relativeHeight="251672576"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2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EF4539" w:rsidRPr="0062451B" w:rsidP="00EF4539">
                          <w:pPr>
                            <w:jc w:val="right"/>
                            <w:rPr>
                              <w:rFonts w:ascii="Calibri" w:hAnsi="Calibri" w:cs="Calibri"/>
                              <w:color w:val="002060"/>
                              <w:szCs w:val="20"/>
                              <w:rtl/>
                            </w:rPr>
                          </w:pPr>
                          <w:r>
                            <w:rPr>
                              <w:rFonts w:ascii="Calibri" w:hAnsi="Calibri" w:cs="Calibri" w:hint="cs"/>
                              <w:color w:val="002060"/>
                              <w:szCs w:val="20"/>
                              <w:rtl/>
                            </w:rPr>
                            <w:t>תמוז</w:t>
                          </w:r>
                          <w:r w:rsidRPr="00D125D2">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441EB5">
                            <w:rPr>
                              <w:rFonts w:ascii="Calibri" w:hAnsi="Calibri" w:cs="Calibri"/>
                              <w:color w:val="002060"/>
                              <w:spacing w:val="20"/>
                              <w:sz w:val="22"/>
                              <w:szCs w:val="22"/>
                            </w:rPr>
                            <w:t xml:space="preserve"> </w:t>
                          </w:r>
                          <w:r w:rsidRPr="00441EB5">
                            <w:rPr>
                              <w:rFonts w:ascii="Wingdings" w:hAnsi="Wingdings" w:cs="Calibri"/>
                              <w:color w:val="002060"/>
                              <w:spacing w:val="20"/>
                              <w:sz w:val="22"/>
                              <w:szCs w:val="22"/>
                            </w:rPr>
                            <w:sym w:font="Wingdings" w:char="F0A7"/>
                          </w:r>
                          <w:r w:rsidRPr="00D125D2" w:rsidR="00D125D2">
                            <w:rPr>
                              <w:rFonts w:ascii="Calibri" w:hAnsi="Calibri" w:cs="Calibri" w:hint="cs"/>
                              <w:color w:val="002060"/>
                              <w:szCs w:val="20"/>
                              <w:rtl/>
                            </w:rPr>
                            <w:t>יוני</w:t>
                          </w:r>
                          <w:r w:rsidRPr="00D125D2">
                            <w:rPr>
                              <w:rFonts w:ascii="Calibri" w:hAnsi="Calibri" w:cs="Calibri" w:hint="cs"/>
                              <w:color w:val="002060"/>
                              <w:szCs w:val="20"/>
                              <w:rtl/>
                            </w:rPr>
                            <w:t xml:space="preserve"> 202</w:t>
                          </w:r>
                          <w:r w:rsidRPr="00D125D2"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5"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42880" filled="f" stroked="f">
              <v:textbox>
                <w:txbxContent>
                  <w:p w:rsidR="00EF4539" w:rsidRPr="0062451B" w:rsidP="00EF4539">
                    <w:pPr>
                      <w:jc w:val="right"/>
                      <w:rPr>
                        <w:rFonts w:ascii="Calibri" w:hAnsi="Calibri" w:cs="Calibri"/>
                        <w:color w:val="002060"/>
                        <w:szCs w:val="20"/>
                        <w:rtl/>
                      </w:rPr>
                    </w:pPr>
                    <w:r>
                      <w:rPr>
                        <w:rFonts w:ascii="Calibri" w:hAnsi="Calibri" w:cs="Calibri" w:hint="cs"/>
                        <w:color w:val="002060"/>
                        <w:szCs w:val="20"/>
                        <w:rtl/>
                      </w:rPr>
                      <w:t>תמוז</w:t>
                    </w:r>
                    <w:r w:rsidRPr="00D125D2">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441EB5">
                      <w:rPr>
                        <w:rFonts w:ascii="Calibri" w:hAnsi="Calibri" w:cs="Calibri"/>
                        <w:color w:val="002060"/>
                        <w:spacing w:val="20"/>
                        <w:sz w:val="22"/>
                        <w:szCs w:val="22"/>
                      </w:rPr>
                      <w:t xml:space="preserve"> </w:t>
                    </w:r>
                    <w:r w:rsidRPr="00441EB5">
                      <w:rPr>
                        <w:rFonts w:ascii="Wingdings" w:hAnsi="Wingdings" w:cs="Calibri"/>
                        <w:color w:val="002060"/>
                        <w:spacing w:val="20"/>
                        <w:sz w:val="22"/>
                        <w:szCs w:val="22"/>
                      </w:rPr>
                      <w:sym w:font="Wingdings" w:char="F0A7"/>
                    </w:r>
                    <w:r w:rsidRPr="00D125D2" w:rsidR="00D125D2">
                      <w:rPr>
                        <w:rFonts w:ascii="Calibri" w:hAnsi="Calibri" w:cs="Calibri" w:hint="cs"/>
                        <w:color w:val="002060"/>
                        <w:szCs w:val="20"/>
                        <w:rtl/>
                      </w:rPr>
                      <w:t>יוני</w:t>
                    </w:r>
                    <w:r w:rsidRPr="00D125D2">
                      <w:rPr>
                        <w:rFonts w:ascii="Calibri" w:hAnsi="Calibri" w:cs="Calibri" w:hint="cs"/>
                        <w:color w:val="002060"/>
                        <w:szCs w:val="20"/>
                        <w:rtl/>
                      </w:rPr>
                      <w:t xml:space="preserve"> 202</w:t>
                    </w:r>
                    <w:r w:rsidRPr="00D125D2"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441EB5">
      <w:rPr>
        <w:rFonts w:ascii="Calibri" w:hAnsi="Calibri" w:cs="Times New Roman"/>
        <w:noProof/>
        <w:color w:val="002060"/>
        <w:szCs w:val="20"/>
        <w:rtl/>
      </w:rPr>
      <mc:AlternateContent>
        <mc:Choice Requires="wps">
          <w:drawing>
            <wp:anchor distT="45720" distB="45720" distL="114300" distR="114300" simplePos="0" relativeHeight="251670528" behindDoc="0" locked="0" layoutInCell="1" allowOverlap="1">
              <wp:simplePos x="0" y="0"/>
              <wp:positionH relativeFrom="column">
                <wp:posOffset>2854325</wp:posOffset>
              </wp:positionH>
              <wp:positionV relativeFrom="paragraph">
                <wp:posOffset>-100965</wp:posOffset>
              </wp:positionV>
              <wp:extent cx="3164205" cy="285750"/>
              <wp:effectExtent l="0" t="0" r="0" b="0"/>
              <wp:wrapSquare wrapText="bothSides"/>
              <wp:docPr id="2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EF4539" w:rsidRPr="0062451B" w:rsidP="00EF4539">
                          <w:pPr>
                            <w:rPr>
                              <w:rFonts w:ascii="Calibri" w:hAnsi="Calibri" w:cs="Calibri"/>
                              <w:color w:val="002060"/>
                              <w:sz w:val="22"/>
                              <w:szCs w:val="22"/>
                              <w:rtl/>
                            </w:rPr>
                          </w:pPr>
                          <w:r w:rsidRPr="0062451B">
                            <w:rPr>
                              <w:rFonts w:ascii="Calibri" w:hAnsi="Calibri" w:cs="Calibri"/>
                              <w:color w:val="002060"/>
                              <w:sz w:val="22"/>
                              <w:szCs w:val="22"/>
                              <w:rtl/>
                            </w:rPr>
                            <w:t xml:space="preserve">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009802D2">
                            <w:rPr>
                              <w:rFonts w:ascii="Calibri" w:hAnsi="Calibri" w:cs="Calibri" w:hint="cs"/>
                              <w:color w:val="002060"/>
                              <w:sz w:val="22"/>
                              <w:szCs w:val="22"/>
                              <w:rtl/>
                            </w:rPr>
                            <w:t xml:space="preserve">| דוח </w:t>
                          </w:r>
                          <w:r w:rsidR="005A2731">
                            <w:rPr>
                              <w:rFonts w:ascii="Calibri" w:hAnsi="Calibri" w:cs="Calibri" w:hint="cs"/>
                              <w:color w:val="002060"/>
                              <w:sz w:val="22"/>
                              <w:szCs w:val="22"/>
                              <w:rtl/>
                            </w:rPr>
                            <w:t>מיוחד בתחום ה</w:t>
                          </w:r>
                          <w:r w:rsidR="009802D2">
                            <w:rPr>
                              <w:rFonts w:ascii="Calibri" w:hAnsi="Calibri" w:cs="Calibri" w:hint="cs"/>
                              <w:color w:val="002060"/>
                              <w:sz w:val="22"/>
                              <w:szCs w:val="22"/>
                              <w:rtl/>
                            </w:rPr>
                            <w:t>כלכלי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6" type="#_x0000_t202" style="width:249.15pt;height:22.5pt;margin-top:-7.95pt;margin-left:224.75pt;flip:x;mso-height-percent:0;mso-height-relative:margin;mso-width-percent:0;mso-width-relative:margin;mso-wrap-distance-bottom:3.6pt;mso-wrap-distance-left:9pt;mso-wrap-distance-right:9pt;mso-wrap-distance-top:3.6pt;mso-wrap-style:square;position:absolute;visibility:visible;v-text-anchor:top;z-index:251671552" filled="f" stroked="f">
              <v:textbox>
                <w:txbxContent>
                  <w:p w:rsidR="00EF4539" w:rsidRPr="0062451B" w:rsidP="00EF4539">
                    <w:pPr>
                      <w:rPr>
                        <w:rFonts w:ascii="Calibri" w:hAnsi="Calibri" w:cs="Calibri"/>
                        <w:color w:val="002060"/>
                        <w:sz w:val="22"/>
                        <w:szCs w:val="22"/>
                        <w:rtl/>
                      </w:rPr>
                    </w:pPr>
                    <w:r w:rsidRPr="0062451B">
                      <w:rPr>
                        <w:rFonts w:ascii="Calibri" w:hAnsi="Calibri" w:cs="Calibri"/>
                        <w:color w:val="002060"/>
                        <w:sz w:val="22"/>
                        <w:szCs w:val="22"/>
                        <w:rtl/>
                      </w:rPr>
                      <w:t xml:space="preserve">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009802D2">
                      <w:rPr>
                        <w:rFonts w:ascii="Calibri" w:hAnsi="Calibri" w:cs="Calibri" w:hint="cs"/>
                        <w:color w:val="002060"/>
                        <w:sz w:val="22"/>
                        <w:szCs w:val="22"/>
                        <w:rtl/>
                      </w:rPr>
                      <w:t xml:space="preserve">| דוח </w:t>
                    </w:r>
                    <w:r w:rsidR="005A2731">
                      <w:rPr>
                        <w:rFonts w:ascii="Calibri" w:hAnsi="Calibri" w:cs="Calibri" w:hint="cs"/>
                        <w:color w:val="002060"/>
                        <w:sz w:val="22"/>
                        <w:szCs w:val="22"/>
                        <w:rtl/>
                      </w:rPr>
                      <w:t>מיוחד בתחום ה</w:t>
                    </w:r>
                    <w:r w:rsidR="009802D2">
                      <w:rPr>
                        <w:rFonts w:ascii="Calibri" w:hAnsi="Calibri" w:cs="Calibri" w:hint="cs"/>
                        <w:color w:val="002060"/>
                        <w:sz w:val="22"/>
                        <w:szCs w:val="22"/>
                        <w:rtl/>
                      </w:rPr>
                      <w:t>כלכלי</w:t>
                    </w:r>
                  </w:p>
                </w:txbxContent>
              </v:textbox>
              <w10:wrap type="square"/>
            </v:shape>
          </w:pict>
        </mc:Fallback>
      </mc:AlternateContent>
    </w:r>
    <w:r w:rsidRPr="00441EB5">
      <w:rPr>
        <w:rFonts w:ascii="Calibri" w:hAnsi="Calibri" w:cs="Calibri"/>
        <w:color w:val="002060"/>
        <w:szCs w:val="20"/>
        <w:rtl/>
      </w:rPr>
      <w:fldChar w:fldCharType="begin"/>
    </w:r>
    <w:r w:rsidRPr="00441EB5">
      <w:rPr>
        <w:rFonts w:ascii="Calibri" w:hAnsi="Calibri" w:cs="Calibri"/>
        <w:color w:val="002060"/>
        <w:szCs w:val="20"/>
        <w:rtl/>
      </w:rPr>
      <w:instrText xml:space="preserve"> </w:instrText>
    </w:r>
    <w:r w:rsidRPr="00441EB5">
      <w:rPr>
        <w:rFonts w:ascii="Calibri" w:hAnsi="Calibri" w:cs="Calibri"/>
        <w:color w:val="002060"/>
        <w:szCs w:val="20"/>
      </w:rPr>
      <w:instrText>PAGE</w:instrText>
    </w:r>
    <w:r w:rsidRPr="00441EB5">
      <w:rPr>
        <w:rFonts w:ascii="Calibri" w:hAnsi="Calibri" w:cs="Calibri"/>
        <w:color w:val="002060"/>
        <w:szCs w:val="20"/>
        <w:rtl/>
      </w:rPr>
      <w:instrText xml:space="preserve">  \* </w:instrText>
    </w:r>
    <w:r w:rsidRPr="00441EB5">
      <w:rPr>
        <w:rFonts w:ascii="Calibri" w:hAnsi="Calibri" w:cs="Calibri"/>
        <w:color w:val="002060"/>
        <w:szCs w:val="20"/>
      </w:rPr>
      <w:instrText>MERGEFORMAT</w:instrText>
    </w:r>
    <w:r w:rsidRPr="00441EB5">
      <w:rPr>
        <w:rFonts w:ascii="Calibri" w:hAnsi="Calibri" w:cs="Calibri"/>
        <w:color w:val="002060"/>
        <w:szCs w:val="20"/>
        <w:rtl/>
      </w:rPr>
      <w:instrText xml:space="preserve"> </w:instrText>
    </w:r>
    <w:r w:rsidRPr="00441EB5">
      <w:rPr>
        <w:rFonts w:ascii="Calibri" w:hAnsi="Calibri" w:cs="Calibri"/>
        <w:color w:val="002060"/>
        <w:szCs w:val="20"/>
        <w:rtl/>
      </w:rPr>
      <w:fldChar w:fldCharType="separate"/>
    </w:r>
    <w:r w:rsidRPr="00441EB5">
      <w:rPr>
        <w:rFonts w:ascii="Calibri" w:hAnsi="Calibri" w:cs="Calibri"/>
        <w:color w:val="002060"/>
        <w:szCs w:val="20"/>
        <w:rtl/>
      </w:rPr>
      <w:t>3</w:t>
    </w:r>
    <w:r w:rsidRPr="00441EB5">
      <w:rPr>
        <w:rFonts w:ascii="Calibri" w:hAnsi="Calibri" w:cs="Calibri"/>
        <w:color w:val="002060"/>
        <w:szCs w:val="20"/>
        <w:rtl/>
      </w:rPr>
      <w:fldChar w:fldCharType="end"/>
    </w:r>
    <w:r w:rsidRPr="00441EB5">
      <w:rPr>
        <w:rFonts w:ascii="Calibri" w:hAnsi="Calibri" w:cs="Calibri"/>
        <w:color w:val="002060"/>
        <w:szCs w:val="20"/>
        <w:rtl/>
      </w:rPr>
      <w:t xml:space="preserve"> </w:t>
    </w:r>
  </w:p>
  <w:p w:rsidR="00EF4539" w:rsidRPr="00EF4539" w:rsidP="00EF4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2D97D2A"/>
    <w:multiLevelType w:val="multilevel"/>
    <w:tmpl w:val="EAAA0F22"/>
    <w:lvl w:ilvl="0">
      <w:start w:val="1"/>
      <w:numFmt w:val="decimal"/>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 w15:restartNumberingAfterBreak="0">
    <w:nsid w:val="04932BB3"/>
    <w:multiLevelType w:val="multilevel"/>
    <w:tmpl w:val="B928E96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 w15:restartNumberingAfterBreak="0">
    <w:nsid w:val="06DC4758"/>
    <w:multiLevelType w:val="hybridMultilevel"/>
    <w:tmpl w:val="89945D14"/>
    <w:lvl w:ilvl="0">
      <w:start w:val="1"/>
      <w:numFmt w:val="decimal"/>
      <w:lvlText w:val="%1."/>
      <w:lvlJc w:val="left"/>
      <w:pPr>
        <w:ind w:left="360" w:hanging="360"/>
      </w:pPr>
      <w:rPr>
        <w:rFonts w:hint="default"/>
        <w:b/>
        <w:bCs w:val="0"/>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15:restartNumberingAfterBreak="0">
    <w:nsid w:val="06EA5F43"/>
    <w:multiLevelType w:val="hybridMultilevel"/>
    <w:tmpl w:val="250C9E26"/>
    <w:lvl w:ilvl="0">
      <w:start w:val="1"/>
      <w:numFmt w:val="decimal"/>
      <w:lvlText w:val="%1."/>
      <w:lvlJc w:val="left"/>
      <w:pPr>
        <w:ind w:left="1080" w:hanging="360"/>
      </w:pPr>
      <w:rPr>
        <w:rFonts w:hint="default"/>
        <w:b/>
        <w:bCs/>
        <w:sz w:val="26"/>
        <w:lang w:bidi="he-I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15:restartNumberingAfterBreak="0">
    <w:nsid w:val="088216AB"/>
    <w:multiLevelType w:val="hybridMultilevel"/>
    <w:tmpl w:val="BB7ADECA"/>
    <w:lvl w:ilvl="0">
      <w:start w:val="1"/>
      <w:numFmt w:val="hebrew1"/>
      <w:pStyle w:val="15"/>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5" w15:restartNumberingAfterBreak="0">
    <w:nsid w:val="17C214CF"/>
    <w:multiLevelType w:val="hybridMultilevel"/>
    <w:tmpl w:val="F078B2F6"/>
    <w:lvl w:ilvl="0">
      <w:start w:val="1"/>
      <w:numFmt w:val="bullet"/>
      <w:lvlText w:val=""/>
      <w:lvlJc w:val="left"/>
      <w:pPr>
        <w:ind w:left="719"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439" w:hanging="360"/>
      </w:pPr>
      <w:rPr>
        <w:rFonts w:ascii="Courier New" w:hAnsi="Courier New" w:cs="Courier New" w:hint="default"/>
      </w:rPr>
    </w:lvl>
    <w:lvl w:ilvl="2" w:tentative="1">
      <w:start w:val="1"/>
      <w:numFmt w:val="bullet"/>
      <w:lvlText w:val=""/>
      <w:lvlJc w:val="left"/>
      <w:pPr>
        <w:ind w:left="2159" w:hanging="360"/>
      </w:pPr>
      <w:rPr>
        <w:rFonts w:ascii="Wingdings" w:hAnsi="Wingdings" w:hint="default"/>
      </w:rPr>
    </w:lvl>
    <w:lvl w:ilvl="3" w:tentative="1">
      <w:start w:val="1"/>
      <w:numFmt w:val="bullet"/>
      <w:lvlText w:val=""/>
      <w:lvlJc w:val="left"/>
      <w:pPr>
        <w:ind w:left="2879" w:hanging="360"/>
      </w:pPr>
      <w:rPr>
        <w:rFonts w:ascii="Symbol" w:hAnsi="Symbol" w:hint="default"/>
      </w:rPr>
    </w:lvl>
    <w:lvl w:ilvl="4" w:tentative="1">
      <w:start w:val="1"/>
      <w:numFmt w:val="bullet"/>
      <w:lvlText w:val="o"/>
      <w:lvlJc w:val="left"/>
      <w:pPr>
        <w:ind w:left="3599" w:hanging="360"/>
      </w:pPr>
      <w:rPr>
        <w:rFonts w:ascii="Courier New" w:hAnsi="Courier New" w:cs="Courier New" w:hint="default"/>
      </w:rPr>
    </w:lvl>
    <w:lvl w:ilvl="5" w:tentative="1">
      <w:start w:val="1"/>
      <w:numFmt w:val="bullet"/>
      <w:lvlText w:val=""/>
      <w:lvlJc w:val="left"/>
      <w:pPr>
        <w:ind w:left="4319" w:hanging="360"/>
      </w:pPr>
      <w:rPr>
        <w:rFonts w:ascii="Wingdings" w:hAnsi="Wingdings" w:hint="default"/>
      </w:rPr>
    </w:lvl>
    <w:lvl w:ilvl="6" w:tentative="1">
      <w:start w:val="1"/>
      <w:numFmt w:val="bullet"/>
      <w:lvlText w:val=""/>
      <w:lvlJc w:val="left"/>
      <w:pPr>
        <w:ind w:left="5039" w:hanging="360"/>
      </w:pPr>
      <w:rPr>
        <w:rFonts w:ascii="Symbol" w:hAnsi="Symbol" w:hint="default"/>
      </w:rPr>
    </w:lvl>
    <w:lvl w:ilvl="7" w:tentative="1">
      <w:start w:val="1"/>
      <w:numFmt w:val="bullet"/>
      <w:lvlText w:val="o"/>
      <w:lvlJc w:val="left"/>
      <w:pPr>
        <w:ind w:left="5759" w:hanging="360"/>
      </w:pPr>
      <w:rPr>
        <w:rFonts w:ascii="Courier New" w:hAnsi="Courier New" w:cs="Courier New" w:hint="default"/>
      </w:rPr>
    </w:lvl>
    <w:lvl w:ilvl="8" w:tentative="1">
      <w:start w:val="1"/>
      <w:numFmt w:val="bullet"/>
      <w:lvlText w:val=""/>
      <w:lvlJc w:val="left"/>
      <w:pPr>
        <w:ind w:left="6479" w:hanging="360"/>
      </w:pPr>
      <w:rPr>
        <w:rFonts w:ascii="Wingdings" w:hAnsi="Wingdings" w:hint="default"/>
      </w:rPr>
    </w:lvl>
  </w:abstractNum>
  <w:abstractNum w:abstractNumId="6" w15:restartNumberingAfterBreak="0">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7" w15:restartNumberingAfterBreak="0">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8" w15:restartNumberingAfterBreak="0">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9" w15:restartNumberingAfterBreak="0">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0" w15:restartNumberingAfterBreak="0">
    <w:nsid w:val="3DC312A5"/>
    <w:multiLevelType w:val="hybridMultilevel"/>
    <w:tmpl w:val="CF686E7C"/>
    <w:lvl w:ilvl="0">
      <w:start w:val="1"/>
      <w:numFmt w:val="bullet"/>
      <w:lvlText w:val=""/>
      <w:lvlJc w:val="left"/>
      <w:pPr>
        <w:ind w:left="362" w:hanging="360"/>
      </w:pPr>
      <w:rPr>
        <w:rFonts w:ascii="Symbol" w:hAnsi="Symbol" w:cs="Symbol" w:hint="default"/>
        <w:color w:val="FF0000"/>
        <w:sz w:val="32"/>
      </w:rPr>
    </w:lvl>
    <w:lvl w:ilvl="1" w:tentative="1">
      <w:start w:val="1"/>
      <w:numFmt w:val="bullet"/>
      <w:lvlText w:val="o"/>
      <w:lvlJc w:val="left"/>
      <w:pPr>
        <w:ind w:left="1082" w:hanging="360"/>
      </w:pPr>
      <w:rPr>
        <w:rFonts w:ascii="Courier New" w:hAnsi="Courier New" w:cs="Courier New" w:hint="default"/>
      </w:rPr>
    </w:lvl>
    <w:lvl w:ilvl="2" w:tentative="1">
      <w:start w:val="1"/>
      <w:numFmt w:val="bullet"/>
      <w:lvlText w:val=""/>
      <w:lvlJc w:val="left"/>
      <w:pPr>
        <w:ind w:left="1802" w:hanging="360"/>
      </w:pPr>
      <w:rPr>
        <w:rFonts w:ascii="Wingdings" w:hAnsi="Wingdings" w:hint="default"/>
      </w:rPr>
    </w:lvl>
    <w:lvl w:ilvl="3" w:tentative="1">
      <w:start w:val="1"/>
      <w:numFmt w:val="bullet"/>
      <w:lvlText w:val=""/>
      <w:lvlJc w:val="left"/>
      <w:pPr>
        <w:ind w:left="2522" w:hanging="360"/>
      </w:pPr>
      <w:rPr>
        <w:rFonts w:ascii="Symbol" w:hAnsi="Symbol" w:hint="default"/>
      </w:rPr>
    </w:lvl>
    <w:lvl w:ilvl="4" w:tentative="1">
      <w:start w:val="1"/>
      <w:numFmt w:val="bullet"/>
      <w:lvlText w:val="o"/>
      <w:lvlJc w:val="left"/>
      <w:pPr>
        <w:ind w:left="3242" w:hanging="360"/>
      </w:pPr>
      <w:rPr>
        <w:rFonts w:ascii="Courier New" w:hAnsi="Courier New" w:cs="Courier New" w:hint="default"/>
      </w:rPr>
    </w:lvl>
    <w:lvl w:ilvl="5" w:tentative="1">
      <w:start w:val="1"/>
      <w:numFmt w:val="bullet"/>
      <w:lvlText w:val=""/>
      <w:lvlJc w:val="left"/>
      <w:pPr>
        <w:ind w:left="3962" w:hanging="360"/>
      </w:pPr>
      <w:rPr>
        <w:rFonts w:ascii="Wingdings" w:hAnsi="Wingdings" w:hint="default"/>
      </w:rPr>
    </w:lvl>
    <w:lvl w:ilvl="6" w:tentative="1">
      <w:start w:val="1"/>
      <w:numFmt w:val="bullet"/>
      <w:lvlText w:val=""/>
      <w:lvlJc w:val="left"/>
      <w:pPr>
        <w:ind w:left="4682" w:hanging="360"/>
      </w:pPr>
      <w:rPr>
        <w:rFonts w:ascii="Symbol" w:hAnsi="Symbol" w:hint="default"/>
      </w:rPr>
    </w:lvl>
    <w:lvl w:ilvl="7" w:tentative="1">
      <w:start w:val="1"/>
      <w:numFmt w:val="bullet"/>
      <w:lvlText w:val="o"/>
      <w:lvlJc w:val="left"/>
      <w:pPr>
        <w:ind w:left="5402" w:hanging="360"/>
      </w:pPr>
      <w:rPr>
        <w:rFonts w:ascii="Courier New" w:hAnsi="Courier New" w:cs="Courier New" w:hint="default"/>
      </w:rPr>
    </w:lvl>
    <w:lvl w:ilvl="8" w:tentative="1">
      <w:start w:val="1"/>
      <w:numFmt w:val="bullet"/>
      <w:lvlText w:val=""/>
      <w:lvlJc w:val="left"/>
      <w:pPr>
        <w:ind w:left="6122" w:hanging="360"/>
      </w:pPr>
      <w:rPr>
        <w:rFonts w:ascii="Wingdings" w:hAnsi="Wingdings" w:hint="default"/>
      </w:rPr>
    </w:lvl>
  </w:abstractNum>
  <w:abstractNum w:abstractNumId="11" w15:restartNumberingAfterBreak="0">
    <w:nsid w:val="3FC36854"/>
    <w:multiLevelType w:val="multilevel"/>
    <w:tmpl w:val="27205196"/>
    <w:lvl w:ilvl="0">
      <w:start w:val="1"/>
      <w:numFmt w:val="decimal"/>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2" w15:restartNumberingAfterBreak="0">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3" w15:restartNumberingAfterBreak="0">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14" w15:restartNumberingAfterBreak="0">
    <w:nsid w:val="44441620"/>
    <w:multiLevelType w:val="multilevel"/>
    <w:tmpl w:val="F4BECBDE"/>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5" w15:restartNumberingAfterBreak="0">
    <w:nsid w:val="44802FEE"/>
    <w:multiLevelType w:val="hybridMultilevel"/>
    <w:tmpl w:val="FD0EC5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78156A6"/>
    <w:multiLevelType w:val="hybridMultilevel"/>
    <w:tmpl w:val="BB72857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15:restartNumberingAfterBreak="0">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18" w15:restartNumberingAfterBreak="0">
    <w:nsid w:val="4F3D29A5"/>
    <w:multiLevelType w:val="multilevel"/>
    <w:tmpl w:val="35CE7E2A"/>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9" w15:restartNumberingAfterBreak="0">
    <w:nsid w:val="5BD37A96"/>
    <w:multiLevelType w:val="multilevel"/>
    <w:tmpl w:val="35CE7E2A"/>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0" w15:restartNumberingAfterBreak="0">
    <w:nsid w:val="5D234E75"/>
    <w:multiLevelType w:val="multilevel"/>
    <w:tmpl w:val="46E64EC2"/>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1" w15:restartNumberingAfterBreak="0">
    <w:nsid w:val="5D4D2704"/>
    <w:multiLevelType w:val="multilevel"/>
    <w:tmpl w:val="46E64EC2"/>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2" w15:restartNumberingAfterBreak="0">
    <w:nsid w:val="6079445E"/>
    <w:multiLevelType w:val="hybridMultilevel"/>
    <w:tmpl w:val="01E0535A"/>
    <w:lvl w:ilvl="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15:restartNumberingAfterBreak="0">
    <w:nsid w:val="61942E1C"/>
    <w:multiLevelType w:val="multilevel"/>
    <w:tmpl w:val="CC740A38"/>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4" w15:restartNumberingAfterBreak="0">
    <w:nsid w:val="64281AE5"/>
    <w:multiLevelType w:val="hybridMultilevel"/>
    <w:tmpl w:val="C3AAEDF2"/>
    <w:lvl w:ilvl="0">
      <w:start w:val="2"/>
      <w:numFmt w:val="bullet"/>
      <w:lvlText w:val=""/>
      <w:lvlJc w:val="left"/>
      <w:pPr>
        <w:ind w:left="340" w:hanging="340"/>
      </w:pPr>
      <w:rPr>
        <w:rFonts w:ascii="Symbol" w:hAnsi="Symbol" w:eastAsiaTheme="minorHAnsi" w:cs="David" w:hint="default"/>
        <w:b/>
        <w:i w:val="0"/>
        <w:caps w:val="0"/>
        <w:strike w:val="0"/>
        <w:dstrike w:val="0"/>
        <w:vanish w:val="0"/>
        <w:color w:val="auto"/>
        <w:sz w:val="22"/>
        <w:szCs w:val="1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15:restartNumberingAfterBreak="0">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26" w15:restartNumberingAfterBreak="0">
    <w:nsid w:val="6699458C"/>
    <w:multiLevelType w:val="hybridMultilevel"/>
    <w:tmpl w:val="B9E2BA98"/>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15:restartNumberingAfterBreak="0">
    <w:nsid w:val="679C2B24"/>
    <w:multiLevelType w:val="hybridMultilevel"/>
    <w:tmpl w:val="C3984BD0"/>
    <w:lvl w:ilvl="0">
      <w:start w:val="1"/>
      <w:numFmt w:val="bullet"/>
      <w:lvlText w:val=""/>
      <w:lvlJc w:val="left"/>
      <w:pPr>
        <w:ind w:left="147" w:hanging="360"/>
      </w:pPr>
      <w:rPr>
        <w:rFonts w:ascii="Symbol" w:hAnsi="Symbol" w:hint="default"/>
        <w:color w:val="FF0000"/>
      </w:rPr>
    </w:lvl>
    <w:lvl w:ilvl="1" w:tentative="1">
      <w:start w:val="1"/>
      <w:numFmt w:val="bullet"/>
      <w:lvlText w:val="o"/>
      <w:lvlJc w:val="left"/>
      <w:pPr>
        <w:ind w:left="867" w:hanging="360"/>
      </w:pPr>
      <w:rPr>
        <w:rFonts w:ascii="Courier New" w:hAnsi="Courier New" w:cs="Courier New" w:hint="default"/>
      </w:rPr>
    </w:lvl>
    <w:lvl w:ilvl="2" w:tentative="1">
      <w:start w:val="1"/>
      <w:numFmt w:val="bullet"/>
      <w:lvlText w:val=""/>
      <w:lvlJc w:val="left"/>
      <w:pPr>
        <w:ind w:left="1587" w:hanging="360"/>
      </w:pPr>
      <w:rPr>
        <w:rFonts w:ascii="Wingdings" w:hAnsi="Wingdings" w:hint="default"/>
      </w:rPr>
    </w:lvl>
    <w:lvl w:ilvl="3" w:tentative="1">
      <w:start w:val="1"/>
      <w:numFmt w:val="bullet"/>
      <w:lvlText w:val=""/>
      <w:lvlJc w:val="left"/>
      <w:pPr>
        <w:ind w:left="2307" w:hanging="360"/>
      </w:pPr>
      <w:rPr>
        <w:rFonts w:ascii="Symbol" w:hAnsi="Symbol" w:hint="default"/>
      </w:rPr>
    </w:lvl>
    <w:lvl w:ilvl="4" w:tentative="1">
      <w:start w:val="1"/>
      <w:numFmt w:val="bullet"/>
      <w:lvlText w:val="o"/>
      <w:lvlJc w:val="left"/>
      <w:pPr>
        <w:ind w:left="3027" w:hanging="360"/>
      </w:pPr>
      <w:rPr>
        <w:rFonts w:ascii="Courier New" w:hAnsi="Courier New" w:cs="Courier New" w:hint="default"/>
      </w:rPr>
    </w:lvl>
    <w:lvl w:ilvl="5" w:tentative="1">
      <w:start w:val="1"/>
      <w:numFmt w:val="bullet"/>
      <w:lvlText w:val=""/>
      <w:lvlJc w:val="left"/>
      <w:pPr>
        <w:ind w:left="3747" w:hanging="360"/>
      </w:pPr>
      <w:rPr>
        <w:rFonts w:ascii="Wingdings" w:hAnsi="Wingdings" w:hint="default"/>
      </w:rPr>
    </w:lvl>
    <w:lvl w:ilvl="6" w:tentative="1">
      <w:start w:val="1"/>
      <w:numFmt w:val="bullet"/>
      <w:lvlText w:val=""/>
      <w:lvlJc w:val="left"/>
      <w:pPr>
        <w:ind w:left="4467" w:hanging="360"/>
      </w:pPr>
      <w:rPr>
        <w:rFonts w:ascii="Symbol" w:hAnsi="Symbol" w:hint="default"/>
      </w:rPr>
    </w:lvl>
    <w:lvl w:ilvl="7" w:tentative="1">
      <w:start w:val="1"/>
      <w:numFmt w:val="bullet"/>
      <w:lvlText w:val="o"/>
      <w:lvlJc w:val="left"/>
      <w:pPr>
        <w:ind w:left="5187" w:hanging="360"/>
      </w:pPr>
      <w:rPr>
        <w:rFonts w:ascii="Courier New" w:hAnsi="Courier New" w:cs="Courier New" w:hint="default"/>
      </w:rPr>
    </w:lvl>
    <w:lvl w:ilvl="8" w:tentative="1">
      <w:start w:val="1"/>
      <w:numFmt w:val="bullet"/>
      <w:lvlText w:val=""/>
      <w:lvlJc w:val="left"/>
      <w:pPr>
        <w:ind w:left="5907" w:hanging="360"/>
      </w:pPr>
      <w:rPr>
        <w:rFonts w:ascii="Wingdings" w:hAnsi="Wingdings" w:hint="default"/>
      </w:rPr>
    </w:lvl>
  </w:abstractNum>
  <w:abstractNum w:abstractNumId="28" w15:restartNumberingAfterBreak="0">
    <w:nsid w:val="6F6B3469"/>
    <w:multiLevelType w:val="multilevel"/>
    <w:tmpl w:val="BF4E9CC6"/>
    <w:lvl w:ilvl="0">
      <w:start w:val="1"/>
      <w:numFmt w:val="decimal"/>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9" w15:restartNumberingAfterBreak="0">
    <w:nsid w:val="71C5503A"/>
    <w:multiLevelType w:val="hybridMultilevel"/>
    <w:tmpl w:val="780E52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78A77C45"/>
    <w:multiLevelType w:val="multilevel"/>
    <w:tmpl w:val="AE383F4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1" w15:restartNumberingAfterBreak="0">
    <w:nsid w:val="79F33242"/>
    <w:multiLevelType w:val="multilevel"/>
    <w:tmpl w:val="46E64EC2"/>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2" w15:restartNumberingAfterBreak="0">
    <w:nsid w:val="7E431D00"/>
    <w:multiLevelType w:val="hybridMultilevel"/>
    <w:tmpl w:val="7576C230"/>
    <w:lvl w:ilvl="0">
      <w:start w:val="1"/>
      <w:numFmt w:val="decimal"/>
      <w:pStyle w:val="13"/>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33" w15:restartNumberingAfterBreak="0">
    <w:nsid w:val="7EAC6525"/>
    <w:multiLevelType w:val="hybridMultilevel"/>
    <w:tmpl w:val="2E443F5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32"/>
  </w:num>
  <w:num w:numId="2">
    <w:abstractNumId w:val="17"/>
  </w:num>
  <w:num w:numId="3">
    <w:abstractNumId w:val="12"/>
  </w:num>
  <w:num w:numId="4">
    <w:abstractNumId w:val="4"/>
  </w:num>
  <w:num w:numId="5">
    <w:abstractNumId w:val="13"/>
  </w:num>
  <w:num w:numId="6">
    <w:abstractNumId w:val="25"/>
  </w:num>
  <w:num w:numId="7">
    <w:abstractNumId w:val="9"/>
  </w:num>
  <w:num w:numId="8">
    <w:abstractNumId w:val="7"/>
  </w:num>
  <w:num w:numId="9">
    <w:abstractNumId w:val="6"/>
  </w:num>
  <w:num w:numId="10">
    <w:abstractNumId w:val="8"/>
  </w:num>
  <w:num w:numId="11">
    <w:abstractNumId w:val="33"/>
  </w:num>
  <w:num w:numId="12">
    <w:abstractNumId w:val="2"/>
  </w:num>
  <w:num w:numId="13">
    <w:abstractNumId w:val="3"/>
  </w:num>
  <w:num w:numId="14">
    <w:abstractNumId w:val="24"/>
  </w:num>
  <w:num w:numId="15">
    <w:abstractNumId w:val="31"/>
  </w:num>
  <w:num w:numId="16">
    <w:abstractNumId w:val="20"/>
  </w:num>
  <w:num w:numId="17">
    <w:abstractNumId w:val="14"/>
  </w:num>
  <w:num w:numId="18">
    <w:abstractNumId w:val="1"/>
  </w:num>
  <w:num w:numId="19">
    <w:abstractNumId w:val="19"/>
  </w:num>
  <w:num w:numId="20">
    <w:abstractNumId w:val="18"/>
  </w:num>
  <w:num w:numId="21">
    <w:abstractNumId w:val="21"/>
  </w:num>
  <w:num w:numId="22">
    <w:abstractNumId w:val="16"/>
  </w:num>
  <w:num w:numId="23">
    <w:abstractNumId w:val="30"/>
  </w:num>
  <w:num w:numId="24">
    <w:abstractNumId w:val="0"/>
  </w:num>
  <w:num w:numId="25">
    <w:abstractNumId w:val="28"/>
  </w:num>
  <w:num w:numId="26">
    <w:abstractNumId w:val="11"/>
  </w:num>
  <w:num w:numId="27">
    <w:abstractNumId w:val="26"/>
  </w:num>
  <w:num w:numId="28">
    <w:abstractNumId w:val="22"/>
  </w:num>
  <w:num w:numId="29">
    <w:abstractNumId w:val="10"/>
  </w:num>
  <w:num w:numId="30">
    <w:abstractNumId w:val="27"/>
  </w:num>
  <w:num w:numId="31">
    <w:abstractNumId w:val="23"/>
  </w:num>
  <w:num w:numId="32">
    <w:abstractNumId w:val="5"/>
  </w:num>
  <w:num w:numId="33">
    <w:abstractNumId w:val="29"/>
  </w:num>
  <w:num w:numId="34">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name"/>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1B"/>
    <w:rsid w:val="00003B77"/>
    <w:rsid w:val="00013880"/>
    <w:rsid w:val="0001735B"/>
    <w:rsid w:val="00042837"/>
    <w:rsid w:val="000501A4"/>
    <w:rsid w:val="000532AA"/>
    <w:rsid w:val="000B1102"/>
    <w:rsid w:val="000C7459"/>
    <w:rsid w:val="000E013E"/>
    <w:rsid w:val="000F7725"/>
    <w:rsid w:val="00101D0F"/>
    <w:rsid w:val="00113E28"/>
    <w:rsid w:val="00114325"/>
    <w:rsid w:val="00166477"/>
    <w:rsid w:val="001730B0"/>
    <w:rsid w:val="001960B4"/>
    <w:rsid w:val="001A613C"/>
    <w:rsid w:val="001B2821"/>
    <w:rsid w:val="001C057E"/>
    <w:rsid w:val="001C6185"/>
    <w:rsid w:val="001E204F"/>
    <w:rsid w:val="001E6C2A"/>
    <w:rsid w:val="001F4412"/>
    <w:rsid w:val="00203604"/>
    <w:rsid w:val="002064F7"/>
    <w:rsid w:val="00240887"/>
    <w:rsid w:val="00263521"/>
    <w:rsid w:val="002A7D21"/>
    <w:rsid w:val="002C0FD0"/>
    <w:rsid w:val="002C1EE0"/>
    <w:rsid w:val="002C4139"/>
    <w:rsid w:val="00301153"/>
    <w:rsid w:val="0030386A"/>
    <w:rsid w:val="003079D5"/>
    <w:rsid w:val="00315B1D"/>
    <w:rsid w:val="00323027"/>
    <w:rsid w:val="00354F9A"/>
    <w:rsid w:val="0037370B"/>
    <w:rsid w:val="0037752E"/>
    <w:rsid w:val="00380052"/>
    <w:rsid w:val="0039415D"/>
    <w:rsid w:val="003D18F4"/>
    <w:rsid w:val="003D61C6"/>
    <w:rsid w:val="003E58C2"/>
    <w:rsid w:val="004332C9"/>
    <w:rsid w:val="00441EB5"/>
    <w:rsid w:val="00472AFF"/>
    <w:rsid w:val="004779AA"/>
    <w:rsid w:val="0049522B"/>
    <w:rsid w:val="00496F3E"/>
    <w:rsid w:val="004A0385"/>
    <w:rsid w:val="004C7D9F"/>
    <w:rsid w:val="005006C5"/>
    <w:rsid w:val="00551B42"/>
    <w:rsid w:val="00551FF7"/>
    <w:rsid w:val="00574579"/>
    <w:rsid w:val="00580C5C"/>
    <w:rsid w:val="005A021D"/>
    <w:rsid w:val="005A2731"/>
    <w:rsid w:val="0062451B"/>
    <w:rsid w:val="00634DAD"/>
    <w:rsid w:val="00640B60"/>
    <w:rsid w:val="006457EB"/>
    <w:rsid w:val="006531CB"/>
    <w:rsid w:val="006C2C6D"/>
    <w:rsid w:val="006D4161"/>
    <w:rsid w:val="006D786C"/>
    <w:rsid w:val="006E1414"/>
    <w:rsid w:val="006F285F"/>
    <w:rsid w:val="00716153"/>
    <w:rsid w:val="0072219B"/>
    <w:rsid w:val="0073075A"/>
    <w:rsid w:val="007474F0"/>
    <w:rsid w:val="00753ADE"/>
    <w:rsid w:val="0076799A"/>
    <w:rsid w:val="00773F61"/>
    <w:rsid w:val="007A4EBD"/>
    <w:rsid w:val="007B112B"/>
    <w:rsid w:val="007B5B26"/>
    <w:rsid w:val="007B691A"/>
    <w:rsid w:val="007C1FF6"/>
    <w:rsid w:val="007D61B8"/>
    <w:rsid w:val="007F7FF2"/>
    <w:rsid w:val="00805B42"/>
    <w:rsid w:val="008102AD"/>
    <w:rsid w:val="008131AD"/>
    <w:rsid w:val="00837997"/>
    <w:rsid w:val="00867FC5"/>
    <w:rsid w:val="00880F2A"/>
    <w:rsid w:val="00892F80"/>
    <w:rsid w:val="008B4F41"/>
    <w:rsid w:val="008C6F75"/>
    <w:rsid w:val="008E3D8A"/>
    <w:rsid w:val="008E7355"/>
    <w:rsid w:val="008E7BE1"/>
    <w:rsid w:val="009015B2"/>
    <w:rsid w:val="00906E90"/>
    <w:rsid w:val="00906FB1"/>
    <w:rsid w:val="0091051D"/>
    <w:rsid w:val="00933E1C"/>
    <w:rsid w:val="00936F84"/>
    <w:rsid w:val="00940851"/>
    <w:rsid w:val="009557B5"/>
    <w:rsid w:val="009679D9"/>
    <w:rsid w:val="009802D2"/>
    <w:rsid w:val="009B757F"/>
    <w:rsid w:val="009C6066"/>
    <w:rsid w:val="009D73F5"/>
    <w:rsid w:val="009E1A3F"/>
    <w:rsid w:val="009E53CF"/>
    <w:rsid w:val="009F0BD3"/>
    <w:rsid w:val="00A222E2"/>
    <w:rsid w:val="00A61AD5"/>
    <w:rsid w:val="00A65E62"/>
    <w:rsid w:val="00A73038"/>
    <w:rsid w:val="00A76C99"/>
    <w:rsid w:val="00A81EBE"/>
    <w:rsid w:val="00AA7BD2"/>
    <w:rsid w:val="00AC6B95"/>
    <w:rsid w:val="00B00E5C"/>
    <w:rsid w:val="00B15288"/>
    <w:rsid w:val="00B369DC"/>
    <w:rsid w:val="00B4321D"/>
    <w:rsid w:val="00B666B9"/>
    <w:rsid w:val="00B76DC1"/>
    <w:rsid w:val="00B862C0"/>
    <w:rsid w:val="00BE2DD8"/>
    <w:rsid w:val="00BF2AE7"/>
    <w:rsid w:val="00C2305A"/>
    <w:rsid w:val="00C23CC9"/>
    <w:rsid w:val="00C30B3D"/>
    <w:rsid w:val="00C33AE2"/>
    <w:rsid w:val="00C8096C"/>
    <w:rsid w:val="00C8100B"/>
    <w:rsid w:val="00C85B62"/>
    <w:rsid w:val="00CA41D2"/>
    <w:rsid w:val="00CA4F20"/>
    <w:rsid w:val="00CC712C"/>
    <w:rsid w:val="00CD28D9"/>
    <w:rsid w:val="00D05C85"/>
    <w:rsid w:val="00D125D2"/>
    <w:rsid w:val="00D22748"/>
    <w:rsid w:val="00D26918"/>
    <w:rsid w:val="00D37121"/>
    <w:rsid w:val="00D54A7A"/>
    <w:rsid w:val="00D779F7"/>
    <w:rsid w:val="00D87542"/>
    <w:rsid w:val="00D95C20"/>
    <w:rsid w:val="00D97C16"/>
    <w:rsid w:val="00DE1DAB"/>
    <w:rsid w:val="00DE20A2"/>
    <w:rsid w:val="00DF0B89"/>
    <w:rsid w:val="00DF2479"/>
    <w:rsid w:val="00E122EE"/>
    <w:rsid w:val="00E35682"/>
    <w:rsid w:val="00E46EA3"/>
    <w:rsid w:val="00E51C1B"/>
    <w:rsid w:val="00E53DA7"/>
    <w:rsid w:val="00E616D1"/>
    <w:rsid w:val="00EC6B44"/>
    <w:rsid w:val="00EE37A3"/>
    <w:rsid w:val="00EE57E1"/>
    <w:rsid w:val="00EF4539"/>
    <w:rsid w:val="00F36CB4"/>
    <w:rsid w:val="00F4385E"/>
    <w:rsid w:val="00F627EB"/>
    <w:rsid w:val="00F75A10"/>
    <w:rsid w:val="00F77276"/>
    <w:rsid w:val="00F82F35"/>
    <w:rsid w:val="00F954E4"/>
    <w:rsid w:val="00F95853"/>
    <w:rsid w:val="00FB3F26"/>
    <w:rsid w:val="00FC3213"/>
    <w:rsid w:val="00FC48C6"/>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1"/>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1"/>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1"/>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1"/>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1"/>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1"/>
    <w:rsid w:val="006D786C"/>
    <w:rPr>
      <w:rFonts w:eastAsiaTheme="majorEastAsia"/>
      <w:bCs/>
      <w:szCs w:val="28"/>
      <w:u w:val="single"/>
    </w:rPr>
  </w:style>
  <w:style w:type="character" w:customStyle="1" w:styleId="4">
    <w:name w:val="כותרת 4 תו"/>
    <w:basedOn w:val="DefaultParagraphFont"/>
    <w:link w:val="Heading4"/>
    <w:uiPriority w:val="1"/>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OOTNOTES,Footnote Text - Sharp,Footnote Text - Sharp Char,Footnote Text - Sharp Char Char,Footnote Text Char Char Char Char Char,Footnote reference,Sharp - Footnote Text,Sharp - Footnote Text1 Char,fn,footnote text,F1"/>
    <w:basedOn w:val="Normal"/>
    <w:link w:val="a4"/>
    <w:uiPriority w:val="99"/>
    <w:rsid w:val="00574579"/>
    <w:pPr>
      <w:spacing w:line="240" w:lineRule="auto"/>
      <w:ind w:left="720" w:hanging="720"/>
    </w:pPr>
    <w:rPr>
      <w:szCs w:val="20"/>
    </w:rPr>
  </w:style>
  <w:style w:type="character" w:customStyle="1" w:styleId="a4">
    <w:name w:val="טקסט הערת שוליים תו"/>
    <w:aliases w:val=" Char תו,Char תו,FOOTNOTES תו,Footnote Text - Sharp תו,Footnote Text - Sharp Char תו,Footnote Text - Sharp Char Char תו,Footnote Text Char Char Char Char Char תו,Footnote reference תו,Sharp - Footnote Text תו,fn תו,footnote text תו"/>
    <w:basedOn w:val="DefaultParagraphFont"/>
    <w:link w:val="FootnoteText"/>
    <w:uiPriority w:val="99"/>
    <w:rsid w:val="00574579"/>
    <w:rPr>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0501A4"/>
    <w:rPr>
      <w:vertAlign w:val="superscript"/>
    </w:rPr>
  </w:style>
  <w:style w:type="paragraph" w:styleId="ListParagraph">
    <w:name w:val="List Paragraph"/>
    <w:aliases w:val="Bullet Number,Num Bullet 1,Use Case List Paragraph,style 2,פיסקת רשימה1"/>
    <w:basedOn w:val="Normal"/>
    <w:link w:val="a9"/>
    <w:uiPriority w:val="34"/>
    <w:qFormat/>
    <w:rsid w:val="00B4321D"/>
    <w:pPr>
      <w:ind w:left="720"/>
      <w:contextualSpacing/>
    </w:pPr>
  </w:style>
  <w:style w:type="table" w:styleId="TableGrid">
    <w:name w:val="Table Grid"/>
    <w:basedOn w:val="TableNormal"/>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5"/>
    <w:uiPriority w:val="99"/>
    <w:semiHidden/>
    <w:unhideWhenUsed/>
    <w:rsid w:val="00B4321D"/>
    <w:pPr>
      <w:spacing w:line="240" w:lineRule="auto"/>
    </w:pPr>
    <w:rPr>
      <w:rFonts w:ascii="Tahoma" w:hAnsi="Tahoma" w:cs="Tahoma"/>
      <w:sz w:val="18"/>
      <w:szCs w:val="18"/>
    </w:rPr>
  </w:style>
  <w:style w:type="character" w:customStyle="1" w:styleId="a5">
    <w:name w:val="טקסט בלונים תו"/>
    <w:basedOn w:val="DefaultParagraphFont"/>
    <w:link w:val="BalloonText"/>
    <w:uiPriority w:val="99"/>
    <w:semiHidden/>
    <w:rsid w:val="00B4321D"/>
    <w:rPr>
      <w:rFonts w:ascii="Tahoma" w:hAnsi="Tahoma" w:cs="Tahoma"/>
      <w:sz w:val="18"/>
      <w:szCs w:val="18"/>
    </w:rPr>
  </w:style>
  <w:style w:type="character" w:styleId="CommentReference">
    <w:name w:val="annotation reference"/>
    <w:basedOn w:val="DefaultParagraphFont"/>
    <w:uiPriority w:val="99"/>
    <w:semiHidden/>
    <w:unhideWhenUsed/>
    <w:rsid w:val="00B4321D"/>
    <w:rPr>
      <w:sz w:val="16"/>
      <w:szCs w:val="16"/>
    </w:rPr>
  </w:style>
  <w:style w:type="paragraph" w:styleId="CommentText">
    <w:name w:val="annotation text"/>
    <w:basedOn w:val="Normal"/>
    <w:link w:val="a6"/>
    <w:uiPriority w:val="99"/>
    <w:unhideWhenUsed/>
    <w:rsid w:val="00B4321D"/>
    <w:pPr>
      <w:spacing w:line="240" w:lineRule="auto"/>
    </w:pPr>
    <w:rPr>
      <w:szCs w:val="20"/>
    </w:rPr>
  </w:style>
  <w:style w:type="character" w:customStyle="1" w:styleId="a6">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7"/>
    <w:uiPriority w:val="99"/>
    <w:semiHidden/>
    <w:unhideWhenUsed/>
    <w:rsid w:val="00B4321D"/>
    <w:rPr>
      <w:b/>
      <w:bCs/>
    </w:rPr>
  </w:style>
  <w:style w:type="character" w:customStyle="1" w:styleId="a7">
    <w:name w:val="נושא הערה תו"/>
    <w:basedOn w:val="a6"/>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8"/>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8">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1">
    <w:name w:val="רשת טבלה1"/>
    <w:basedOn w:val="TableNormal"/>
    <w:next w:val="TableGrid"/>
    <w:uiPriority w:val="5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פיסקת רשימה תו"/>
    <w:aliases w:val="Bullet Number תו,Num Bullet 1 תו,Use Case List Paragraph תו,style 2 תו,פיסקת רשימה1 תו"/>
    <w:link w:val="ListParagraph"/>
    <w:uiPriority w:val="34"/>
    <w:rsid w:val="00B4321D"/>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styleId="UnresolvedMention">
    <w:name w:val="Unresolved Mention"/>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3">
    <w:name w:val="כותרת 1 ממה"/>
    <w:basedOn w:val="Normal"/>
    <w:next w:val="Normal"/>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DefaultParagraphFont"/>
    <w:link w:val="13"/>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5">
    <w:name w:val="רשימה1 ממה"/>
    <w:basedOn w:val="Normal"/>
    <w:link w:val="16"/>
    <w:qFormat/>
    <w:rsid w:val="00B4321D"/>
    <w:pPr>
      <w:widowControl w:val="0"/>
      <w:numPr>
        <w:numId w:val="4"/>
      </w:numPr>
      <w:spacing w:line="280" w:lineRule="exact"/>
    </w:pPr>
    <w:rPr>
      <w:rFonts w:ascii="Calibri" w:eastAsia="Calibri" w:hAnsi="Calibri" w:cs="Calibri"/>
      <w:color w:val="002060"/>
      <w:sz w:val="24"/>
    </w:rPr>
  </w:style>
  <w:style w:type="character" w:customStyle="1" w:styleId="16">
    <w:name w:val="רשימה1 ממה תו"/>
    <w:basedOn w:val="DefaultParagraphFont"/>
    <w:link w:val="15"/>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7">
    <w:name w:val="ליקוי/ממצא חיובי/המלצה1 ממה"/>
    <w:next w:val="Normal"/>
    <w:link w:val="18"/>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8">
    <w:name w:val="ליקוי/ממצא חיובי/המלצה1 ממה תו"/>
    <w:basedOn w:val="DefaultParagraphFont"/>
    <w:link w:val="17"/>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8"/>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B4321D"/>
    <w:rPr>
      <w:rFonts w:ascii="Tahoma" w:hAnsi="Tahoma" w:cs="Tahoma"/>
      <w:color w:val="0D0D0D" w:themeColor="text1" w:themeTint="F2"/>
      <w:sz w:val="18"/>
      <w:szCs w:val="18"/>
    </w:rPr>
  </w:style>
  <w:style w:type="table" w:styleId="GridTable4Accent1">
    <w:name w:val="Grid Table 4 Accent 1"/>
    <w:basedOn w:val="TableNormal"/>
    <w:uiPriority w:val="49"/>
    <w:rsid w:val="00354F9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9">
    <w:name w:val="אזכור לא מזוהה1"/>
    <w:basedOn w:val="DefaultParagraphFont"/>
    <w:uiPriority w:val="99"/>
    <w:semiHidden/>
    <w:unhideWhenUsed/>
    <w:rsid w:val="00354F9A"/>
    <w:rPr>
      <w:color w:val="605E5C"/>
      <w:shd w:val="clear" w:color="auto" w:fill="E1DFDD"/>
    </w:rPr>
  </w:style>
  <w:style w:type="table" w:styleId="GridTable5DarkAccent1">
    <w:name w:val="Grid Table 5 Dark Accent 1"/>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110">
    <w:name w:val="טבלת רשת 1 בהירה1"/>
    <w:basedOn w:val="TableNormal"/>
    <w:next w:val="GridTable1Light"/>
    <w:uiPriority w:val="46"/>
    <w:rsid w:val="00441EB5"/>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73">
    <w:name w:val="73א הערות שוליים"/>
    <w:basedOn w:val="FootnoteText"/>
    <w:link w:val="730"/>
    <w:qFormat/>
    <w:rsid w:val="00441EB5"/>
    <w:pPr>
      <w:keepLines/>
      <w:spacing w:after="60" w:line="220" w:lineRule="exact"/>
      <w:ind w:left="397" w:hanging="397"/>
    </w:pPr>
    <w:rPr>
      <w:rFonts w:ascii="Tahoma" w:hAnsi="Tahoma" w:cs="Tahoma"/>
      <w:color w:val="0D0D0D"/>
      <w:sz w:val="14"/>
      <w:szCs w:val="14"/>
    </w:rPr>
  </w:style>
  <w:style w:type="character" w:customStyle="1" w:styleId="730">
    <w:name w:val="73א הערות שוליים תו"/>
    <w:basedOn w:val="DefaultParagraphFont"/>
    <w:link w:val="73"/>
    <w:rsid w:val="00441EB5"/>
    <w:rPr>
      <w:rFonts w:ascii="Tahoma" w:hAnsi="Tahoma" w:cs="Tahoma"/>
      <w:color w:val="0D0D0D"/>
      <w:sz w:val="14"/>
      <w:szCs w:val="14"/>
    </w:rPr>
  </w:style>
  <w:style w:type="paragraph" w:customStyle="1" w:styleId="731">
    <w:name w:val="73א היפרלינק"/>
    <w:basedOn w:val="73"/>
    <w:link w:val="732"/>
    <w:qFormat/>
    <w:rsid w:val="00441EB5"/>
    <w:pPr>
      <w:bidi w:val="0"/>
    </w:pPr>
    <w:rPr>
      <w:color w:val="6090CC"/>
      <w:u w:val="single"/>
    </w:rPr>
  </w:style>
  <w:style w:type="character" w:customStyle="1" w:styleId="732">
    <w:name w:val="73א היפרלינק תו"/>
    <w:basedOn w:val="730"/>
    <w:link w:val="731"/>
    <w:rsid w:val="00441EB5"/>
    <w:rPr>
      <w:rFonts w:ascii="Tahoma" w:hAnsi="Tahoma" w:cs="Tahoma"/>
      <w:color w:val="6090CC"/>
      <w:sz w:val="14"/>
      <w:szCs w:val="14"/>
      <w:u w:val="single"/>
    </w:rPr>
  </w:style>
  <w:style w:type="table" w:customStyle="1" w:styleId="26">
    <w:name w:val="רשת טבלה2"/>
    <w:basedOn w:val="TableNormal"/>
    <w:next w:val="TableGrid"/>
    <w:uiPriority w:val="59"/>
    <w:rsid w:val="00441EB5"/>
    <w:pPr>
      <w:bidi/>
      <w:spacing w:after="0" w:line="312"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441EB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8" Type="http://schemas.openxmlformats.org/officeDocument/2006/relationships/footer" Target="footer1.xml"/><Relationship Id="rId26" Type="http://schemas.openxmlformats.org/officeDocument/2006/relationships/customXml" Target="../customXml/item2.xml"/><Relationship Id="rId21" Type="http://schemas.openxmlformats.org/officeDocument/2006/relationships/chart" Target="charts/chart1.xml"/><Relationship Id="rId3" Type="http://schemas.openxmlformats.org/officeDocument/2006/relationships/webSettings" Target="webSetting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styles" Target="styles.xml"/><Relationship Id="rId7" Type="http://schemas.openxmlformats.org/officeDocument/2006/relationships/header" Target="header2.xml"/><Relationship Id="rId16" Type="http://schemas.openxmlformats.org/officeDocument/2006/relationships/image" Target="media/image10.jpeg"/><Relationship Id="rId2" Type="http://schemas.openxmlformats.org/officeDocument/2006/relationships/settings" Target="settings.xml"/><Relationship Id="rId20" Type="http://schemas.openxmlformats.org/officeDocument/2006/relationships/image" Target="media/image14.jpeg"/><Relationship Id="rId1"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numbering" Target="numbering.xml"/><Relationship Id="rId6" Type="http://schemas.openxmlformats.org/officeDocument/2006/relationships/header" Target="header1.xml"/><Relationship Id="rId15" Type="http://schemas.openxmlformats.org/officeDocument/2006/relationships/image" Target="media/image9.jpeg"/><Relationship Id="rId23" Type="http://schemas.openxmlformats.org/officeDocument/2006/relationships/theme" Target="theme/theme1.xml"/><Relationship Id="rId5" Type="http://schemas.openxmlformats.org/officeDocument/2006/relationships/customXml" Target="../customXml/item1.xml"/><Relationship Id="rId28" Type="http://schemas.openxmlformats.org/officeDocument/2006/relationships/customXml" Target="../customXml/item4.xml"/><Relationship Id="rId10" Type="http://schemas.openxmlformats.org/officeDocument/2006/relationships/image" Target="media/image4.jpeg"/><Relationship Id="rId19" Type="http://schemas.openxmlformats.org/officeDocument/2006/relationships/image" Target="media/image13.jpeg"/><Relationship Id="rId14" Type="http://schemas.openxmlformats.org/officeDocument/2006/relationships/image" Target="media/image8.jpeg"/><Relationship Id="rId22" Type="http://schemas.openxmlformats.org/officeDocument/2006/relationships/header" Target="header4.xml"/><Relationship Id="rId4" Type="http://schemas.openxmlformats.org/officeDocument/2006/relationships/fontTable" Target="fontTable.xml"/><Relationship Id="rId9" Type="http://schemas.openxmlformats.org/officeDocument/2006/relationships/header" Target="header3.xml"/><Relationship Id="rId27" Type="http://schemas.openxmlformats.org/officeDocument/2006/relationships/customXml" Target="../customXml/item3.xml"/></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svg" /><Relationship Id="rId3" Type="http://schemas.openxmlformats.org/officeDocument/2006/relationships/image" Target="media/image3.png" /></Relationships>
</file>

<file path=word/charts/_rels/chart1.xml.rels><?xml version="1.0" encoding="utf-8" standalone="yes"?><Relationships xmlns="http://schemas.openxmlformats.org/package/2006/relationships"><Relationship Id="rId1" Type="http://schemas.openxmlformats.org/officeDocument/2006/relationships/package" Target="../embeddings/Microsoft_Excel_Worksheet1.xlsx" /><Relationship Id="rId2" Type="http://schemas.openxmlformats.org/officeDocument/2006/relationships/themeOverride" Target="../theme/themeOverride1.xml"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549037620297462"/>
          <c:y val="0.026858509132195226"/>
          <c:w val="0.67790813648293968"/>
          <c:h val="0.93639095354656188"/>
        </c:manualLayout>
      </c:layout>
      <c:doughnut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26B7-4799-94D4-EE018CBE12E5}"/>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26B7-4799-94D4-EE018CBE12E5}"/>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26B7-4799-94D4-EE018CBE12E5}"/>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26B7-4799-94D4-EE018CBE12E5}"/>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09-26B7-4799-94D4-EE018CBE12E5}"/>
              </c:ext>
            </c:extLst>
          </c:dPt>
          <c:dLbls>
            <c:dLbl>
              <c:idx val="1"/>
              <c:layout>
                <c:manualLayout>
                  <c:x val="-0.011111111111111112"/>
                  <c:y val="0.030695439008223045"/>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6B7-4799-94D4-EE018CBE12E5}"/>
                </c:ext>
              </c:extLst>
            </c:dLbl>
            <c:dLbl>
              <c:idx val="3"/>
              <c:spPr>
                <a:noFill/>
                <a:ln>
                  <a:noFill/>
                </a:ln>
                <a:effectLst/>
              </c:spPr>
              <c:txPr>
                <a:bodyPr rot="0" spcFirstLastPara="1" vertOverflow="ellipsis" vert="horz" wrap="square" lIns="38100" tIns="19050" rIns="38100" bIns="19050" anchor="ctr" anchorCtr="1"/>
                <a:lstStyle/>
                <a:p>
                  <a:pPr>
                    <a:defRPr sz="1100" b="0" i="0" u="none" strike="noStrike" kern="1200" baseline="0">
                      <a:solidFill>
                        <a:schemeClr val="tx2"/>
                      </a:solidFill>
                      <a:latin typeface="Assistant" pitchFamily="2" charset="-79"/>
                      <a:ea typeface="+mn-ea"/>
                      <a:cs typeface="Assistant" pitchFamily="2" charset="-79"/>
                    </a:defRPr>
                  </a:pPr>
                  <a:endParaRPr lang="he-IL"/>
                </a:p>
              </c:txPr>
              <c:showLegendKey val="0"/>
              <c:showVal val="0"/>
              <c:showCatName val="1"/>
              <c:showSerName val="0"/>
              <c:showPercent val="1"/>
              <c:showBubbleSize val="0"/>
              <c:extLst>
                <c:ext xmlns:c15="http://schemas.microsoft.com/office/drawing/2012/chart" uri="{CE6537A1-D6FC-4f65-9D91-7224C49458BB}">
                  <c15:spPr>
                    <a:prstGeom prst="rect">
                      <a:avLst/>
                    </a:prstGeom>
                  </c15:spPr>
                </c:ext>
                <c:ext xmlns:c16="http://schemas.microsoft.com/office/drawing/2014/chart" uri="{C3380CC4-5D6E-409C-BE32-E72D297353CC}">
                  <c16:uniqueId val="{00000007-26B7-4799-94D4-EE018CBE12E5}"/>
                </c:ext>
              </c:extLst>
            </c:dLbl>
            <c:dLbl>
              <c:idx val="4"/>
              <c:spPr>
                <a:noFill/>
                <a:ln>
                  <a:noFill/>
                </a:ln>
                <a:effectLst/>
              </c:spPr>
              <c:txPr>
                <a:bodyPr rot="0" spcFirstLastPara="1" vertOverflow="ellipsis" vert="horz" wrap="square" lIns="38100" tIns="19050" rIns="38100" bIns="19050" anchor="ctr" anchorCtr="1"/>
                <a:lstStyle/>
                <a:p>
                  <a:pPr>
                    <a:defRPr sz="1100" b="0" i="0" u="none" strike="noStrike" kern="1200" baseline="0">
                      <a:solidFill>
                        <a:schemeClr val="tx2"/>
                      </a:solidFill>
                      <a:latin typeface="Assistant" pitchFamily="2" charset="-79"/>
                      <a:ea typeface="+mn-ea"/>
                      <a:cs typeface="Assistant" pitchFamily="2" charset="-79"/>
                    </a:defRPr>
                  </a:pPr>
                  <a:endParaRPr lang="he-IL"/>
                </a:p>
              </c:txPr>
              <c:showLegendKey val="0"/>
              <c:showVal val="0"/>
              <c:showCatName val="1"/>
              <c:showSerName val="0"/>
              <c:showPercent val="1"/>
              <c:showBubbleSize val="0"/>
              <c:extLst>
                <c:ext xmlns:c15="http://schemas.microsoft.com/office/drawing/2012/chart" uri="{CE6537A1-D6FC-4f65-9D91-7224C49458BB}">
                  <c15:spPr>
                    <a:prstGeom prst="rect">
                      <a:avLst/>
                    </a:prstGeom>
                  </c15:spPr>
                </c:ext>
                <c:ext xmlns:c16="http://schemas.microsoft.com/office/drawing/2014/chart" uri="{C3380CC4-5D6E-409C-BE32-E72D297353CC}">
                  <c16:uniqueId val="{00000009-26B7-4799-94D4-EE018CBE12E5}"/>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2"/>
                    </a:solidFill>
                    <a:latin typeface="Assistant" pitchFamily="2" charset="-79"/>
                    <a:ea typeface="+mn-ea"/>
                    <a:cs typeface="Assistant" pitchFamily="2" charset="-79"/>
                  </a:defRPr>
                </a:pPr>
                <a:endParaRPr lang="he-IL"/>
              </a:p>
            </c:txPr>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'5 קטיגוריות '!$B$9:$F$9</c:f>
              <c:strCache>
                <c:ptCount val="5"/>
                <c:pt idx="0">
                  <c:v>לא תוקן</c:v>
                </c:pt>
                <c:pt idx="1">
                  <c:v>תוקן במידה
מועטה</c:v>
                </c:pt>
                <c:pt idx="2">
                  <c:v>תוקן במידה
חלקית </c:v>
                </c:pt>
                <c:pt idx="3">
                  <c:v>תוקן במידה
רבה</c:v>
                </c:pt>
                <c:pt idx="4">
                  <c:v>תוקן באופן
מלא</c:v>
                </c:pt>
              </c:strCache>
            </c:strRef>
          </c:cat>
          <c:val>
            <c:numRef>
              <c:f>'5 קטיגוריות '!$B$10:$F$10</c:f>
              <c:numCache>
                <c:formatCode>General</c:formatCode>
                <c:ptCount val="5"/>
                <c:pt idx="0">
                  <c:v>1</c:v>
                </c:pt>
                <c:pt idx="1">
                  <c:v>5</c:v>
                </c:pt>
                <c:pt idx="2">
                  <c:v>1</c:v>
                </c:pt>
                <c:pt idx="3">
                  <c:v>3</c:v>
                </c:pt>
                <c:pt idx="4">
                  <c:v>2</c:v>
                </c:pt>
              </c:numCache>
            </c:numRef>
          </c:val>
          <c:extLst>
            <c:ext xmlns:c16="http://schemas.microsoft.com/office/drawing/2014/chart" uri="{C3380CC4-5D6E-409C-BE32-E72D297353CC}">
              <c16:uniqueId val="{0000000A-26B7-4799-94D4-EE018CBE12E5}"/>
            </c:ext>
          </c:extLst>
        </c:ser>
        <c:dLbls>
          <c:showLegendKey val="0"/>
          <c:showVal val="0"/>
          <c:showCatName val="1"/>
          <c:showSerName val="0"/>
          <c:showPercent val="0"/>
          <c:showBubbleSize val="0"/>
          <c:showLeaderLines val="1"/>
        </c:dLbls>
        <c:firstSliceAng val="360"/>
        <c:holeSize val="50"/>
      </c:doughnutChart>
      <c:spPr>
        <a:noFill/>
        <a:ln>
          <a:noFill/>
        </a:ln>
        <a:effectLst/>
      </c:spPr>
    </c:plotArea>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noFill/>
      <a:round/>
    </a:ln>
    <a:effectLst/>
  </c:spPr>
  <c:txPr>
    <a:bodyPr/>
    <a:lstStyle/>
    <a:p>
      <a:pPr>
        <a:defRPr/>
      </a:pPr>
      <a:endParaRPr lang="he-IL"/>
    </a:p>
  </c:txPr>
  <c:externalData r:id="rId1">
    <c:autoUpdate val="0"/>
  </c:externalData>
</c:chartSpace>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ביקורת מעקב 5 צבעים">
    <a:dk1>
      <a:sysClr val="windowText" lastClr="000000"/>
    </a:dk1>
    <a:lt1>
      <a:sysClr val="window" lastClr="FFFFFF"/>
    </a:lt1>
    <a:dk2>
      <a:srgbClr val="22295B"/>
    </a:dk2>
    <a:lt2>
      <a:srgbClr val="FFE96B"/>
    </a:lt2>
    <a:accent1>
      <a:srgbClr val="FF5A5A"/>
    </a:accent1>
    <a:accent2>
      <a:srgbClr val="FF8250"/>
    </a:accent2>
    <a:accent3>
      <a:srgbClr val="FABE5A"/>
    </a:accent3>
    <a:accent4>
      <a:srgbClr val="FAF050"/>
    </a:accent4>
    <a:accent5>
      <a:srgbClr val="7DB48C"/>
    </a:accent5>
    <a:accent6>
      <a:srgbClr val="BE2843"/>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B0EECD3-282F-4971-A4AD-F339B22EC950}">
  <ds:schemaRefs>
    <ds:schemaRef ds:uri="http://schemas.openxmlformats.org/officeDocument/2006/bibliography"/>
  </ds:schemaRefs>
</ds:datastoreItem>
</file>

<file path=customXml/itemProps2.xml><?xml version="1.0" encoding="utf-8"?>
<ds:datastoreItem xmlns:ds="http://schemas.openxmlformats.org/officeDocument/2006/customXml" ds:itemID="{D3C0A8E0-41CB-4622-B812-C285E44D1F25}"/>
</file>

<file path=customXml/itemProps3.xml><?xml version="1.0" encoding="utf-8"?>
<ds:datastoreItem xmlns:ds="http://schemas.openxmlformats.org/officeDocument/2006/customXml" ds:itemID="{2F504458-F049-46E0-8279-AF2C696FDD16}"/>
</file>

<file path=customXml/itemProps4.xml><?xml version="1.0" encoding="utf-8"?>
<ds:datastoreItem xmlns:ds="http://schemas.openxmlformats.org/officeDocument/2006/customXml" ds:itemID="{69FB1743-F2AB-4467-9209-9653E3F4715C}"/>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