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hint="cs"/>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A411B9">
        <w:rPr>
          <w:rFonts w:ascii="Calibri" w:hAnsi="Calibri" w:cs="Calibri"/>
          <w:b/>
          <w:bCs/>
          <w:color w:val="002060"/>
          <w:sz w:val="80"/>
          <w:szCs w:val="80"/>
          <w:rtl/>
        </w:rPr>
        <w:t>שוק המשכנתאות</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606D97">
        <w:tblPrEx>
          <w:tblW w:w="9783" w:type="dxa"/>
          <w:tblLook w:val="04A0"/>
        </w:tblPrEx>
        <w:tc>
          <w:tcPr>
            <w:tcW w:w="9783" w:type="dxa"/>
          </w:tcPr>
          <w:p w:rsidR="00DE05FA" w:rsidRPr="00DE05FA" w:rsidP="00DE05FA">
            <w:pPr>
              <w:spacing w:after="120" w:line="288" w:lineRule="auto"/>
              <w:rPr>
                <w:rFonts w:ascii="Tahoma" w:eastAsia="Calibri" w:hAnsi="Tahoma" w:cs="Tahoma"/>
                <w:b/>
                <w:bCs/>
                <w:sz w:val="40"/>
                <w:szCs w:val="40"/>
                <w:rtl/>
              </w:rPr>
            </w:pPr>
            <w:r w:rsidRPr="00DE05FA">
              <w:rPr>
                <w:rFonts w:ascii="Tahoma" w:eastAsia="Calibri" w:hAnsi="Tahoma" w:cs="Tahoma" w:hint="cs"/>
                <w:b/>
                <w:bCs/>
                <w:sz w:val="40"/>
                <w:szCs w:val="40"/>
                <w:rtl/>
              </w:rPr>
              <w:t>שוק המשכנתאות</w:t>
            </w:r>
          </w:p>
          <w:p w:rsidR="00DE05FA" w:rsidRPr="00DE05FA" w:rsidP="00DE05FA">
            <w:pPr>
              <w:spacing w:line="288" w:lineRule="auto"/>
              <w:rPr>
                <w:rFonts w:eastAsia="Calibri"/>
                <w:szCs w:val="24"/>
                <w:rtl/>
              </w:rPr>
            </w:pPr>
            <w:r w:rsidRPr="00DE05FA">
              <w:rPr>
                <w:rFonts w:ascii="Tahoma" w:eastAsia="Calibri" w:hAnsi="Tahoma" w:cs="Tahoma"/>
                <w:sz w:val="36"/>
                <w:szCs w:val="36"/>
                <w:rtl/>
              </w:rPr>
              <w:t>תקציר</w:t>
            </w:r>
          </w:p>
          <w:p w:rsidR="00DE05FA" w:rsidRPr="00DE05FA" w:rsidP="00DE05FA">
            <w:pPr>
              <w:spacing w:line="288" w:lineRule="auto"/>
              <w:ind w:left="-851"/>
              <w:rPr>
                <w:rFonts w:eastAsia="Calibri"/>
                <w:szCs w:val="24"/>
                <w:rtl/>
              </w:rPr>
            </w:pPr>
          </w:p>
        </w:tc>
      </w:tr>
    </w:tbl>
    <w:p w:rsidR="00DE05FA" w:rsidRPr="00DE05FA" w:rsidP="00DE05FA">
      <w:pPr>
        <w:spacing w:line="288" w:lineRule="auto"/>
        <w:ind w:left="-851"/>
        <w:rPr>
          <w:rFonts w:eastAsia="Calibri"/>
          <w:rtl/>
        </w:rPr>
      </w:pPr>
    </w:p>
    <w:p w:rsidR="00DE05FA" w:rsidRPr="00DE05FA" w:rsidP="00DE05FA">
      <w:pPr>
        <w:spacing w:line="288" w:lineRule="auto"/>
        <w:ind w:left="-851"/>
        <w:rPr>
          <w:rFonts w:eastAsia="Calibri"/>
          <w:rtl/>
        </w:rPr>
      </w:pPr>
      <w:r w:rsidRPr="00DE05FA">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4A17E8" w:rsidP="00DE05FA">
      <w:pPr>
        <w:spacing w:after="120" w:line="288" w:lineRule="auto"/>
        <w:ind w:left="-709" w:right="-567"/>
        <w:rPr>
          <w:rFonts w:ascii="Tahoma" w:eastAsia="Calibri" w:hAnsi="Tahoma" w:cs="Tahoma"/>
          <w:sz w:val="19"/>
          <w:szCs w:val="19"/>
          <w:rtl/>
        </w:rPr>
      </w:pPr>
      <w:r w:rsidRPr="00DE05FA">
        <w:rPr>
          <w:rFonts w:ascii="Tahoma" w:eastAsia="Calibri" w:hAnsi="Tahoma" w:cs="Tahoma"/>
          <w:sz w:val="19"/>
          <w:szCs w:val="19"/>
          <w:rtl/>
        </w:rPr>
        <w:t xml:space="preserve">משכנתא היא הלוואה ארוכת טווח לדיור </w:t>
      </w:r>
      <w:r w:rsidRPr="00DE05FA">
        <w:rPr>
          <w:rFonts w:ascii="Tahoma" w:eastAsia="Calibri" w:hAnsi="Tahoma" w:cs="Tahoma" w:hint="cs"/>
          <w:sz w:val="19"/>
          <w:szCs w:val="19"/>
          <w:rtl/>
        </w:rPr>
        <w:t>(</w:t>
      </w:r>
      <w:r w:rsidRPr="00DE05FA">
        <w:rPr>
          <w:rFonts w:ascii="Tahoma" w:eastAsia="Calibri" w:hAnsi="Tahoma" w:cs="Tahoma"/>
          <w:sz w:val="19"/>
          <w:szCs w:val="19"/>
          <w:rtl/>
        </w:rPr>
        <w:t>משכנתא או הלוואה לדיור או הלוואה למטרת מגורים) בשעבוד נכס מקרקעין והיא ההתחייבות הפיננסית המשמעותית ביותר של משקי הבית.</w:t>
      </w:r>
    </w:p>
    <w:p w:rsidR="004A17E8" w:rsidP="00DE05FA">
      <w:pPr>
        <w:spacing w:after="120" w:line="288" w:lineRule="auto"/>
        <w:ind w:left="-709" w:right="-567"/>
        <w:rPr>
          <w:rFonts w:ascii="Tahoma" w:eastAsia="Calibri" w:hAnsi="Tahoma" w:cs="Tahoma"/>
          <w:sz w:val="19"/>
          <w:szCs w:val="19"/>
          <w:rtl/>
        </w:rPr>
      </w:pPr>
      <w:r w:rsidRPr="00DE05FA">
        <w:rPr>
          <w:rFonts w:ascii="Tahoma" w:eastAsia="Calibri" w:hAnsi="Tahoma" w:cs="Tahoma"/>
          <w:sz w:val="19"/>
          <w:szCs w:val="19"/>
          <w:rtl/>
        </w:rPr>
        <w:t>מאז שנת 2008, העלייה החדה והמתמשכת במחירי הדיור הובילה לגידול ניכר בביקוש לאשראי. מגמה זו משתקפת היטב בנתוני השנים 2024</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2025: סכום המשכנתא הממוצע חצה את רף המיליון ש"ח, וההחזר החודשי הממוצע האמיר לכ-5,800 ש"ח</w:t>
      </w:r>
      <w:r w:rsidRPr="00DE05FA">
        <w:rPr>
          <w:rFonts w:ascii="Tahoma" w:eastAsia="Calibri" w:hAnsi="Tahoma" w:cs="Tahoma" w:hint="cs"/>
          <w:sz w:val="19"/>
          <w:szCs w:val="19"/>
          <w:rtl/>
        </w:rPr>
        <w:t xml:space="preserve"> בהשוואה להחזר ממוצע בשנת 2019 שעמד על 4,200 ש"ח</w:t>
      </w:r>
      <w:r w:rsidRPr="00DE05FA">
        <w:rPr>
          <w:rFonts w:ascii="Tahoma" w:eastAsia="Calibri" w:hAnsi="Tahoma" w:cs="Tahoma"/>
          <w:sz w:val="19"/>
          <w:szCs w:val="19"/>
          <w:rtl/>
        </w:rPr>
        <w:t>.</w:t>
      </w:r>
    </w:p>
    <w:p w:rsidR="00DE05FA" w:rsidRPr="00DE05FA" w:rsidP="00DE05FA">
      <w:pPr>
        <w:spacing w:after="120" w:line="288" w:lineRule="auto"/>
        <w:ind w:left="-709" w:right="-567"/>
        <w:rPr>
          <w:rFonts w:ascii="Tahoma" w:eastAsia="Calibri" w:hAnsi="Tahoma" w:cs="Tahoma"/>
          <w:sz w:val="19"/>
          <w:szCs w:val="19"/>
          <w:rtl/>
        </w:rPr>
      </w:pPr>
      <w:r w:rsidRPr="00DE05FA">
        <w:rPr>
          <w:rFonts w:ascii="Tahoma" w:eastAsia="Calibri" w:hAnsi="Tahoma" w:cs="Tahoma"/>
          <w:sz w:val="19"/>
          <w:szCs w:val="19"/>
          <w:rtl/>
        </w:rPr>
        <w:t>נכון ליוני 2025, יתרת חוב המשכנתאות הכוללת של הציבור בישראל הגיעה להיקף חסר תקדים של כ-630 מיליארד ש"ח.</w:t>
      </w:r>
    </w:p>
    <w:p w:rsidR="00DE05FA" w:rsidRPr="00DE05FA" w:rsidP="00A411B9">
      <w:pPr>
        <w:spacing w:line="288" w:lineRule="auto"/>
        <w:ind w:left="-709" w:right="-567"/>
        <w:rPr>
          <w:rFonts w:ascii="Tahoma" w:eastAsia="Calibri" w:hAnsi="Tahoma" w:cs="Tahoma"/>
          <w:sz w:val="19"/>
          <w:szCs w:val="19"/>
          <w:rtl/>
        </w:rPr>
      </w:pPr>
      <w:r w:rsidRPr="00DE05FA">
        <w:rPr>
          <w:rFonts w:ascii="Tahoma" w:eastAsia="Calibri" w:hAnsi="Tahoma" w:cs="Tahoma"/>
          <w:sz w:val="19"/>
          <w:szCs w:val="19"/>
          <w:rtl/>
        </w:rPr>
        <w:t>היקף המשכנתאות בכלכלה הישראלית מלמד כי שוק המשכנתאות הוא בעל חשיבות מרכזית למשק ובעל השפעה משמעותית על הציב</w:t>
      </w:r>
      <w:bookmarkStart w:id="0" w:name="tempMark"/>
      <w:bookmarkEnd w:id="0"/>
      <w:r w:rsidRPr="00DE05FA">
        <w:rPr>
          <w:rFonts w:ascii="Tahoma" w:eastAsia="Calibri" w:hAnsi="Tahoma" w:cs="Tahoma"/>
          <w:sz w:val="19"/>
          <w:szCs w:val="19"/>
          <w:rtl/>
        </w:rPr>
        <w:t>ור ועל הגופים המלווים. העלייה במשכנתאות מגדילה את היקף הנכסים של המלווים ואת הכנסותיהם, אך גם מגדילה את היקף החשיפה שלהם לסיכונים פיננסיים שונים שעלולים לגרום לפגיעה ביציבות המערכת הפיננסית, כפי שאירע במשבר הסאב -הפריים</w:t>
      </w:r>
      <w:r>
        <w:rPr>
          <w:rFonts w:ascii="Tahoma" w:eastAsia="Calibri" w:hAnsi="Tahoma" w:cs="Tahoma"/>
          <w:sz w:val="19"/>
          <w:szCs w:val="19"/>
          <w:vertAlign w:val="superscript"/>
          <w:rtl/>
        </w:rPr>
        <w:footnoteReference w:id="2"/>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עבור משקי הבית, העלייה בהיקפי המשכנתאות </w:t>
      </w:r>
      <w:r w:rsidRPr="00DE05FA">
        <w:rPr>
          <w:rFonts w:ascii="Tahoma" w:eastAsia="Calibri" w:hAnsi="Tahoma" w:cs="Tahoma" w:hint="cs"/>
          <w:sz w:val="19"/>
          <w:szCs w:val="19"/>
          <w:rtl/>
        </w:rPr>
        <w:t>עלולה</w:t>
      </w:r>
      <w:r w:rsidRPr="00DE05FA">
        <w:rPr>
          <w:rFonts w:ascii="Tahoma" w:eastAsia="Calibri" w:hAnsi="Tahoma" w:cs="Tahoma"/>
          <w:sz w:val="19"/>
          <w:szCs w:val="19"/>
          <w:rtl/>
        </w:rPr>
        <w:t xml:space="preserve"> לגרום לכך שהם לא יעמדו בתשלומי המשכנתאות, וכפועל יוצא מכך, להוביל את המערכת הפיננסית לכשל מערכתי חמור. לכן, קיימת חשיבות גבוהה בפיקוח יעיל של הגופים המאסדרים על שוק המשכנתאות, במטרה לשמור על יציבות המערכת הפיננסית ולהבטיח מתן שירות הוגן ומיטבי לציבור.</w:t>
      </w:r>
    </w:p>
    <w:p w:rsidR="00DE05FA" w:rsidRPr="00DE05FA" w:rsidP="00DE05FA">
      <w:pPr>
        <w:spacing w:line="288" w:lineRule="auto"/>
        <w:ind w:left="-709" w:right="-567"/>
        <w:jc w:val="left"/>
        <w:rPr>
          <w:rFonts w:ascii="Tahoma" w:eastAsia="Calibri" w:hAnsi="Tahoma" w:cs="Tahoma"/>
          <w:b/>
          <w:bCs/>
          <w:sz w:val="22"/>
          <w:szCs w:val="22"/>
          <w:rtl/>
        </w:rPr>
      </w:pPr>
    </w:p>
    <w:p w:rsidR="00DA551F">
      <w:pPr>
        <w:bidi w:val="0"/>
        <w:spacing w:after="200" w:line="276" w:lineRule="auto"/>
        <w:rPr>
          <w:rFonts w:eastAsia="Calibri"/>
          <w:rtl/>
        </w:rPr>
      </w:pPr>
      <w:r>
        <w:rPr>
          <w:rFonts w:eastAsia="Calibri"/>
          <w:rtl/>
        </w:rPr>
        <w:br w:type="page"/>
      </w:r>
    </w:p>
    <w:p w:rsidR="00DE05FA" w:rsidRPr="00DE05FA" w:rsidP="00DE05FA">
      <w:pPr>
        <w:spacing w:line="288" w:lineRule="auto"/>
        <w:ind w:left="-851"/>
        <w:rPr>
          <w:rFonts w:eastAsia="Calibri"/>
          <w:rtl/>
        </w:rPr>
      </w:pPr>
      <w:r w:rsidRPr="00DE05FA">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DE05FA" w:rsidRPr="00DE05FA" w:rsidP="00DE05FA">
      <w:pPr>
        <w:spacing w:line="288" w:lineRule="auto"/>
        <w:ind w:left="-710"/>
        <w:rPr>
          <w:rFonts w:eastAsia="Calibri"/>
        </w:rPr>
      </w:pPr>
    </w:p>
    <w:tbl>
      <w:tblPr>
        <w:tblStyle w:val="26"/>
        <w:tblpPr w:leftFromText="180" w:rightFromText="180" w:vertAnchor="text" w:tblpXSpec="center" w:tblpY="1"/>
        <w:tblOverlap w:val="never"/>
        <w:bidiVisual/>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7"/>
        <w:gridCol w:w="284"/>
        <w:gridCol w:w="2409"/>
        <w:gridCol w:w="270"/>
        <w:gridCol w:w="2282"/>
        <w:gridCol w:w="270"/>
        <w:gridCol w:w="2140"/>
      </w:tblGrid>
      <w:tr w:rsidTr="00A411B9">
        <w:tblPrEx>
          <w:tblW w:w="9792" w:type="dxa"/>
          <w:tblLook w:val="04A0"/>
        </w:tblPrEx>
        <w:trPr>
          <w:trHeight w:val="709"/>
        </w:trPr>
        <w:tc>
          <w:tcPr>
            <w:tcW w:w="2137" w:type="dxa"/>
            <w:tcBorders>
              <w:bottom w:val="single" w:sz="12" w:space="0" w:color="auto"/>
            </w:tcBorders>
            <w:shd w:val="clear" w:color="auto" w:fill="auto"/>
            <w:vAlign w:val="bottom"/>
          </w:tcPr>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52%</w:t>
            </w:r>
            <w:r w:rsidRPr="00DE05FA">
              <w:rPr>
                <w:rFonts w:ascii="Tahoma" w:eastAsia="Calibri" w:hAnsi="Tahoma" w:cs="Tahoma" w:hint="cs"/>
                <w:spacing w:val="-10"/>
                <w:sz w:val="26"/>
                <w:szCs w:val="26"/>
                <w:rtl/>
              </w:rPr>
              <w:t xml:space="preserve"> </w:t>
            </w:r>
          </w:p>
        </w:tc>
        <w:tc>
          <w:tcPr>
            <w:tcW w:w="284" w:type="dxa"/>
            <w:vAlign w:val="bottom"/>
          </w:tcPr>
          <w:p w:rsidR="00DE05FA" w:rsidRPr="00DE05FA" w:rsidP="00DE05FA">
            <w:pPr>
              <w:spacing w:line="240" w:lineRule="auto"/>
              <w:rPr>
                <w:rFonts w:ascii="Tahoma" w:eastAsia="Calibri" w:hAnsi="Tahoma" w:cs="Tahoma"/>
                <w:spacing w:val="-10"/>
                <w:szCs w:val="24"/>
                <w:highlight w:val="yellow"/>
                <w:rtl/>
              </w:rPr>
            </w:pPr>
          </w:p>
        </w:tc>
        <w:tc>
          <w:tcPr>
            <w:tcW w:w="2409"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73%</w:t>
            </w:r>
            <w:r w:rsidRPr="00DE05FA">
              <w:rPr>
                <w:rFonts w:ascii="Tahoma" w:eastAsia="Calibri" w:hAnsi="Tahoma" w:cs="Tahoma" w:hint="cs"/>
                <w:spacing w:val="-10"/>
                <w:sz w:val="26"/>
                <w:szCs w:val="26"/>
                <w:rtl/>
              </w:rPr>
              <w:t xml:space="preserve"> לעומת </w:t>
            </w:r>
            <w:r w:rsidRPr="00DE05FA">
              <w:rPr>
                <w:rFonts w:ascii="Tahoma" w:eastAsia="Calibri" w:hAnsi="Tahoma" w:cs="Tahoma" w:hint="cs"/>
                <w:spacing w:val="-10"/>
                <w:sz w:val="36"/>
                <w:szCs w:val="36"/>
                <w:rtl/>
              </w:rPr>
              <w:t xml:space="preserve">66% </w:t>
            </w:r>
          </w:p>
        </w:tc>
        <w:tc>
          <w:tcPr>
            <w:tcW w:w="270" w:type="dxa"/>
            <w:vAlign w:val="bottom"/>
          </w:tcPr>
          <w:p w:rsidR="00DE05FA" w:rsidRPr="00DE05FA" w:rsidP="00DE05FA">
            <w:pPr>
              <w:spacing w:line="240" w:lineRule="auto"/>
              <w:rPr>
                <w:rFonts w:ascii="Tahoma" w:eastAsia="Calibri" w:hAnsi="Tahoma" w:cs="Tahoma"/>
                <w:spacing w:val="-10"/>
              </w:rPr>
            </w:pPr>
          </w:p>
        </w:tc>
        <w:tc>
          <w:tcPr>
            <w:tcW w:w="2282"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 xml:space="preserve">50% </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45%</w:t>
            </w:r>
          </w:p>
        </w:tc>
        <w:tc>
          <w:tcPr>
            <w:tcW w:w="270" w:type="dxa"/>
            <w:vAlign w:val="bottom"/>
          </w:tcPr>
          <w:p w:rsidR="00DE05FA" w:rsidRPr="00DE05FA" w:rsidP="00DE05FA">
            <w:pPr>
              <w:spacing w:line="240" w:lineRule="auto"/>
              <w:rPr>
                <w:rFonts w:ascii="Tahoma" w:eastAsia="Calibri" w:hAnsi="Tahoma" w:cs="Tahoma"/>
                <w:spacing w:val="-10"/>
              </w:rPr>
            </w:pPr>
          </w:p>
        </w:tc>
        <w:tc>
          <w:tcPr>
            <w:tcW w:w="2140"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 xml:space="preserve">31% </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20%</w:t>
            </w:r>
          </w:p>
        </w:tc>
      </w:tr>
      <w:tr w:rsidTr="00A411B9">
        <w:tblPrEx>
          <w:tblW w:w="9792" w:type="dxa"/>
          <w:tblLook w:val="04A0"/>
        </w:tblPrEx>
        <w:trPr>
          <w:trHeight w:val="1377"/>
        </w:trPr>
        <w:tc>
          <w:tcPr>
            <w:tcW w:w="2137" w:type="dxa"/>
            <w:tcBorders>
              <w:top w:val="single" w:sz="12" w:space="0" w:color="auto"/>
            </w:tcBorders>
            <w:shd w:val="clear" w:color="auto" w:fill="auto"/>
          </w:tcPr>
          <w:p w:rsidR="004A17E8" w:rsidP="00DE05FA">
            <w:pPr>
              <w:spacing w:line="240" w:lineRule="auto"/>
              <w:rPr>
                <w:rFonts w:ascii="Tahoma" w:eastAsia="Calibri" w:hAnsi="Tahoma" w:cs="Tahoma"/>
                <w:spacing w:val="-10"/>
                <w:sz w:val="19"/>
                <w:szCs w:val="19"/>
                <w:rtl/>
              </w:rPr>
            </w:pPr>
            <w:r w:rsidRPr="00DE05FA">
              <w:rPr>
                <w:rFonts w:ascii="Tahoma" w:eastAsia="Calibri" w:hAnsi="Tahoma" w:cs="Tahoma" w:hint="cs"/>
                <w:spacing w:val="-10"/>
                <w:sz w:val="19"/>
                <w:szCs w:val="19"/>
                <w:rtl/>
              </w:rPr>
              <w:t xml:space="preserve">שיעור עליית </w:t>
            </w:r>
            <w:r w:rsidRPr="00DE05FA">
              <w:rPr>
                <w:rFonts w:ascii="Tahoma" w:eastAsia="Calibri" w:hAnsi="Tahoma" w:cs="Tahoma"/>
                <w:spacing w:val="-10"/>
                <w:sz w:val="19"/>
                <w:szCs w:val="19"/>
                <w:rtl/>
              </w:rPr>
              <w:t>מדד מחירי</w:t>
            </w:r>
          </w:p>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spacing w:val="-10"/>
                <w:sz w:val="19"/>
                <w:szCs w:val="19"/>
                <w:rtl/>
              </w:rPr>
              <w:t xml:space="preserve">הדירות בשנים 2016 </w:t>
            </w:r>
            <w:r w:rsidRPr="00DE05FA">
              <w:rPr>
                <w:rFonts w:ascii="Tahoma" w:eastAsia="Calibri" w:hAnsi="Tahoma" w:cs="Tahoma" w:hint="cs"/>
                <w:spacing w:val="-10"/>
                <w:sz w:val="19"/>
                <w:szCs w:val="19"/>
                <w:rtl/>
              </w:rPr>
              <w:t>-</w:t>
            </w:r>
            <w:r w:rsidRPr="00DE05FA">
              <w:rPr>
                <w:rFonts w:ascii="Tahoma" w:eastAsia="Calibri" w:hAnsi="Tahoma" w:cs="Tahoma"/>
                <w:spacing w:val="-10"/>
                <w:sz w:val="19"/>
                <w:szCs w:val="19"/>
                <w:rtl/>
              </w:rPr>
              <w:t xml:space="preserve"> 2025</w:t>
            </w:r>
          </w:p>
        </w:tc>
        <w:tc>
          <w:tcPr>
            <w:tcW w:w="284" w:type="dxa"/>
          </w:tcPr>
          <w:p w:rsidR="00DE05FA" w:rsidRPr="00DE05FA" w:rsidP="00DE05FA">
            <w:pPr>
              <w:spacing w:line="288" w:lineRule="auto"/>
              <w:rPr>
                <w:rFonts w:ascii="Tahoma" w:eastAsia="Calibri" w:hAnsi="Tahoma" w:cs="Tahoma"/>
                <w:spacing w:val="-10"/>
                <w:szCs w:val="24"/>
                <w:highlight w:val="yellow"/>
                <w:rtl/>
              </w:rPr>
            </w:pPr>
          </w:p>
          <w:p w:rsidR="00DE05FA" w:rsidRPr="00DE05FA" w:rsidP="00DE05FA">
            <w:pPr>
              <w:spacing w:line="288" w:lineRule="auto"/>
              <w:rPr>
                <w:rFonts w:ascii="Tahoma" w:eastAsia="Calibri" w:hAnsi="Tahoma" w:cs="Tahoma"/>
                <w:spacing w:val="-10"/>
                <w:szCs w:val="24"/>
                <w:highlight w:val="yellow"/>
                <w:rtl/>
              </w:rPr>
            </w:pPr>
          </w:p>
          <w:p w:rsidR="00DE05FA" w:rsidRPr="00DE05FA" w:rsidP="00DE05FA">
            <w:pPr>
              <w:spacing w:line="288" w:lineRule="auto"/>
              <w:rPr>
                <w:rFonts w:ascii="Tahoma" w:eastAsia="Calibri" w:hAnsi="Tahoma" w:cs="Tahoma"/>
                <w:spacing w:val="-10"/>
                <w:highlight w:val="yellow"/>
              </w:rPr>
            </w:pPr>
          </w:p>
        </w:tc>
        <w:tc>
          <w:tcPr>
            <w:tcW w:w="2409" w:type="dxa"/>
            <w:tcBorders>
              <w:top w:val="single" w:sz="12" w:space="0" w:color="auto"/>
            </w:tcBorders>
          </w:tcPr>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spacing w:val="-10"/>
                <w:sz w:val="19"/>
                <w:szCs w:val="19"/>
                <w:rtl/>
              </w:rPr>
              <w:t xml:space="preserve">לפי נתוני בנק ישראל, בשנים 2019 - 2025 גדל שיעור האשראי לדיור מסך אשראי למשקי בית מכ-66% </w:t>
            </w:r>
            <w:r w:rsidR="000B2400">
              <w:rPr>
                <w:rFonts w:ascii="Tahoma" w:eastAsia="Calibri" w:hAnsi="Tahoma" w:cs="Tahoma"/>
                <w:spacing w:val="-10"/>
                <w:sz w:val="19"/>
                <w:szCs w:val="19"/>
                <w:rtl/>
              </w:rPr>
              <w:br/>
            </w:r>
            <w:r w:rsidRPr="00DE05FA">
              <w:rPr>
                <w:rFonts w:ascii="Tahoma" w:eastAsia="Calibri" w:hAnsi="Tahoma" w:cs="Tahoma"/>
                <w:spacing w:val="-10"/>
                <w:sz w:val="19"/>
                <w:szCs w:val="19"/>
                <w:rtl/>
              </w:rPr>
              <w:t xml:space="preserve">לכ-73% </w:t>
            </w:r>
          </w:p>
        </w:tc>
        <w:tc>
          <w:tcPr>
            <w:tcW w:w="270" w:type="dxa"/>
          </w:tcPr>
          <w:p w:rsidR="00DE05FA" w:rsidRPr="00DE05FA" w:rsidP="00DE05FA">
            <w:pPr>
              <w:spacing w:line="288" w:lineRule="auto"/>
              <w:rPr>
                <w:rFonts w:ascii="Tahoma" w:eastAsia="Calibri" w:hAnsi="Tahoma" w:cs="Tahoma"/>
                <w:spacing w:val="-10"/>
              </w:rPr>
            </w:pPr>
          </w:p>
        </w:tc>
        <w:tc>
          <w:tcPr>
            <w:tcW w:w="2282" w:type="dxa"/>
            <w:tcBorders>
              <w:top w:val="single" w:sz="12" w:space="0" w:color="auto"/>
            </w:tcBorders>
          </w:tcPr>
          <w:p w:rsidR="00DE05FA" w:rsidRPr="00DE05FA" w:rsidP="00DE05FA">
            <w:pPr>
              <w:spacing w:line="240" w:lineRule="auto"/>
              <w:rPr>
                <w:rFonts w:ascii="Tahoma" w:eastAsia="Calibri" w:hAnsi="Tahoma" w:cs="Tahoma"/>
                <w:spacing w:val="-10"/>
                <w:sz w:val="19"/>
                <w:szCs w:val="19"/>
              </w:rPr>
            </w:pPr>
            <w:r w:rsidRPr="00DE05FA">
              <w:rPr>
                <w:rFonts w:ascii="Tahoma" w:eastAsia="Calibri" w:hAnsi="Tahoma" w:cs="Tahoma" w:hint="cs"/>
                <w:spacing w:val="-10"/>
                <w:sz w:val="19"/>
                <w:szCs w:val="19"/>
                <w:rtl/>
              </w:rPr>
              <w:t>לפי נתוני בנק ישראל, בשנים 2023 - 2025 גדל שיעור המימון של רוכשי דירה יחידה</w:t>
            </w:r>
            <w:r>
              <w:rPr>
                <w:rFonts w:ascii="Tahoma" w:eastAsia="Calibri" w:hAnsi="Tahoma" w:cs="Tahoma"/>
                <w:spacing w:val="-10"/>
                <w:sz w:val="19"/>
                <w:szCs w:val="19"/>
                <w:vertAlign w:val="superscript"/>
                <w:rtl/>
              </w:rPr>
              <w:footnoteReference w:id="3"/>
            </w:r>
            <w:r w:rsidRPr="00DE05FA">
              <w:rPr>
                <w:rFonts w:ascii="Tahoma" w:eastAsia="Calibri" w:hAnsi="Tahoma" w:cs="Tahoma" w:hint="cs"/>
                <w:spacing w:val="-10"/>
                <w:sz w:val="19"/>
                <w:szCs w:val="19"/>
                <w:rtl/>
              </w:rPr>
              <w:t xml:space="preserve"> בכ-5%</w:t>
            </w:r>
          </w:p>
        </w:tc>
        <w:tc>
          <w:tcPr>
            <w:tcW w:w="270" w:type="dxa"/>
          </w:tcPr>
          <w:p w:rsidR="00DE05FA" w:rsidRPr="00DE05FA" w:rsidP="00DE05FA">
            <w:pPr>
              <w:spacing w:line="288" w:lineRule="auto"/>
              <w:rPr>
                <w:rFonts w:ascii="Tahoma" w:eastAsia="Calibri" w:hAnsi="Tahoma" w:cs="Tahoma"/>
                <w:spacing w:val="-10"/>
              </w:rPr>
            </w:pPr>
            <w:r w:rsidRPr="00DE05FA">
              <w:rPr>
                <w:rFonts w:ascii="Tahoma" w:eastAsia="Calibri" w:hAnsi="Tahoma" w:cs="Tahoma" w:hint="cs"/>
                <w:spacing w:val="-10"/>
                <w:szCs w:val="24"/>
                <w:rtl/>
              </w:rPr>
              <w:t xml:space="preserve"> </w:t>
            </w:r>
          </w:p>
        </w:tc>
        <w:tc>
          <w:tcPr>
            <w:tcW w:w="2140" w:type="dxa"/>
            <w:tcBorders>
              <w:top w:val="single" w:sz="12" w:space="0" w:color="auto"/>
            </w:tcBorders>
          </w:tcPr>
          <w:p w:rsidR="00DE05FA" w:rsidRPr="00DE05FA" w:rsidP="00DE05FA">
            <w:pPr>
              <w:spacing w:line="240" w:lineRule="auto"/>
              <w:contextualSpacing/>
              <w:rPr>
                <w:rFonts w:ascii="Tahoma" w:eastAsia="Calibri" w:hAnsi="Tahoma" w:cs="Tahoma"/>
                <w:spacing w:val="-10"/>
                <w:sz w:val="19"/>
                <w:szCs w:val="19"/>
                <w:rtl/>
              </w:rPr>
            </w:pPr>
            <w:r w:rsidRPr="00DE05FA">
              <w:rPr>
                <w:rFonts w:ascii="Tahoma" w:eastAsia="Calibri" w:hAnsi="Tahoma" w:cs="Tahoma" w:hint="cs"/>
                <w:spacing w:val="-10"/>
                <w:sz w:val="19"/>
                <w:szCs w:val="19"/>
                <w:rtl/>
              </w:rPr>
              <w:t>לפי נתוני בנק ישראל, מ</w:t>
            </w:r>
            <w:r w:rsidRPr="00DE05FA">
              <w:rPr>
                <w:rFonts w:ascii="Tahoma" w:eastAsia="Calibri" w:hAnsi="Tahoma" w:cs="Tahoma"/>
                <w:spacing w:val="-10"/>
                <w:sz w:val="19"/>
                <w:szCs w:val="19"/>
                <w:rtl/>
              </w:rPr>
              <w:t>שקל ההלוואות בסיכון גבוה</w:t>
            </w:r>
            <w:r>
              <w:rPr>
                <w:rFonts w:ascii="Tahoma" w:eastAsia="Calibri" w:hAnsi="Tahoma" w:cs="Tahoma"/>
                <w:spacing w:val="-10"/>
                <w:sz w:val="19"/>
                <w:szCs w:val="19"/>
                <w:vertAlign w:val="superscript"/>
                <w:rtl/>
              </w:rPr>
              <w:footnoteReference w:id="4"/>
            </w:r>
            <w:r w:rsidRPr="00DE05FA">
              <w:rPr>
                <w:rFonts w:ascii="Tahoma" w:eastAsia="Calibri" w:hAnsi="Tahoma" w:cs="Tahoma"/>
                <w:spacing w:val="-10"/>
                <w:sz w:val="19"/>
                <w:szCs w:val="19"/>
                <w:rtl/>
              </w:rPr>
              <w:t xml:space="preserve"> עלה מכ-20% בינואר 2022 לכ-31% ביולי 2025</w:t>
            </w:r>
          </w:p>
        </w:tc>
      </w:tr>
      <w:tr w:rsidTr="00A411B9">
        <w:tblPrEx>
          <w:tblW w:w="9792" w:type="dxa"/>
          <w:tblLook w:val="04A0"/>
        </w:tblPrEx>
        <w:trPr>
          <w:trHeight w:val="1839"/>
        </w:trPr>
        <w:tc>
          <w:tcPr>
            <w:tcW w:w="2137" w:type="dxa"/>
            <w:tcBorders>
              <w:bottom w:val="single" w:sz="12" w:space="0" w:color="auto"/>
            </w:tcBorders>
            <w:shd w:val="clear" w:color="auto" w:fill="auto"/>
            <w:vAlign w:val="bottom"/>
          </w:tcPr>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hint="cs"/>
                <w:spacing w:val="-10"/>
                <w:sz w:val="36"/>
                <w:szCs w:val="36"/>
                <w:rtl/>
              </w:rPr>
              <w:t xml:space="preserve">330 </w:t>
            </w:r>
            <w:r w:rsidRPr="00DE05FA">
              <w:rPr>
                <w:rFonts w:ascii="Tahoma" w:eastAsia="Calibri" w:hAnsi="Tahoma" w:cs="Tahoma" w:hint="cs"/>
                <w:spacing w:val="-10"/>
                <w:sz w:val="26"/>
                <w:szCs w:val="26"/>
                <w:rtl/>
              </w:rPr>
              <w:t>מיליארד ש"ח</w:t>
            </w:r>
          </w:p>
        </w:tc>
        <w:tc>
          <w:tcPr>
            <w:tcW w:w="284" w:type="dxa"/>
            <w:vAlign w:val="bottom"/>
          </w:tcPr>
          <w:p w:rsidR="00DE05FA" w:rsidRPr="00DE05FA" w:rsidP="00DE05FA">
            <w:pPr>
              <w:spacing w:line="240" w:lineRule="auto"/>
              <w:rPr>
                <w:rFonts w:ascii="Tahoma" w:eastAsia="Calibri" w:hAnsi="Tahoma" w:cs="Tahoma"/>
                <w:spacing w:val="-10"/>
                <w:szCs w:val="24"/>
                <w:highlight w:val="yellow"/>
                <w:rtl/>
              </w:rPr>
            </w:pPr>
          </w:p>
        </w:tc>
        <w:tc>
          <w:tcPr>
            <w:tcW w:w="2409" w:type="dxa"/>
            <w:tcBorders>
              <w:bottom w:val="single" w:sz="12" w:space="0" w:color="auto"/>
            </w:tcBorders>
            <w:vAlign w:val="bottom"/>
          </w:tcPr>
          <w:p w:rsidR="00DE05FA" w:rsidRPr="00DE05FA" w:rsidP="00DE05FA">
            <w:pPr>
              <w:spacing w:line="240" w:lineRule="auto"/>
              <w:rPr>
                <w:rFonts w:ascii="Tahoma" w:eastAsia="Calibri" w:hAnsi="Tahoma" w:cs="Tahoma"/>
                <w:spacing w:val="-10"/>
                <w:sz w:val="19"/>
                <w:szCs w:val="19"/>
                <w:rtl/>
              </w:rPr>
            </w:pPr>
          </w:p>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hint="cs"/>
                <w:spacing w:val="-10"/>
                <w:sz w:val="36"/>
                <w:szCs w:val="36"/>
                <w:rtl/>
              </w:rPr>
              <w:t xml:space="preserve">96% </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4% </w:t>
            </w:r>
            <w:r w:rsidRPr="00DE05FA">
              <w:rPr>
                <w:rFonts w:ascii="Tahoma" w:eastAsia="Calibri" w:hAnsi="Tahoma" w:cs="Tahoma" w:hint="eastAsia"/>
                <w:spacing w:val="-10"/>
                <w:sz w:val="26"/>
                <w:szCs w:val="26"/>
                <w:rtl/>
              </w:rPr>
              <w:t>בלבד</w:t>
            </w:r>
          </w:p>
        </w:tc>
        <w:tc>
          <w:tcPr>
            <w:tcW w:w="270" w:type="dxa"/>
            <w:vAlign w:val="bottom"/>
          </w:tcPr>
          <w:p w:rsidR="00DE05FA" w:rsidRPr="00DE05FA" w:rsidP="00DE05FA">
            <w:pPr>
              <w:spacing w:line="240" w:lineRule="auto"/>
              <w:rPr>
                <w:rFonts w:ascii="Tahoma" w:eastAsia="Calibri" w:hAnsi="Tahoma" w:cs="Tahoma"/>
                <w:spacing w:val="-10"/>
              </w:rPr>
            </w:pPr>
          </w:p>
        </w:tc>
        <w:tc>
          <w:tcPr>
            <w:tcW w:w="2282" w:type="dxa"/>
            <w:tcBorders>
              <w:bottom w:val="single" w:sz="12" w:space="0" w:color="auto"/>
            </w:tcBorders>
            <w:vAlign w:val="bottom"/>
          </w:tcPr>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hint="cs"/>
                <w:spacing w:val="-10"/>
                <w:sz w:val="36"/>
                <w:szCs w:val="36"/>
                <w:rtl/>
              </w:rPr>
              <w:t xml:space="preserve">4 </w:t>
            </w:r>
            <w:r w:rsidRPr="00DE05FA">
              <w:rPr>
                <w:rFonts w:ascii="Tahoma" w:eastAsia="Calibri" w:hAnsi="Tahoma" w:cs="Tahoma" w:hint="cs"/>
                <w:spacing w:val="-10"/>
                <w:sz w:val="26"/>
                <w:szCs w:val="26"/>
                <w:rtl/>
              </w:rPr>
              <w:t xml:space="preserve">בנקים בלבד מחזיקים בכ-93% מהמשכנתאות במערכת הבנקאית </w:t>
            </w:r>
          </w:p>
        </w:tc>
        <w:tc>
          <w:tcPr>
            <w:tcW w:w="270" w:type="dxa"/>
            <w:vAlign w:val="bottom"/>
          </w:tcPr>
          <w:p w:rsidR="00DE05FA" w:rsidRPr="00DE05FA" w:rsidP="00DE05FA">
            <w:pPr>
              <w:spacing w:line="240" w:lineRule="auto"/>
              <w:rPr>
                <w:rFonts w:ascii="Tahoma" w:eastAsia="Calibri" w:hAnsi="Tahoma" w:cs="Tahoma"/>
                <w:spacing w:val="-10"/>
                <w:szCs w:val="24"/>
                <w:rtl/>
              </w:rPr>
            </w:pPr>
          </w:p>
        </w:tc>
        <w:tc>
          <w:tcPr>
            <w:tcW w:w="2140" w:type="dxa"/>
            <w:tcBorders>
              <w:bottom w:val="single" w:sz="12" w:space="0" w:color="auto"/>
            </w:tcBorders>
            <w:vAlign w:val="bottom"/>
          </w:tcPr>
          <w:p w:rsidR="00DE05FA" w:rsidRPr="00DE05FA" w:rsidP="00DE05FA">
            <w:pPr>
              <w:spacing w:line="240" w:lineRule="auto"/>
              <w:rPr>
                <w:rFonts w:ascii="Tahoma" w:eastAsia="Calibri" w:hAnsi="Tahoma" w:cs="Tahoma"/>
                <w:spacing w:val="-10"/>
                <w:sz w:val="19"/>
                <w:szCs w:val="19"/>
                <w:rtl/>
              </w:rPr>
            </w:pPr>
            <w:r w:rsidRPr="00DE05FA">
              <w:rPr>
                <w:rFonts w:ascii="Tahoma" w:eastAsia="Calibri" w:hAnsi="Tahoma" w:cs="Tahoma" w:hint="cs"/>
                <w:spacing w:val="-10"/>
                <w:sz w:val="36"/>
                <w:szCs w:val="36"/>
                <w:rtl/>
              </w:rPr>
              <w:t xml:space="preserve"> 9 </w:t>
            </w:r>
            <w:r w:rsidRPr="00DE05FA">
              <w:rPr>
                <w:rFonts w:ascii="Tahoma" w:eastAsia="Calibri" w:hAnsi="Tahoma" w:cs="Tahoma" w:hint="eastAsia"/>
                <w:spacing w:val="-10"/>
                <w:sz w:val="26"/>
                <w:szCs w:val="26"/>
                <w:rtl/>
              </w:rPr>
              <w:t>נקודות</w:t>
            </w:r>
            <w:r w:rsidRPr="00DE05FA">
              <w:rPr>
                <w:rFonts w:ascii="Tahoma" w:eastAsia="Calibri" w:hAnsi="Tahoma" w:cs="Tahoma"/>
                <w:spacing w:val="-10"/>
                <w:sz w:val="26"/>
                <w:szCs w:val="26"/>
                <w:rtl/>
              </w:rPr>
              <w:t xml:space="preserve"> </w:t>
            </w:r>
            <w:r w:rsidRPr="00DE05FA">
              <w:rPr>
                <w:rFonts w:ascii="Tahoma" w:eastAsia="Calibri" w:hAnsi="Tahoma" w:cs="Tahoma" w:hint="eastAsia"/>
                <w:spacing w:val="-10"/>
                <w:sz w:val="26"/>
                <w:szCs w:val="26"/>
                <w:rtl/>
              </w:rPr>
              <w:t>אחוז</w:t>
            </w:r>
          </w:p>
        </w:tc>
      </w:tr>
      <w:tr w:rsidTr="00606D97">
        <w:tblPrEx>
          <w:tblW w:w="9792" w:type="dxa"/>
          <w:tblLook w:val="04A0"/>
        </w:tblPrEx>
        <w:trPr>
          <w:trHeight w:val="85"/>
        </w:trPr>
        <w:tc>
          <w:tcPr>
            <w:tcW w:w="9792" w:type="dxa"/>
            <w:gridSpan w:val="7"/>
            <w:shd w:val="clear" w:color="auto" w:fill="auto"/>
            <w:vAlign w:val="center"/>
          </w:tcPr>
          <w:p w:rsidR="00DE05FA" w:rsidRPr="00DE05FA" w:rsidP="00DE05FA">
            <w:pPr>
              <w:spacing w:line="288" w:lineRule="auto"/>
              <w:rPr>
                <w:rFonts w:ascii="Tahoma" w:eastAsia="Calibri" w:hAnsi="Tahoma" w:cs="Tahoma"/>
                <w:spacing w:val="-10"/>
                <w:sz w:val="6"/>
                <w:szCs w:val="6"/>
                <w:highlight w:val="yellow"/>
                <w:rtl/>
              </w:rPr>
            </w:pPr>
          </w:p>
        </w:tc>
      </w:tr>
      <w:tr w:rsidTr="00A411B9">
        <w:tblPrEx>
          <w:tblW w:w="9792" w:type="dxa"/>
          <w:tblLook w:val="04A0"/>
        </w:tblPrEx>
        <w:trPr>
          <w:trHeight w:val="1155"/>
        </w:trPr>
        <w:tc>
          <w:tcPr>
            <w:tcW w:w="2137"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הגידול ביתרות חוב המשכנתאות של משקי הבית בישראל בשנים 2015 - 2025 לפי נתוני בנק ישראל ליוני 2025: מכ-300 מיליארד ש</w:t>
            </w:r>
            <w:r w:rsidRPr="00DE05FA">
              <w:rPr>
                <w:rFonts w:ascii="Tahoma" w:eastAsia="Calibri" w:hAnsi="Tahoma" w:cs="Tahoma"/>
                <w:sz w:val="19"/>
                <w:szCs w:val="19"/>
                <w:rtl/>
              </w:rPr>
              <w:t>"</w:t>
            </w:r>
            <w:r w:rsidRPr="00DE05FA">
              <w:rPr>
                <w:rFonts w:ascii="Tahoma" w:eastAsia="Calibri" w:hAnsi="Tahoma" w:cs="Tahoma" w:hint="cs"/>
                <w:sz w:val="19"/>
                <w:szCs w:val="19"/>
                <w:rtl/>
              </w:rPr>
              <w:t>ח בשנת 2015 לכ-630 מיליארד ש</w:t>
            </w:r>
            <w:r w:rsidRPr="00DE05FA">
              <w:rPr>
                <w:rFonts w:ascii="Tahoma" w:eastAsia="Calibri" w:hAnsi="Tahoma" w:cs="Tahoma"/>
                <w:sz w:val="19"/>
                <w:szCs w:val="19"/>
                <w:rtl/>
              </w:rPr>
              <w:t>"</w:t>
            </w:r>
            <w:r w:rsidRPr="00DE05FA">
              <w:rPr>
                <w:rFonts w:ascii="Tahoma" w:eastAsia="Calibri" w:hAnsi="Tahoma" w:cs="Tahoma" w:hint="cs"/>
                <w:sz w:val="19"/>
                <w:szCs w:val="19"/>
                <w:rtl/>
              </w:rPr>
              <w:t>ח במהלך שנת 2025</w:t>
            </w:r>
          </w:p>
          <w:p w:rsidR="00DE05FA" w:rsidRPr="00DE05FA" w:rsidP="00DE05FA">
            <w:pPr>
              <w:spacing w:line="240" w:lineRule="auto"/>
              <w:ind w:right="23"/>
              <w:rPr>
                <w:rFonts w:ascii="Tahoma" w:eastAsia="Calibri" w:hAnsi="Tahoma" w:cs="Tahoma"/>
                <w:sz w:val="19"/>
                <w:szCs w:val="19"/>
                <w:highlight w:val="yellow"/>
                <w:rtl/>
              </w:rPr>
            </w:pPr>
          </w:p>
        </w:tc>
        <w:tc>
          <w:tcPr>
            <w:tcW w:w="284" w:type="dxa"/>
          </w:tcPr>
          <w:p w:rsidR="00DE05FA" w:rsidRPr="00DE05FA" w:rsidP="00DE05FA">
            <w:pPr>
              <w:spacing w:line="240" w:lineRule="auto"/>
              <w:rPr>
                <w:rFonts w:ascii="Tahoma" w:eastAsia="Calibri" w:hAnsi="Tahoma" w:cs="Tahoma"/>
                <w:szCs w:val="24"/>
                <w:highlight w:val="yellow"/>
                <w:rtl/>
              </w:rPr>
            </w:pPr>
          </w:p>
        </w:tc>
        <w:tc>
          <w:tcPr>
            <w:tcW w:w="2409"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 xml:space="preserve">חלקם של הבנקים בשוק המשכנתאות בישראל לעומת חלקם של גורמים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איים (ובהם גופים מוסדיים) לפי נתוני בנק ישראל ליוני 2025</w:t>
            </w:r>
          </w:p>
        </w:tc>
        <w:tc>
          <w:tcPr>
            <w:tcW w:w="270" w:type="dxa"/>
          </w:tcPr>
          <w:p w:rsidR="00DE05FA" w:rsidRPr="00DE05FA" w:rsidP="00DE05FA">
            <w:pPr>
              <w:spacing w:line="240" w:lineRule="auto"/>
              <w:rPr>
                <w:rFonts w:ascii="Tahoma" w:eastAsia="Calibri" w:hAnsi="Tahoma" w:cs="Tahoma"/>
                <w:sz w:val="19"/>
                <w:szCs w:val="19"/>
                <w:rtl/>
              </w:rPr>
            </w:pPr>
          </w:p>
        </w:tc>
        <w:tc>
          <w:tcPr>
            <w:tcW w:w="2282"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לפי נתוני בנק ישראל, נכון לסוף שנת 2024</w:t>
            </w:r>
          </w:p>
          <w:p w:rsidR="00DE05FA" w:rsidRPr="00DE05FA" w:rsidP="00DE05FA">
            <w:pPr>
              <w:spacing w:line="240" w:lineRule="auto"/>
              <w:ind w:right="23"/>
              <w:rPr>
                <w:rFonts w:ascii="Tahoma" w:eastAsia="Calibri" w:hAnsi="Tahoma" w:cs="Tahoma"/>
                <w:sz w:val="19"/>
                <w:szCs w:val="19"/>
                <w:rtl/>
              </w:rPr>
            </w:pPr>
          </w:p>
        </w:tc>
        <w:tc>
          <w:tcPr>
            <w:tcW w:w="270" w:type="dxa"/>
          </w:tcPr>
          <w:p w:rsidR="00DE05FA" w:rsidRPr="00DE05FA" w:rsidP="00DE05FA">
            <w:pPr>
              <w:spacing w:line="240" w:lineRule="auto"/>
              <w:rPr>
                <w:rFonts w:ascii="Tahoma" w:eastAsia="Calibri" w:hAnsi="Tahoma" w:cs="Tahoma"/>
                <w:sz w:val="19"/>
                <w:szCs w:val="19"/>
                <w:rtl/>
              </w:rPr>
            </w:pPr>
          </w:p>
        </w:tc>
        <w:tc>
          <w:tcPr>
            <w:tcW w:w="2140"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שיעור הגידול שחל באשראי לדיור מהתוצר (משיעור של כ-25% בשנת 2016 לכ-34% בשנת 2023) על פי ניתוח משרד מבקר המדינה לנתוני בנק ישראל</w:t>
            </w:r>
          </w:p>
          <w:p w:rsidR="00DE05FA" w:rsidRPr="00DE05FA" w:rsidP="00DE05FA">
            <w:pPr>
              <w:spacing w:line="240" w:lineRule="auto"/>
              <w:ind w:right="23"/>
              <w:rPr>
                <w:rFonts w:ascii="Tahoma" w:eastAsia="Calibri" w:hAnsi="Tahoma" w:cs="Tahoma"/>
                <w:sz w:val="19"/>
                <w:szCs w:val="19"/>
                <w:rtl/>
              </w:rPr>
            </w:pPr>
          </w:p>
        </w:tc>
      </w:tr>
      <w:tr w:rsidTr="00606D97">
        <w:tblPrEx>
          <w:tblW w:w="9792" w:type="dxa"/>
          <w:tblLook w:val="04A0"/>
        </w:tblPrEx>
        <w:trPr>
          <w:trHeight w:val="187"/>
        </w:trPr>
        <w:tc>
          <w:tcPr>
            <w:tcW w:w="9792" w:type="dxa"/>
            <w:gridSpan w:val="7"/>
          </w:tcPr>
          <w:p w:rsidR="00DE05FA" w:rsidRPr="00DE05FA" w:rsidP="00DE05FA">
            <w:pPr>
              <w:spacing w:line="288" w:lineRule="auto"/>
              <w:rPr>
                <w:rFonts w:ascii="Tahoma" w:eastAsia="Calibri" w:hAnsi="Tahoma" w:cs="Tahoma"/>
                <w:sz w:val="6"/>
                <w:szCs w:val="6"/>
                <w:rtl/>
              </w:rPr>
            </w:pPr>
          </w:p>
        </w:tc>
      </w:tr>
      <w:tr w:rsidTr="00A411B9">
        <w:tblPrEx>
          <w:tblW w:w="9792" w:type="dxa"/>
          <w:tblLook w:val="04A0"/>
        </w:tblPrEx>
        <w:trPr>
          <w:trHeight w:val="227"/>
        </w:trPr>
        <w:tc>
          <w:tcPr>
            <w:tcW w:w="2137"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Pr>
            </w:pPr>
            <w:r w:rsidRPr="00DE05FA">
              <w:rPr>
                <w:rFonts w:ascii="Tahoma" w:eastAsia="Calibri" w:hAnsi="Tahoma" w:cs="Tahoma" w:hint="cs"/>
                <w:spacing w:val="-10"/>
                <w:sz w:val="36"/>
                <w:szCs w:val="36"/>
                <w:rtl/>
              </w:rPr>
              <w:t>4.4%</w:t>
            </w:r>
            <w:r w:rsidRPr="00DE05FA">
              <w:rPr>
                <w:rFonts w:ascii="Tahoma" w:eastAsia="Calibri" w:hAnsi="Tahoma" w:cs="Tahoma" w:hint="cs"/>
                <w:spacing w:val="-10"/>
                <w:sz w:val="26"/>
                <w:szCs w:val="26"/>
                <w:rtl/>
              </w:rPr>
              <w:t xml:space="preserve">, </w:t>
            </w:r>
            <w:r w:rsidRPr="00DE05FA">
              <w:rPr>
                <w:rFonts w:ascii="Tahoma" w:eastAsia="Calibri" w:hAnsi="Tahoma" w:cs="Tahoma" w:hint="cs"/>
                <w:spacing w:val="-10"/>
                <w:sz w:val="36"/>
                <w:szCs w:val="36"/>
                <w:rtl/>
              </w:rPr>
              <w:t>12%</w:t>
            </w:r>
          </w:p>
        </w:tc>
        <w:tc>
          <w:tcPr>
            <w:tcW w:w="284" w:type="dxa"/>
            <w:vAlign w:val="bottom"/>
          </w:tcPr>
          <w:p w:rsidR="00DE05FA" w:rsidRPr="00DE05FA" w:rsidP="00DE05FA">
            <w:pPr>
              <w:spacing w:line="240" w:lineRule="auto"/>
              <w:rPr>
                <w:rFonts w:ascii="Tahoma" w:eastAsia="Calibri" w:hAnsi="Tahoma" w:cs="Tahoma"/>
                <w:spacing w:val="-10"/>
              </w:rPr>
            </w:pPr>
          </w:p>
        </w:tc>
        <w:tc>
          <w:tcPr>
            <w:tcW w:w="2409"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Pr>
            </w:pPr>
            <w:r w:rsidRPr="00DE05FA">
              <w:rPr>
                <w:rFonts w:ascii="Tahoma" w:eastAsia="Calibri" w:hAnsi="Tahoma" w:cs="Tahoma" w:hint="eastAsia"/>
                <w:spacing w:val="-10"/>
                <w:sz w:val="26"/>
                <w:szCs w:val="26"/>
                <w:rtl/>
              </w:rPr>
              <w:t>גידול</w:t>
            </w:r>
            <w:r w:rsidRPr="00DE05FA">
              <w:rPr>
                <w:rFonts w:ascii="Tahoma" w:eastAsia="Calibri" w:hAnsi="Tahoma" w:cs="Tahoma"/>
                <w:spacing w:val="-10"/>
                <w:sz w:val="26"/>
                <w:szCs w:val="26"/>
                <w:rtl/>
              </w:rPr>
              <w:t xml:space="preserve"> של </w:t>
            </w:r>
            <w:r w:rsidRPr="00DE05FA">
              <w:rPr>
                <w:rFonts w:ascii="Tahoma" w:eastAsia="Calibri" w:hAnsi="Tahoma" w:cs="Tahoma"/>
                <w:spacing w:val="-10"/>
                <w:sz w:val="26"/>
                <w:szCs w:val="26"/>
                <w:rtl/>
              </w:rPr>
              <w:br/>
            </w:r>
            <w:r w:rsidRPr="00DE05FA">
              <w:rPr>
                <w:rFonts w:ascii="Tahoma" w:eastAsia="Calibri" w:hAnsi="Tahoma" w:cs="Tahoma" w:hint="eastAsia"/>
                <w:spacing w:val="-10"/>
                <w:sz w:val="26"/>
                <w:szCs w:val="26"/>
                <w:rtl/>
              </w:rPr>
              <w:t>כ</w:t>
            </w:r>
            <w:r w:rsidRPr="00DE05FA">
              <w:rPr>
                <w:rFonts w:ascii="Tahoma" w:eastAsia="Calibri" w:hAnsi="Tahoma" w:cs="Tahoma"/>
                <w:spacing w:val="-10"/>
                <w:sz w:val="26"/>
                <w:szCs w:val="26"/>
                <w:rtl/>
              </w:rPr>
              <w:t>-</w:t>
            </w:r>
            <w:r w:rsidRPr="00DE05FA">
              <w:rPr>
                <w:rFonts w:ascii="Tahoma" w:eastAsia="Calibri" w:hAnsi="Tahoma" w:cs="Tahoma" w:hint="cs"/>
                <w:spacing w:val="-10"/>
                <w:sz w:val="36"/>
                <w:szCs w:val="36"/>
                <w:rtl/>
              </w:rPr>
              <w:t>246,000</w:t>
            </w:r>
            <w:r w:rsidRPr="00DE05FA">
              <w:rPr>
                <w:rFonts w:ascii="Tahoma" w:eastAsia="Calibri" w:hAnsi="Tahoma" w:cs="Tahoma"/>
                <w:spacing w:val="-10"/>
                <w:sz w:val="26"/>
                <w:szCs w:val="26"/>
                <w:rtl/>
              </w:rPr>
              <w:t xml:space="preserve"> </w:t>
            </w:r>
            <w:r w:rsidRPr="00DE05FA">
              <w:rPr>
                <w:rFonts w:ascii="Tahoma" w:eastAsia="Calibri" w:hAnsi="Tahoma" w:cs="Tahoma" w:hint="cs"/>
                <w:spacing w:val="-10"/>
                <w:sz w:val="26"/>
                <w:szCs w:val="26"/>
                <w:rtl/>
              </w:rPr>
              <w:t>ש"ח</w:t>
            </w:r>
          </w:p>
        </w:tc>
        <w:tc>
          <w:tcPr>
            <w:tcW w:w="270" w:type="dxa"/>
            <w:vAlign w:val="bottom"/>
          </w:tcPr>
          <w:p w:rsidR="00DE05FA" w:rsidRPr="00DE05FA" w:rsidP="00DE05FA">
            <w:pPr>
              <w:spacing w:line="240" w:lineRule="auto"/>
              <w:rPr>
                <w:rFonts w:ascii="Tahoma" w:eastAsia="Calibri" w:hAnsi="Tahoma" w:cs="Tahoma"/>
                <w:spacing w:val="-10"/>
              </w:rPr>
            </w:pPr>
          </w:p>
        </w:tc>
        <w:tc>
          <w:tcPr>
            <w:tcW w:w="2282" w:type="dxa"/>
            <w:tcBorders>
              <w:bottom w:val="single" w:sz="12" w:space="0" w:color="auto"/>
            </w:tcBorders>
            <w:vAlign w:val="bottom"/>
          </w:tcPr>
          <w:p w:rsidR="00DE05FA" w:rsidRPr="00DE05FA" w:rsidP="00DE05FA">
            <w:pPr>
              <w:spacing w:line="240" w:lineRule="auto"/>
              <w:rPr>
                <w:rFonts w:ascii="Tahoma" w:eastAsia="Calibri" w:hAnsi="Tahoma" w:cs="Tahoma"/>
                <w:spacing w:val="-10"/>
                <w:sz w:val="26"/>
                <w:szCs w:val="26"/>
                <w:rtl/>
              </w:rPr>
            </w:pPr>
          </w:p>
          <w:p w:rsidR="00DE05FA" w:rsidRPr="00DE05FA" w:rsidP="00DE05FA">
            <w:pPr>
              <w:spacing w:line="240" w:lineRule="auto"/>
              <w:rPr>
                <w:rFonts w:ascii="Tahoma" w:eastAsia="Calibri" w:hAnsi="Tahoma" w:cs="Tahoma"/>
                <w:spacing w:val="-10"/>
                <w:sz w:val="26"/>
                <w:szCs w:val="26"/>
              </w:rPr>
            </w:pPr>
            <w:r w:rsidRPr="00DE05FA">
              <w:rPr>
                <w:rFonts w:ascii="Tahoma" w:eastAsia="Calibri" w:hAnsi="Tahoma" w:cs="Tahoma" w:hint="eastAsia"/>
                <w:spacing w:val="-10"/>
                <w:sz w:val="26"/>
                <w:szCs w:val="26"/>
                <w:rtl/>
              </w:rPr>
              <w:t>גידול</w:t>
            </w:r>
            <w:r w:rsidRPr="00DE05FA">
              <w:rPr>
                <w:rFonts w:ascii="Tahoma" w:eastAsia="Calibri" w:hAnsi="Tahoma" w:cs="Tahoma"/>
                <w:spacing w:val="-10"/>
                <w:sz w:val="26"/>
                <w:szCs w:val="26"/>
                <w:rtl/>
              </w:rPr>
              <w:t xml:space="preserve"> </w:t>
            </w:r>
            <w:r w:rsidRPr="00DE05FA">
              <w:rPr>
                <w:rFonts w:ascii="Tahoma" w:eastAsia="Calibri" w:hAnsi="Tahoma" w:cs="Tahoma" w:hint="eastAsia"/>
                <w:spacing w:val="-10"/>
                <w:sz w:val="26"/>
                <w:szCs w:val="26"/>
                <w:rtl/>
              </w:rPr>
              <w:t>של</w:t>
            </w:r>
            <w:r w:rsidRPr="00DE05FA">
              <w:rPr>
                <w:rFonts w:ascii="Tahoma" w:eastAsia="Calibri" w:hAnsi="Tahoma" w:cs="Tahoma" w:hint="cs"/>
                <w:spacing w:val="-10"/>
                <w:sz w:val="36"/>
                <w:szCs w:val="36"/>
                <w:rtl/>
              </w:rPr>
              <w:t xml:space="preserve"> 1,576 </w:t>
            </w:r>
            <w:r w:rsidRPr="00DE05FA">
              <w:rPr>
                <w:rFonts w:ascii="Tahoma" w:eastAsia="Calibri" w:hAnsi="Tahoma" w:cs="Tahoma" w:hint="cs"/>
                <w:spacing w:val="-10"/>
                <w:sz w:val="26"/>
                <w:szCs w:val="26"/>
                <w:rtl/>
              </w:rPr>
              <w:t>ש"ח</w:t>
            </w:r>
          </w:p>
        </w:tc>
        <w:tc>
          <w:tcPr>
            <w:tcW w:w="270" w:type="dxa"/>
            <w:vAlign w:val="bottom"/>
          </w:tcPr>
          <w:p w:rsidR="00DE05FA" w:rsidRPr="00DE05FA" w:rsidP="00DE05FA">
            <w:pPr>
              <w:spacing w:line="240" w:lineRule="auto"/>
              <w:rPr>
                <w:rFonts w:ascii="Tahoma" w:eastAsia="Calibri" w:hAnsi="Tahoma" w:cs="Tahoma"/>
                <w:spacing w:val="-10"/>
              </w:rPr>
            </w:pPr>
          </w:p>
        </w:tc>
        <w:tc>
          <w:tcPr>
            <w:tcW w:w="2140"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32%</w:t>
            </w:r>
          </w:p>
          <w:p w:rsidR="00DE05FA" w:rsidRPr="00DE05FA" w:rsidP="00DE05FA">
            <w:pPr>
              <w:spacing w:line="240" w:lineRule="auto"/>
              <w:rPr>
                <w:rFonts w:ascii="Tahoma" w:eastAsia="Calibri" w:hAnsi="Tahoma" w:cs="Tahoma"/>
                <w:spacing w:val="-10"/>
                <w:sz w:val="36"/>
                <w:szCs w:val="36"/>
                <w:rtl/>
              </w:rPr>
            </w:pPr>
            <w:r w:rsidRPr="00DE05FA">
              <w:rPr>
                <w:rFonts w:ascii="Tahoma" w:eastAsia="Calibri" w:hAnsi="Tahoma" w:cs="Tahoma" w:hint="cs"/>
                <w:spacing w:val="-10"/>
                <w:sz w:val="26"/>
                <w:szCs w:val="26"/>
                <w:rtl/>
              </w:rPr>
              <w:t xml:space="preserve">לעומת </w:t>
            </w:r>
            <w:r w:rsidRPr="00DE05FA">
              <w:rPr>
                <w:rFonts w:ascii="Tahoma" w:eastAsia="Calibri" w:hAnsi="Tahoma" w:cs="Tahoma" w:hint="cs"/>
                <w:spacing w:val="-10"/>
                <w:sz w:val="36"/>
                <w:szCs w:val="36"/>
                <w:rtl/>
              </w:rPr>
              <w:t>38%</w:t>
            </w:r>
            <w:r w:rsidRPr="00DE05FA">
              <w:rPr>
                <w:rFonts w:ascii="Tahoma" w:eastAsia="Calibri" w:hAnsi="Tahoma" w:cs="Tahoma" w:hint="cs"/>
                <w:spacing w:val="-10"/>
                <w:sz w:val="26"/>
                <w:szCs w:val="26"/>
                <w:rtl/>
              </w:rPr>
              <w:t xml:space="preserve"> </w:t>
            </w:r>
          </w:p>
        </w:tc>
      </w:tr>
      <w:tr w:rsidTr="00606D97">
        <w:tblPrEx>
          <w:tblW w:w="9792" w:type="dxa"/>
          <w:tblLook w:val="04A0"/>
        </w:tblPrEx>
        <w:trPr>
          <w:trHeight w:val="70"/>
        </w:trPr>
        <w:tc>
          <w:tcPr>
            <w:tcW w:w="9792" w:type="dxa"/>
            <w:gridSpan w:val="7"/>
            <w:vAlign w:val="center"/>
          </w:tcPr>
          <w:p w:rsidR="00DE05FA" w:rsidRPr="00DE05FA" w:rsidP="00DE05FA">
            <w:pPr>
              <w:spacing w:line="288" w:lineRule="auto"/>
              <w:rPr>
                <w:rFonts w:ascii="Tahoma" w:eastAsia="Calibri" w:hAnsi="Tahoma" w:cs="Tahoma"/>
                <w:spacing w:val="-10"/>
                <w:sz w:val="6"/>
                <w:szCs w:val="6"/>
                <w:rtl/>
              </w:rPr>
            </w:pPr>
          </w:p>
        </w:tc>
      </w:tr>
      <w:tr w:rsidTr="00A411B9">
        <w:tblPrEx>
          <w:tblW w:w="9792" w:type="dxa"/>
          <w:tblLook w:val="04A0"/>
        </w:tblPrEx>
        <w:trPr>
          <w:trHeight w:val="1153"/>
        </w:trPr>
        <w:tc>
          <w:tcPr>
            <w:tcW w:w="2137"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בשנים 2021 -2023 העלה בנק ישראל את הריבית המוניטרית ב-4.4%, ובמקביל עלתה האינפלציה בכ-12%, על פי נתוני בנק ישראל והלשכה המרכזית לסטטיסטיקה</w:t>
            </w: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right="23"/>
              <w:rPr>
                <w:rFonts w:ascii="Tahoma" w:eastAsia="Calibri" w:hAnsi="Tahoma" w:cs="Tahoma"/>
                <w:sz w:val="19"/>
                <w:szCs w:val="19"/>
                <w:rtl/>
              </w:rPr>
            </w:pPr>
          </w:p>
        </w:tc>
        <w:tc>
          <w:tcPr>
            <w:tcW w:w="284" w:type="dxa"/>
          </w:tcPr>
          <w:p w:rsidR="00DE05FA" w:rsidRPr="00DE05FA" w:rsidP="00DE05FA">
            <w:pPr>
              <w:spacing w:line="240" w:lineRule="auto"/>
              <w:rPr>
                <w:rFonts w:ascii="Tahoma" w:eastAsia="Calibri" w:hAnsi="Tahoma" w:cs="Tahoma"/>
                <w:sz w:val="19"/>
                <w:szCs w:val="19"/>
                <w:rtl/>
              </w:rPr>
            </w:pPr>
          </w:p>
        </w:tc>
        <w:tc>
          <w:tcPr>
            <w:tcW w:w="2409"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הגידול בשנים 2020 -2025 של סכום המשכנתא הממוצע (מכ-779 אלף ש"ח לכ-1,025 אלף ש</w:t>
            </w:r>
            <w:r w:rsidRPr="00DE05FA">
              <w:rPr>
                <w:rFonts w:ascii="Tahoma" w:eastAsia="Calibri" w:hAnsi="Tahoma" w:cs="Tahoma"/>
                <w:sz w:val="19"/>
                <w:szCs w:val="19"/>
                <w:rtl/>
              </w:rPr>
              <w:t>"</w:t>
            </w:r>
            <w:r w:rsidRPr="00DE05FA">
              <w:rPr>
                <w:rFonts w:ascii="Tahoma" w:eastAsia="Calibri" w:hAnsi="Tahoma" w:cs="Tahoma" w:hint="cs"/>
                <w:sz w:val="19"/>
                <w:szCs w:val="19"/>
                <w:rtl/>
              </w:rPr>
              <w:t>ח), לפי נתוני בנק ישראל לאוגוסט 2025</w:t>
            </w:r>
          </w:p>
          <w:p w:rsidR="00DE05FA" w:rsidRPr="00DE05FA" w:rsidP="00DE05FA">
            <w:pPr>
              <w:spacing w:line="240" w:lineRule="auto"/>
              <w:ind w:right="23"/>
              <w:rPr>
                <w:rFonts w:ascii="Tahoma" w:eastAsia="Calibri" w:hAnsi="Tahoma" w:cs="Tahoma"/>
                <w:sz w:val="19"/>
                <w:szCs w:val="19"/>
                <w:rtl/>
              </w:rPr>
            </w:pPr>
          </w:p>
        </w:tc>
        <w:tc>
          <w:tcPr>
            <w:tcW w:w="270" w:type="dxa"/>
          </w:tcPr>
          <w:p w:rsidR="00DE05FA" w:rsidRPr="00DE05FA" w:rsidP="00DE05FA">
            <w:pPr>
              <w:spacing w:line="240" w:lineRule="auto"/>
              <w:rPr>
                <w:rFonts w:ascii="Tahoma" w:eastAsia="Calibri" w:hAnsi="Tahoma" w:cs="Tahoma"/>
                <w:sz w:val="19"/>
                <w:szCs w:val="19"/>
                <w:rtl/>
              </w:rPr>
            </w:pPr>
          </w:p>
        </w:tc>
        <w:tc>
          <w:tcPr>
            <w:tcW w:w="2282"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הגידול ב</w:t>
            </w:r>
            <w:r w:rsidRPr="00DE05FA">
              <w:rPr>
                <w:rFonts w:ascii="Tahoma" w:eastAsia="Calibri" w:hAnsi="Tahoma" w:cs="Tahoma"/>
                <w:sz w:val="19"/>
                <w:szCs w:val="19"/>
                <w:rtl/>
              </w:rPr>
              <w:t xml:space="preserve">סכום ההחזר החודשי הראשון הממוצע על משכנתאות שנלקחו בשנת </w:t>
            </w:r>
            <w:r w:rsidRPr="00DE05FA">
              <w:rPr>
                <w:rFonts w:ascii="Tahoma" w:eastAsia="Calibri" w:hAnsi="Tahoma" w:cs="Tahoma" w:hint="cs"/>
                <w:sz w:val="19"/>
                <w:szCs w:val="19"/>
                <w:rtl/>
              </w:rPr>
              <w:t>2019</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(סכום של </w:t>
            </w:r>
            <w:r w:rsidRPr="00DE05FA">
              <w:rPr>
                <w:rFonts w:ascii="Tahoma" w:eastAsia="Calibri" w:hAnsi="Tahoma" w:cs="Tahoma"/>
                <w:sz w:val="19"/>
                <w:szCs w:val="19"/>
                <w:rtl/>
              </w:rPr>
              <w:t xml:space="preserve">4,200 </w:t>
            </w:r>
            <w:r w:rsidRPr="00DE05FA">
              <w:rPr>
                <w:rFonts w:ascii="Tahoma" w:eastAsia="Calibri" w:hAnsi="Tahoma" w:cs="Tahoma" w:hint="cs"/>
                <w:sz w:val="19"/>
                <w:szCs w:val="19"/>
                <w:rtl/>
              </w:rPr>
              <w:t>ש</w:t>
            </w:r>
            <w:r w:rsidRPr="00DE05FA">
              <w:rPr>
                <w:rFonts w:ascii="Tahoma" w:eastAsia="Calibri" w:hAnsi="Tahoma" w:cs="Tahoma"/>
                <w:sz w:val="19"/>
                <w:szCs w:val="19"/>
                <w:rtl/>
              </w:rPr>
              <w:t>"</w:t>
            </w:r>
            <w:r w:rsidRPr="00DE05FA">
              <w:rPr>
                <w:rFonts w:ascii="Tahoma" w:eastAsia="Calibri" w:hAnsi="Tahoma" w:cs="Tahoma" w:hint="cs"/>
                <w:sz w:val="19"/>
                <w:szCs w:val="19"/>
                <w:rtl/>
              </w:rPr>
              <w:t>ח) לעומת 2025 (סכום של 5,776 ש</w:t>
            </w:r>
            <w:r w:rsidRPr="00DE05FA">
              <w:rPr>
                <w:rFonts w:ascii="Tahoma" w:eastAsia="Calibri" w:hAnsi="Tahoma" w:cs="Tahoma"/>
                <w:sz w:val="19"/>
                <w:szCs w:val="19"/>
                <w:rtl/>
              </w:rPr>
              <w:t>"</w:t>
            </w:r>
            <w:r w:rsidRPr="00DE05FA">
              <w:rPr>
                <w:rFonts w:ascii="Tahoma" w:eastAsia="Calibri" w:hAnsi="Tahoma" w:cs="Tahoma" w:hint="cs"/>
                <w:sz w:val="19"/>
                <w:szCs w:val="19"/>
                <w:rtl/>
              </w:rPr>
              <w:t>ח), לפי נתוני אמצע שנת 2025 של בנק ישראל</w:t>
            </w:r>
          </w:p>
        </w:tc>
        <w:tc>
          <w:tcPr>
            <w:tcW w:w="270" w:type="dxa"/>
          </w:tcPr>
          <w:p w:rsidR="00DE05FA" w:rsidRPr="00DE05FA" w:rsidP="00DE05FA">
            <w:pPr>
              <w:spacing w:line="240" w:lineRule="auto"/>
              <w:rPr>
                <w:rFonts w:ascii="Tahoma" w:eastAsia="Calibri" w:hAnsi="Tahoma" w:cs="Tahoma"/>
                <w:sz w:val="19"/>
                <w:szCs w:val="19"/>
                <w:rtl/>
              </w:rPr>
            </w:pPr>
          </w:p>
        </w:tc>
        <w:tc>
          <w:tcPr>
            <w:tcW w:w="2140"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הגידול ב</w:t>
            </w:r>
            <w:r w:rsidRPr="00DE05FA">
              <w:rPr>
                <w:rFonts w:ascii="Tahoma" w:eastAsia="Calibri" w:hAnsi="Tahoma" w:cs="Tahoma"/>
                <w:sz w:val="19"/>
                <w:szCs w:val="19"/>
                <w:rtl/>
              </w:rPr>
              <w:t xml:space="preserve">שכר </w:t>
            </w:r>
            <w:r w:rsidRPr="00DE05FA">
              <w:rPr>
                <w:rFonts w:ascii="Tahoma" w:eastAsia="Calibri" w:hAnsi="Tahoma" w:cs="Tahoma" w:hint="cs"/>
                <w:sz w:val="19"/>
                <w:szCs w:val="19"/>
                <w:rtl/>
              </w:rPr>
              <w:t>ה</w:t>
            </w:r>
            <w:r w:rsidRPr="00DE05FA">
              <w:rPr>
                <w:rFonts w:ascii="Tahoma" w:eastAsia="Calibri" w:hAnsi="Tahoma" w:cs="Tahoma"/>
                <w:sz w:val="19"/>
                <w:szCs w:val="19"/>
                <w:rtl/>
              </w:rPr>
              <w:t>ממוצע למשרת שכיר</w:t>
            </w:r>
            <w:r w:rsidRPr="00DE05FA">
              <w:rPr>
                <w:rFonts w:ascii="Tahoma" w:eastAsia="Calibri" w:hAnsi="Tahoma" w:cs="Tahoma" w:hint="cs"/>
                <w:sz w:val="19"/>
                <w:szCs w:val="19"/>
                <w:rtl/>
              </w:rPr>
              <w:t xml:space="preserve"> (עלה בכ-32%), לעומת הגידול בהחזר החודשי על משכנתאות (עלה בכ-38%) בשנים 2019 - 2025</w:t>
            </w: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right="23"/>
              <w:rPr>
                <w:rFonts w:ascii="Tahoma" w:eastAsia="Calibri" w:hAnsi="Tahoma" w:cs="Tahoma"/>
                <w:sz w:val="19"/>
                <w:szCs w:val="19"/>
                <w:rtl/>
              </w:rPr>
            </w:pPr>
          </w:p>
          <w:p w:rsidR="00DE05FA" w:rsidRPr="00DE05FA" w:rsidP="00DE05FA">
            <w:pPr>
              <w:spacing w:line="240" w:lineRule="auto"/>
              <w:ind w:firstLine="720"/>
              <w:rPr>
                <w:rFonts w:ascii="Tahoma" w:eastAsia="Calibri" w:hAnsi="Tahoma" w:cs="Tahoma"/>
                <w:sz w:val="19"/>
                <w:szCs w:val="19"/>
                <w:rtl/>
              </w:rPr>
            </w:pPr>
          </w:p>
        </w:tc>
      </w:tr>
    </w:tbl>
    <w:p w:rsidR="00DE05FA" w:rsidRPr="00DE05FA" w:rsidP="00DE05FA">
      <w:pPr>
        <w:spacing w:line="288" w:lineRule="auto"/>
        <w:rPr>
          <w:rFonts w:eastAsia="Calibri"/>
          <w:rtl/>
        </w:rPr>
      </w:pPr>
    </w:p>
    <w:p w:rsidR="00DA551F" w:rsidP="00DE05FA">
      <w:pPr>
        <w:spacing w:line="288" w:lineRule="auto"/>
        <w:rPr>
          <w:rFonts w:eastAsia="Calibri"/>
          <w:rtl/>
        </w:rPr>
      </w:pPr>
    </w:p>
    <w:p w:rsidR="00DE05FA" w:rsidRPr="00DE05FA" w:rsidP="00DA551F">
      <w:pPr>
        <w:spacing w:line="288" w:lineRule="auto"/>
        <w:rPr>
          <w:rFonts w:eastAsia="Calibri"/>
          <w:rtl/>
        </w:rPr>
      </w:pPr>
      <w:r w:rsidRPr="00DE05FA">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-327513</wp:posOffset>
            </wp:positionH>
            <wp:positionV relativeFrom="paragraph">
              <wp:posOffset>94517</wp:posOffset>
            </wp:positionV>
            <wp:extent cx="6173322" cy="801615"/>
            <wp:effectExtent l="0" t="0" r="0" b="0"/>
            <wp:wrapNone/>
            <wp:docPr id="26" name="תמונה 26"/>
            <wp:cNvGraphicFramePr/>
            <a:graphic xmlns:a="http://schemas.openxmlformats.org/drawingml/2006/main">
              <a:graphicData uri="http://schemas.openxmlformats.org/drawingml/2006/picture">
                <pic:pic xmlns:pic="http://schemas.openxmlformats.org/drawingml/2006/picture">
                  <pic:nvPicPr>
                    <pic:cNvPr id="26" name="תקציר-0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22724" cy="808030"/>
                    </a:xfrm>
                    <a:prstGeom prst="rect">
                      <a:avLst/>
                    </a:prstGeom>
                  </pic:spPr>
                </pic:pic>
              </a:graphicData>
            </a:graphic>
            <wp14:sizeRelH relativeFrom="page">
              <wp14:pctWidth>0</wp14:pctWidth>
            </wp14:sizeRelH>
            <wp14:sizeRelV relativeFrom="page">
              <wp14:pctHeight>0</wp14:pctHeight>
            </wp14:sizeRelV>
          </wp:anchor>
        </w:drawing>
      </w:r>
    </w:p>
    <w:p w:rsidR="004A17E8" w:rsidP="00DE05FA">
      <w:pPr>
        <w:spacing w:line="288" w:lineRule="auto"/>
        <w:ind w:left="-710"/>
        <w:rPr>
          <w:rFonts w:ascii="Tahoma" w:eastAsia="Calibri" w:hAnsi="Tahoma" w:cs="Tahoma"/>
          <w:b/>
          <w:bCs/>
          <w:noProof/>
          <w:color w:val="FFFFFF"/>
          <w:sz w:val="22"/>
          <w:szCs w:val="22"/>
          <w:rtl/>
        </w:rPr>
      </w:pPr>
      <w:r w:rsidRPr="00DE05FA">
        <w:rPr>
          <w:rFonts w:ascii="Tahoma" w:eastAsia="Calibri" w:hAnsi="Tahoma" w:cs="Tahoma"/>
          <w:b/>
          <w:bCs/>
          <w:noProof/>
          <w:color w:val="FFFFFF"/>
          <w:sz w:val="22"/>
          <w:szCs w:val="22"/>
          <w:rtl/>
        </w:rPr>
        <w:t>ביצועים (במיליארדי ש"ח) של הלוואות למטרת מגורים, מספרם (באלפים) וסכום המשכנתא (באלפי ש"ח) הממוצעת במערכת הבנקאית בשנים 2020 - 2025*</w:t>
      </w:r>
    </w:p>
    <w:p w:rsidR="00DE05FA" w:rsidRPr="00DE05FA" w:rsidP="00DE05FA">
      <w:pPr>
        <w:spacing w:line="288" w:lineRule="auto"/>
        <w:rPr>
          <w:rFonts w:eastAsia="Calibri"/>
          <w:noProof/>
          <w:rtl/>
        </w:rPr>
      </w:pPr>
    </w:p>
    <w:p w:rsidR="00DE05FA" w:rsidRPr="00DE05FA" w:rsidP="004B227E">
      <w:pPr>
        <w:spacing w:line="288" w:lineRule="auto"/>
        <w:ind w:left="-144"/>
        <w:jc w:val="center"/>
        <w:rPr>
          <w:rFonts w:eastAsia="Calibri"/>
          <w:rtl/>
        </w:rPr>
      </w:pPr>
      <w:r w:rsidRPr="00DE05FA">
        <w:rPr>
          <w:rFonts w:eastAsia="Calibri"/>
          <w:noProof/>
        </w:rPr>
        <w:drawing>
          <wp:inline distT="0" distB="0" distL="0" distR="0">
            <wp:extent cx="5405755" cy="3904521"/>
            <wp:effectExtent l="0" t="0" r="4445" b="127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0449" cy="3907911"/>
                    </a:xfrm>
                    <a:prstGeom prst="rect">
                      <a:avLst/>
                    </a:prstGeom>
                    <a:noFill/>
                  </pic:spPr>
                </pic:pic>
              </a:graphicData>
            </a:graphic>
          </wp:inline>
        </w:drawing>
      </w:r>
    </w:p>
    <w:p w:rsidR="00DE05FA" w:rsidRPr="00DE05FA" w:rsidP="00DA551F">
      <w:pPr>
        <w:spacing w:line="288" w:lineRule="auto"/>
        <w:ind w:left="-711"/>
        <w:jc w:val="left"/>
        <w:rPr>
          <w:rFonts w:ascii="Tahoma" w:eastAsia="Calibri" w:hAnsi="Tahoma" w:cs="Tahoma"/>
          <w:sz w:val="16"/>
          <w:szCs w:val="16"/>
          <w:rtl/>
        </w:rPr>
      </w:pPr>
      <w:r w:rsidRPr="00DE05FA">
        <w:rPr>
          <w:rFonts w:ascii="Tahoma" w:eastAsia="Calibri" w:hAnsi="Tahoma" w:cs="Tahoma" w:hint="cs"/>
          <w:sz w:val="16"/>
          <w:szCs w:val="16"/>
          <w:rtl/>
        </w:rPr>
        <w:t>על פי נתוני בנק ישראל, ב</w:t>
      </w:r>
      <w:r w:rsidRPr="00DE05FA">
        <w:rPr>
          <w:rFonts w:ascii="Tahoma" w:eastAsia="Calibri" w:hAnsi="Tahoma" w:cs="Tahoma"/>
          <w:sz w:val="16"/>
          <w:szCs w:val="16"/>
          <w:rtl/>
        </w:rPr>
        <w:t>עיבוד משרד מבקר המדינה</w:t>
      </w:r>
      <w:r w:rsidRPr="00DE05FA">
        <w:rPr>
          <w:rFonts w:ascii="Tahoma" w:eastAsia="Calibri" w:hAnsi="Tahoma" w:cs="Tahoma" w:hint="cs"/>
          <w:sz w:val="16"/>
          <w:szCs w:val="16"/>
          <w:rtl/>
        </w:rPr>
        <w:t>.</w:t>
      </w:r>
    </w:p>
    <w:p w:rsidR="00DE05FA" w:rsidRPr="00DE05FA" w:rsidP="00DA551F">
      <w:pPr>
        <w:spacing w:line="288" w:lineRule="auto"/>
        <w:ind w:left="-711"/>
        <w:jc w:val="left"/>
        <w:rPr>
          <w:rFonts w:ascii="Tahoma" w:eastAsia="Calibri" w:hAnsi="Tahoma" w:cs="Tahoma"/>
          <w:sz w:val="16"/>
          <w:szCs w:val="16"/>
          <w:rtl/>
        </w:rPr>
      </w:pPr>
      <w:r w:rsidRPr="00DE05FA">
        <w:rPr>
          <w:rFonts w:ascii="Tahoma" w:eastAsia="Calibri" w:hAnsi="Tahoma" w:cs="Tahoma"/>
          <w:sz w:val="16"/>
          <w:szCs w:val="16"/>
          <w:rtl/>
        </w:rPr>
        <w:t>*</w:t>
      </w:r>
      <w:r w:rsidRPr="00DE05FA">
        <w:rPr>
          <w:rFonts w:ascii="Tahoma" w:eastAsia="Calibri" w:hAnsi="Tahoma" w:cs="Tahoma" w:hint="cs"/>
          <w:sz w:val="16"/>
          <w:szCs w:val="16"/>
          <w:rtl/>
        </w:rPr>
        <w:t xml:space="preserve"> </w:t>
      </w:r>
      <w:r w:rsidRPr="00DE05FA">
        <w:rPr>
          <w:rFonts w:ascii="Tahoma" w:eastAsia="Calibri" w:hAnsi="Tahoma" w:cs="Tahoma"/>
          <w:sz w:val="16"/>
          <w:szCs w:val="16"/>
          <w:rtl/>
        </w:rPr>
        <w:t>הנתונים בשנת 2025 הם נתונים מצטברים עד חודש אוגוסט 2025.</w:t>
      </w:r>
    </w:p>
    <w:p w:rsidR="00DE05FA" w:rsidRPr="00DE05FA" w:rsidP="00DE05FA">
      <w:pPr>
        <w:spacing w:line="288" w:lineRule="auto"/>
        <w:ind w:left="-567"/>
        <w:rPr>
          <w:rFonts w:eastAsia="Calibri"/>
          <w:szCs w:val="20"/>
          <w:rtl/>
        </w:rPr>
      </w:pPr>
    </w:p>
    <w:p w:rsidR="004A17E8" w:rsidP="005405A6">
      <w:pPr>
        <w:spacing w:line="288" w:lineRule="auto"/>
        <w:ind w:left="-711" w:right="-709"/>
        <w:rPr>
          <w:rFonts w:ascii="Tahoma" w:eastAsia="Calibri" w:hAnsi="Tahoma" w:cs="Tahoma"/>
          <w:sz w:val="19"/>
          <w:szCs w:val="19"/>
          <w:rtl/>
        </w:rPr>
      </w:pPr>
      <w:r w:rsidRPr="00DE05FA">
        <w:rPr>
          <w:rFonts w:ascii="Tahoma" w:eastAsia="Calibri" w:hAnsi="Tahoma" w:cs="Tahoma"/>
          <w:sz w:val="19"/>
          <w:szCs w:val="19"/>
          <w:rtl/>
        </w:rPr>
        <w:t>מהתרשים עולה כי ביצועי המשכנתאות</w:t>
      </w:r>
      <w:r>
        <w:rPr>
          <w:rFonts w:ascii="Tahoma" w:eastAsia="Calibri" w:hAnsi="Tahoma" w:cs="Tahoma"/>
          <w:sz w:val="19"/>
          <w:szCs w:val="19"/>
          <w:vertAlign w:val="superscript"/>
          <w:rtl/>
        </w:rPr>
        <w:footnoteReference w:id="5"/>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היו הגבוהים ביותר בשנת 2022 וכמות ההלוואות הגבוהה ביותר הייתה בשנת 2021. הביצועים של משכנתאות בשנים 2020 </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2025 השתנו באופן הבא: עלו בשנת 2021 בשיעור של כ-49% לעומת שנת 2020; נשארו בהיקף דומה בשנת 2022 לעומת שנת 2021 </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עלו בשיעור של כ-1%; ירדו בשנת 2023 בשיעור של כ-45% לעומת שנת 2022; ועלו בשנת 2024 בכ-43% לעומת שנת 2023. עוד עולה מהתרשים כי הביצועים של משכנתאות עד חודש אוגוסט 2025 ממשיכים את מגמת ההתאוששות שהייתה בשנת 2024 וצפויים לגדול לעומת שנת 2024 (כ-9 מיליארד ש"ח בממוצע לחודש). עוד עולה כי כמות ההלוואות הגיעה לשיאה בשנת 2021 (כ-130</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הלוואות), ירדה לכ-68</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הלוואות בשנת 2023, ועלתה לכ-93</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הלוואות בשנת 2024. סכום המשכנתא הממוצע עלה מסך של כ-779,000 ש"ח בשנת 2020 לסך כ-1 מיליון ש"ח בשנת 2025, על</w:t>
      </w:r>
      <w:r w:rsidRPr="00DE05FA">
        <w:rPr>
          <w:rFonts w:ascii="Tahoma" w:eastAsia="Calibri" w:hAnsi="Tahoma" w:cs="Tahoma" w:hint="cs"/>
          <w:sz w:val="19"/>
          <w:szCs w:val="19"/>
          <w:rtl/>
        </w:rPr>
        <w:t>י</w:t>
      </w:r>
      <w:r w:rsidRPr="00DE05FA">
        <w:rPr>
          <w:rFonts w:ascii="Tahoma" w:eastAsia="Calibri" w:hAnsi="Tahoma" w:cs="Tahoma"/>
          <w:sz w:val="19"/>
          <w:szCs w:val="19"/>
          <w:rtl/>
        </w:rPr>
        <w:t>יה של כ-32% בחמש שנים.</w:t>
      </w:r>
    </w:p>
    <w:p w:rsidR="00DE05FA" w:rsidRPr="00DE05FA" w:rsidP="00DE05FA">
      <w:pPr>
        <w:spacing w:line="288" w:lineRule="auto"/>
        <w:ind w:left="-710"/>
        <w:rPr>
          <w:rFonts w:eastAsia="Calibri"/>
          <w:rtl/>
        </w:rPr>
      </w:pPr>
    </w:p>
    <w:p w:rsidR="00DE05FA" w:rsidRPr="00DE05FA" w:rsidP="00DE05FA">
      <w:pPr>
        <w:spacing w:line="288" w:lineRule="auto"/>
        <w:rPr>
          <w:rFonts w:eastAsia="Calibri"/>
          <w:rtl/>
        </w:rPr>
      </w:pPr>
    </w:p>
    <w:p w:rsidR="00DA551F">
      <w:pPr>
        <w:bidi w:val="0"/>
        <w:spacing w:after="200" w:line="276" w:lineRule="auto"/>
        <w:rPr>
          <w:rFonts w:eastAsia="Calibri"/>
          <w:rtl/>
        </w:rPr>
      </w:pPr>
      <w:r>
        <w:rPr>
          <w:rFonts w:eastAsia="Calibri"/>
          <w:rtl/>
        </w:rPr>
        <w:br w:type="page"/>
      </w:r>
    </w:p>
    <w:p w:rsidR="00DE05FA" w:rsidRPr="00DE05FA" w:rsidP="00DE05FA">
      <w:pPr>
        <w:spacing w:line="288" w:lineRule="auto"/>
        <w:rPr>
          <w:rFonts w:eastAsia="Calibri"/>
          <w:rtl/>
        </w:rPr>
      </w:pPr>
    </w:p>
    <w:tbl>
      <w:tblPr>
        <w:tblStyle w:val="26"/>
        <w:tblpPr w:leftFromText="180" w:rightFromText="180" w:vertAnchor="text" w:tblpXSpec="center" w:tblpY="1"/>
        <w:tblOverlap w:val="never"/>
        <w:bidiVisual/>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7"/>
        <w:gridCol w:w="8236"/>
      </w:tblGrid>
      <w:tr w:rsidTr="002646BE">
        <w:tblPrEx>
          <w:tblW w:w="9473" w:type="dxa"/>
          <w:tblLayout w:type="fixed"/>
          <w:tblLook w:val="04A0"/>
        </w:tblPrEx>
        <w:trPr>
          <w:trHeight w:val="495"/>
        </w:trPr>
        <w:tc>
          <w:tcPr>
            <w:tcW w:w="9473" w:type="dxa"/>
            <w:gridSpan w:val="2"/>
            <w:vAlign w:val="center"/>
          </w:tcPr>
          <w:p w:rsidR="00DE05FA" w:rsidRPr="00DE05FA" w:rsidP="00DE05FA">
            <w:pPr>
              <w:spacing w:line="288" w:lineRule="auto"/>
              <w:rPr>
                <w:rFonts w:ascii="Tahoma" w:eastAsia="Calibri" w:hAnsi="Tahoma" w:cs="Tahoma"/>
                <w:sz w:val="17"/>
                <w:szCs w:val="17"/>
                <w:rtl/>
              </w:rPr>
            </w:pPr>
            <w:r w:rsidRPr="00DE05FA">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2646BE">
        <w:tblPrEx>
          <w:tblW w:w="9473" w:type="dxa"/>
          <w:tblLayout w:type="fixed"/>
          <w:tblLook w:val="04A0"/>
        </w:tblPrEx>
        <w:trPr>
          <w:trHeight w:val="1019"/>
        </w:trPr>
        <w:tc>
          <w:tcPr>
            <w:tcW w:w="1237" w:type="dxa"/>
            <w:vAlign w:val="center"/>
          </w:tcPr>
          <w:p w:rsidR="00DE05FA" w:rsidRPr="00DE05FA" w:rsidP="00DE05FA">
            <w:pPr>
              <w:spacing w:line="288" w:lineRule="auto"/>
              <w:rPr>
                <w:rFonts w:ascii="Tahoma" w:eastAsia="Calibri" w:hAnsi="Tahoma" w:cs="Tahoma"/>
                <w:sz w:val="17"/>
                <w:szCs w:val="17"/>
                <w:rtl/>
              </w:rPr>
            </w:pPr>
            <w:r w:rsidRPr="00DE05FA">
              <w:rPr>
                <w:rFonts w:ascii="Tahoma" w:eastAsia="Calibri" w:hAnsi="Tahoma" w:cs="Tahoma"/>
                <w:noProof/>
              </w:rPr>
              <w:drawing>
                <wp:anchor distT="0" distB="0" distL="114300" distR="114300" simplePos="0" relativeHeight="251659264" behindDoc="0" locked="0" layoutInCell="1" allowOverlap="1">
                  <wp:simplePos x="0" y="0"/>
                  <wp:positionH relativeFrom="column">
                    <wp:posOffset>70485</wp:posOffset>
                  </wp:positionH>
                  <wp:positionV relativeFrom="paragraph">
                    <wp:posOffset>-1183640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5FA">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36" w:type="dxa"/>
            <w:vAlign w:val="center"/>
          </w:tcPr>
          <w:p w:rsidR="004A17E8" w:rsidP="004A17E8">
            <w:pPr>
              <w:tabs>
                <w:tab w:val="left" w:pos="3685"/>
              </w:tabs>
              <w:spacing w:after="120" w:line="288" w:lineRule="auto"/>
              <w:jc w:val="both"/>
              <w:rPr>
                <w:rFonts w:ascii="Tahoma" w:eastAsia="Calibri" w:hAnsi="Tahoma" w:cs="Tahoma"/>
                <w:sz w:val="19"/>
                <w:szCs w:val="19"/>
                <w:rtl/>
              </w:rPr>
            </w:pPr>
            <w:r w:rsidRPr="00DE05FA">
              <w:rPr>
                <w:rFonts w:ascii="Tahoma" w:eastAsia="Calibri" w:hAnsi="Tahoma" w:cs="Tahoma"/>
                <w:sz w:val="19"/>
                <w:szCs w:val="19"/>
                <w:rtl/>
              </w:rPr>
              <w:t>בחודש יולי 2023 החל משרד מבקר המדינה לבדוק את הפיקוח של בנק ישראל ורשות שוק ההון על שוק המשכנתאות. הביקורת הופסקה בשל מלחמת "חרבות ברזל" שפרצה באוקטובר 2023. בחודש אפריל 2025 חודשה הביקורת ונמשכה עד פברואר 2026, ו</w:t>
            </w:r>
            <w:r w:rsidR="008C6B81">
              <w:rPr>
                <w:rFonts w:ascii="Tahoma" w:eastAsia="Calibri" w:hAnsi="Tahoma" w:cs="Tahoma" w:hint="cs"/>
                <w:sz w:val="19"/>
                <w:szCs w:val="19"/>
                <w:rtl/>
              </w:rPr>
              <w:t xml:space="preserve">אלה </w:t>
            </w:r>
            <w:r w:rsidRPr="00DE05FA">
              <w:rPr>
                <w:rFonts w:ascii="Tahoma" w:eastAsia="Calibri" w:hAnsi="Tahoma" w:cs="Tahoma"/>
                <w:sz w:val="19"/>
                <w:szCs w:val="19"/>
                <w:rtl/>
              </w:rPr>
              <w:t>הנושאים שנבדקו: מורכבות מוצר המשכנתא; שוק המשכנתאות במערכת הבנקאית וה</w:t>
            </w:r>
            <w:r w:rsidR="002646BE">
              <w:rPr>
                <w:rFonts w:ascii="Tahoma" w:eastAsia="Calibri" w:hAnsi="Tahoma" w:cs="Tahoma"/>
                <w:sz w:val="19"/>
                <w:szCs w:val="19"/>
                <w:rtl/>
              </w:rPr>
              <w:t>חוץ-בנק</w:t>
            </w:r>
            <w:r w:rsidRPr="00DE05FA">
              <w:rPr>
                <w:rFonts w:ascii="Tahoma" w:eastAsia="Calibri" w:hAnsi="Tahoma" w:cs="Tahoma"/>
                <w:sz w:val="19"/>
                <w:szCs w:val="19"/>
                <w:rtl/>
              </w:rPr>
              <w:t>אית והאסדרה בהן; ענף הבני</w:t>
            </w:r>
            <w:r>
              <w:rPr>
                <w:rFonts w:ascii="Tahoma" w:eastAsia="Calibri" w:hAnsi="Tahoma" w:cs="Tahoma" w:hint="cs"/>
                <w:sz w:val="19"/>
                <w:szCs w:val="19"/>
                <w:rtl/>
              </w:rPr>
              <w:t>י</w:t>
            </w:r>
            <w:r w:rsidRPr="00DE05FA">
              <w:rPr>
                <w:rFonts w:ascii="Tahoma" w:eastAsia="Calibri" w:hAnsi="Tahoma" w:cs="Tahoma"/>
                <w:sz w:val="19"/>
                <w:szCs w:val="19"/>
                <w:rtl/>
              </w:rPr>
              <w:t>ה והשפעתו על שוק המשכנתאות; רפורמות שביצע בנק ישראל בשנים האחרונות להגברת השקיפות והתחרות בשוק המשכנתאות ושיפור תהליך מחזור המשכנתא; משכנתאות לאוכלוסיות מגוונות; והפיקוח על יועצי משכנתאות.</w:t>
            </w:r>
          </w:p>
          <w:p w:rsidR="00DE05FA" w:rsidRPr="00DE05FA" w:rsidP="000816B1">
            <w:pPr>
              <w:spacing w:line="288" w:lineRule="auto"/>
              <w:jc w:val="both"/>
              <w:rPr>
                <w:rFonts w:ascii="Tahoma" w:eastAsia="Calibri" w:hAnsi="Tahoma" w:cs="Tahoma"/>
                <w:sz w:val="19"/>
                <w:szCs w:val="19"/>
                <w:rtl/>
              </w:rPr>
            </w:pPr>
            <w:r w:rsidRPr="00DE05FA">
              <w:rPr>
                <w:rFonts w:ascii="Tahoma" w:eastAsia="Calibri" w:hAnsi="Tahoma" w:cs="Tahoma"/>
                <w:sz w:val="19"/>
                <w:szCs w:val="19"/>
                <w:rtl/>
              </w:rPr>
              <w:t xml:space="preserve">הביקורת נעשתה בעיקרה בחטיבת הפיקוח על הבנקים בבנק ישראל, בחטיבת נותני שירותים פיננסים ברשות שוק ההון, ביטוח וחיסכון, ובמינהל לסיוע בדיור במשרד הבינוי והשיכון. בדיקות השלמה נעשו במשרד האוצר, במועצה הלאומית לכלכלה שבמשרד ראש הממשלה, ברשות להגנת הצרכן שבמשרד הכלכלה, בלשכה המרכזית לסטטיסטיקה, באיגוד הבנקים, ברשות לפיתוח כלכלי של מגזר הערבים במשרד לשוויון חברתי וקידום מעמד האישה, בלשכת שמאי מקרקעין, בהתאחדות הקבלנים ובהתאחדות יועצי המשכנתאות. כמו כן, נערכו פגישות עם גורמים בכירים בתחום המשכנתאות בבנקים השונים ובגופים </w:t>
            </w:r>
            <w:r w:rsidR="002646BE">
              <w:rPr>
                <w:rFonts w:ascii="Tahoma" w:eastAsia="Calibri" w:hAnsi="Tahoma" w:cs="Tahoma"/>
                <w:sz w:val="19"/>
                <w:szCs w:val="19"/>
                <w:rtl/>
              </w:rPr>
              <w:t>חוץ-בנק</w:t>
            </w:r>
            <w:r w:rsidRPr="00DE05FA">
              <w:rPr>
                <w:rFonts w:ascii="Tahoma" w:eastAsia="Calibri" w:hAnsi="Tahoma" w:cs="Tahoma"/>
                <w:sz w:val="19"/>
                <w:szCs w:val="19"/>
                <w:rtl/>
              </w:rPr>
              <w:t>איים.</w:t>
            </w:r>
          </w:p>
          <w:p w:rsidR="00DE05FA" w:rsidRPr="00DE05FA" w:rsidP="00DE05FA">
            <w:pPr>
              <w:spacing w:line="288" w:lineRule="auto"/>
              <w:rPr>
                <w:rFonts w:ascii="Tahoma" w:eastAsia="Calibri" w:hAnsi="Tahoma" w:cs="Tahoma"/>
                <w:sz w:val="19"/>
                <w:szCs w:val="19"/>
                <w:rtl/>
              </w:rPr>
            </w:pPr>
          </w:p>
        </w:tc>
      </w:tr>
    </w:tbl>
    <w:p w:rsidR="00DE05FA" w:rsidRPr="00DE05FA" w:rsidP="00DE05FA">
      <w:pPr>
        <w:bidi w:val="0"/>
        <w:spacing w:line="288" w:lineRule="auto"/>
        <w:jc w:val="right"/>
        <w:rPr>
          <w:rFonts w:ascii="Tahoma" w:eastAsia="Calibri" w:hAnsi="Tahoma" w:cs="Tahoma"/>
          <w:b/>
          <w:bCs/>
          <w:sz w:val="24"/>
          <w:rtl/>
        </w:rPr>
      </w:pPr>
    </w:p>
    <w:p w:rsidR="00DE05FA" w:rsidRPr="00DE05FA" w:rsidP="00DA551F">
      <w:pPr>
        <w:bidi w:val="0"/>
        <w:spacing w:line="288" w:lineRule="auto"/>
        <w:ind w:left="-711" w:right="-711"/>
        <w:jc w:val="right"/>
        <w:rPr>
          <w:rFonts w:ascii="Tahoma" w:eastAsia="Calibri" w:hAnsi="Tahoma" w:cs="Tahoma"/>
          <w:b/>
          <w:bCs/>
          <w:sz w:val="24"/>
        </w:rPr>
      </w:pPr>
      <w:r w:rsidRPr="00DE05FA">
        <w:rPr>
          <w:rFonts w:ascii="Tahoma" w:eastAsia="Calibri" w:hAnsi="Tahoma" w:cs="Tahoma"/>
          <w:b/>
          <w:bCs/>
          <w:sz w:val="24"/>
          <w:rtl/>
        </w:rPr>
        <w:t>הקדמה כללית</w:t>
      </w:r>
    </w:p>
    <w:p w:rsidR="00DE05FA" w:rsidRPr="00DE05FA" w:rsidP="00DE05FA">
      <w:pPr>
        <w:bidi w:val="0"/>
        <w:spacing w:line="288" w:lineRule="auto"/>
        <w:jc w:val="right"/>
        <w:rPr>
          <w:rFonts w:ascii="Tahoma" w:eastAsia="Calibri" w:hAnsi="Tahoma" w:cs="Tahoma"/>
          <w:b/>
          <w:bCs/>
          <w:sz w:val="24"/>
        </w:rPr>
      </w:pPr>
    </w:p>
    <w:p w:rsidR="00DE05FA" w:rsidRPr="00DE05FA" w:rsidP="001B7D86">
      <w:pPr>
        <w:spacing w:line="288" w:lineRule="auto"/>
        <w:ind w:left="-711" w:right="-709"/>
        <w:rPr>
          <w:rFonts w:ascii="Tahoma" w:eastAsia="Calibri" w:hAnsi="Tahoma" w:cs="Tahoma"/>
          <w:sz w:val="19"/>
          <w:szCs w:val="19"/>
          <w:rtl/>
        </w:rPr>
      </w:pPr>
      <w:r w:rsidRPr="00DE05FA">
        <w:rPr>
          <w:rFonts w:ascii="Tahoma" w:eastAsia="Calibri" w:hAnsi="Tahoma" w:cs="Tahoma"/>
          <w:sz w:val="19"/>
          <w:szCs w:val="19"/>
          <w:rtl/>
        </w:rPr>
        <w:t>להלן תרשים המציג את יתרת חוב המשכנתאות של משקי הבית לפי מלווים שונים (בנקים, גופים מוסדיים וממשלה) בשנים 2015 - 2025:</w:t>
      </w:r>
    </w:p>
    <w:p w:rsidR="00DE05FA" w:rsidRPr="00DE05FA" w:rsidP="00DE05FA">
      <w:pPr>
        <w:spacing w:line="288" w:lineRule="auto"/>
        <w:rPr>
          <w:rFonts w:ascii="Tahoma" w:eastAsia="Calibri" w:hAnsi="Tahoma" w:cs="Tahoma"/>
          <w:sz w:val="19"/>
          <w:szCs w:val="19"/>
          <w:rtl/>
        </w:rPr>
      </w:pPr>
    </w:p>
    <w:p w:rsidR="00DE05FA" w:rsidRPr="00DE05FA" w:rsidP="00DA551F">
      <w:pPr>
        <w:keepNext/>
        <w:keepLines/>
        <w:tabs>
          <w:tab w:val="left" w:pos="3685"/>
        </w:tabs>
        <w:spacing w:line="288" w:lineRule="auto"/>
        <w:ind w:left="-2" w:hanging="360"/>
        <w:jc w:val="center"/>
        <w:outlineLvl w:val="4"/>
        <w:rPr>
          <w:rFonts w:ascii="Tahoma" w:eastAsia="Calibri" w:hAnsi="Tahoma" w:cs="Tahoma"/>
          <w:bCs/>
          <w:sz w:val="19"/>
          <w:szCs w:val="19"/>
          <w:rtl/>
        </w:rPr>
      </w:pPr>
      <w:r w:rsidRPr="00DE05FA">
        <w:rPr>
          <w:rFonts w:ascii="Tahoma" w:eastAsia="Calibri" w:hAnsi="Tahoma" w:cs="Tahoma"/>
          <w:b/>
          <w:sz w:val="19"/>
          <w:szCs w:val="19"/>
          <w:rtl/>
        </w:rPr>
        <w:t xml:space="preserve">תרשים </w:t>
      </w:r>
      <w:r w:rsidRPr="00DE05FA">
        <w:rPr>
          <w:rFonts w:ascii="Tahoma" w:eastAsia="Calibri" w:hAnsi="Tahoma" w:cs="Tahoma" w:hint="cs"/>
          <w:b/>
          <w:sz w:val="19"/>
          <w:szCs w:val="19"/>
          <w:rtl/>
        </w:rPr>
        <w:t>1</w:t>
      </w:r>
      <w:r w:rsidRPr="00DE05FA">
        <w:rPr>
          <w:rFonts w:ascii="Tahoma" w:eastAsia="Calibri" w:hAnsi="Tahoma" w:cs="Tahoma"/>
          <w:b/>
          <w:sz w:val="19"/>
          <w:szCs w:val="19"/>
          <w:rtl/>
        </w:rPr>
        <w:t>:</w:t>
      </w:r>
      <w:r w:rsidRPr="00DE05FA">
        <w:rPr>
          <w:rFonts w:ascii="Tahoma" w:eastAsia="Calibri" w:hAnsi="Tahoma" w:cs="Tahoma"/>
          <w:bCs/>
          <w:sz w:val="19"/>
          <w:szCs w:val="19"/>
          <w:rtl/>
        </w:rPr>
        <w:t xml:space="preserve"> יתרות חוב המשכנתאות של משקי הבית* בשנים 2015 </w:t>
      </w:r>
      <w:r w:rsidRPr="00DE05FA">
        <w:rPr>
          <w:rFonts w:ascii="Tahoma" w:eastAsia="Calibri" w:hAnsi="Tahoma" w:cs="Tahoma" w:hint="cs"/>
          <w:bCs/>
          <w:sz w:val="19"/>
          <w:szCs w:val="19"/>
          <w:rtl/>
        </w:rPr>
        <w:t>-</w:t>
      </w:r>
      <w:r w:rsidRPr="00DE05FA">
        <w:rPr>
          <w:rFonts w:ascii="Tahoma" w:eastAsia="Calibri" w:hAnsi="Tahoma" w:cs="Tahoma"/>
          <w:bCs/>
          <w:sz w:val="19"/>
          <w:szCs w:val="19"/>
          <w:rtl/>
        </w:rPr>
        <w:t xml:space="preserve"> 2025** לפי מלווים (בנקים, גופים מוסדיים וממשלה),</w:t>
      </w:r>
      <w:r w:rsidRPr="00DE05FA">
        <w:rPr>
          <w:rFonts w:ascii="Tahoma" w:eastAsia="Calibri" w:hAnsi="Tahoma" w:cs="Tahoma"/>
          <w:bCs/>
          <w:sz w:val="19"/>
          <w:szCs w:val="19"/>
        </w:rPr>
        <w:t xml:space="preserve"> </w:t>
      </w:r>
      <w:r w:rsidRPr="00DE05FA">
        <w:rPr>
          <w:rFonts w:ascii="Tahoma" w:eastAsia="Calibri" w:hAnsi="Tahoma" w:cs="Tahoma"/>
          <w:bCs/>
          <w:sz w:val="19"/>
          <w:szCs w:val="19"/>
          <w:rtl/>
        </w:rPr>
        <w:t>במיליארדי ש"ח</w:t>
      </w:r>
    </w:p>
    <w:p w:rsidR="00DE05FA" w:rsidRPr="00DE05FA" w:rsidP="00DE05FA">
      <w:pPr>
        <w:tabs>
          <w:tab w:val="left" w:pos="3685"/>
        </w:tabs>
        <w:spacing w:line="288" w:lineRule="auto"/>
        <w:jc w:val="center"/>
        <w:rPr>
          <w:rFonts w:eastAsia="Calibri"/>
          <w:rtl/>
        </w:rPr>
      </w:pPr>
      <w:r w:rsidRPr="00DE05FA">
        <w:rPr>
          <w:rFonts w:eastAsia="Calibri"/>
          <w:noProof/>
        </w:rPr>
        <w:drawing>
          <wp:inline distT="0" distB="0" distL="0" distR="0">
            <wp:extent cx="5334635" cy="3066415"/>
            <wp:effectExtent l="0" t="0" r="0" b="635"/>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635" cy="3066415"/>
                    </a:xfrm>
                    <a:prstGeom prst="rect">
                      <a:avLst/>
                    </a:prstGeom>
                    <a:noFill/>
                  </pic:spPr>
                </pic:pic>
              </a:graphicData>
            </a:graphic>
          </wp:inline>
        </w:drawing>
      </w:r>
    </w:p>
    <w:p w:rsidR="00DE05FA" w:rsidRPr="00DE05FA" w:rsidP="00DA551F">
      <w:pPr>
        <w:tabs>
          <w:tab w:val="left" w:pos="3685"/>
        </w:tabs>
        <w:spacing w:line="288" w:lineRule="auto"/>
        <w:ind w:left="-711"/>
        <w:jc w:val="left"/>
        <w:rPr>
          <w:rFonts w:ascii="Tahoma" w:eastAsia="Calibri" w:hAnsi="Tahoma" w:cs="Tahoma"/>
          <w:sz w:val="16"/>
          <w:szCs w:val="16"/>
          <w:rtl/>
        </w:rPr>
      </w:pPr>
      <w:r w:rsidRPr="00DE05FA">
        <w:rPr>
          <w:rFonts w:ascii="Tahoma" w:eastAsia="Calibri" w:hAnsi="Tahoma" w:cs="Tahoma"/>
          <w:sz w:val="16"/>
          <w:szCs w:val="16"/>
          <w:rtl/>
        </w:rPr>
        <w:t>על פי נתוני בנק ישראל, בעיבוד משרד מבקר המדינה</w:t>
      </w:r>
    </w:p>
    <w:p w:rsidR="00DE05FA" w:rsidRPr="00DE05FA" w:rsidP="00DA551F">
      <w:pPr>
        <w:tabs>
          <w:tab w:val="left" w:pos="3685"/>
        </w:tabs>
        <w:spacing w:line="288" w:lineRule="auto"/>
        <w:ind w:left="-711"/>
        <w:jc w:val="left"/>
        <w:rPr>
          <w:rFonts w:ascii="Tahoma" w:eastAsia="Calibri" w:hAnsi="Tahoma" w:cs="Tahoma"/>
          <w:sz w:val="16"/>
          <w:szCs w:val="16"/>
          <w:rtl/>
        </w:rPr>
      </w:pPr>
      <w:r w:rsidRPr="00DE05FA">
        <w:rPr>
          <w:rFonts w:ascii="Tahoma" w:eastAsia="Calibri" w:hAnsi="Tahoma" w:cs="Tahoma"/>
          <w:sz w:val="16"/>
          <w:szCs w:val="16"/>
          <w:rtl/>
        </w:rPr>
        <w:t>* ההלוואות למטרות דיור או מגורים. היתרות בבנקים כוללות הפרשות להפסדי אשראי.</w:t>
      </w:r>
    </w:p>
    <w:p w:rsidR="00DE05FA" w:rsidRPr="00DE05FA" w:rsidP="00DA551F">
      <w:pPr>
        <w:tabs>
          <w:tab w:val="left" w:pos="3685"/>
        </w:tabs>
        <w:spacing w:line="288" w:lineRule="auto"/>
        <w:ind w:left="-711"/>
        <w:jc w:val="left"/>
        <w:rPr>
          <w:rFonts w:ascii="Tahoma" w:eastAsia="Calibri" w:hAnsi="Tahoma" w:cs="Tahoma"/>
          <w:sz w:val="16"/>
          <w:szCs w:val="16"/>
          <w:rtl/>
        </w:rPr>
      </w:pPr>
      <w:r w:rsidRPr="00DE05FA">
        <w:rPr>
          <w:rFonts w:ascii="Tahoma" w:eastAsia="Calibri" w:hAnsi="Tahoma" w:cs="Tahoma"/>
          <w:sz w:val="16"/>
          <w:szCs w:val="16"/>
          <w:rtl/>
        </w:rPr>
        <w:t>** נתונים עד יוני 2025.</w:t>
      </w:r>
    </w:p>
    <w:p w:rsidR="004A17E8" w:rsidP="005405A6">
      <w:pPr>
        <w:tabs>
          <w:tab w:val="left" w:pos="3685"/>
        </w:tabs>
        <w:spacing w:after="120" w:line="288" w:lineRule="auto"/>
        <w:ind w:left="-711" w:right="-709"/>
        <w:rPr>
          <w:rFonts w:ascii="Tahoma" w:eastAsia="Calibri" w:hAnsi="Tahoma" w:cs="Tahoma"/>
          <w:sz w:val="19"/>
          <w:szCs w:val="19"/>
          <w:rtl/>
        </w:rPr>
      </w:pPr>
      <w:r w:rsidRPr="00DE05FA">
        <w:rPr>
          <w:rFonts w:ascii="Tahoma" w:eastAsia="Calibri" w:hAnsi="Tahoma" w:cs="Tahoma"/>
          <w:sz w:val="19"/>
          <w:szCs w:val="19"/>
          <w:rtl/>
        </w:rPr>
        <w:t>מהתרשים עולה כי יתרת חוב המשכנתאות של הציבור הגיעה כאמור לסך של כ-630 מיליארד ש"ח ביוני 2025, והיא מתפלגת כך: כ-606</w:t>
      </w:r>
      <w:r w:rsidRPr="00DE05FA">
        <w:rPr>
          <w:rFonts w:ascii="Tahoma" w:eastAsia="Calibri" w:hAnsi="Tahoma" w:cs="Tahoma"/>
          <w:sz w:val="19"/>
          <w:szCs w:val="19"/>
        </w:rPr>
        <w:t xml:space="preserve"> </w:t>
      </w:r>
      <w:r w:rsidRPr="00DE05FA">
        <w:rPr>
          <w:rFonts w:ascii="Tahoma" w:eastAsia="Calibri" w:hAnsi="Tahoma" w:cs="Tahoma"/>
          <w:sz w:val="19"/>
          <w:szCs w:val="19"/>
          <w:rtl/>
        </w:rPr>
        <w:t xml:space="preserve">מיליארד ש"ח ( כ-96% מהחוב) הוא לבנקים, כ-18 מיליארד ש"ח (כ-3% מהחוב) הוא לגופים מוסדיים, וכ-6 מיליארד ש"ח (כ-1% מהחוב) הוא לממשלה. עוד עולה כי יתרת חוב המשכנתאות של משקי הבית לכל המלווים גדלה בעשור הנסקר בסך כ-330 מיליארד ש"ח וכי יתרת החוב לבנקים הכפילה את עצמה וגדלה בסך כ-321 מיליארד ש"ח בשנים 2015 - 2025. לעומת זאת, יתרת החוב לגופים המוסדיים גדלה בכ-15 מיליארד ש"ח ויתרת החוב לממשלה קטנה בכ-6 מיליארד ש"ח בשנים אלו. יצוין כי לפי נתונים של רשות שוק ההון שנמסרו למשרד מבקר המדינה ב-29.6.25 חלקן של חברות אשראי </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איות באשראי לדיור </w:t>
      </w:r>
      <w:r w:rsidRPr="00DE05FA">
        <w:rPr>
          <w:rFonts w:ascii="Tahoma" w:eastAsia="Calibri" w:hAnsi="Tahoma" w:cs="Tahoma" w:hint="cs"/>
          <w:sz w:val="19"/>
          <w:szCs w:val="19"/>
          <w:rtl/>
        </w:rPr>
        <w:t xml:space="preserve">בשנת 2024 </w:t>
      </w:r>
      <w:r w:rsidRPr="00DE05FA">
        <w:rPr>
          <w:rFonts w:ascii="Tahoma" w:eastAsia="Calibri" w:hAnsi="Tahoma" w:cs="Tahoma"/>
          <w:sz w:val="19"/>
          <w:szCs w:val="19"/>
          <w:rtl/>
        </w:rPr>
        <w:t xml:space="preserve">מוערך בכ-5.7 מיליארד ש"ח, שהוא </w:t>
      </w:r>
      <w:r w:rsidR="005405A6">
        <w:rPr>
          <w:rFonts w:ascii="Tahoma" w:eastAsia="Calibri" w:hAnsi="Tahoma" w:cs="Tahoma"/>
          <w:sz w:val="19"/>
          <w:szCs w:val="19"/>
          <w:rtl/>
        </w:rPr>
        <w:br/>
      </w:r>
      <w:r w:rsidRPr="00DE05FA">
        <w:rPr>
          <w:rFonts w:ascii="Tahoma" w:eastAsia="Calibri" w:hAnsi="Tahoma" w:cs="Tahoma"/>
          <w:sz w:val="19"/>
          <w:szCs w:val="19"/>
          <w:rtl/>
        </w:rPr>
        <w:t>כ-1% מיתרת האשראי לדיור.</w:t>
      </w:r>
    </w:p>
    <w:p w:rsidR="00DE05FA" w:rsidRPr="00DE05FA" w:rsidP="005405A6">
      <w:pPr>
        <w:tabs>
          <w:tab w:val="left" w:pos="3685"/>
        </w:tabs>
        <w:spacing w:line="288" w:lineRule="auto"/>
        <w:ind w:left="-711" w:right="-709"/>
        <w:rPr>
          <w:rFonts w:ascii="Tahoma" w:eastAsia="Calibri" w:hAnsi="Tahoma" w:cs="Tahoma"/>
          <w:b/>
          <w:bCs/>
          <w:sz w:val="19"/>
          <w:szCs w:val="19"/>
          <w:rtl/>
        </w:rPr>
      </w:pPr>
      <w:bookmarkStart w:id="2" w:name="_Hlk221792984"/>
      <w:r w:rsidRPr="00DE05FA">
        <w:rPr>
          <w:rFonts w:ascii="Tahoma" w:eastAsia="Calibri" w:hAnsi="Tahoma" w:cs="Tahoma"/>
          <w:b/>
          <w:bCs/>
          <w:sz w:val="19"/>
          <w:szCs w:val="19"/>
          <w:rtl/>
        </w:rPr>
        <w:t>בשנים 2015 - 2025 עלו יתרות החוב של משקי הבית למשכנתאות מכ-300 מיליארד ש"ח לכ-630 מיליארד ש"ח (גידול של כ-</w:t>
      </w:r>
      <w:bookmarkStart w:id="3" w:name="_Hlk221793015"/>
      <w:bookmarkEnd w:id="2"/>
      <w:r w:rsidRPr="00DE05FA">
        <w:rPr>
          <w:rFonts w:ascii="Tahoma" w:eastAsia="Calibri" w:hAnsi="Tahoma" w:cs="Tahoma"/>
          <w:b/>
          <w:bCs/>
          <w:sz w:val="19"/>
          <w:szCs w:val="19"/>
          <w:rtl/>
        </w:rPr>
        <w:t>110%</w:t>
      </w:r>
      <w:bookmarkStart w:id="4" w:name="_Hlk221792998"/>
      <w:bookmarkEnd w:id="3"/>
      <w:r w:rsidRPr="00DE05FA">
        <w:rPr>
          <w:rFonts w:ascii="Tahoma" w:eastAsia="Calibri" w:hAnsi="Tahoma" w:cs="Tahoma"/>
          <w:b/>
          <w:bCs/>
          <w:sz w:val="19"/>
          <w:szCs w:val="19"/>
          <w:rtl/>
        </w:rPr>
        <w:t xml:space="preserve">). </w:t>
      </w:r>
      <w:bookmarkEnd w:id="4"/>
      <w:r w:rsidRPr="00DE05FA">
        <w:rPr>
          <w:rFonts w:ascii="Tahoma" w:eastAsia="Calibri" w:hAnsi="Tahoma" w:cs="Tahoma"/>
          <w:b/>
          <w:bCs/>
          <w:sz w:val="19"/>
          <w:szCs w:val="19"/>
          <w:rtl/>
        </w:rPr>
        <w:t>נוסף על כך, הבנקים הם המקור הכמעט בלעדי של משכנתאות והם שומרים על חלקם במשכנתאות המתקרב לכ-100%.</w:t>
      </w:r>
    </w:p>
    <w:p w:rsidR="00DE05FA" w:rsidRPr="00DE05FA" w:rsidP="00DE05FA">
      <w:pPr>
        <w:spacing w:line="288" w:lineRule="auto"/>
        <w:rPr>
          <w:rFonts w:ascii="Tahoma" w:eastAsia="Calibri" w:hAnsi="Tahoma" w:cs="Tahoma"/>
          <w:sz w:val="19"/>
          <w:szCs w:val="19"/>
          <w:rtl/>
        </w:rPr>
      </w:pPr>
    </w:p>
    <w:p w:rsidR="00DE05FA" w:rsidRPr="00DE05FA" w:rsidP="00DE05FA">
      <w:pPr>
        <w:spacing w:line="288" w:lineRule="auto"/>
        <w:rPr>
          <w:rFonts w:ascii="Tahoma" w:eastAsia="Calibri" w:hAnsi="Tahoma" w:cs="Tahoma"/>
          <w:sz w:val="19"/>
          <w:szCs w:val="19"/>
          <w:rtl/>
        </w:rPr>
      </w:pPr>
    </w:p>
    <w:p w:rsidR="00DE05FA" w:rsidRPr="00DE05FA" w:rsidP="00DE05FA">
      <w:pPr>
        <w:spacing w:line="288" w:lineRule="auto"/>
        <w:ind w:left="720"/>
        <w:contextualSpacing/>
        <w:jc w:val="left"/>
        <w:rPr>
          <w:rFonts w:eastAsia="Calibri"/>
        </w:rPr>
      </w:pPr>
    </w:p>
    <w:p w:rsidR="00DE05FA" w:rsidRPr="00DE05FA" w:rsidP="005405A6">
      <w:pPr>
        <w:spacing w:line="288" w:lineRule="auto"/>
        <w:ind w:left="-711" w:right="-426"/>
        <w:jc w:val="center"/>
        <w:rPr>
          <w:rFonts w:ascii="Tahoma" w:eastAsia="Calibri" w:hAnsi="Tahoma" w:cs="Tahoma"/>
          <w:b/>
          <w:bCs/>
          <w:sz w:val="40"/>
          <w:szCs w:val="40"/>
          <w:rtl/>
        </w:rPr>
      </w:pPr>
      <w:r w:rsidRPr="00DE05FA">
        <w:rPr>
          <w:rFonts w:ascii="Tahoma" w:eastAsia="Calibri" w:hAnsi="Tahoma" w:cs="Tahoma" w:hint="cs"/>
          <w:b/>
          <w:bCs/>
          <w:sz w:val="40"/>
          <w:szCs w:val="40"/>
          <w:rtl/>
        </w:rPr>
        <w:t>שער ראשון - משכנתאות במערכת הבנקאית</w:t>
      </w:r>
    </w:p>
    <w:p w:rsidR="00DE05FA" w:rsidRPr="00DE05FA" w:rsidP="00DE05FA">
      <w:pPr>
        <w:spacing w:line="288" w:lineRule="auto"/>
        <w:jc w:val="left"/>
        <w:rPr>
          <w:rFonts w:ascii="Tahoma" w:eastAsia="Calibri" w:hAnsi="Tahoma" w:cs="Tahoma"/>
          <w:b/>
          <w:bCs/>
          <w:sz w:val="40"/>
          <w:szCs w:val="40"/>
          <w:rtl/>
        </w:rPr>
      </w:pPr>
    </w:p>
    <w:p w:rsidR="00DE05FA" w:rsidRPr="00DE05FA" w:rsidP="001B7D86">
      <w:pPr>
        <w:spacing w:line="288" w:lineRule="auto"/>
        <w:ind w:left="-711"/>
        <w:rPr>
          <w:rFonts w:ascii="Tahoma" w:eastAsia="Calibri" w:hAnsi="Tahoma" w:cs="Tahoma"/>
          <w:noProof/>
          <w:rtl/>
        </w:rPr>
      </w:pPr>
      <w:r w:rsidRPr="00DE05FA">
        <w:rPr>
          <w:rFonts w:ascii="Tahoma" w:eastAsia="Calibri" w:hAnsi="Tahoma" w:cs="Tahoma"/>
          <w:noProof/>
          <w:rtl/>
        </w:rPr>
        <w:drawing>
          <wp:inline distT="0" distB="0" distL="0" distR="0">
            <wp:extent cx="2131060" cy="380943"/>
            <wp:effectExtent l="0" t="0" r="2540" b="635"/>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2016" cy="388264"/>
                    </a:xfrm>
                    <a:prstGeom prst="rect">
                      <a:avLst/>
                    </a:prstGeom>
                  </pic:spPr>
                </pic:pic>
              </a:graphicData>
            </a:graphic>
          </wp:inline>
        </w:drawing>
      </w:r>
    </w:p>
    <w:tbl>
      <w:tblPr>
        <w:tblStyle w:val="26"/>
        <w:tblpPr w:leftFromText="180" w:rightFromText="180" w:vertAnchor="text" w:tblpXSpec="center" w:tblpY="1"/>
        <w:tblOverlap w:val="never"/>
        <w:bidiVisual/>
        <w:tblW w:w="52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4"/>
        <w:gridCol w:w="254"/>
        <w:gridCol w:w="1944"/>
        <w:gridCol w:w="285"/>
        <w:gridCol w:w="1842"/>
        <w:gridCol w:w="282"/>
        <w:gridCol w:w="1845"/>
      </w:tblGrid>
      <w:tr w:rsidTr="001B7D86">
        <w:tblPrEx>
          <w:tblW w:w="5259" w:type="pct"/>
          <w:tblLook w:val="04A0"/>
        </w:tblPrEx>
        <w:trPr>
          <w:trHeight w:val="148"/>
        </w:trPr>
        <w:tc>
          <w:tcPr>
            <w:tcW w:w="1269" w:type="pct"/>
            <w:tcBorders>
              <w:bottom w:val="single" w:sz="12" w:space="0" w:color="auto"/>
            </w:tcBorders>
            <w:vAlign w:val="bottom"/>
          </w:tcPr>
          <w:p w:rsidR="00DE05FA" w:rsidRPr="00DE05FA" w:rsidP="001B7D86">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 xml:space="preserve">-7.9 </w:t>
            </w:r>
            <w:r w:rsidRPr="00DE05FA">
              <w:rPr>
                <w:rFonts w:ascii="Tahoma" w:eastAsia="Calibri" w:hAnsi="Tahoma" w:cs="Tahoma" w:hint="cs"/>
                <w:spacing w:val="-10"/>
                <w:sz w:val="26"/>
                <w:szCs w:val="26"/>
                <w:rtl/>
              </w:rPr>
              <w:t>מיליארד ש"ח</w:t>
            </w:r>
          </w:p>
        </w:tc>
        <w:tc>
          <w:tcPr>
            <w:tcW w:w="147" w:type="pct"/>
            <w:vAlign w:val="bottom"/>
          </w:tcPr>
          <w:p w:rsidR="00DE05FA" w:rsidRPr="00DE05FA" w:rsidP="001B7D86">
            <w:pPr>
              <w:spacing w:after="60" w:line="240" w:lineRule="auto"/>
              <w:rPr>
                <w:rFonts w:ascii="Tahoma" w:eastAsia="Calibri" w:hAnsi="Tahoma" w:cs="Tahoma"/>
                <w:spacing w:val="-10"/>
              </w:rPr>
            </w:pPr>
          </w:p>
        </w:tc>
        <w:tc>
          <w:tcPr>
            <w:tcW w:w="1124" w:type="pct"/>
            <w:tcBorders>
              <w:bottom w:val="single" w:sz="12" w:space="0" w:color="auto"/>
            </w:tcBorders>
            <w:vAlign w:val="bottom"/>
          </w:tcPr>
          <w:p w:rsidR="00DE05FA" w:rsidRPr="00DE05FA" w:rsidP="001B7D86">
            <w:pPr>
              <w:spacing w:after="60" w:line="240" w:lineRule="auto"/>
              <w:ind w:right="23"/>
              <w:rPr>
                <w:rFonts w:ascii="Tahoma" w:eastAsia="Calibri" w:hAnsi="Tahoma" w:cs="Tahoma"/>
                <w:spacing w:val="-10"/>
                <w:sz w:val="36"/>
                <w:szCs w:val="36"/>
                <w:rtl/>
              </w:rPr>
            </w:pPr>
            <w:r w:rsidRPr="00DE05FA">
              <w:rPr>
                <w:rFonts w:ascii="Tahoma" w:eastAsia="Calibri" w:hAnsi="Tahoma" w:cs="Tahoma" w:hint="cs"/>
                <w:spacing w:val="-10"/>
                <w:sz w:val="36"/>
                <w:szCs w:val="36"/>
                <w:rtl/>
              </w:rPr>
              <w:t xml:space="preserve">11 </w:t>
            </w:r>
            <w:r w:rsidRPr="00DE05FA">
              <w:rPr>
                <w:rFonts w:ascii="Tahoma" w:eastAsia="Calibri" w:hAnsi="Tahoma" w:cs="Tahoma" w:hint="cs"/>
                <w:spacing w:val="-10"/>
                <w:sz w:val="26"/>
                <w:szCs w:val="26"/>
                <w:rtl/>
              </w:rPr>
              <w:t>נקודות אחוז</w:t>
            </w:r>
          </w:p>
        </w:tc>
        <w:tc>
          <w:tcPr>
            <w:tcW w:w="165" w:type="pct"/>
            <w:vAlign w:val="bottom"/>
          </w:tcPr>
          <w:p w:rsidR="00DE05FA" w:rsidRPr="00DE05FA" w:rsidP="001B7D86">
            <w:pPr>
              <w:spacing w:after="60" w:line="240" w:lineRule="auto"/>
              <w:rPr>
                <w:rFonts w:ascii="Tahoma" w:eastAsia="Calibri" w:hAnsi="Tahoma" w:cs="Tahoma"/>
                <w:spacing w:val="-10"/>
              </w:rPr>
            </w:pPr>
          </w:p>
        </w:tc>
        <w:tc>
          <w:tcPr>
            <w:tcW w:w="1065" w:type="pct"/>
            <w:tcBorders>
              <w:bottom w:val="single" w:sz="12" w:space="0" w:color="auto"/>
            </w:tcBorders>
            <w:vAlign w:val="bottom"/>
          </w:tcPr>
          <w:p w:rsidR="00DE05FA" w:rsidRPr="00DE05FA" w:rsidP="001B7D86">
            <w:pPr>
              <w:spacing w:after="60" w:line="240" w:lineRule="auto"/>
              <w:ind w:right="23"/>
              <w:rPr>
                <w:rFonts w:ascii="Tahoma" w:eastAsia="Calibri" w:hAnsi="Tahoma" w:cs="Tahoma"/>
                <w:sz w:val="19"/>
                <w:szCs w:val="19"/>
              </w:rPr>
            </w:pPr>
            <w:r w:rsidRPr="00DE05FA">
              <w:rPr>
                <w:rFonts w:ascii="Tahoma" w:eastAsia="Calibri" w:hAnsi="Tahoma" w:cs="Tahoma" w:hint="cs"/>
                <w:sz w:val="36"/>
                <w:szCs w:val="36"/>
                <w:rtl/>
              </w:rPr>
              <w:t>9</w:t>
            </w:r>
            <w:r w:rsidRPr="00DE05FA">
              <w:rPr>
                <w:rFonts w:ascii="Tahoma" w:eastAsia="Calibri" w:hAnsi="Tahoma" w:cs="Tahoma" w:hint="cs"/>
                <w:sz w:val="19"/>
                <w:szCs w:val="19"/>
                <w:rtl/>
              </w:rPr>
              <w:t xml:space="preserve"> </w:t>
            </w:r>
            <w:r w:rsidRPr="00DE05FA">
              <w:rPr>
                <w:rFonts w:ascii="Tahoma" w:eastAsia="Calibri" w:hAnsi="Tahoma" w:cs="Tahoma" w:hint="cs"/>
                <w:sz w:val="26"/>
                <w:szCs w:val="26"/>
                <w:rtl/>
              </w:rPr>
              <w:t>שנים</w:t>
            </w:r>
          </w:p>
        </w:tc>
        <w:tc>
          <w:tcPr>
            <w:tcW w:w="163" w:type="pct"/>
            <w:vAlign w:val="bottom"/>
          </w:tcPr>
          <w:p w:rsidR="00DE05FA" w:rsidRPr="00DE05FA" w:rsidP="001B7D86">
            <w:pPr>
              <w:spacing w:after="60" w:line="240" w:lineRule="auto"/>
              <w:rPr>
                <w:rFonts w:ascii="Tahoma" w:eastAsia="Calibri" w:hAnsi="Tahoma" w:cs="Tahoma"/>
                <w:spacing w:val="-10"/>
                <w:highlight w:val="yellow"/>
              </w:rPr>
            </w:pPr>
          </w:p>
        </w:tc>
        <w:tc>
          <w:tcPr>
            <w:tcW w:w="1067" w:type="pct"/>
            <w:tcBorders>
              <w:bottom w:val="single" w:sz="12" w:space="0" w:color="auto"/>
            </w:tcBorders>
            <w:vAlign w:val="bottom"/>
          </w:tcPr>
          <w:p w:rsidR="00DE05FA" w:rsidRPr="00DE05FA" w:rsidP="001B7D86">
            <w:pPr>
              <w:spacing w:after="60" w:line="240" w:lineRule="auto"/>
              <w:rPr>
                <w:rFonts w:ascii="Tahoma" w:eastAsia="Calibri" w:hAnsi="Tahoma" w:cs="Tahoma"/>
                <w:spacing w:val="-10"/>
                <w:sz w:val="26"/>
                <w:szCs w:val="26"/>
              </w:rPr>
            </w:pPr>
            <w:r w:rsidRPr="00DE05FA">
              <w:rPr>
                <w:rFonts w:ascii="Tahoma" w:eastAsia="Calibri" w:hAnsi="Tahoma" w:cs="Tahoma" w:hint="cs"/>
                <w:spacing w:val="-10"/>
                <w:sz w:val="26"/>
                <w:szCs w:val="26"/>
                <w:rtl/>
              </w:rPr>
              <w:t xml:space="preserve"> </w:t>
            </w:r>
            <w:r w:rsidRPr="00DE05FA">
              <w:rPr>
                <w:rFonts w:ascii="Tahoma" w:eastAsia="Calibri" w:hAnsi="Tahoma" w:cs="Tahoma" w:hint="cs"/>
                <w:spacing w:val="-10"/>
                <w:sz w:val="36"/>
                <w:szCs w:val="36"/>
                <w:rtl/>
              </w:rPr>
              <w:t>63%</w:t>
            </w:r>
          </w:p>
        </w:tc>
      </w:tr>
      <w:tr w:rsidTr="001B7D86">
        <w:tblPrEx>
          <w:tblW w:w="5259" w:type="pct"/>
          <w:tblLook w:val="04A0"/>
        </w:tblPrEx>
        <w:trPr>
          <w:trHeight w:val="45"/>
        </w:trPr>
        <w:tc>
          <w:tcPr>
            <w:tcW w:w="5000" w:type="pct"/>
            <w:gridSpan w:val="7"/>
            <w:vAlign w:val="center"/>
          </w:tcPr>
          <w:p w:rsidR="00DE05FA" w:rsidRPr="00DE05FA" w:rsidP="001B7D86">
            <w:pPr>
              <w:spacing w:line="288" w:lineRule="auto"/>
              <w:jc w:val="center"/>
              <w:rPr>
                <w:rFonts w:ascii="Tahoma" w:eastAsia="Calibri" w:hAnsi="Tahoma" w:cs="Tahoma"/>
                <w:spacing w:val="-10"/>
                <w:sz w:val="6"/>
                <w:szCs w:val="6"/>
                <w:highlight w:val="yellow"/>
                <w:rtl/>
              </w:rPr>
            </w:pPr>
          </w:p>
        </w:tc>
      </w:tr>
      <w:tr w:rsidTr="001B7D86">
        <w:tblPrEx>
          <w:tblW w:w="5259" w:type="pct"/>
          <w:tblLook w:val="04A0"/>
        </w:tblPrEx>
        <w:trPr>
          <w:trHeight w:val="755"/>
        </w:trPr>
        <w:tc>
          <w:tcPr>
            <w:tcW w:w="1269" w:type="pct"/>
          </w:tcPr>
          <w:p w:rsidR="00DE05FA" w:rsidRPr="00DE05FA" w:rsidP="001B7D86">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הגידול ב</w:t>
            </w:r>
            <w:r w:rsidRPr="00DE05FA">
              <w:rPr>
                <w:rFonts w:ascii="Tahoma" w:eastAsia="Calibri" w:hAnsi="Tahoma" w:cs="Tahoma"/>
                <w:sz w:val="19"/>
                <w:szCs w:val="19"/>
                <w:rtl/>
              </w:rPr>
              <w:t>היקף האשראי המצטבר שניתן בהלוואות בסבסוד קבלנים</w:t>
            </w:r>
            <w:r>
              <w:rPr>
                <w:rFonts w:ascii="Tahoma" w:eastAsia="Calibri" w:hAnsi="Tahoma" w:cs="Tahoma"/>
                <w:sz w:val="19"/>
                <w:szCs w:val="19"/>
                <w:vertAlign w:val="superscript"/>
                <w:rtl/>
              </w:rPr>
              <w:footnoteReference w:id="6"/>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w:t>
            </w:r>
            <w:r w:rsidRPr="00DE05FA">
              <w:rPr>
                <w:rFonts w:ascii="Tahoma" w:eastAsia="Calibri" w:hAnsi="Tahoma" w:cs="Tahoma"/>
                <w:sz w:val="19"/>
                <w:szCs w:val="19"/>
                <w:rtl/>
              </w:rPr>
              <w:t>מכ-453 מיליון ש"ח בדצמבר 2023 לכ-8.</w:t>
            </w:r>
            <w:r w:rsidRPr="00DE05FA">
              <w:rPr>
                <w:rFonts w:ascii="Tahoma" w:eastAsia="Calibri" w:hAnsi="Tahoma" w:cs="Tahoma" w:hint="cs"/>
                <w:sz w:val="19"/>
                <w:szCs w:val="19"/>
                <w:rtl/>
              </w:rPr>
              <w:t>4</w:t>
            </w:r>
            <w:r w:rsidRPr="00DE05FA">
              <w:rPr>
                <w:rFonts w:ascii="Tahoma" w:eastAsia="Calibri" w:hAnsi="Tahoma" w:cs="Tahoma"/>
                <w:sz w:val="19"/>
                <w:szCs w:val="19"/>
                <w:rtl/>
              </w:rPr>
              <w:t xml:space="preserve"> מיליארד ש"ח באוגוסט 2025</w:t>
            </w:r>
            <w:r w:rsidRPr="00DE05FA">
              <w:rPr>
                <w:rFonts w:ascii="Tahoma" w:eastAsia="Calibri" w:hAnsi="Tahoma" w:cs="Tahoma" w:hint="cs"/>
                <w:sz w:val="19"/>
                <w:szCs w:val="19"/>
                <w:rtl/>
              </w:rPr>
              <w:t>)</w:t>
            </w:r>
            <w:r w:rsidRPr="00DE05FA">
              <w:rPr>
                <w:rFonts w:eastAsia="Calibri" w:hint="cs"/>
                <w:szCs w:val="24"/>
                <w:rtl/>
              </w:rPr>
              <w:t xml:space="preserve">, </w:t>
            </w:r>
            <w:r w:rsidRPr="00DE05FA">
              <w:rPr>
                <w:rFonts w:ascii="Tahoma" w:eastAsia="Calibri" w:hAnsi="Tahoma" w:cs="Tahoma"/>
                <w:sz w:val="19"/>
                <w:szCs w:val="19"/>
                <w:rtl/>
              </w:rPr>
              <w:t>דבר המייצר יותר סיכון עבור</w:t>
            </w:r>
            <w:r w:rsidRPr="00DE05FA">
              <w:rPr>
                <w:rFonts w:ascii="Tahoma" w:eastAsia="Calibri" w:hAnsi="Tahoma" w:cs="Tahoma" w:hint="cs"/>
                <w:sz w:val="19"/>
                <w:szCs w:val="19"/>
                <w:rtl/>
              </w:rPr>
              <w:t xml:space="preserve"> הרוכשים כיוון שהם</w:t>
            </w:r>
            <w:r w:rsidRPr="00DE05FA">
              <w:rPr>
                <w:rFonts w:ascii="Tahoma" w:eastAsia="Calibri" w:hAnsi="Tahoma" w:cs="Tahoma"/>
                <w:sz w:val="19"/>
                <w:szCs w:val="19"/>
                <w:rtl/>
              </w:rPr>
              <w:t xml:space="preserve"> דוחים את גיוס מקורות המימון הדרושים להשלמת העסקה למועד הסמוך למסירת הדירה</w:t>
            </w:r>
          </w:p>
        </w:tc>
        <w:tc>
          <w:tcPr>
            <w:tcW w:w="147" w:type="pct"/>
          </w:tcPr>
          <w:p w:rsidR="00DE05FA" w:rsidRPr="00DE05FA" w:rsidP="001B7D86">
            <w:pPr>
              <w:spacing w:line="240" w:lineRule="auto"/>
              <w:rPr>
                <w:rFonts w:ascii="Tahoma" w:eastAsia="Calibri" w:hAnsi="Tahoma" w:cs="Tahoma"/>
                <w:sz w:val="19"/>
                <w:szCs w:val="19"/>
                <w:highlight w:val="yellow"/>
                <w:rtl/>
              </w:rPr>
            </w:pPr>
          </w:p>
        </w:tc>
        <w:tc>
          <w:tcPr>
            <w:tcW w:w="1124" w:type="pct"/>
          </w:tcPr>
          <w:p w:rsidR="00DE05FA" w:rsidRPr="00DE05FA" w:rsidP="001B7D86">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 xml:space="preserve">ניתוח של משרד מבקר המדינה לנתוני בנק ישראל מעלה כי </w:t>
            </w:r>
            <w:r w:rsidRPr="00DE05FA">
              <w:rPr>
                <w:rFonts w:ascii="Tahoma" w:eastAsia="Calibri" w:hAnsi="Tahoma" w:cs="Tahoma"/>
                <w:sz w:val="19"/>
                <w:szCs w:val="19"/>
                <w:rtl/>
              </w:rPr>
              <w:t>משקלן של הלוואות בסיכון גבוה</w:t>
            </w:r>
            <w:r>
              <w:rPr>
                <w:rFonts w:ascii="Tahoma" w:eastAsia="Calibri" w:hAnsi="Tahoma" w:cs="Tahoma"/>
                <w:sz w:val="19"/>
                <w:szCs w:val="19"/>
                <w:vertAlign w:val="superscript"/>
                <w:rtl/>
              </w:rPr>
              <w:footnoteReference w:id="7"/>
            </w:r>
            <w:r w:rsidRPr="00DE05FA">
              <w:rPr>
                <w:rFonts w:ascii="Tahoma" w:eastAsia="Calibri" w:hAnsi="Tahoma" w:cs="Tahoma"/>
                <w:sz w:val="19"/>
                <w:szCs w:val="19"/>
                <w:rtl/>
              </w:rPr>
              <w:t xml:space="preserve"> עלה מכ-20% לכ-31% בשנים 2022 </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2025</w:t>
            </w:r>
            <w:r w:rsidRPr="00DE05FA">
              <w:rPr>
                <w:rFonts w:ascii="Tahoma" w:eastAsia="Calibri" w:hAnsi="Tahoma" w:cs="Tahoma" w:hint="cs"/>
                <w:sz w:val="19"/>
                <w:szCs w:val="19"/>
                <w:rtl/>
              </w:rPr>
              <w:t>, דבר המשקף עלייה בסיכון בתיק האשראי לדיור</w:t>
            </w:r>
          </w:p>
        </w:tc>
        <w:tc>
          <w:tcPr>
            <w:tcW w:w="165" w:type="pct"/>
          </w:tcPr>
          <w:p w:rsidR="00DE05FA" w:rsidRPr="00DE05FA" w:rsidP="001B7D86">
            <w:pPr>
              <w:spacing w:line="240" w:lineRule="auto"/>
              <w:rPr>
                <w:rFonts w:ascii="Tahoma" w:eastAsia="Calibri" w:hAnsi="Tahoma" w:cs="Tahoma"/>
                <w:sz w:val="19"/>
                <w:szCs w:val="19"/>
                <w:highlight w:val="yellow"/>
                <w:rtl/>
              </w:rPr>
            </w:pPr>
          </w:p>
        </w:tc>
        <w:tc>
          <w:tcPr>
            <w:tcW w:w="1065" w:type="pct"/>
          </w:tcPr>
          <w:p w:rsidR="00DE05FA" w:rsidRPr="00DE05FA" w:rsidP="001B7D86">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מספר השנים בהן הפיקוח על הבנקים לא עדכן את סכום תקרת שווי הנכס להלוואה לדירה במחיר מופחת. המשמעות היא ש</w:t>
            </w:r>
            <w:r w:rsidRPr="00DE05FA">
              <w:rPr>
                <w:rFonts w:ascii="Tahoma" w:eastAsia="Calibri" w:hAnsi="Tahoma" w:cs="Tahoma"/>
                <w:sz w:val="19"/>
                <w:szCs w:val="19"/>
                <w:rtl/>
              </w:rPr>
              <w:t xml:space="preserve">נפגעת יכולתו </w:t>
            </w:r>
            <w:r w:rsidRPr="00DE05FA">
              <w:rPr>
                <w:rFonts w:ascii="Tahoma" w:eastAsia="Calibri" w:hAnsi="Tahoma" w:cs="Tahoma" w:hint="cs"/>
                <w:sz w:val="19"/>
                <w:szCs w:val="19"/>
                <w:rtl/>
              </w:rPr>
              <w:t xml:space="preserve">של ציבור הזכאים </w:t>
            </w:r>
            <w:r w:rsidRPr="00DE05FA">
              <w:rPr>
                <w:rFonts w:ascii="Tahoma" w:eastAsia="Calibri" w:hAnsi="Tahoma" w:cs="Tahoma"/>
                <w:sz w:val="19"/>
                <w:szCs w:val="19"/>
                <w:rtl/>
              </w:rPr>
              <w:t>לממש את זכאותו לרכישת דירה במחיר מופחת</w:t>
            </w:r>
          </w:p>
          <w:p w:rsidR="00DE05FA" w:rsidRPr="00DE05FA" w:rsidP="001B7D86">
            <w:pPr>
              <w:spacing w:line="240" w:lineRule="auto"/>
              <w:ind w:right="23"/>
              <w:rPr>
                <w:rFonts w:ascii="Tahoma" w:eastAsia="Calibri" w:hAnsi="Tahoma" w:cs="Tahoma"/>
                <w:sz w:val="19"/>
                <w:szCs w:val="19"/>
                <w:highlight w:val="yellow"/>
                <w:rtl/>
              </w:rPr>
            </w:pPr>
          </w:p>
          <w:p w:rsidR="00DE05FA" w:rsidRPr="00DE05FA" w:rsidP="001B7D86">
            <w:pPr>
              <w:spacing w:line="240" w:lineRule="auto"/>
              <w:ind w:right="23"/>
              <w:rPr>
                <w:rFonts w:ascii="Tahoma" w:eastAsia="Calibri" w:hAnsi="Tahoma" w:cs="Tahoma"/>
                <w:sz w:val="19"/>
                <w:szCs w:val="19"/>
                <w:highlight w:val="yellow"/>
                <w:rtl/>
              </w:rPr>
            </w:pPr>
          </w:p>
        </w:tc>
        <w:tc>
          <w:tcPr>
            <w:tcW w:w="163" w:type="pct"/>
          </w:tcPr>
          <w:p w:rsidR="00DE05FA" w:rsidRPr="00DE05FA" w:rsidP="001B7D86">
            <w:pPr>
              <w:spacing w:line="240" w:lineRule="auto"/>
              <w:rPr>
                <w:rFonts w:ascii="Tahoma" w:eastAsia="Calibri" w:hAnsi="Tahoma" w:cs="Tahoma"/>
                <w:sz w:val="19"/>
                <w:szCs w:val="19"/>
                <w:highlight w:val="yellow"/>
                <w:rtl/>
              </w:rPr>
            </w:pPr>
          </w:p>
        </w:tc>
        <w:tc>
          <w:tcPr>
            <w:tcW w:w="1067" w:type="pct"/>
          </w:tcPr>
          <w:p w:rsidR="00DE05FA" w:rsidRPr="00DE05FA" w:rsidP="001B7D86">
            <w:pPr>
              <w:spacing w:line="240" w:lineRule="auto"/>
              <w:ind w:right="23"/>
              <w:rPr>
                <w:rFonts w:ascii="Tahoma" w:eastAsia="Calibri" w:hAnsi="Tahoma" w:cs="Tahoma"/>
                <w:sz w:val="19"/>
                <w:szCs w:val="19"/>
                <w:rtl/>
              </w:rPr>
            </w:pP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לפי</w:t>
            </w:r>
            <w:r w:rsidRPr="00DE05FA">
              <w:rPr>
                <w:rFonts w:ascii="Tahoma" w:eastAsia="Calibri" w:hAnsi="Tahoma" w:cs="Tahoma"/>
                <w:sz w:val="19"/>
                <w:szCs w:val="19"/>
                <w:rtl/>
              </w:rPr>
              <w:t xml:space="preserve"> נתוני בנק ישראל לשנת 2024, מרבית הלווים (63%) קיבלו הצעה מבנק אחד בלבד. </w:t>
            </w:r>
            <w:r w:rsidRPr="00DE05FA">
              <w:rPr>
                <w:rFonts w:ascii="Tahoma" w:eastAsia="Calibri" w:hAnsi="Tahoma" w:cs="Tahoma" w:hint="cs"/>
                <w:sz w:val="19"/>
                <w:szCs w:val="19"/>
                <w:rtl/>
              </w:rPr>
              <w:t>דבר המעיד על שיעור נמוך של תיחור לאחר יישום רפו</w:t>
            </w:r>
            <w:r w:rsidR="000816B1">
              <w:rPr>
                <w:rFonts w:ascii="Tahoma" w:eastAsia="Calibri" w:hAnsi="Tahoma" w:cs="Tahoma" w:hint="cs"/>
                <w:sz w:val="19"/>
                <w:szCs w:val="19"/>
                <w:rtl/>
              </w:rPr>
              <w:t>ר</w:t>
            </w:r>
            <w:r w:rsidRPr="00DE05FA">
              <w:rPr>
                <w:rFonts w:ascii="Tahoma" w:eastAsia="Calibri" w:hAnsi="Tahoma" w:cs="Tahoma" w:hint="cs"/>
                <w:sz w:val="19"/>
                <w:szCs w:val="19"/>
                <w:rtl/>
              </w:rPr>
              <w:t>מת השקיפות במשכנתאות</w:t>
            </w:r>
          </w:p>
        </w:tc>
      </w:tr>
    </w:tbl>
    <w:p w:rsidR="00DE05FA" w:rsidRPr="00DE05FA" w:rsidP="00DE05FA">
      <w:pPr>
        <w:spacing w:line="288" w:lineRule="auto"/>
        <w:ind w:left="-284"/>
        <w:rPr>
          <w:rFonts w:ascii="Tahoma" w:eastAsia="Calibri" w:hAnsi="Tahoma" w:cs="Tahoma"/>
          <w:noProof/>
          <w:rtl/>
        </w:rPr>
      </w:pPr>
    </w:p>
    <w:p w:rsidR="00DE05FA" w:rsidRPr="00DE05FA" w:rsidP="00DE05FA">
      <w:pPr>
        <w:spacing w:line="288" w:lineRule="auto"/>
        <w:ind w:left="-284"/>
        <w:rPr>
          <w:rFonts w:ascii="Tahoma" w:eastAsia="Calibri" w:hAnsi="Tahoma" w:cs="Tahoma"/>
          <w:noProof/>
          <w:rtl/>
        </w:rPr>
      </w:pPr>
    </w:p>
    <w:p w:rsidR="00DE05FA" w:rsidRPr="00DE05FA" w:rsidP="00DE05FA">
      <w:pPr>
        <w:spacing w:line="288" w:lineRule="auto"/>
        <w:ind w:left="-284"/>
        <w:rPr>
          <w:rFonts w:ascii="Tahoma" w:eastAsia="Calibri" w:hAnsi="Tahoma" w:cs="Tahoma"/>
          <w:noProof/>
          <w:rtl/>
        </w:rPr>
      </w:pPr>
    </w:p>
    <w:p w:rsidR="00DE05FA" w:rsidRPr="00DE05FA" w:rsidP="00DE05FA">
      <w:pPr>
        <w:spacing w:line="288" w:lineRule="auto"/>
        <w:ind w:left="-284"/>
        <w:rPr>
          <w:rFonts w:ascii="Tahoma" w:eastAsia="Calibri" w:hAnsi="Tahoma" w:cs="Tahoma"/>
          <w:noProof/>
          <w:rtl/>
        </w:rPr>
      </w:pPr>
    </w:p>
    <w:p w:rsidR="00DE05FA" w:rsidRPr="00DE05FA" w:rsidP="001B7D86">
      <w:pPr>
        <w:spacing w:line="288" w:lineRule="auto"/>
        <w:rPr>
          <w:rFonts w:ascii="Tahoma" w:eastAsia="Calibri" w:hAnsi="Tahoma" w:cs="Tahoma"/>
          <w:noProof/>
          <w:rtl/>
        </w:rPr>
      </w:pPr>
    </w:p>
    <w:tbl>
      <w:tblPr>
        <w:tblStyle w:val="26"/>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0"/>
        <w:gridCol w:w="283"/>
        <w:gridCol w:w="2268"/>
        <w:gridCol w:w="284"/>
        <w:gridCol w:w="1982"/>
        <w:gridCol w:w="284"/>
        <w:gridCol w:w="1843"/>
      </w:tblGrid>
      <w:tr w:rsidTr="00606D97">
        <w:tblPrEx>
          <w:tblW w:w="9214" w:type="dxa"/>
          <w:tblLook w:val="04A0"/>
        </w:tblPrEx>
        <w:trPr>
          <w:trHeight w:val="148"/>
        </w:trPr>
        <w:tc>
          <w:tcPr>
            <w:tcW w:w="2270" w:type="dxa"/>
            <w:tcBorders>
              <w:bottom w:val="single" w:sz="12" w:space="0" w:color="auto"/>
            </w:tcBorders>
            <w:vAlign w:val="bottom"/>
          </w:tcPr>
          <w:p w:rsidR="00DE05FA" w:rsidRPr="00DE05FA" w:rsidP="00DE05FA">
            <w:pPr>
              <w:spacing w:line="240" w:lineRule="auto"/>
              <w:ind w:right="23"/>
              <w:rPr>
                <w:rFonts w:ascii="Tahoma" w:eastAsia="Calibri" w:hAnsi="Tahoma" w:cs="Tahoma"/>
                <w:spacing w:val="-10"/>
                <w:sz w:val="36"/>
                <w:szCs w:val="36"/>
              </w:rPr>
            </w:pPr>
            <w:r w:rsidRPr="00DE05FA">
              <w:rPr>
                <w:rFonts w:ascii="Tahoma" w:eastAsia="Calibri" w:hAnsi="Tahoma" w:cs="Tahoma" w:hint="cs"/>
                <w:spacing w:val="-10"/>
                <w:sz w:val="36"/>
                <w:szCs w:val="36"/>
                <w:rtl/>
              </w:rPr>
              <w:t xml:space="preserve">16.5 </w:t>
            </w:r>
            <w:r w:rsidRPr="00DE05FA">
              <w:rPr>
                <w:rFonts w:ascii="Tahoma" w:eastAsia="Calibri" w:hAnsi="Tahoma" w:cs="Tahoma" w:hint="eastAsia"/>
                <w:spacing w:val="-10"/>
                <w:sz w:val="26"/>
                <w:szCs w:val="26"/>
                <w:rtl/>
              </w:rPr>
              <w:t>מיליארד</w:t>
            </w:r>
            <w:r w:rsidRPr="00DE05FA">
              <w:rPr>
                <w:rFonts w:ascii="Tahoma" w:eastAsia="Calibri" w:hAnsi="Tahoma" w:cs="Tahoma"/>
                <w:spacing w:val="-10"/>
                <w:sz w:val="26"/>
                <w:szCs w:val="26"/>
                <w:rtl/>
              </w:rPr>
              <w:t xml:space="preserve"> </w:t>
            </w:r>
            <w:r w:rsidRPr="00DE05FA">
              <w:rPr>
                <w:rFonts w:ascii="Tahoma" w:eastAsia="Calibri" w:hAnsi="Tahoma" w:cs="Tahoma" w:hint="cs"/>
                <w:spacing w:val="-10"/>
                <w:sz w:val="26"/>
                <w:szCs w:val="26"/>
                <w:rtl/>
              </w:rPr>
              <w:t>ש"ח</w:t>
            </w:r>
            <w:r w:rsidRPr="00DE05FA">
              <w:rPr>
                <w:rFonts w:ascii="Tahoma" w:eastAsia="Calibri" w:hAnsi="Tahoma" w:cs="Tahoma"/>
                <w:spacing w:val="-10"/>
                <w:sz w:val="26"/>
                <w:szCs w:val="26"/>
                <w:rtl/>
              </w:rPr>
              <w:t xml:space="preserve"> </w:t>
            </w:r>
            <w:r w:rsidRPr="00DE05FA">
              <w:rPr>
                <w:rFonts w:ascii="Tahoma" w:eastAsia="Calibri" w:hAnsi="Tahoma" w:cs="Tahoma" w:hint="eastAsia"/>
                <w:spacing w:val="-10"/>
                <w:sz w:val="26"/>
                <w:szCs w:val="26"/>
                <w:rtl/>
              </w:rPr>
              <w:t>מתוך</w:t>
            </w:r>
            <w:r w:rsidRPr="00DE05FA">
              <w:rPr>
                <w:rFonts w:ascii="Tahoma" w:eastAsia="Calibri" w:hAnsi="Tahoma" w:cs="Tahoma" w:hint="cs"/>
                <w:spacing w:val="-10"/>
                <w:sz w:val="36"/>
                <w:szCs w:val="36"/>
                <w:rtl/>
              </w:rPr>
              <w:t xml:space="preserve"> 20.5</w:t>
            </w:r>
            <w:r w:rsidRPr="00DE05FA">
              <w:rPr>
                <w:rFonts w:ascii="Tahoma" w:eastAsia="Calibri" w:hAnsi="Tahoma" w:cs="Tahoma"/>
                <w:spacing w:val="-10"/>
                <w:sz w:val="26"/>
                <w:szCs w:val="26"/>
                <w:rtl/>
              </w:rPr>
              <w:t xml:space="preserve"> מיליארד </w:t>
            </w:r>
            <w:r w:rsidRPr="00DE05FA">
              <w:rPr>
                <w:rFonts w:ascii="Tahoma" w:eastAsia="Calibri" w:hAnsi="Tahoma" w:cs="Tahoma" w:hint="cs"/>
                <w:spacing w:val="-10"/>
                <w:sz w:val="26"/>
                <w:szCs w:val="26"/>
                <w:rtl/>
              </w:rPr>
              <w:t>ש"ח</w:t>
            </w:r>
            <w:r w:rsidRPr="00DE05FA">
              <w:rPr>
                <w:rFonts w:ascii="Tahoma" w:eastAsia="Calibri" w:hAnsi="Tahoma" w:cs="Tahoma" w:hint="cs"/>
                <w:spacing w:val="-10"/>
                <w:sz w:val="36"/>
                <w:szCs w:val="36"/>
                <w:rtl/>
              </w:rPr>
              <w:t xml:space="preserve"> </w:t>
            </w:r>
          </w:p>
        </w:tc>
        <w:tc>
          <w:tcPr>
            <w:tcW w:w="283" w:type="dxa"/>
            <w:vAlign w:val="bottom"/>
          </w:tcPr>
          <w:p w:rsidR="00DE05FA" w:rsidRPr="00DE05FA" w:rsidP="00DE05FA">
            <w:pPr>
              <w:spacing w:line="240" w:lineRule="auto"/>
              <w:rPr>
                <w:rFonts w:ascii="Tahoma" w:eastAsia="Calibri" w:hAnsi="Tahoma" w:cs="Tahoma"/>
                <w:spacing w:val="-10"/>
                <w:highlight w:val="yellow"/>
              </w:rPr>
            </w:pPr>
          </w:p>
        </w:tc>
        <w:tc>
          <w:tcPr>
            <w:tcW w:w="2268" w:type="dxa"/>
            <w:tcBorders>
              <w:bottom w:val="single" w:sz="12" w:space="0" w:color="auto"/>
            </w:tcBorders>
            <w:vAlign w:val="bottom"/>
          </w:tcPr>
          <w:p w:rsidR="00DE05FA" w:rsidRPr="00DE05FA" w:rsidP="00DE05FA">
            <w:pPr>
              <w:spacing w:line="240" w:lineRule="auto"/>
              <w:ind w:right="23"/>
              <w:rPr>
                <w:rFonts w:ascii="Tahoma" w:eastAsia="Calibri" w:hAnsi="Tahoma" w:cs="Tahoma"/>
                <w:spacing w:val="-10"/>
                <w:sz w:val="36"/>
                <w:szCs w:val="36"/>
                <w:rtl/>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 xml:space="preserve">98% </w:t>
            </w:r>
          </w:p>
        </w:tc>
        <w:tc>
          <w:tcPr>
            <w:tcW w:w="284" w:type="dxa"/>
            <w:vAlign w:val="bottom"/>
          </w:tcPr>
          <w:p w:rsidR="00DE05FA" w:rsidRPr="00DE05FA" w:rsidP="00DE05FA">
            <w:pPr>
              <w:spacing w:line="240" w:lineRule="auto"/>
              <w:rPr>
                <w:rFonts w:ascii="Tahoma" w:eastAsia="Calibri" w:hAnsi="Tahoma" w:cs="Tahoma"/>
                <w:spacing w:val="-10"/>
                <w:highlight w:val="yellow"/>
              </w:rPr>
            </w:pPr>
          </w:p>
        </w:tc>
        <w:tc>
          <w:tcPr>
            <w:tcW w:w="1982" w:type="dxa"/>
            <w:tcBorders>
              <w:bottom w:val="single" w:sz="12" w:space="0" w:color="auto"/>
            </w:tcBorders>
            <w:vAlign w:val="bottom"/>
          </w:tcPr>
          <w:p w:rsidR="00DE05FA" w:rsidRPr="00DE05FA" w:rsidP="00DE05FA">
            <w:pPr>
              <w:spacing w:line="240" w:lineRule="auto"/>
              <w:ind w:right="23"/>
              <w:rPr>
                <w:rFonts w:ascii="Tahoma" w:eastAsia="Calibri" w:hAnsi="Tahoma" w:cs="Tahoma"/>
                <w:sz w:val="36"/>
                <w:szCs w:val="36"/>
                <w:highlight w:val="yellow"/>
              </w:rPr>
            </w:pPr>
            <w:r w:rsidRPr="00DE05FA">
              <w:rPr>
                <w:rFonts w:ascii="Tahoma" w:eastAsia="Calibri" w:hAnsi="Tahoma" w:cs="Tahoma" w:hint="cs"/>
                <w:sz w:val="36"/>
                <w:szCs w:val="36"/>
                <w:rtl/>
              </w:rPr>
              <w:t xml:space="preserve">54% </w:t>
            </w:r>
            <w:r w:rsidRPr="00DE05FA">
              <w:rPr>
                <w:rFonts w:ascii="Tahoma" w:eastAsia="Calibri" w:hAnsi="Tahoma" w:cs="Tahoma" w:hint="cs"/>
                <w:sz w:val="26"/>
                <w:szCs w:val="26"/>
                <w:rtl/>
              </w:rPr>
              <w:t>לעומת</w:t>
            </w:r>
            <w:r w:rsidRPr="00DE05FA">
              <w:rPr>
                <w:rFonts w:ascii="Tahoma" w:eastAsia="Calibri" w:hAnsi="Tahoma" w:cs="Tahoma" w:hint="cs"/>
                <w:sz w:val="36"/>
                <w:szCs w:val="36"/>
                <w:rtl/>
              </w:rPr>
              <w:t xml:space="preserve"> 37%</w:t>
            </w:r>
          </w:p>
        </w:tc>
        <w:tc>
          <w:tcPr>
            <w:tcW w:w="284" w:type="dxa"/>
            <w:vAlign w:val="bottom"/>
          </w:tcPr>
          <w:p w:rsidR="00DE05FA" w:rsidRPr="00DE05FA" w:rsidP="00DE05FA">
            <w:pPr>
              <w:spacing w:line="240" w:lineRule="auto"/>
              <w:rPr>
                <w:rFonts w:ascii="Tahoma" w:eastAsia="Calibri" w:hAnsi="Tahoma" w:cs="Tahoma"/>
                <w:spacing w:val="-10"/>
                <w:highlight w:val="yellow"/>
              </w:rPr>
            </w:pPr>
          </w:p>
        </w:tc>
        <w:tc>
          <w:tcPr>
            <w:tcW w:w="1843" w:type="dxa"/>
            <w:tcBorders>
              <w:bottom w:val="single" w:sz="12" w:space="0" w:color="auto"/>
            </w:tcBorders>
            <w:vAlign w:val="bottom"/>
          </w:tcPr>
          <w:p w:rsidR="00DE05FA" w:rsidRPr="00DE05FA" w:rsidP="00DE05FA">
            <w:pPr>
              <w:spacing w:line="240" w:lineRule="auto"/>
              <w:rPr>
                <w:rFonts w:ascii="Tahoma" w:eastAsia="Calibri" w:hAnsi="Tahoma" w:cs="Tahoma"/>
                <w:spacing w:val="-10"/>
                <w:sz w:val="36"/>
                <w:szCs w:val="36"/>
              </w:rPr>
            </w:pPr>
            <w:r w:rsidRPr="00DE05FA">
              <w:rPr>
                <w:rFonts w:ascii="Tahoma" w:eastAsia="Calibri" w:hAnsi="Tahoma" w:cs="Tahoma" w:hint="cs"/>
                <w:spacing w:val="-10"/>
                <w:sz w:val="36"/>
                <w:szCs w:val="36"/>
                <w:rtl/>
              </w:rPr>
              <w:t xml:space="preserve">5 </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w:t>
            </w:r>
            <w:r w:rsidRPr="00DE05FA">
              <w:rPr>
                <w:rFonts w:ascii="Tahoma" w:eastAsia="Calibri" w:hAnsi="Tahoma" w:cs="Tahoma"/>
                <w:spacing w:val="-10"/>
                <w:sz w:val="36"/>
                <w:szCs w:val="36"/>
                <w:rtl/>
              </w:rPr>
              <w:br/>
            </w:r>
            <w:r w:rsidRPr="00DE05FA">
              <w:rPr>
                <w:rFonts w:ascii="Tahoma" w:eastAsia="Calibri" w:hAnsi="Tahoma" w:cs="Tahoma" w:hint="cs"/>
                <w:spacing w:val="-10"/>
                <w:sz w:val="36"/>
                <w:szCs w:val="36"/>
                <w:rtl/>
              </w:rPr>
              <w:t xml:space="preserve">2 - 3 </w:t>
            </w:r>
          </w:p>
        </w:tc>
      </w:tr>
      <w:tr w:rsidTr="00606D97">
        <w:tblPrEx>
          <w:tblW w:w="9214" w:type="dxa"/>
          <w:tblLook w:val="04A0"/>
        </w:tblPrEx>
        <w:trPr>
          <w:trHeight w:val="45"/>
        </w:trPr>
        <w:tc>
          <w:tcPr>
            <w:tcW w:w="9214" w:type="dxa"/>
            <w:gridSpan w:val="7"/>
            <w:vAlign w:val="center"/>
          </w:tcPr>
          <w:p w:rsidR="00DE05FA" w:rsidRPr="00DE05FA" w:rsidP="00DE05FA">
            <w:pPr>
              <w:spacing w:line="288" w:lineRule="auto"/>
              <w:jc w:val="center"/>
              <w:rPr>
                <w:rFonts w:ascii="Tahoma" w:eastAsia="Calibri" w:hAnsi="Tahoma" w:cs="Tahoma"/>
                <w:spacing w:val="-10"/>
                <w:sz w:val="6"/>
                <w:szCs w:val="6"/>
                <w:rtl/>
              </w:rPr>
            </w:pPr>
          </w:p>
        </w:tc>
      </w:tr>
      <w:tr w:rsidTr="005405A6">
        <w:tblPrEx>
          <w:tblW w:w="9214" w:type="dxa"/>
          <w:tblLook w:val="04A0"/>
        </w:tblPrEx>
        <w:trPr>
          <w:trHeight w:val="3246"/>
        </w:trPr>
        <w:tc>
          <w:tcPr>
            <w:tcW w:w="2270"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כ-80% ממחזורי המשכנתאות שבוצעו במחצית הראשונה של שנת 2025 היו מחזורים</w:t>
            </w:r>
            <w:r>
              <w:rPr>
                <w:rFonts w:ascii="Tahoma" w:eastAsia="Calibri" w:hAnsi="Tahoma" w:cs="Tahoma"/>
                <w:sz w:val="19"/>
                <w:szCs w:val="19"/>
                <w:vertAlign w:val="superscript"/>
                <w:rtl/>
              </w:rPr>
              <w:footnoteReference w:id="8"/>
            </w:r>
            <w:r w:rsidRPr="00DE05FA">
              <w:rPr>
                <w:rFonts w:ascii="Tahoma" w:eastAsia="Calibri" w:hAnsi="Tahoma" w:cs="Tahoma" w:hint="cs"/>
                <w:sz w:val="19"/>
                <w:szCs w:val="19"/>
              </w:rPr>
              <w:t xml:space="preserve"> </w:t>
            </w:r>
            <w:r w:rsidRPr="00DE05FA">
              <w:rPr>
                <w:rFonts w:ascii="Tahoma" w:eastAsia="Calibri" w:hAnsi="Tahoma" w:cs="Tahoma" w:hint="cs"/>
                <w:sz w:val="19"/>
                <w:szCs w:val="19"/>
                <w:rtl/>
              </w:rPr>
              <w:t>פנימיים, כך שרוב המחזורים נעשים בבנקים שבהם נלקחו ההלוואות המקוריות</w:t>
            </w:r>
          </w:p>
        </w:tc>
        <w:tc>
          <w:tcPr>
            <w:tcW w:w="283" w:type="dxa"/>
          </w:tcPr>
          <w:p w:rsidR="00DE05FA" w:rsidRPr="00DE05FA" w:rsidP="00DE05FA">
            <w:pPr>
              <w:spacing w:line="240" w:lineRule="auto"/>
              <w:rPr>
                <w:rFonts w:ascii="Tahoma" w:eastAsia="Calibri" w:hAnsi="Tahoma" w:cs="Tahoma"/>
                <w:sz w:val="19"/>
                <w:szCs w:val="19"/>
                <w:highlight w:val="yellow"/>
                <w:rtl/>
              </w:rPr>
            </w:pPr>
          </w:p>
        </w:tc>
        <w:tc>
          <w:tcPr>
            <w:tcW w:w="2268" w:type="dxa"/>
          </w:tcPr>
          <w:p w:rsidR="004A17E8" w:rsidP="00DE05FA">
            <w:pPr>
              <w:spacing w:line="240" w:lineRule="auto"/>
              <w:ind w:right="23"/>
              <w:rPr>
                <w:rFonts w:ascii="Tahoma" w:eastAsia="Calibri" w:hAnsi="Tahoma" w:cs="Tahoma" w:hint="cs"/>
                <w:sz w:val="19"/>
                <w:szCs w:val="19"/>
                <w:rtl/>
              </w:rPr>
            </w:pPr>
            <w:r w:rsidRPr="00DE05FA">
              <w:rPr>
                <w:rFonts w:ascii="Tahoma" w:eastAsia="Calibri" w:hAnsi="Tahoma" w:cs="Tahoma" w:hint="cs"/>
                <w:sz w:val="19"/>
                <w:szCs w:val="19"/>
                <w:rtl/>
              </w:rPr>
              <w:t>לפי נתוני בנק ישראל לשנת 2024 בכמעט כל ההלוואות למטרת מגורים שניתנו במערכת הבנקאית בשנה זו</w:t>
            </w:r>
          </w:p>
          <w:p w:rsidR="00DE05FA" w:rsidRPr="00DE05FA" w:rsidP="000816B1">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 xml:space="preserve">בחרו הלווים בסל מוצע אחר שהציעו הבנקים, ולא בסלים האחידים שנקבעו על ידי הפיקוח על הבנקים בהוראה 451 בשנת 2022 </w:t>
            </w: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1982"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sz w:val="19"/>
                <w:szCs w:val="19"/>
                <w:rtl/>
              </w:rPr>
              <w:t>משקל הסיכון</w:t>
            </w:r>
            <w:r>
              <w:rPr>
                <w:rFonts w:ascii="Tahoma" w:eastAsia="Calibri" w:hAnsi="Tahoma" w:cs="Tahoma"/>
                <w:sz w:val="19"/>
                <w:szCs w:val="19"/>
                <w:vertAlign w:val="superscript"/>
                <w:rtl/>
              </w:rPr>
              <w:footnoteReference w:id="9"/>
            </w:r>
            <w:r w:rsidRPr="00DE05FA">
              <w:rPr>
                <w:rFonts w:ascii="Tahoma" w:eastAsia="Calibri" w:hAnsi="Tahoma" w:cs="Tahoma"/>
                <w:sz w:val="19"/>
                <w:szCs w:val="19"/>
                <w:rtl/>
              </w:rPr>
              <w:t xml:space="preserve"> הממוצע בגין אשראי לדיור במערכת הבנקאית בישראל הוא 54% לעומת שיעור ממוצע של 37%</w:t>
            </w:r>
            <w:r w:rsidRPr="00DE05FA">
              <w:rPr>
                <w:rFonts w:ascii="Tahoma" w:eastAsia="Calibri" w:hAnsi="Tahoma" w:cs="Tahoma" w:hint="cs"/>
                <w:sz w:val="19"/>
                <w:szCs w:val="19"/>
                <w:rtl/>
              </w:rPr>
              <w:t xml:space="preserve"> במדינות נבחרות בעולם, לפי נתוני בנק ישראל</w:t>
            </w: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1843"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sz w:val="19"/>
                <w:szCs w:val="19"/>
                <w:rtl/>
              </w:rPr>
              <w:t>הפיקוח על הבנקים משתמש במספר גדול יותר של כלים מגבילים על משכנתאות לעומת מספר הכלים שמפעילות רשויות פיקוח פיננסיות במדינות אחרות בעולם (חמישה בישראל לעומת 2</w:t>
            </w:r>
            <w:r w:rsidR="008C6B81">
              <w:rPr>
                <w:rFonts w:ascii="Tahoma" w:eastAsia="Calibri" w:hAnsi="Tahoma" w:cs="Tahoma" w:hint="cs"/>
                <w:sz w:val="19"/>
                <w:szCs w:val="19"/>
                <w:rtl/>
              </w:rPr>
              <w:t xml:space="preserve"> </w:t>
            </w:r>
            <w:r w:rsidRPr="00DE05FA">
              <w:rPr>
                <w:rFonts w:ascii="Tahoma" w:eastAsia="Calibri" w:hAnsi="Tahoma" w:cs="Tahoma"/>
                <w:sz w:val="19"/>
                <w:szCs w:val="19"/>
                <w:rtl/>
              </w:rPr>
              <w:t>-</w:t>
            </w:r>
            <w:r w:rsidR="008C6B81">
              <w:rPr>
                <w:rFonts w:ascii="Tahoma" w:eastAsia="Calibri" w:hAnsi="Tahoma" w:cs="Tahoma" w:hint="cs"/>
                <w:sz w:val="19"/>
                <w:szCs w:val="19"/>
                <w:rtl/>
              </w:rPr>
              <w:t xml:space="preserve"> </w:t>
            </w:r>
            <w:r w:rsidRPr="00DE05FA">
              <w:rPr>
                <w:rFonts w:ascii="Tahoma" w:eastAsia="Calibri" w:hAnsi="Tahoma" w:cs="Tahoma"/>
                <w:sz w:val="19"/>
                <w:szCs w:val="19"/>
                <w:rtl/>
              </w:rPr>
              <w:t>3 ברוב המדינות)</w:t>
            </w:r>
          </w:p>
        </w:tc>
      </w:tr>
    </w:tbl>
    <w:tbl>
      <w:tblPr>
        <w:tblStyle w:val="26"/>
        <w:tblpPr w:leftFromText="180" w:rightFromText="180" w:vertAnchor="text" w:horzAnchor="page" w:tblpX="5589" w:tblpY="-6"/>
        <w:tblOverlap w:val="never"/>
        <w:bidiVisual/>
        <w:tblW w:w="4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308"/>
        <w:gridCol w:w="2268"/>
      </w:tblGrid>
      <w:tr w:rsidTr="008C6B81">
        <w:tblPrEx>
          <w:tblW w:w="4822" w:type="dxa"/>
          <w:tblLook w:val="04A0"/>
        </w:tblPrEx>
        <w:trPr>
          <w:trHeight w:val="148"/>
        </w:trPr>
        <w:tc>
          <w:tcPr>
            <w:tcW w:w="2246" w:type="dxa"/>
            <w:tcBorders>
              <w:bottom w:val="single" w:sz="12" w:space="0" w:color="auto"/>
            </w:tcBorders>
            <w:vAlign w:val="bottom"/>
          </w:tcPr>
          <w:p w:rsidR="00DE05FA" w:rsidRPr="00DE05FA" w:rsidP="008C6B81">
            <w:pPr>
              <w:spacing w:line="288" w:lineRule="auto"/>
              <w:ind w:right="23"/>
              <w:rPr>
                <w:rFonts w:ascii="Tahoma" w:eastAsia="Calibri" w:hAnsi="Tahoma" w:cs="Tahoma"/>
                <w:spacing w:val="-10"/>
                <w:sz w:val="36"/>
                <w:szCs w:val="36"/>
                <w:rtl/>
              </w:rPr>
            </w:pPr>
            <w:r w:rsidRPr="00DE05FA">
              <w:rPr>
                <w:rFonts w:ascii="Tahoma" w:eastAsia="Calibri" w:hAnsi="Tahoma" w:cs="Tahoma" w:hint="cs"/>
                <w:spacing w:val="-10"/>
                <w:sz w:val="36"/>
                <w:szCs w:val="36"/>
                <w:rtl/>
              </w:rPr>
              <w:t xml:space="preserve">28% </w:t>
            </w:r>
          </w:p>
        </w:tc>
        <w:tc>
          <w:tcPr>
            <w:tcW w:w="308" w:type="dxa"/>
          </w:tcPr>
          <w:p w:rsidR="00DE05FA" w:rsidRPr="00DE05FA" w:rsidP="008C6B81">
            <w:pPr>
              <w:spacing w:line="288" w:lineRule="auto"/>
              <w:rPr>
                <w:rFonts w:ascii="Tahoma" w:eastAsia="Calibri" w:hAnsi="Tahoma" w:cs="Tahoma"/>
                <w:spacing w:val="-10"/>
                <w:sz w:val="26"/>
                <w:szCs w:val="26"/>
                <w:rtl/>
              </w:rPr>
            </w:pPr>
          </w:p>
        </w:tc>
        <w:tc>
          <w:tcPr>
            <w:tcW w:w="2268" w:type="dxa"/>
            <w:tcBorders>
              <w:bottom w:val="single" w:sz="12" w:space="0" w:color="auto"/>
            </w:tcBorders>
            <w:vAlign w:val="bottom"/>
          </w:tcPr>
          <w:p w:rsidR="00DE05FA" w:rsidRPr="00DE05FA" w:rsidP="008C6B81">
            <w:pPr>
              <w:spacing w:line="288" w:lineRule="auto"/>
              <w:rPr>
                <w:rFonts w:ascii="Tahoma" w:eastAsia="Calibri" w:hAnsi="Tahoma" w:cs="Tahoma"/>
                <w:spacing w:val="-10"/>
                <w:sz w:val="36"/>
                <w:szCs w:val="36"/>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 xml:space="preserve">60% </w:t>
            </w:r>
          </w:p>
        </w:tc>
      </w:tr>
      <w:tr w:rsidTr="008C6B81">
        <w:tblPrEx>
          <w:tblW w:w="4822" w:type="dxa"/>
          <w:tblLook w:val="04A0"/>
        </w:tblPrEx>
        <w:trPr>
          <w:trHeight w:val="45"/>
        </w:trPr>
        <w:tc>
          <w:tcPr>
            <w:tcW w:w="2554" w:type="dxa"/>
            <w:gridSpan w:val="2"/>
          </w:tcPr>
          <w:p w:rsidR="00DE05FA" w:rsidRPr="00DE05FA" w:rsidP="008C6B81">
            <w:pPr>
              <w:spacing w:line="288" w:lineRule="auto"/>
              <w:jc w:val="center"/>
              <w:rPr>
                <w:rFonts w:ascii="Tahoma" w:eastAsia="Calibri" w:hAnsi="Tahoma" w:cs="Tahoma"/>
                <w:spacing w:val="-10"/>
                <w:sz w:val="6"/>
                <w:szCs w:val="6"/>
              </w:rPr>
            </w:pPr>
          </w:p>
        </w:tc>
        <w:tc>
          <w:tcPr>
            <w:tcW w:w="2268" w:type="dxa"/>
            <w:vAlign w:val="center"/>
          </w:tcPr>
          <w:p w:rsidR="00DE05FA" w:rsidRPr="00DE05FA" w:rsidP="008C6B81">
            <w:pPr>
              <w:spacing w:line="288" w:lineRule="auto"/>
              <w:jc w:val="center"/>
              <w:rPr>
                <w:rFonts w:ascii="Tahoma" w:eastAsia="Calibri" w:hAnsi="Tahoma" w:cs="Tahoma"/>
                <w:spacing w:val="-10"/>
                <w:sz w:val="6"/>
                <w:szCs w:val="6"/>
              </w:rPr>
            </w:pPr>
            <w:r w:rsidRPr="00DE05FA">
              <w:rPr>
                <w:rFonts w:ascii="Tahoma" w:eastAsia="Calibri" w:hAnsi="Tahoma" w:cs="Tahoma"/>
                <w:spacing w:val="-10"/>
                <w:sz w:val="6"/>
                <w:szCs w:val="6"/>
              </w:rPr>
              <w:t xml:space="preserve"> </w:t>
            </w:r>
          </w:p>
        </w:tc>
      </w:tr>
      <w:tr w:rsidTr="008C6B81">
        <w:tblPrEx>
          <w:tblW w:w="4822" w:type="dxa"/>
          <w:tblLook w:val="04A0"/>
        </w:tblPrEx>
        <w:trPr>
          <w:trHeight w:val="755"/>
        </w:trPr>
        <w:tc>
          <w:tcPr>
            <w:tcW w:w="2246" w:type="dxa"/>
          </w:tcPr>
          <w:p w:rsidR="00DE05FA" w:rsidRPr="00DE05FA" w:rsidP="008C6B81">
            <w:pPr>
              <w:spacing w:line="240" w:lineRule="auto"/>
              <w:ind w:right="23"/>
              <w:rPr>
                <w:rFonts w:ascii="Tahoma" w:eastAsia="Calibri" w:hAnsi="Tahoma" w:cs="Tahoma"/>
                <w:sz w:val="19"/>
                <w:szCs w:val="19"/>
                <w:highlight w:val="yellow"/>
              </w:rPr>
            </w:pPr>
            <w:r w:rsidRPr="00DE05FA">
              <w:rPr>
                <w:rFonts w:ascii="Tahoma" w:eastAsia="Calibri" w:hAnsi="Tahoma" w:cs="Tahoma"/>
                <w:sz w:val="19"/>
                <w:szCs w:val="19"/>
                <w:rtl/>
              </w:rPr>
              <w:t>שיעור הדירות שנמכרו במבצעי עידוד בדחייה משמעותית של תשלומים מתוך מלאי הפרויקטים הנמצאים בליווי בנקאי</w:t>
            </w:r>
            <w:r w:rsidRPr="00DE05FA">
              <w:rPr>
                <w:rFonts w:ascii="Tahoma" w:eastAsia="Calibri" w:hAnsi="Tahoma" w:cs="Tahoma" w:hint="cs"/>
                <w:sz w:val="19"/>
                <w:szCs w:val="19"/>
                <w:rtl/>
              </w:rPr>
              <w:t xml:space="preserve"> (על פי נתוני בנק ישראל באוקטובר 2024)</w:t>
            </w:r>
          </w:p>
        </w:tc>
        <w:tc>
          <w:tcPr>
            <w:tcW w:w="308" w:type="dxa"/>
          </w:tcPr>
          <w:p w:rsidR="00DE05FA" w:rsidRPr="00DE05FA" w:rsidP="008C6B81">
            <w:pPr>
              <w:spacing w:line="240" w:lineRule="auto"/>
              <w:rPr>
                <w:rFonts w:ascii="Tahoma" w:eastAsia="Calibri" w:hAnsi="Tahoma" w:cs="Tahoma"/>
                <w:sz w:val="19"/>
                <w:szCs w:val="19"/>
                <w:rtl/>
              </w:rPr>
            </w:pPr>
          </w:p>
        </w:tc>
        <w:tc>
          <w:tcPr>
            <w:tcW w:w="2268" w:type="dxa"/>
          </w:tcPr>
          <w:p w:rsidR="00DE05FA" w:rsidRPr="00DE05FA" w:rsidP="008C6B81">
            <w:pPr>
              <w:spacing w:line="240" w:lineRule="auto"/>
              <w:rPr>
                <w:rFonts w:ascii="Tahoma" w:eastAsia="Calibri" w:hAnsi="Tahoma" w:cs="Tahoma"/>
                <w:sz w:val="19"/>
                <w:szCs w:val="19"/>
                <w:rtl/>
              </w:rPr>
            </w:pPr>
            <w:r w:rsidRPr="00DE05FA">
              <w:rPr>
                <w:rFonts w:ascii="Tahoma" w:eastAsia="Calibri" w:hAnsi="Tahoma" w:cs="Tahoma" w:hint="cs"/>
                <w:sz w:val="19"/>
                <w:szCs w:val="19"/>
                <w:rtl/>
              </w:rPr>
              <w:t xml:space="preserve">שיעור </w:t>
            </w:r>
            <w:r w:rsidRPr="00DE05FA">
              <w:rPr>
                <w:rFonts w:ascii="Tahoma" w:eastAsia="Calibri" w:hAnsi="Tahoma" w:cs="Tahoma"/>
                <w:sz w:val="19"/>
                <w:szCs w:val="19"/>
                <w:rtl/>
              </w:rPr>
              <w:t xml:space="preserve">העסקאות שבוצעו בחודשים הסמוכים ליוני 2024 </w:t>
            </w:r>
            <w:r w:rsidRPr="00DE05FA">
              <w:rPr>
                <w:rFonts w:ascii="Tahoma" w:eastAsia="Calibri" w:hAnsi="Tahoma" w:cs="Tahoma" w:hint="cs"/>
                <w:sz w:val="19"/>
                <w:szCs w:val="19"/>
                <w:rtl/>
              </w:rPr>
              <w:t>ש</w:t>
            </w:r>
            <w:r w:rsidRPr="00DE05FA">
              <w:rPr>
                <w:rFonts w:ascii="Tahoma" w:eastAsia="Calibri" w:hAnsi="Tahoma" w:cs="Tahoma"/>
                <w:sz w:val="19"/>
                <w:szCs w:val="19"/>
                <w:rtl/>
              </w:rPr>
              <w:t>כללו מבצעי עידוד הכוללים דחייה משמעותית בתשלומים</w:t>
            </w:r>
            <w:r w:rsidRPr="00DE05FA">
              <w:rPr>
                <w:rFonts w:ascii="Tahoma" w:eastAsia="Calibri" w:hAnsi="Tahoma" w:cs="Tahoma" w:hint="cs"/>
                <w:sz w:val="19"/>
                <w:szCs w:val="19"/>
                <w:rtl/>
              </w:rPr>
              <w:t>, לפי נתוני בנק ישראל</w:t>
            </w:r>
          </w:p>
        </w:tc>
      </w:tr>
    </w:tbl>
    <w:p w:rsidR="00DE05FA" w:rsidRPr="00DE05FA" w:rsidP="00DE05FA">
      <w:pPr>
        <w:bidi w:val="0"/>
        <w:spacing w:line="288" w:lineRule="auto"/>
        <w:rPr>
          <w:rFonts w:eastAsia="Calibri"/>
        </w:rPr>
      </w:pPr>
    </w:p>
    <w:p w:rsidR="00DE05FA" w:rsidRPr="00DE05FA" w:rsidP="00DE05FA">
      <w:pPr>
        <w:spacing w:line="288" w:lineRule="auto"/>
        <w:ind w:left="-710"/>
        <w:rPr>
          <w:rFonts w:eastAsia="Calibri"/>
          <w:rtl/>
        </w:rPr>
      </w:pPr>
    </w:p>
    <w:p w:rsidR="00DE05FA"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p>
    <w:p w:rsidR="00DE05FA" w:rsidP="00DE05FA">
      <w:pPr>
        <w:spacing w:line="288" w:lineRule="auto"/>
        <w:ind w:left="-710"/>
        <w:rPr>
          <w:rFonts w:ascii="Tahoma" w:eastAsia="Calibri" w:hAnsi="Tahoma" w:cs="Tahoma"/>
          <w:noProof/>
          <w:rtl/>
        </w:rPr>
      </w:pPr>
    </w:p>
    <w:p w:rsidR="008C6B81" w:rsidRPr="00DE05FA" w:rsidP="00DE05FA">
      <w:pPr>
        <w:spacing w:line="288" w:lineRule="auto"/>
        <w:ind w:left="-710"/>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r w:rsidRPr="00DE05FA">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DE05FA" w:rsidRPr="00DE05FA" w:rsidP="00DE05FA">
      <w:pPr>
        <w:spacing w:before="240" w:after="160" w:line="288" w:lineRule="auto"/>
        <w:ind w:left="-709" w:right="-567"/>
        <w:rPr>
          <w:rFonts w:eastAsia="Calibri"/>
          <w:rtl/>
        </w:rPr>
      </w:pPr>
      <w:r w:rsidRPr="00DE05FA">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DE05FA" w:rsidRPr="00DE05FA" w:rsidP="00DE05FA">
      <w:pPr>
        <w:spacing w:before="160" w:after="160" w:line="288" w:lineRule="auto"/>
        <w:ind w:left="-737" w:right="-567"/>
        <w:rPr>
          <w:rFonts w:ascii="Tahoma" w:eastAsia="Calibri" w:hAnsi="Tahoma" w:cs="Tahoma"/>
          <w:sz w:val="19"/>
          <w:szCs w:val="19"/>
          <w:highlight w:val="yellow"/>
          <w:rtl/>
        </w:rPr>
      </w:pPr>
      <w:r w:rsidRPr="00DE05FA">
        <w:rPr>
          <w:rFonts w:ascii="Tahoma" w:eastAsia="Calibri" w:hAnsi="Tahoma" w:cs="Tahoma" w:hint="cs"/>
          <w:b/>
          <w:bCs/>
          <w:sz w:val="22"/>
          <w:szCs w:val="22"/>
          <w:rtl/>
        </w:rPr>
        <w:t>האסדרה של שוק המשכנתאות במערכת הבנקאית</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hint="cs"/>
          <w:b/>
          <w:bCs/>
          <w:sz w:val="19"/>
          <w:szCs w:val="19"/>
          <w:rtl/>
        </w:rPr>
        <w:t xml:space="preserve">בחינת המגבלות העיקריות על מתן הלוואות לדיור על ידי הפיקוח על הבנקים בבנק ישראל </w:t>
      </w:r>
      <w:r w:rsidRPr="00DE05FA">
        <w:rPr>
          <w:rFonts w:ascii="Tahoma" w:eastAsia="Calibri" w:hAnsi="Tahoma" w:cs="Tahoma" w:hint="cs"/>
          <w:sz w:val="19"/>
          <w:szCs w:val="19"/>
          <w:rtl/>
        </w:rPr>
        <w:t>-</w:t>
      </w:r>
      <w:r w:rsidRPr="00DE05FA">
        <w:rPr>
          <w:rFonts w:eastAsia="Calibri"/>
          <w:rtl/>
        </w:rPr>
        <w:t xml:space="preserve"> </w:t>
      </w:r>
      <w:r w:rsidRPr="00DE05FA">
        <w:rPr>
          <w:rFonts w:ascii="Tahoma" w:eastAsia="Calibri" w:hAnsi="Tahoma" w:cs="Tahoma"/>
          <w:sz w:val="19"/>
          <w:szCs w:val="19"/>
          <w:rtl/>
        </w:rPr>
        <w:t>המגבלות הרגולטוריות העיקריות שהטיל הפיקוח על הבנקים על המערכת הבנקאית בשנים 2010 -</w:t>
      </w:r>
      <w:r w:rsidR="000B2400">
        <w:rPr>
          <w:rFonts w:ascii="Tahoma" w:eastAsia="Calibri" w:hAnsi="Tahoma" w:cs="Tahoma" w:hint="cs"/>
          <w:sz w:val="19"/>
          <w:szCs w:val="19"/>
          <w:rtl/>
        </w:rPr>
        <w:t xml:space="preserve"> </w:t>
      </w:r>
      <w:r w:rsidRPr="00DE05FA">
        <w:rPr>
          <w:rFonts w:ascii="Tahoma" w:eastAsia="Calibri" w:hAnsi="Tahoma" w:cs="Tahoma"/>
          <w:sz w:val="19"/>
          <w:szCs w:val="19"/>
          <w:rtl/>
        </w:rPr>
        <w:t xml:space="preserve">2014 לאחר משבר הסאב פריים נועדו למתן את הגידול החד במשכנתאות שניתנו ברמת סיכון גבוהה, ובעיקר משכנתאות ברמת מינוף גבוהה (יחס משכנתא למחיר הדירה) ומשכנתאות בריבית משתנה. </w:t>
      </w:r>
      <w:r w:rsidRPr="00DE05FA">
        <w:rPr>
          <w:rFonts w:ascii="Tahoma" w:eastAsia="Calibri" w:hAnsi="Tahoma" w:cs="Tahoma" w:hint="cs"/>
          <w:sz w:val="19"/>
          <w:szCs w:val="19"/>
          <w:rtl/>
        </w:rPr>
        <w:t xml:space="preserve">בביקורת לא </w:t>
      </w:r>
      <w:r w:rsidRPr="00DE05FA">
        <w:rPr>
          <w:rFonts w:ascii="Tahoma" w:eastAsia="Calibri" w:hAnsi="Tahoma" w:cs="Tahoma"/>
          <w:sz w:val="19"/>
          <w:szCs w:val="19"/>
          <w:rtl/>
        </w:rPr>
        <w:t xml:space="preserve">נמצא </w:t>
      </w:r>
      <w:r w:rsidRPr="00DE05FA">
        <w:rPr>
          <w:rFonts w:ascii="Tahoma" w:eastAsia="Calibri" w:hAnsi="Tahoma" w:cs="Tahoma" w:hint="cs"/>
          <w:sz w:val="19"/>
          <w:szCs w:val="19"/>
          <w:rtl/>
        </w:rPr>
        <w:t>תיעוד לכך ש</w:t>
      </w:r>
      <w:r w:rsidRPr="00DE05FA">
        <w:rPr>
          <w:rFonts w:ascii="Tahoma" w:eastAsia="Calibri" w:hAnsi="Tahoma" w:cs="Tahoma"/>
          <w:sz w:val="19"/>
          <w:szCs w:val="19"/>
          <w:rtl/>
        </w:rPr>
        <w:t>בשנים 2020</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- 202</w:t>
      </w:r>
      <w:r w:rsidRPr="00DE05FA">
        <w:rPr>
          <w:rFonts w:ascii="Tahoma" w:eastAsia="Calibri" w:hAnsi="Tahoma" w:cs="Tahoma" w:hint="cs"/>
          <w:sz w:val="19"/>
          <w:szCs w:val="19"/>
          <w:rtl/>
        </w:rPr>
        <w:t>4</w:t>
      </w:r>
      <w:r w:rsidRPr="00DE05FA">
        <w:rPr>
          <w:rFonts w:ascii="Tahoma" w:eastAsia="Calibri" w:hAnsi="Tahoma" w:cs="Tahoma"/>
          <w:sz w:val="19"/>
          <w:szCs w:val="19"/>
          <w:rtl/>
        </w:rPr>
        <w:t xml:space="preserve"> הפיקוח </w:t>
      </w:r>
      <w:r w:rsidRPr="00DE05FA">
        <w:rPr>
          <w:rFonts w:ascii="Tahoma" w:eastAsia="Calibri" w:hAnsi="Tahoma" w:cs="Tahoma" w:hint="cs"/>
          <w:sz w:val="19"/>
          <w:szCs w:val="19"/>
          <w:rtl/>
        </w:rPr>
        <w:t xml:space="preserve">על הבנקים </w:t>
      </w:r>
      <w:r w:rsidRPr="00DE05FA">
        <w:rPr>
          <w:rFonts w:ascii="Tahoma" w:eastAsia="Calibri" w:hAnsi="Tahoma" w:cs="Tahoma"/>
          <w:sz w:val="19"/>
          <w:szCs w:val="19"/>
          <w:rtl/>
        </w:rPr>
        <w:t>בחן באופן עיתי את המגבלות העיקריות למתן הלוואות לדיור (מגבלת שיעור המימון, מגבלת שיעור החזר מהכנסה, מגבלת חלק הלוואה בריבית משתנה ומגבלת התקופה).</w:t>
      </w:r>
    </w:p>
    <w:p w:rsidR="00DE05FA" w:rsidRPr="00DE05FA" w:rsidP="00DE05FA">
      <w:pPr>
        <w:spacing w:after="200" w:line="288" w:lineRule="auto"/>
        <w:ind w:left="-142" w:right="-567"/>
        <w:rPr>
          <w:rFonts w:ascii="Tahoma" w:eastAsia="Calibri" w:hAnsi="Tahoma" w:cs="Tahoma"/>
          <w:b/>
          <w:bCs/>
          <w:sz w:val="19"/>
          <w:szCs w:val="19"/>
          <w:rtl/>
        </w:rPr>
      </w:pPr>
      <w:r w:rsidRPr="00DE05FA">
        <w:rPr>
          <w:rFonts w:ascii="Tahoma" w:eastAsia="Calibri" w:hAnsi="Tahoma" w:cs="Tahoma"/>
          <w:sz w:val="19"/>
          <w:szCs w:val="19"/>
          <w:rtl/>
        </w:rPr>
        <w:t>יצוין כי במהלך הביקורת בשנת 2025, הפיקוח על הבנקים ביצע בחינה של תיק האשראי לדיור כפי שהוצג במסמך "מדיניות מקרו-יציבותית שוק המשכנתאות" ממאי 2025 שהועבר למשרד מבקר המדינה. מסמך זה מתאר סקירה בנוגע לצעדי מדיניות מקרו-יציבותיים באשראי לדיור. סקירה זו כוללת בחינה של סוגי המגבלות המקרו</w:t>
      </w:r>
      <w:r w:rsidRPr="00DE05FA">
        <w:rPr>
          <w:rFonts w:ascii="Tahoma" w:eastAsia="Calibri" w:hAnsi="Tahoma" w:cs="Tahoma" w:hint="cs"/>
          <w:sz w:val="19"/>
          <w:szCs w:val="19"/>
          <w:rtl/>
        </w:rPr>
        <w:t>-</w:t>
      </w:r>
      <w:r w:rsidRPr="00DE05FA">
        <w:rPr>
          <w:rFonts w:ascii="Tahoma" w:eastAsia="Calibri" w:hAnsi="Tahoma" w:cs="Tahoma"/>
          <w:sz w:val="19"/>
          <w:szCs w:val="19"/>
          <w:rtl/>
        </w:rPr>
        <w:t>יציבותיות שקיימות במדינות בעולם, והשוואתם למגבלות שאימץ הפיקוח על הבנקים בישראל. בנוסף, המסמך מתאר את עבודת הפיקוח על הבנקים בניתוח סיכונים של האשראי לדיור, וכן בבחינת חלופות של צעדים מקרו-יציבותיים שאינם מיושמים כיום בישראל. עם זאת, הפיקוח על הבנקים לא העביר למשרד מבקר המדינה מסמכים נוספים המעידים על כך שהוא ביצע בחינה שוטפת ועיתית של תיק האשראי לדיור לפני תקופת הביקורת.</w:t>
      </w:r>
    </w:p>
    <w:p w:rsidR="00DE05FA" w:rsidRPr="00DE05FA" w:rsidP="00DE05FA">
      <w:pPr>
        <w:numPr>
          <w:ilvl w:val="0"/>
          <w:numId w:val="23"/>
        </w:numPr>
        <w:spacing w:after="120" w:line="288" w:lineRule="auto"/>
        <w:ind w:left="-142" w:right="-567" w:hanging="595"/>
        <w:rPr>
          <w:rFonts w:ascii="Tahoma" w:eastAsia="Calibri" w:hAnsi="Tahoma" w:cs="Tahoma"/>
          <w:b/>
          <w:bCs/>
          <w:sz w:val="19"/>
          <w:szCs w:val="19"/>
        </w:rPr>
      </w:pPr>
      <w:r w:rsidRPr="00DE05FA">
        <w:rPr>
          <w:rFonts w:ascii="Tahoma" w:eastAsia="Calibri" w:hAnsi="Tahoma" w:cs="Tahoma"/>
          <w:b/>
          <w:bCs/>
          <w:sz w:val="19"/>
          <w:szCs w:val="19"/>
          <w:rtl/>
        </w:rPr>
        <w:t>עדכון שיעור המימון לזכאים לדירות במחיר מופחת</w:t>
      </w:r>
      <w:r w:rsidRPr="00DE05FA">
        <w:rPr>
          <w:rFonts w:ascii="Tahoma" w:eastAsia="Calibri" w:hAnsi="Tahoma" w:cs="Tahoma" w:hint="cs"/>
          <w:b/>
          <w:bCs/>
          <w:sz w:val="19"/>
          <w:szCs w:val="19"/>
          <w:rtl/>
        </w:rPr>
        <w:t xml:space="preserve"> על ידי הפיקוח על הבנקים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במאי 2016 עדכן הפיקוח על הבנקים את הוראה 329 כדי לתמוך ביכולת זכאים להשתתף בפרויקטים לרכישת דירה במחיר מופחת</w:t>
      </w:r>
      <w:r>
        <w:rPr>
          <w:rFonts w:ascii="Tahoma" w:eastAsia="Calibri" w:hAnsi="Tahoma" w:cs="Tahoma"/>
          <w:sz w:val="19"/>
          <w:szCs w:val="19"/>
          <w:vertAlign w:val="superscript"/>
          <w:rtl/>
        </w:rPr>
        <w:footnoteReference w:id="10"/>
      </w:r>
      <w:r w:rsidRPr="00DE05FA">
        <w:rPr>
          <w:rFonts w:ascii="Tahoma" w:eastAsia="Calibri" w:hAnsi="Tahoma" w:cs="Tahoma"/>
          <w:sz w:val="19"/>
          <w:szCs w:val="19"/>
          <w:rtl/>
        </w:rPr>
        <w:t xml:space="preserve"> באמצעות עדכון חישוב שיעור המימון לרכישת דירה. </w:t>
      </w:r>
      <w:bookmarkStart w:id="5" w:name="_Hlk225161326"/>
      <w:r w:rsidRPr="00DE05FA">
        <w:rPr>
          <w:rFonts w:ascii="Tahoma" w:eastAsia="Calibri" w:hAnsi="Tahoma" w:cs="Tahoma" w:hint="cs"/>
          <w:sz w:val="19"/>
          <w:szCs w:val="19"/>
          <w:rtl/>
        </w:rPr>
        <w:t xml:space="preserve">תמיכה זו מאפשרת להם להביא הון עצמי נמוך יותר לרכישת דירה במחיר מופחת לעומת רכישה של דירה בשוק החופשי. </w:t>
      </w:r>
      <w:bookmarkEnd w:id="5"/>
      <w:r w:rsidRPr="00DE05FA">
        <w:rPr>
          <w:rFonts w:ascii="Tahoma" w:eastAsia="Calibri" w:hAnsi="Tahoma" w:cs="Tahoma"/>
          <w:sz w:val="19"/>
          <w:szCs w:val="19"/>
          <w:rtl/>
        </w:rPr>
        <w:t xml:space="preserve">גובה ההנחה, וקיומה בכלל, תלוי בגובה מחיר הרכישה </w:t>
      </w:r>
      <w:r w:rsidRPr="00DE05FA">
        <w:rPr>
          <w:rFonts w:ascii="Tahoma" w:eastAsia="Calibri" w:hAnsi="Tahoma" w:cs="Tahoma" w:hint="cs"/>
          <w:sz w:val="19"/>
          <w:szCs w:val="19"/>
          <w:rtl/>
        </w:rPr>
        <w:t>ש</w:t>
      </w:r>
      <w:r w:rsidRPr="00DE05FA">
        <w:rPr>
          <w:rFonts w:ascii="Tahoma" w:eastAsia="Calibri" w:hAnsi="Tahoma" w:cs="Tahoma"/>
          <w:sz w:val="19"/>
          <w:szCs w:val="19"/>
          <w:rtl/>
        </w:rPr>
        <w:t xml:space="preserve">הוגבל לסכום של 1.8 מיליון ש"ח. מדד מחירי הדירות עלה מאז ועד לאוגוסט 2025 </w:t>
      </w:r>
      <w:r w:rsidRPr="00DE05FA">
        <w:rPr>
          <w:rFonts w:ascii="Tahoma" w:eastAsia="Calibri" w:hAnsi="Tahoma" w:cs="Tahoma"/>
          <w:sz w:val="19"/>
          <w:szCs w:val="19"/>
          <w:rtl/>
        </w:rPr>
        <w:br/>
        <w:t>ב-52.2% ומחירן הממוצע של דירות עלה מ-1.53 בשנת 2017 ל-2.34 בשנת 2024 וחצה את הרף שנקבע בהוראה. עם זאת</w:t>
      </w:r>
      <w:r w:rsidRPr="00DE05FA">
        <w:rPr>
          <w:rFonts w:ascii="Tahoma" w:eastAsia="Calibri" w:hAnsi="Tahoma" w:cs="Tahoma" w:hint="cs"/>
          <w:sz w:val="19"/>
          <w:szCs w:val="19"/>
          <w:rtl/>
        </w:rPr>
        <w:t>, בביקורת עלה</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כי</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הפיקוח על הבנקים לא ביצע בחינה חוזרת במשך</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9</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שנים של הצורך בעדכון ההוראה כדי לתמוך בהשגת מטרתה. כתוצאה מכך ציבור הזכאים נדרש להעמיד הון עצמי בסכומים גבוהים יותר, </w:t>
      </w:r>
      <w:r w:rsidRPr="00DE05FA">
        <w:rPr>
          <w:rFonts w:ascii="Tahoma" w:eastAsia="Calibri" w:hAnsi="Tahoma" w:cs="Tahoma" w:hint="cs"/>
          <w:sz w:val="19"/>
          <w:szCs w:val="19"/>
          <w:rtl/>
        </w:rPr>
        <w:t>כך ש</w:t>
      </w:r>
      <w:r w:rsidRPr="00DE05FA">
        <w:rPr>
          <w:rFonts w:ascii="Tahoma" w:eastAsia="Calibri" w:hAnsi="Tahoma" w:cs="Tahoma"/>
          <w:sz w:val="19"/>
          <w:szCs w:val="19"/>
          <w:rtl/>
        </w:rPr>
        <w:t>עלולה להיפגע יכולתו לקבל תנאים מטיבים בבנקים בעת נטילת הלוואה לדיור ואף בחלק מהמקרים נפגעת יכולתו לממש את זכאותו לרכישת דירה במחיר מופחת.</w:t>
      </w:r>
    </w:p>
    <w:p w:rsidR="00DE05FA" w:rsidRPr="00DE05FA" w:rsidP="00DE05FA">
      <w:pPr>
        <w:spacing w:after="200" w:line="288" w:lineRule="auto"/>
        <w:ind w:left="-142" w:right="-567"/>
        <w:rPr>
          <w:rFonts w:ascii="Tahoma" w:eastAsia="Calibri" w:hAnsi="Tahoma" w:cs="Tahoma"/>
          <w:sz w:val="19"/>
          <w:szCs w:val="19"/>
        </w:rPr>
      </w:pPr>
      <w:r w:rsidRPr="00DE05FA">
        <w:rPr>
          <w:rFonts w:ascii="Tahoma" w:eastAsia="Calibri" w:hAnsi="Tahoma" w:cs="Tahoma"/>
          <w:sz w:val="19"/>
          <w:szCs w:val="19"/>
          <w:rtl/>
        </w:rPr>
        <w:t xml:space="preserve">יצוין כי במהלך תקופת הביקורת, בפברואר 2026, בנק ישראל פרסם תיקון </w:t>
      </w:r>
      <w:r w:rsidRPr="00DE05FA">
        <w:rPr>
          <w:rFonts w:ascii="Tahoma" w:eastAsia="Calibri" w:hAnsi="Tahoma" w:cs="Tahoma" w:hint="cs"/>
          <w:sz w:val="19"/>
          <w:szCs w:val="19"/>
          <w:rtl/>
        </w:rPr>
        <w:t>להוראה</w:t>
      </w:r>
      <w:r w:rsidRPr="00DE05FA">
        <w:rPr>
          <w:rFonts w:ascii="Tahoma" w:eastAsia="Calibri" w:hAnsi="Tahoma" w:cs="Tahoma"/>
          <w:sz w:val="19"/>
          <w:szCs w:val="19"/>
          <w:rtl/>
        </w:rPr>
        <w:t xml:space="preserve"> 329 לפיו הסכום לתקרת שווי הנכס יעודכן ל-2.1 מיליון ש"ח. בהוראה זו צוין כי "נוכח חלוף השנים, המפקח על הבנקים מצא לנכון לעדכן את הסכום בהתאמה לשיעור עליית מדד המחירים לצרכן". </w:t>
      </w:r>
      <w:r w:rsidRPr="00DE05FA">
        <w:rPr>
          <w:rFonts w:ascii="Tahoma" w:eastAsia="Calibri" w:hAnsi="Tahoma" w:cs="Tahoma" w:hint="eastAsia"/>
          <w:sz w:val="19"/>
          <w:szCs w:val="19"/>
          <w:rtl/>
        </w:rPr>
        <w:t>ולצד</w:t>
      </w:r>
      <w:r w:rsidRPr="00DE05FA">
        <w:rPr>
          <w:rFonts w:ascii="Tahoma" w:eastAsia="Calibri" w:hAnsi="Tahoma" w:cs="Tahoma"/>
          <w:sz w:val="19"/>
          <w:szCs w:val="19"/>
          <w:rtl/>
        </w:rPr>
        <w:t xml:space="preserve"> ה</w:t>
      </w:r>
      <w:r w:rsidRPr="00DE05FA">
        <w:rPr>
          <w:rFonts w:ascii="Tahoma" w:eastAsia="Calibri" w:hAnsi="Tahoma" w:cs="Tahoma" w:hint="eastAsia"/>
          <w:sz w:val="19"/>
          <w:szCs w:val="19"/>
          <w:rtl/>
        </w:rPr>
        <w:t>אמור</w:t>
      </w:r>
      <w:r w:rsidRPr="00DE05FA">
        <w:rPr>
          <w:rFonts w:ascii="Tahoma" w:eastAsia="Calibri" w:hAnsi="Tahoma" w:cs="Tahoma"/>
          <w:sz w:val="19"/>
          <w:szCs w:val="19"/>
          <w:rtl/>
        </w:rPr>
        <w:t>,</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יצוין כי מדד זה עלה בשיעור של כ-21% לעומת מדד מחירי הדירות שעלה כאמור בכ-52% בשנים 2016 - 2025, כך שעולה ספק אם הצמדת הסכום של תקרת שווי הנכס למדד המחירים לצרכן תומך באופן מספק ביכולת של זכאים לרכוש דירה.</w:t>
      </w:r>
    </w:p>
    <w:p w:rsidR="004A17E8" w:rsidP="00DE05FA">
      <w:pPr>
        <w:numPr>
          <w:ilvl w:val="0"/>
          <w:numId w:val="23"/>
        </w:numPr>
        <w:spacing w:after="120" w:line="288" w:lineRule="auto"/>
        <w:ind w:left="-142" w:right="-567" w:hanging="595"/>
        <w:rPr>
          <w:rFonts w:ascii="Tahoma" w:eastAsia="Calibri" w:hAnsi="Tahoma" w:cs="Tahoma"/>
          <w:sz w:val="19"/>
          <w:szCs w:val="19"/>
          <w:rtl/>
        </w:rPr>
      </w:pPr>
      <w:r w:rsidRPr="00DE05FA">
        <w:rPr>
          <w:rFonts w:ascii="Tahoma" w:eastAsia="Calibri" w:hAnsi="Tahoma" w:cs="Tahoma"/>
          <w:b/>
          <w:bCs/>
          <w:sz w:val="19"/>
          <w:szCs w:val="19"/>
          <w:rtl/>
        </w:rPr>
        <w:t>מגבלת שיעור החזר מהכנסה</w:t>
      </w:r>
      <w:r w:rsidRPr="00DE05FA">
        <w:rPr>
          <w:rFonts w:ascii="Tahoma" w:eastAsia="Calibri" w:hAnsi="Tahoma" w:cs="Tahoma" w:hint="cs"/>
          <w:b/>
          <w:bCs/>
          <w:sz w:val="19"/>
          <w:szCs w:val="19"/>
          <w:rtl/>
        </w:rPr>
        <w:t xml:space="preserve">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הפיקוח על הבנקים קבע בנוהל בנקאי תקין (נב"ת) 329 ביולי 2014 כי "שיעור החזר מהכנסה" הוא היחס בין ההחזר החודשי לבין ההכנסה החודשית הפנויה של הלווה. החזר חודשי הוא התשלום המשמש את הלווה לפירעון של הלוואה לדיור על ידי הלווה. הכנסה חודשית פנויה היא ההכנסה החודשית נטו בניכוי הוצאות קבועות.</w:t>
      </w:r>
      <w:r w:rsidRPr="00DE05FA">
        <w:rPr>
          <w:rFonts w:ascii="Tahoma" w:eastAsia="Calibri" w:hAnsi="Tahoma" w:cs="Tahoma"/>
          <w:b/>
          <w:bCs/>
          <w:sz w:val="19"/>
          <w:szCs w:val="19"/>
          <w:rtl/>
        </w:rPr>
        <w:t xml:space="preserve"> </w:t>
      </w:r>
      <w:r w:rsidRPr="00DE05FA">
        <w:rPr>
          <w:rFonts w:ascii="Tahoma" w:eastAsia="Calibri" w:hAnsi="Tahoma" w:cs="Tahoma"/>
          <w:sz w:val="19"/>
          <w:szCs w:val="19"/>
          <w:rtl/>
        </w:rPr>
        <w:t>קיימות שלוש חלופות לחישוב שיעור החזר מהכנסה בעת מתן אשראי נוסף לדיור: חלופת הלוואה</w:t>
      </w:r>
      <w:r>
        <w:rPr>
          <w:rFonts w:ascii="Tahoma" w:eastAsia="Calibri" w:hAnsi="Tahoma" w:cs="Tahoma"/>
          <w:sz w:val="19"/>
          <w:szCs w:val="19"/>
          <w:vertAlign w:val="superscript"/>
          <w:rtl/>
        </w:rPr>
        <w:footnoteReference w:id="11"/>
      </w:r>
      <w:r w:rsidRPr="00DE05FA">
        <w:rPr>
          <w:rFonts w:ascii="Tahoma" w:eastAsia="Calibri" w:hAnsi="Tahoma" w:cs="Tahoma"/>
          <w:sz w:val="19"/>
          <w:szCs w:val="19"/>
          <w:rtl/>
        </w:rPr>
        <w:t>; חלופת נכס</w:t>
      </w:r>
      <w:r>
        <w:rPr>
          <w:rFonts w:ascii="Tahoma" w:eastAsia="Calibri" w:hAnsi="Tahoma" w:cs="Tahoma"/>
          <w:sz w:val="19"/>
          <w:szCs w:val="19"/>
          <w:vertAlign w:val="superscript"/>
          <w:rtl/>
        </w:rPr>
        <w:footnoteReference w:id="12"/>
      </w:r>
      <w:r w:rsidRPr="00DE05FA">
        <w:rPr>
          <w:rFonts w:ascii="Tahoma" w:eastAsia="Calibri" w:hAnsi="Tahoma" w:cs="Tahoma"/>
          <w:sz w:val="19"/>
          <w:szCs w:val="19"/>
          <w:rtl/>
        </w:rPr>
        <w:t>; וחלופת לווה</w:t>
      </w:r>
      <w:r>
        <w:rPr>
          <w:rFonts w:ascii="Tahoma" w:eastAsia="Calibri" w:hAnsi="Tahoma" w:cs="Tahoma"/>
          <w:sz w:val="19"/>
          <w:szCs w:val="19"/>
          <w:vertAlign w:val="superscript"/>
          <w:rtl/>
        </w:rPr>
        <w:footnoteReference w:id="13"/>
      </w:r>
      <w:r w:rsidRPr="00DE05FA">
        <w:rPr>
          <w:rFonts w:ascii="Tahoma" w:eastAsia="Calibri" w:hAnsi="Tahoma" w:cs="Tahoma"/>
          <w:sz w:val="19"/>
          <w:szCs w:val="19"/>
          <w:rtl/>
        </w:rPr>
        <w:t>. במהלך הביקורת עדכן הפיקוח על הבנקים את מגבלת שיעור החזר מהכנסה לפי חלופת הנכס כך שהיא תחושב על כל ההלוואות שנלקחו עבור רכישת הנכס החל מיום 1.7.26, כך שכאשר לווה ימנף את הנכס שלו שיעור ההחזר שלו יעלה וישקף מינוף גבוה יותר.</w:t>
      </w:r>
    </w:p>
    <w:p w:rsidR="00DE05FA" w:rsidRPr="00DE05FA" w:rsidP="00DE05FA">
      <w:pPr>
        <w:spacing w:after="200" w:line="288" w:lineRule="auto"/>
        <w:ind w:left="-142" w:right="-567"/>
        <w:rPr>
          <w:rFonts w:ascii="Tahoma" w:eastAsia="Calibri" w:hAnsi="Tahoma" w:cs="Tahoma"/>
          <w:b/>
          <w:bCs/>
          <w:sz w:val="19"/>
          <w:szCs w:val="19"/>
        </w:rPr>
      </w:pPr>
      <w:r w:rsidRPr="00DE05FA">
        <w:rPr>
          <w:rFonts w:ascii="Tahoma" w:eastAsia="Calibri" w:hAnsi="Tahoma" w:cs="Tahoma" w:hint="eastAsia"/>
          <w:sz w:val="19"/>
          <w:szCs w:val="19"/>
          <w:rtl/>
        </w:rPr>
        <w:t>עם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זאת</w:t>
      </w:r>
      <w:r w:rsidRPr="00DE05FA">
        <w:rPr>
          <w:rFonts w:ascii="Tahoma" w:eastAsia="Calibri" w:hAnsi="Tahoma" w:cs="Tahoma"/>
          <w:sz w:val="19"/>
          <w:szCs w:val="19"/>
          <w:rtl/>
        </w:rPr>
        <w:t>,</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נמצא כי הפיקוח על הבנקים לא עדכן את מגבלת שיעור החזר מהכנסה שנותרה על 50% משנת 2013 ועד לתקופת הביקורת. מגבלה זו מחושבת מחדש בעת לקיחת ההלוואה נוספת כך שייתכן ושיעור ההחזר בגינה </w:t>
      </w:r>
      <w:r w:rsidRPr="00DE05FA" w:rsidR="004A17E8">
        <w:rPr>
          <w:rFonts w:ascii="Tahoma" w:eastAsia="Calibri" w:hAnsi="Tahoma" w:cs="Tahoma" w:hint="cs"/>
          <w:sz w:val="19"/>
          <w:szCs w:val="19"/>
          <w:rtl/>
        </w:rPr>
        <w:t>ירד</w:t>
      </w:r>
      <w:r w:rsidRPr="00DE05FA">
        <w:rPr>
          <w:rFonts w:ascii="Tahoma" w:eastAsia="Calibri" w:hAnsi="Tahoma" w:cs="Tahoma"/>
          <w:sz w:val="19"/>
          <w:szCs w:val="19"/>
          <w:rtl/>
        </w:rPr>
        <w:t xml:space="preserve"> למרות שהמינוף בפועל עולה. כלומר קיימת הטיה בשיטת החישוב של המגבלה לפי חלופת הלוואה.</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הפיקוח על הבנקים הגיע למסקנה </w:t>
      </w:r>
      <w:r w:rsidRPr="00DE05FA">
        <w:rPr>
          <w:rFonts w:ascii="Tahoma" w:eastAsia="Calibri" w:hAnsi="Tahoma" w:cs="Tahoma" w:hint="cs"/>
          <w:sz w:val="19"/>
          <w:szCs w:val="19"/>
          <w:rtl/>
        </w:rPr>
        <w:t xml:space="preserve">באפריל 2025 </w:t>
      </w:r>
      <w:r w:rsidRPr="00DE05FA">
        <w:rPr>
          <w:rFonts w:ascii="Tahoma" w:eastAsia="Calibri" w:hAnsi="Tahoma" w:cs="Tahoma"/>
          <w:sz w:val="19"/>
          <w:szCs w:val="19"/>
          <w:rtl/>
        </w:rPr>
        <w:t xml:space="preserve">כי המגבלה אינה אפקטיבית </w:t>
      </w:r>
      <w:r w:rsidRPr="00DE05FA">
        <w:rPr>
          <w:rFonts w:ascii="Tahoma" w:eastAsia="Calibri" w:hAnsi="Tahoma" w:cs="Tahoma" w:hint="cs"/>
          <w:sz w:val="19"/>
          <w:szCs w:val="19"/>
          <w:rtl/>
        </w:rPr>
        <w:t>ו</w:t>
      </w:r>
      <w:r w:rsidRPr="00DE05FA">
        <w:rPr>
          <w:rFonts w:ascii="Tahoma" w:eastAsia="Calibri" w:hAnsi="Tahoma" w:cs="Tahoma"/>
          <w:sz w:val="19"/>
          <w:szCs w:val="19"/>
          <w:rtl/>
        </w:rPr>
        <w:t>עדכן את חישוב המגבלה בפברואר 2026, כך שהחל מיולי 2026 המגבלה תחושב לפי חלופת הנכס המצמצמת את ה</w:t>
      </w:r>
      <w:r w:rsidRPr="00DE05FA">
        <w:rPr>
          <w:rFonts w:ascii="Tahoma" w:eastAsia="Calibri" w:hAnsi="Tahoma" w:cs="Tahoma" w:hint="cs"/>
          <w:sz w:val="19"/>
          <w:szCs w:val="19"/>
          <w:rtl/>
        </w:rPr>
        <w:t>ה</w:t>
      </w:r>
      <w:r w:rsidRPr="00DE05FA">
        <w:rPr>
          <w:rFonts w:ascii="Tahoma" w:eastAsia="Calibri" w:hAnsi="Tahoma" w:cs="Tahoma"/>
          <w:sz w:val="19"/>
          <w:szCs w:val="19"/>
          <w:rtl/>
        </w:rPr>
        <w:t xml:space="preserve">טיה בעת לקיחת הלוואה נוספת. עם זאת, המגבלה הנהוגה במרבית המדינות בעולם היא יחס שירות חוב להכנסה </w:t>
      </w:r>
      <w:r w:rsidRPr="00DE05FA">
        <w:rPr>
          <w:rFonts w:ascii="Tahoma" w:eastAsia="Calibri" w:hAnsi="Tahoma" w:cs="Tahoma"/>
          <w:sz w:val="19"/>
          <w:szCs w:val="19"/>
          <w:rtl/>
        </w:rPr>
        <w:t>(</w:t>
      </w:r>
      <w:r w:rsidRPr="00DE05FA">
        <w:rPr>
          <w:rFonts w:ascii="Tahoma" w:eastAsia="Calibri" w:hAnsi="Tahoma" w:cs="Tahoma"/>
          <w:sz w:val="19"/>
          <w:szCs w:val="19"/>
        </w:rPr>
        <w:t>DSTI</w:t>
      </w:r>
      <w:r w:rsidRPr="00DE05FA">
        <w:rPr>
          <w:rFonts w:ascii="Tahoma" w:eastAsia="Calibri" w:hAnsi="Tahoma" w:cs="Tahoma"/>
          <w:sz w:val="19"/>
          <w:szCs w:val="19"/>
          <w:rtl/>
        </w:rPr>
        <w:t>) הכוללת את כל החובות החודשיים של הלווה בחישוב המגבלה, באופן המצמצם את ההטיה כאמור ומשקף את נטל החוב האמיתי של הלווה.</w:t>
      </w:r>
    </w:p>
    <w:p w:rsidR="00DE05FA" w:rsidRPr="00DE05FA" w:rsidP="00DE05FA">
      <w:pPr>
        <w:numPr>
          <w:ilvl w:val="0"/>
          <w:numId w:val="23"/>
        </w:numPr>
        <w:spacing w:after="200" w:line="288" w:lineRule="auto"/>
        <w:ind w:left="-142" w:right="-567" w:hanging="595"/>
        <w:rPr>
          <w:rFonts w:ascii="Tahoma" w:eastAsia="Calibri" w:hAnsi="Tahoma" w:cs="Tahoma"/>
          <w:sz w:val="19"/>
          <w:szCs w:val="19"/>
          <w:rtl/>
        </w:rPr>
      </w:pPr>
      <w:r w:rsidRPr="00DE05FA">
        <w:rPr>
          <w:rFonts w:ascii="Tahoma" w:eastAsia="Calibri" w:hAnsi="Tahoma" w:cs="Tahoma" w:hint="cs"/>
          <w:b/>
          <w:bCs/>
          <w:sz w:val="19"/>
          <w:szCs w:val="19"/>
          <w:rtl/>
        </w:rPr>
        <w:t>בחינה של ביטול המגבלה על חלק ההלוואה בריבית משתנה קצרה</w:t>
      </w:r>
      <w:r>
        <w:rPr>
          <w:rFonts w:eastAsia="Calibri"/>
          <w:vertAlign w:val="superscript"/>
          <w:rtl/>
        </w:rPr>
        <w:footnoteReference w:id="14"/>
      </w:r>
      <w:r w:rsidRPr="00DE05FA">
        <w:rPr>
          <w:rFonts w:ascii="Tahoma" w:eastAsia="Calibri" w:hAnsi="Tahoma" w:cs="Tahoma" w:hint="cs"/>
          <w:b/>
          <w:bCs/>
          <w:sz w:val="19"/>
          <w:szCs w:val="19"/>
          <w:rtl/>
        </w:rPr>
        <w:t xml:space="preserve"> לפני קבלת ההחלטה על ידי הפיקוח על הבנקים בדצמבר 2020</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באוגוסט 2013 קבע המפקח</w:t>
      </w:r>
      <w:r w:rsidRPr="00DE05FA">
        <w:rPr>
          <w:rFonts w:ascii="Tahoma" w:eastAsia="Calibri" w:hAnsi="Tahoma" w:cs="Tahoma" w:hint="cs"/>
          <w:sz w:val="19"/>
          <w:szCs w:val="19"/>
          <w:rtl/>
        </w:rPr>
        <w:t xml:space="preserve"> על הבנקים</w:t>
      </w:r>
      <w:r w:rsidRPr="00DE05FA">
        <w:rPr>
          <w:rFonts w:ascii="Tahoma" w:eastAsia="Calibri" w:hAnsi="Tahoma" w:cs="Tahoma"/>
          <w:sz w:val="19"/>
          <w:szCs w:val="19"/>
          <w:rtl/>
        </w:rPr>
        <w:t xml:space="preserve"> דאז כי היחס בין חלק ההלוואה לדיור בריבית משתנה לבין סך ההלוואה לא יעלה על 66.66% (שני שליש מסכום ההלוואה), וכי היחס בין חלק ההלוואה בריבית משתנה קצרה</w:t>
      </w:r>
      <w:r w:rsidRPr="00DE05FA">
        <w:rPr>
          <w:rFonts w:eastAsia="Calibri" w:hint="cs"/>
          <w:rtl/>
        </w:rPr>
        <w:t xml:space="preserve"> </w:t>
      </w:r>
      <w:r w:rsidRPr="00DE05FA">
        <w:rPr>
          <w:rFonts w:ascii="Tahoma" w:eastAsia="Calibri" w:hAnsi="Tahoma" w:cs="Tahoma"/>
          <w:sz w:val="19"/>
          <w:szCs w:val="19"/>
          <w:rtl/>
        </w:rPr>
        <w:t xml:space="preserve">לסך ההלוואה לא יעלה על 33.33% (שליש מסכום ההלוואה). </w:t>
      </w:r>
      <w:r w:rsidRPr="00DE05FA">
        <w:rPr>
          <w:rFonts w:ascii="Tahoma" w:eastAsia="Calibri" w:hAnsi="Tahoma" w:cs="Tahoma" w:hint="cs"/>
          <w:sz w:val="19"/>
          <w:szCs w:val="19"/>
          <w:rtl/>
        </w:rPr>
        <w:t xml:space="preserve">בדצמבר 2020 המפקח על הבנקים דאז החליט </w:t>
      </w:r>
      <w:r w:rsidRPr="00DE05FA">
        <w:rPr>
          <w:rFonts w:ascii="Tahoma" w:eastAsia="Calibri" w:hAnsi="Tahoma" w:cs="Tahoma"/>
          <w:sz w:val="19"/>
          <w:szCs w:val="19"/>
          <w:rtl/>
        </w:rPr>
        <w:t>לבטל את המגבלה על חלק ההלוואה בריבית משתנה קצרה ולהסתפק במגבלה על סך ההלוואה בריבית משתנה</w:t>
      </w:r>
      <w:r w:rsidRPr="00DE05FA">
        <w:rPr>
          <w:rFonts w:ascii="Tahoma" w:eastAsia="Calibri" w:hAnsi="Tahoma" w:cs="Tahoma" w:hint="cs"/>
          <w:sz w:val="19"/>
          <w:szCs w:val="19"/>
          <w:rtl/>
        </w:rPr>
        <w:t xml:space="preserve">, כך </w:t>
      </w:r>
      <w:r w:rsidRPr="00DE05FA">
        <w:rPr>
          <w:rFonts w:ascii="Tahoma" w:eastAsia="Calibri" w:hAnsi="Tahoma" w:cs="Tahoma"/>
          <w:sz w:val="19"/>
          <w:szCs w:val="19"/>
          <w:rtl/>
        </w:rPr>
        <w:t>שלווים יכולים לקחת שיעור הגבוה מ-33.33% במסלולים של ריביות משתנות קצרות שתקופת השינוי בהן קצרה מחמש שנים, ובתוך כך במסלול ריבית הפריים, וכי לכל היותר יינתנו 66.66% מסכום ההלוואה בריביות משתנות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נמצא כי הפיקוח על הבנקים לא בחן את ההשפעה של החלטתו לבטל את המגבלה על חלק ההלוואה בריבית משתנה קצרה לפני קבלתה בסוף שנת 2020. המשמעות של כך היא שהחל משנת 2021 לווים יכולים לקחת למעלה מ-33.33% מסכום ההלוואה ועד ל-66.66% ממנה במסלולים של ריביות משתנות קצרות. בשל כך לווים לקחו משכנתאות עם משקל גבוה יותר של ריביות משתנות קצרות, ובעיקר בריבית הפריים, בשנים 2021 - 2022 (משקלן במשכנתאות גדל מכ-28.8% בסוף שנת 2020 לכ-37.1% במרץ 2022). העלייה במשקל מסלול הפריים בביצועי ההלוואות כאמור, שהיה פופולרי מאוד בשל שיעורי ריביות נמוכים במיוחד, הביאה לעלי</w:t>
      </w:r>
      <w:r w:rsidRPr="00DE05FA">
        <w:rPr>
          <w:rFonts w:ascii="Tahoma" w:eastAsia="Calibri" w:hAnsi="Tahoma" w:cs="Tahoma" w:hint="cs"/>
          <w:sz w:val="19"/>
          <w:szCs w:val="19"/>
          <w:rtl/>
        </w:rPr>
        <w:t>י</w:t>
      </w:r>
      <w:r w:rsidRPr="00DE05FA">
        <w:rPr>
          <w:rFonts w:ascii="Tahoma" w:eastAsia="Calibri" w:hAnsi="Tahoma" w:cs="Tahoma"/>
          <w:sz w:val="19"/>
          <w:szCs w:val="19"/>
          <w:rtl/>
        </w:rPr>
        <w:t>ה משמעותית בהחזר החודשי של הלווים (כ-1,047 ש"ח בממוצע עבור הלוואות שנלקחו בשנת 2021) כאשר בנק ישראל העלה את הריבית המוניטרית בשנים 2022 - 2023.</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hint="cs"/>
          <w:b/>
          <w:bCs/>
          <w:sz w:val="19"/>
          <w:szCs w:val="19"/>
          <w:rtl/>
        </w:rPr>
        <w:t>משקלי סיכון</w:t>
      </w:r>
      <w:r>
        <w:rPr>
          <w:rFonts w:ascii="Tahoma" w:eastAsia="Calibri" w:hAnsi="Tahoma" w:cs="Tahoma"/>
          <w:b/>
          <w:bCs/>
          <w:sz w:val="19"/>
          <w:szCs w:val="19"/>
          <w:vertAlign w:val="superscript"/>
          <w:rtl/>
        </w:rPr>
        <w:footnoteReference w:id="15"/>
      </w:r>
      <w:r w:rsidRPr="00DE05FA">
        <w:rPr>
          <w:rFonts w:ascii="Tahoma" w:eastAsia="Calibri" w:hAnsi="Tahoma" w:cs="Tahoma" w:hint="cs"/>
          <w:b/>
          <w:bCs/>
          <w:sz w:val="19"/>
          <w:szCs w:val="19"/>
          <w:rtl/>
        </w:rPr>
        <w:t xml:space="preserve"> בהלוואות לדיור בסיכון גבוה</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 xml:space="preserve">בשנים 2022 - 2025 עלה משקל הלוואות בסיכון גבוה </w:t>
      </w:r>
      <w:r w:rsidR="000B2400">
        <w:rPr>
          <w:rFonts w:ascii="Tahoma" w:eastAsia="Calibri" w:hAnsi="Tahoma" w:cs="Tahoma"/>
          <w:sz w:val="19"/>
          <w:szCs w:val="19"/>
          <w:rtl/>
        </w:rPr>
        <w:br/>
      </w:r>
      <w:r w:rsidRPr="00DE05FA">
        <w:rPr>
          <w:rFonts w:ascii="Tahoma" w:eastAsia="Calibri" w:hAnsi="Tahoma" w:cs="Tahoma"/>
          <w:sz w:val="19"/>
          <w:szCs w:val="19"/>
          <w:rtl/>
        </w:rPr>
        <w:t>מכ-20% לכ-31%</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ו</w:t>
      </w:r>
      <w:r w:rsidRPr="00DE05FA">
        <w:rPr>
          <w:rFonts w:ascii="Tahoma" w:eastAsia="Calibri" w:hAnsi="Tahoma" w:cs="Tahoma" w:hint="cs"/>
          <w:sz w:val="19"/>
          <w:szCs w:val="19"/>
          <w:rtl/>
        </w:rPr>
        <w:t xml:space="preserve">כן </w:t>
      </w:r>
      <w:r w:rsidRPr="00DE05FA">
        <w:rPr>
          <w:rFonts w:ascii="Tahoma" w:eastAsia="Calibri" w:hAnsi="Tahoma" w:cs="Tahoma"/>
          <w:sz w:val="19"/>
          <w:szCs w:val="19"/>
          <w:rtl/>
        </w:rPr>
        <w:t xml:space="preserve">עלה משקל הלוואות בשיעורי החזר מהכנסה שהן בטווח של 30% - 40% מכ-39% </w:t>
      </w:r>
      <w:r w:rsidR="000B2400">
        <w:rPr>
          <w:rFonts w:ascii="Tahoma" w:eastAsia="Calibri" w:hAnsi="Tahoma" w:cs="Tahoma"/>
          <w:sz w:val="19"/>
          <w:szCs w:val="19"/>
          <w:rtl/>
        </w:rPr>
        <w:br/>
      </w:r>
      <w:r w:rsidRPr="00DE05FA">
        <w:rPr>
          <w:rFonts w:ascii="Tahoma" w:eastAsia="Calibri" w:hAnsi="Tahoma" w:cs="Tahoma"/>
          <w:sz w:val="19"/>
          <w:szCs w:val="19"/>
          <w:rtl/>
        </w:rPr>
        <w:t xml:space="preserve">לכ-56%. עם זאת, למרות העלייה במשקל ההלוואות בסיכון גבוה, נמצא כי הפיקוח על הבנקים לא בחן את הצורך לקבוע משקלי סיכון ייחודיים עבור הלוואות בסיכון גבוה שניתנות בשיעורי מימון והחזר מהכנסה גבוהים. כך, מלבד ההוראה הקיימת בנב"ת 329 המגדירה משקל סיכון של 100% על הלוואות בהן שיעור החזר מהכנסה עולה על 40%, הפיקוח אינו מגדיר משקלי סיכון ייחודיים גם בהלוואות ממונפות אחרות, וזאת למרות שבעבר הפיקוח נהג לקבוע משקלי סיכון ייחודיים להלוואות ממונפות בהתאם למשתנים נוספים כמו סכום ההלוואה וחלק ההלוואה בריבית משתנה. </w:t>
      </w:r>
      <w:bookmarkStart w:id="6" w:name="_Hlk225166511"/>
      <w:r w:rsidRPr="00DE05FA">
        <w:rPr>
          <w:rFonts w:ascii="Tahoma" w:eastAsia="Calibri" w:hAnsi="Tahoma" w:cs="Tahoma"/>
          <w:sz w:val="19"/>
          <w:szCs w:val="19"/>
          <w:rtl/>
        </w:rPr>
        <w:t>כך למשל,</w:t>
      </w:r>
      <w:r w:rsidRPr="00DE05FA">
        <w:rPr>
          <w:rFonts w:ascii="Tahoma" w:eastAsia="Calibri" w:hAnsi="Tahoma" w:cs="Tahoma"/>
          <w:sz w:val="19"/>
          <w:szCs w:val="19"/>
        </w:rPr>
        <w:t xml:space="preserve"> </w:t>
      </w:r>
      <w:r w:rsidRPr="00DE05FA">
        <w:rPr>
          <w:rFonts w:ascii="Tahoma" w:eastAsia="Calibri" w:hAnsi="Tahoma" w:cs="Tahoma"/>
          <w:sz w:val="19"/>
          <w:szCs w:val="19"/>
          <w:rtl/>
        </w:rPr>
        <w:t>באוקטובר 2010 קבע המפקח על הבנקים דאז להקצות משקל סיכון של 100% על משכנתאות ממונפות</w:t>
      </w:r>
      <w:r>
        <w:rPr>
          <w:rFonts w:ascii="Tahoma" w:eastAsia="Calibri" w:hAnsi="Tahoma" w:cs="Tahoma"/>
          <w:sz w:val="19"/>
          <w:szCs w:val="19"/>
          <w:vertAlign w:val="superscript"/>
          <w:rtl/>
        </w:rPr>
        <w:footnoteReference w:id="16"/>
      </w:r>
      <w:r w:rsidRPr="00DE05FA">
        <w:rPr>
          <w:rFonts w:ascii="Tahoma" w:eastAsia="Calibri" w:hAnsi="Tahoma" w:cs="Tahoma"/>
          <w:sz w:val="19"/>
          <w:szCs w:val="19"/>
          <w:rtl/>
        </w:rPr>
        <w:t xml:space="preserve"> באופן זמני עד לירידה במשקלן.</w:t>
      </w:r>
      <w:bookmarkEnd w:id="6"/>
      <w:r w:rsidRPr="00DE05FA">
        <w:rPr>
          <w:rFonts w:ascii="Tahoma" w:eastAsia="Calibri" w:hAnsi="Tahoma" w:cs="Tahoma"/>
          <w:sz w:val="19"/>
          <w:szCs w:val="19"/>
          <w:rtl/>
        </w:rPr>
        <w:t xml:space="preserve"> בשל כך שהפיקוח על הבנקים אינו קובע משקלי סיכון להלוואות בסיכון גבוה, הן משוקללות לפי משקל סיכון מופחת של 60% כפי שמשוקללות הלוואות שאינן בסיכון גבוה (למשל הלוואות בשיעור מימון מעל 60% ובשיעור החזר מהכנסה הנמוך מ-30%). אי</w:t>
      </w:r>
      <w:r w:rsidRPr="00DE05FA">
        <w:rPr>
          <w:rFonts w:ascii="Tahoma" w:eastAsia="Calibri" w:hAnsi="Tahoma" w:cs="Tahoma" w:hint="cs"/>
          <w:sz w:val="19"/>
          <w:szCs w:val="19"/>
          <w:rtl/>
        </w:rPr>
        <w:t>-</w:t>
      </w:r>
      <w:r w:rsidRPr="00DE05FA">
        <w:rPr>
          <w:rFonts w:ascii="Tahoma" w:eastAsia="Calibri" w:hAnsi="Tahoma" w:cs="Tahoma"/>
          <w:sz w:val="19"/>
          <w:szCs w:val="19"/>
          <w:rtl/>
        </w:rPr>
        <w:t>בחינה של קביעת משקלי סיכון מותאמים על הלוואות בסיכון גבוה עלולה לפגוע בהערכת הסיכונים של הבנקים ולפגוע ביציבותם, סיכון שגדל לאור זאת שמשקלן של הלוואות בסיכון גבוה עלה כאמור מכ-20% לכ-31% בשנים 2022 - 2025.</w:t>
      </w:r>
    </w:p>
    <w:p w:rsidR="00DE05FA" w:rsidRPr="00DE05FA" w:rsidP="00DE05FA">
      <w:pPr>
        <w:spacing w:line="288" w:lineRule="auto"/>
        <w:ind w:left="-143" w:right="-567"/>
        <w:rPr>
          <w:rFonts w:ascii="Tahoma" w:eastAsia="Calibri" w:hAnsi="Tahoma" w:cs="Tahoma"/>
          <w:sz w:val="19"/>
          <w:szCs w:val="19"/>
        </w:rPr>
      </w:pPr>
    </w:p>
    <w:p w:rsidR="00DE05FA" w:rsidRPr="00DE05FA" w:rsidP="00DE05FA">
      <w:pPr>
        <w:spacing w:line="288" w:lineRule="auto"/>
        <w:ind w:left="-738" w:right="-567"/>
        <w:rPr>
          <w:rFonts w:ascii="Tahoma" w:eastAsia="Calibri" w:hAnsi="Tahoma" w:cs="Tahoma"/>
          <w:b/>
          <w:bCs/>
          <w:sz w:val="22"/>
          <w:szCs w:val="22"/>
          <w:rtl/>
        </w:rPr>
      </w:pPr>
      <w:r w:rsidRPr="00DE05FA">
        <w:rPr>
          <w:rFonts w:ascii="Tahoma" w:eastAsia="Calibri" w:hAnsi="Tahoma" w:cs="Tahoma" w:hint="cs"/>
          <w:b/>
          <w:bCs/>
          <w:sz w:val="22"/>
          <w:szCs w:val="22"/>
          <w:rtl/>
        </w:rPr>
        <w:t>ענף הבנ</w:t>
      </w:r>
      <w:r w:rsidR="004A17E8">
        <w:rPr>
          <w:rFonts w:ascii="Tahoma" w:eastAsia="Calibri" w:hAnsi="Tahoma" w:cs="Tahoma" w:hint="cs"/>
          <w:b/>
          <w:bCs/>
          <w:sz w:val="22"/>
          <w:szCs w:val="22"/>
          <w:rtl/>
        </w:rPr>
        <w:t>י</w:t>
      </w:r>
      <w:r w:rsidRPr="00DE05FA">
        <w:rPr>
          <w:rFonts w:ascii="Tahoma" w:eastAsia="Calibri" w:hAnsi="Tahoma" w:cs="Tahoma" w:hint="cs"/>
          <w:b/>
          <w:bCs/>
          <w:sz w:val="22"/>
          <w:szCs w:val="22"/>
          <w:rtl/>
        </w:rPr>
        <w:t>יה והשפעתו על שוק המשכנתאות</w:t>
      </w:r>
    </w:p>
    <w:p w:rsidR="00DE05FA" w:rsidRPr="00DE05FA" w:rsidP="00DE05FA">
      <w:pPr>
        <w:spacing w:line="288" w:lineRule="auto"/>
        <w:ind w:left="-738" w:right="-567"/>
        <w:rPr>
          <w:rFonts w:ascii="Tahoma" w:eastAsia="Calibri" w:hAnsi="Tahoma" w:cs="Tahoma"/>
          <w:b/>
          <w:bCs/>
          <w:sz w:val="22"/>
          <w:szCs w:val="22"/>
          <w:rtl/>
        </w:rPr>
      </w:pPr>
    </w:p>
    <w:p w:rsidR="00DE05FA" w:rsidRPr="00DE05FA" w:rsidP="00DE05FA">
      <w:pPr>
        <w:spacing w:after="200" w:line="288" w:lineRule="auto"/>
        <w:ind w:left="-737" w:right="-567"/>
        <w:rPr>
          <w:rFonts w:ascii="Tahoma" w:eastAsia="Calibri" w:hAnsi="Tahoma" w:cs="Tahoma"/>
          <w:b/>
          <w:bCs/>
          <w:sz w:val="22"/>
          <w:szCs w:val="22"/>
        </w:rPr>
      </w:pPr>
      <w:r w:rsidRPr="00DE05FA">
        <w:rPr>
          <w:rFonts w:ascii="Tahoma" w:eastAsia="Calibri" w:hAnsi="Tahoma" w:cs="Tahoma" w:hint="cs"/>
          <w:b/>
          <w:bCs/>
          <w:sz w:val="19"/>
          <w:szCs w:val="19"/>
          <w:rtl/>
        </w:rPr>
        <w:t>מבצעי העידוד</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קבלנים נוהגים להציע הטבות שונות שנועדו לסייע בקידום מכירות בשלבים מוקדמים של פרויקטי בינוי למגורים, ובמיוחד בתקופות בהן יש האטה בביקוש.</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בעקבות האטה בביקוש בשוק הנדל"ן למגורים החלו קבלנים, משלהי שנת 2023, להרחיב את היקף ההטבות הניתנות על ידם לצורך קידום המכירות והנעת הפעילות בשוק באמצעות מבצעי עידוד ייחודיים, המאופיינים בהנחות מימוניות גדולות.</w:t>
      </w:r>
      <w:r w:rsidRPr="00DE05FA">
        <w:rPr>
          <w:rFonts w:eastAsia="Calibri"/>
          <w:rtl/>
        </w:rPr>
        <w:t xml:space="preserve"> </w:t>
      </w:r>
      <w:r w:rsidRPr="00DE05FA">
        <w:rPr>
          <w:rFonts w:ascii="Tahoma" w:eastAsia="Calibri" w:hAnsi="Tahoma" w:cs="Tahoma"/>
          <w:sz w:val="19"/>
          <w:szCs w:val="19"/>
          <w:rtl/>
        </w:rPr>
        <w:t>מבצעי העידוד כללו בעיקר דחייה משמעותית של חלק מהתשלומים עבור הדירה עד למועד המסירה</w:t>
      </w:r>
      <w:r w:rsidRPr="00DE05FA">
        <w:rPr>
          <w:rFonts w:ascii="Tahoma" w:eastAsia="Calibri" w:hAnsi="Tahoma" w:cs="Tahoma" w:hint="cs"/>
          <w:b/>
          <w:bCs/>
          <w:sz w:val="19"/>
          <w:szCs w:val="19"/>
          <w:rtl/>
        </w:rPr>
        <w:t xml:space="preserve"> </w:t>
      </w:r>
      <w:r w:rsidRPr="00DE05FA">
        <w:rPr>
          <w:rFonts w:ascii="Tahoma" w:eastAsia="Calibri" w:hAnsi="Tahoma" w:cs="Tahoma" w:hint="cs"/>
          <w:sz w:val="19"/>
          <w:szCs w:val="19"/>
          <w:rtl/>
        </w:rPr>
        <w:t>(עסקאות המוכרות בשמות "</w:t>
      </w:r>
      <w:r w:rsidR="000B2400">
        <w:rPr>
          <w:rFonts w:ascii="Tahoma" w:eastAsia="Calibri" w:hAnsi="Tahoma" w:cs="Tahoma" w:hint="cs"/>
          <w:sz w:val="19"/>
          <w:szCs w:val="19"/>
          <w:rtl/>
        </w:rPr>
        <w:t>8</w:t>
      </w:r>
      <w:r w:rsidRPr="00DE05FA">
        <w:rPr>
          <w:rFonts w:ascii="Tahoma" w:eastAsia="Calibri" w:hAnsi="Tahoma" w:cs="Tahoma" w:hint="cs"/>
          <w:sz w:val="19"/>
          <w:szCs w:val="19"/>
          <w:rtl/>
        </w:rPr>
        <w:t>0/</w:t>
      </w:r>
      <w:r w:rsidR="000B2400">
        <w:rPr>
          <w:rFonts w:ascii="Tahoma" w:eastAsia="Calibri" w:hAnsi="Tahoma" w:cs="Tahoma" w:hint="cs"/>
          <w:sz w:val="19"/>
          <w:szCs w:val="19"/>
          <w:rtl/>
        </w:rPr>
        <w:t>2</w:t>
      </w:r>
      <w:r w:rsidRPr="00DE05FA">
        <w:rPr>
          <w:rFonts w:ascii="Tahoma" w:eastAsia="Calibri" w:hAnsi="Tahoma" w:cs="Tahoma" w:hint="cs"/>
          <w:sz w:val="19"/>
          <w:szCs w:val="19"/>
          <w:rtl/>
        </w:rPr>
        <w:t>0" או "</w:t>
      </w:r>
      <w:r w:rsidR="000B2400">
        <w:rPr>
          <w:rFonts w:ascii="Tahoma" w:eastAsia="Calibri" w:hAnsi="Tahoma" w:cs="Tahoma" w:hint="cs"/>
          <w:sz w:val="19"/>
          <w:szCs w:val="19"/>
          <w:rtl/>
        </w:rPr>
        <w:t>9</w:t>
      </w:r>
      <w:r w:rsidRPr="00DE05FA">
        <w:rPr>
          <w:rFonts w:ascii="Tahoma" w:eastAsia="Calibri" w:hAnsi="Tahoma" w:cs="Tahoma" w:hint="cs"/>
          <w:sz w:val="19"/>
          <w:szCs w:val="19"/>
          <w:rtl/>
        </w:rPr>
        <w:t>0/</w:t>
      </w:r>
      <w:r w:rsidR="000B2400">
        <w:rPr>
          <w:rFonts w:ascii="Tahoma" w:eastAsia="Calibri" w:hAnsi="Tahoma" w:cs="Tahoma" w:hint="cs"/>
          <w:sz w:val="19"/>
          <w:szCs w:val="19"/>
          <w:rtl/>
        </w:rPr>
        <w:t>1</w:t>
      </w:r>
      <w:r w:rsidRPr="00DE05FA">
        <w:rPr>
          <w:rFonts w:ascii="Tahoma" w:eastAsia="Calibri" w:hAnsi="Tahoma" w:cs="Tahoma" w:hint="cs"/>
          <w:sz w:val="19"/>
          <w:szCs w:val="19"/>
          <w:rtl/>
        </w:rPr>
        <w:t>0")</w:t>
      </w:r>
      <w:r w:rsidRPr="00DE05FA">
        <w:rPr>
          <w:rFonts w:ascii="Tahoma" w:eastAsia="Calibri" w:hAnsi="Tahoma" w:cs="Tahoma" w:hint="cs"/>
          <w:b/>
          <w:bCs/>
          <w:sz w:val="19"/>
          <w:szCs w:val="19"/>
          <w:rtl/>
        </w:rPr>
        <w:t xml:space="preserve"> </w:t>
      </w:r>
      <w:r w:rsidRPr="00DE05FA">
        <w:rPr>
          <w:rFonts w:ascii="Tahoma" w:eastAsia="Calibri" w:hAnsi="Tahoma" w:cs="Tahoma" w:hint="cs"/>
          <w:sz w:val="19"/>
          <w:szCs w:val="19"/>
          <w:rtl/>
        </w:rPr>
        <w:t>והלוואות בסבסוד קבלנים ("הלוואות קבלן").</w:t>
      </w:r>
      <w:r w:rsidRPr="00DE05FA">
        <w:rPr>
          <w:rFonts w:ascii="Tahoma" w:eastAsia="Calibri" w:hAnsi="Tahoma" w:cs="Tahoma"/>
          <w:sz w:val="19"/>
          <w:szCs w:val="19"/>
          <w:rtl/>
        </w:rPr>
        <w:t xml:space="preserve"> מבצעי עידוד נוספים כללו הלוואות שונות בסבסוד קבלנים, תוספות </w:t>
      </w:r>
      <w:r w:rsidRPr="00DE05FA">
        <w:rPr>
          <w:rFonts w:ascii="Tahoma" w:eastAsia="Calibri" w:hAnsi="Tahoma" w:cs="Tahoma"/>
          <w:sz w:val="19"/>
          <w:szCs w:val="19"/>
          <w:rtl/>
        </w:rPr>
        <w:t xml:space="preserve">ושדרוגים. במבצעי עידוד הרוכשים דוחים את גיוס מקורות המימון הדרושים להשלמת העסקה למועד הסמוך למסירת הדירה. דחיית מועדי התשלומים מייצרת יתרונות וסיכונים לכל המעורבים בפרויקט (קבלנים, רוכשים ובנקים מלווים). ברקע ההאטה בביקוש לדירות התעצמו מאמצי השיווק של קבלנים באמצעות מבצעי עידוד אגרסיביים משלהי שנת 2023. מבצעי עידוד שימשו כלי יעיל לקידום מכירות והנעת הפעילות בשוק וגילמו הנחות מימוניות הנעות בטווח רחב של עשרות עד מאות אלפי ש"ח לרוכשי הדירות, וזאת תוך הימנעות מהורדת מחירים. עם זאת, התעצמות מבצעי העידוד טומנת בחובה עלייה בסיכון לרוכשים, לקבלנים, ויתכן </w:t>
      </w:r>
      <w:r w:rsidRPr="00DE05FA">
        <w:rPr>
          <w:rFonts w:ascii="Tahoma" w:eastAsia="Calibri" w:hAnsi="Tahoma" w:cs="Tahoma" w:hint="cs"/>
          <w:sz w:val="19"/>
          <w:szCs w:val="19"/>
          <w:rtl/>
        </w:rPr>
        <w:t>ש</w:t>
      </w:r>
      <w:r w:rsidRPr="00DE05FA">
        <w:rPr>
          <w:rFonts w:ascii="Tahoma" w:eastAsia="Calibri" w:hAnsi="Tahoma" w:cs="Tahoma"/>
          <w:sz w:val="19"/>
          <w:szCs w:val="19"/>
          <w:rtl/>
        </w:rPr>
        <w:t xml:space="preserve">אף לאשראי שהעמידה המערכת הבנקאית. </w:t>
      </w:r>
      <w:r w:rsidRPr="00DE05FA">
        <w:rPr>
          <w:rFonts w:ascii="Tahoma" w:eastAsia="Calibri" w:hAnsi="Tahoma" w:cs="Tahoma" w:hint="eastAsia"/>
          <w:sz w:val="19"/>
          <w:szCs w:val="19"/>
          <w:rtl/>
        </w:rPr>
        <w:t>כמו</w:t>
      </w:r>
      <w:r w:rsidRPr="00DE05FA">
        <w:rPr>
          <w:rFonts w:ascii="Tahoma" w:eastAsia="Calibri" w:hAnsi="Tahoma" w:cs="Tahoma"/>
          <w:sz w:val="19"/>
          <w:szCs w:val="19"/>
          <w:rtl/>
        </w:rPr>
        <w:t xml:space="preserve"> כן, </w:t>
      </w:r>
      <w:r w:rsidRPr="00DE05FA">
        <w:rPr>
          <w:rFonts w:ascii="Tahoma" w:eastAsia="Calibri" w:hAnsi="Tahoma" w:cs="Tahoma" w:hint="eastAsia"/>
          <w:sz w:val="19"/>
          <w:szCs w:val="19"/>
          <w:rtl/>
        </w:rPr>
        <w:t>למבצעי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העידוד</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אף</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יכולות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להיות</w:t>
      </w:r>
      <w:r w:rsidRPr="00DE05FA">
        <w:rPr>
          <w:rFonts w:ascii="Tahoma" w:eastAsia="Calibri" w:hAnsi="Tahoma" w:cs="Tahoma"/>
          <w:sz w:val="19"/>
          <w:szCs w:val="19"/>
          <w:rtl/>
        </w:rPr>
        <w:t xml:space="preserve"> השלכות מבחינ</w:t>
      </w:r>
      <w:r w:rsidRPr="00DE05FA">
        <w:rPr>
          <w:rFonts w:ascii="Tahoma" w:eastAsia="Calibri" w:hAnsi="Tahoma" w:cs="Tahoma" w:hint="eastAsia"/>
          <w:sz w:val="19"/>
          <w:szCs w:val="19"/>
          <w:rtl/>
        </w:rPr>
        <w:t>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המיסוי</w:t>
      </w:r>
      <w:r w:rsidRPr="00DE05FA">
        <w:rPr>
          <w:rFonts w:ascii="Tahoma" w:eastAsia="Calibri" w:hAnsi="Tahoma" w:cs="Tahoma"/>
          <w:sz w:val="19"/>
          <w:szCs w:val="19"/>
          <w:rtl/>
        </w:rPr>
        <w:t xml:space="preserve"> לקבלנים ולרוכשים.</w:t>
      </w:r>
    </w:p>
    <w:p w:rsidR="00DE05FA" w:rsidRPr="00DE05FA" w:rsidP="00DE05FA">
      <w:pPr>
        <w:numPr>
          <w:ilvl w:val="0"/>
          <w:numId w:val="23"/>
        </w:numPr>
        <w:spacing w:after="200" w:line="288" w:lineRule="auto"/>
        <w:ind w:left="-142" w:right="-567" w:hanging="595"/>
        <w:rPr>
          <w:rFonts w:ascii="Tahoma" w:eastAsia="Calibri" w:hAnsi="Tahoma" w:cs="Tahoma"/>
          <w:sz w:val="19"/>
          <w:szCs w:val="19"/>
        </w:rPr>
      </w:pPr>
      <w:bookmarkStart w:id="7" w:name="_Hlk225417578"/>
      <w:r w:rsidRPr="00DE05FA">
        <w:rPr>
          <w:rFonts w:ascii="Tahoma" w:eastAsia="Calibri" w:hAnsi="Tahoma" w:cs="Tahoma" w:hint="cs"/>
          <w:b/>
          <w:bCs/>
          <w:sz w:val="19"/>
          <w:szCs w:val="19"/>
          <w:rtl/>
        </w:rPr>
        <w:t>מכירות של קבלנים עם דחייה משמעותית בתשלומים למועד מסירת הדירה והחיתום בגינן</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נמצא כי הפיקוח על הבנקים אינו מחייב את הבנקים להגביל מכירות של קבלנים עם דחיית משמעותית בתשלומים למועד המסירה. בשל כך, למרות שנהוג לכלול בהסכמים בין הבנקים לקבלנים בפרויקטים בליווי בנקאי התניות לפיהן על הקבלנים למכור דירות בפריסת תשלומים לפי המודל הליניארי (בהתאם להתקדמות הבנ</w:t>
      </w:r>
      <w:r w:rsidR="004A17E8">
        <w:rPr>
          <w:rFonts w:ascii="Tahoma" w:eastAsia="Calibri" w:hAnsi="Tahoma" w:cs="Tahoma" w:hint="cs"/>
          <w:sz w:val="19"/>
          <w:szCs w:val="19"/>
          <w:rtl/>
        </w:rPr>
        <w:t>י</w:t>
      </w:r>
      <w:r w:rsidRPr="00DE05FA">
        <w:rPr>
          <w:rFonts w:ascii="Tahoma" w:eastAsia="Calibri" w:hAnsi="Tahoma" w:cs="Tahoma"/>
          <w:sz w:val="19"/>
          <w:szCs w:val="19"/>
          <w:rtl/>
        </w:rPr>
        <w:t>יה), בפועל חלק מהבנקים אינם מגבילים את הקבלנים במכירות עם דחיית תשלומים משמעותית. לפי נתוני הפיקוח על הבנקים לאוקטובר 2024, שיעור הדירות שנמכרו בדחייה משמעותית של תשלומים עמד על כ-28% מתוך מלאי הדירות הנמכרות בפרויקטים של קבלנים בליווי בנקאי. כמו כן, ככלל לא מתבצע תהליך של חיתום במכירת דירות שבהן קיימת דחייה משמעותית של התשלומים למועד המסירה. היעדר חיתום מעלה חשש לסגירת עסקאות עם לקוחות שאינם בעלי יכולת כלכלית מספקת, במיוחד לנוכח תמריצים כספיים הגלומים בעסקאות אלה לרוכשים המוערכים בטווח שבין 123.5 אלף ש"ח לבין 163.1 אלף ש"ח (5.3% -7% ממחיר הדירה). התעצמות היקף מבצעי העידוד, החל משלהי 2023, וירידה בהיקף איכות החיתום של הלווים, שביצועו נדחה לשלב מאוחר יותר ממועד חתימת הסכם הרכישה, גורמים לעלייה בסיכון לרוכשים ולקבלנים ויתכן ואף לאשראי שמעמידה המערכת הבנקאית.</w:t>
      </w:r>
    </w:p>
    <w:bookmarkEnd w:id="7"/>
    <w:p w:rsidR="00DE05FA" w:rsidRPr="00DE05FA" w:rsidP="00DE05FA">
      <w:pPr>
        <w:numPr>
          <w:ilvl w:val="0"/>
          <w:numId w:val="23"/>
        </w:numPr>
        <w:spacing w:after="120" w:line="288" w:lineRule="auto"/>
        <w:ind w:left="-142" w:right="-567" w:hanging="595"/>
        <w:rPr>
          <w:rFonts w:ascii="Tahoma" w:eastAsia="Calibri" w:hAnsi="Tahoma" w:cs="Tahoma"/>
          <w:sz w:val="19"/>
          <w:szCs w:val="19"/>
        </w:rPr>
      </w:pPr>
      <w:r w:rsidRPr="00DE05FA">
        <w:rPr>
          <w:rFonts w:ascii="Tahoma" w:eastAsia="Calibri" w:hAnsi="Tahoma" w:cs="Tahoma"/>
          <w:b/>
          <w:bCs/>
          <w:sz w:val="19"/>
          <w:szCs w:val="19"/>
          <w:rtl/>
        </w:rPr>
        <w:t xml:space="preserve">איסוף נתונים על ידי הפיקוח על הבנקים על חלקן של הלוואות בסבסוד </w:t>
      </w:r>
      <w:r w:rsidRPr="00DE05FA">
        <w:rPr>
          <w:rFonts w:ascii="Tahoma" w:eastAsia="Calibri" w:hAnsi="Tahoma" w:cs="Tahoma" w:hint="eastAsia"/>
          <w:b/>
          <w:bCs/>
          <w:sz w:val="19"/>
          <w:szCs w:val="19"/>
          <w:rtl/>
        </w:rPr>
        <w:t>קבלנים</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 xml:space="preserve">הביקורת העלתה כי אף שהפיקוח על הבנקים החל בדצמבר 2023 לאסוף נתונים </w:t>
      </w:r>
      <w:r w:rsidR="000B2400">
        <w:rPr>
          <w:rFonts w:ascii="Tahoma" w:eastAsia="Calibri" w:hAnsi="Tahoma" w:cs="Tahoma" w:hint="cs"/>
          <w:sz w:val="19"/>
          <w:szCs w:val="19"/>
          <w:rtl/>
        </w:rPr>
        <w:t>על</w:t>
      </w:r>
      <w:r w:rsidRPr="00DE05FA">
        <w:rPr>
          <w:rFonts w:ascii="Tahoma" w:eastAsia="Calibri" w:hAnsi="Tahoma" w:cs="Tahoma"/>
          <w:sz w:val="19"/>
          <w:szCs w:val="19"/>
          <w:rtl/>
        </w:rPr>
        <w:t xml:space="preserve"> חלקן של הלוואות בלון בסבסוד קבלנים מתוך כלל הלוואות בלון באשראי לדיור, נמצא כי עד מועד סיום הביקורת אין בידי הפיקוח נתונים מדויקים על חלק ההלוואה המועמד במסגרת הלוואות בסבסוד קבלנים משווי הנכס. נתונים אלה נחוצים לאמידת הסיכון המתהווה כתוצאה מהעמדתם בהיקפים משמעותיים.</w:t>
      </w:r>
    </w:p>
    <w:p w:rsidR="00DE05FA" w:rsidRPr="00DE05FA" w:rsidP="00DE05FA">
      <w:pPr>
        <w:spacing w:after="200" w:line="288" w:lineRule="auto"/>
        <w:ind w:left="-142" w:right="-567"/>
        <w:rPr>
          <w:rFonts w:ascii="Tahoma" w:eastAsia="Calibri" w:hAnsi="Tahoma" w:cs="Tahoma"/>
          <w:sz w:val="19"/>
          <w:szCs w:val="19"/>
          <w:rtl/>
        </w:rPr>
      </w:pPr>
      <w:r w:rsidRPr="00DE05FA">
        <w:rPr>
          <w:rFonts w:ascii="Tahoma" w:eastAsia="Calibri" w:hAnsi="Tahoma" w:cs="Tahoma"/>
          <w:sz w:val="19"/>
          <w:szCs w:val="19"/>
          <w:rtl/>
        </w:rPr>
        <w:t>הלוואות בסבסוד קבלנים מייצרות יתרונות שונים לקבלנים, לרוכשים ולבנקים המלווים. עם זאת, המודל אינו מייצר לציבור הרוכשים ודאות לגבי תנאי ההלוואה לדיור שיידרשו לשלם בעתיד. פרק הזמן הגדול בין מועד החיתום הבנקאי למועד נטילת הלוואת המשכנתא שנוטלים הרוכשים בסיום הבנייה, הנמשך לרוב מספר שנים, חושף את הרוכשים לתשלומי החזר גבוהים בעתיד, אגב הקטנת יכולתם לקבל הלוואות נוספות והתייקרות של עלויות ביטול ההסכם במידת הצורך. לא זאת בלבד אלא שהעמדת הלוואות בסבסוד קבלנים עלולה לחרוג מתהליך חיתום בנקאי רגיל, לכן ביצועה בצורה שאינה נאותה יוצרת סיכון במועד פירעון ההלוואה והחלפתה בהלוואה לדיור לכל המעורבים בפרויקט.</w:t>
      </w:r>
    </w:p>
    <w:p w:rsidR="004A17E8" w:rsidP="00DE05FA">
      <w:pPr>
        <w:numPr>
          <w:ilvl w:val="0"/>
          <w:numId w:val="23"/>
        </w:numPr>
        <w:spacing w:after="200" w:line="288" w:lineRule="auto"/>
        <w:ind w:left="-142" w:right="-567" w:hanging="595"/>
        <w:rPr>
          <w:rFonts w:ascii="Tahoma" w:eastAsia="Calibri" w:hAnsi="Tahoma" w:cs="Tahoma" w:hint="cs"/>
          <w:sz w:val="19"/>
          <w:szCs w:val="19"/>
          <w:rtl/>
        </w:rPr>
      </w:pPr>
      <w:r w:rsidRPr="00DE05FA">
        <w:rPr>
          <w:rFonts w:ascii="Tahoma" w:eastAsia="Calibri" w:hAnsi="Tahoma" w:cs="Tahoma" w:hint="eastAsia"/>
          <w:b/>
          <w:bCs/>
          <w:sz w:val="19"/>
          <w:szCs w:val="19"/>
          <w:rtl/>
        </w:rPr>
        <w:t>פעולות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הפיקוח</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על</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הבנקים</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בנוגע</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למבצעי</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העידוד</w:t>
      </w:r>
      <w:r w:rsidRPr="00DE05FA">
        <w:rPr>
          <w:rFonts w:ascii="Tahoma" w:eastAsia="Calibri" w:hAnsi="Tahoma" w:cs="Tahoma"/>
          <w:sz w:val="19"/>
          <w:szCs w:val="19"/>
          <w:rtl/>
        </w:rPr>
        <w:t xml:space="preserve"> - נמצא כי הפיקוח על הבנקים ביצע מעקב במהלך השנים 2023 - 2025 לאיתור סיכונים הנגזרים ממבצעי עידוד וכן קיים תהליך קבלת החלטות בטרם יישום צעדים פיקוחיים בענ</w:t>
      </w:r>
      <w:r w:rsidR="000B2400">
        <w:rPr>
          <w:rFonts w:ascii="Tahoma" w:eastAsia="Calibri" w:hAnsi="Tahoma" w:cs="Tahoma" w:hint="cs"/>
          <w:sz w:val="19"/>
          <w:szCs w:val="19"/>
          <w:rtl/>
        </w:rPr>
        <w:t>י</w:t>
      </w:r>
      <w:r w:rsidRPr="00DE05FA">
        <w:rPr>
          <w:rFonts w:ascii="Tahoma" w:eastAsia="Calibri" w:hAnsi="Tahoma" w:cs="Tahoma"/>
          <w:sz w:val="19"/>
          <w:szCs w:val="19"/>
          <w:rtl/>
        </w:rPr>
        <w:t xml:space="preserve">ין זה. עם זאת, </w:t>
      </w:r>
      <w:r w:rsidRPr="00DE05FA">
        <w:rPr>
          <w:rFonts w:ascii="Tahoma" w:eastAsia="Calibri" w:hAnsi="Tahoma" w:cs="Tahoma" w:hint="eastAsia"/>
          <w:sz w:val="19"/>
          <w:szCs w:val="19"/>
          <w:rtl/>
        </w:rPr>
        <w:t>בשנים</w:t>
      </w:r>
      <w:r w:rsidRPr="00DE05FA">
        <w:rPr>
          <w:rFonts w:ascii="Tahoma" w:eastAsia="Calibri" w:hAnsi="Tahoma" w:cs="Tahoma"/>
          <w:sz w:val="19"/>
          <w:szCs w:val="19"/>
          <w:rtl/>
        </w:rPr>
        <w:t xml:space="preserve"> 2023- 2025 הסיכון לא הופחת ואף גדל</w:t>
      </w:r>
      <w:r w:rsidRPr="00DE05FA">
        <w:rPr>
          <w:rFonts w:ascii="Tahoma" w:eastAsia="Calibri" w:hAnsi="Tahoma" w:cs="Tahoma" w:hint="cs"/>
          <w:sz w:val="19"/>
          <w:szCs w:val="19"/>
          <w:rtl/>
        </w:rPr>
        <w:t xml:space="preserve"> בהיקפים משמעותיים ביותר</w:t>
      </w:r>
      <w:r w:rsidRPr="00DE05FA">
        <w:rPr>
          <w:rFonts w:ascii="Tahoma" w:eastAsia="Calibri" w:hAnsi="Tahoma" w:cs="Tahoma"/>
          <w:sz w:val="19"/>
          <w:szCs w:val="19"/>
          <w:rtl/>
        </w:rPr>
        <w:t>, כפי שבא לידי ביטוי בין היתר בגידול</w:t>
      </w:r>
      <w:r w:rsidRPr="00DE05FA">
        <w:rPr>
          <w:rFonts w:ascii="Tahoma" w:eastAsia="Calibri" w:hAnsi="Tahoma" w:cs="Tahoma" w:hint="cs"/>
          <w:sz w:val="19"/>
          <w:szCs w:val="19"/>
          <w:rtl/>
        </w:rPr>
        <w:t xml:space="preserve"> נרחב ביותר של פי 18.5 </w:t>
      </w:r>
      <w:r w:rsidRPr="00DE05FA">
        <w:rPr>
          <w:rFonts w:ascii="Tahoma" w:eastAsia="Calibri" w:hAnsi="Tahoma" w:cs="Tahoma"/>
          <w:sz w:val="19"/>
          <w:szCs w:val="19"/>
          <w:rtl/>
        </w:rPr>
        <w:t>בהיקף האשראי המצטבר שניתן בהלוואות בסבסוד קבלנים מכ-453 מיליון ש"ח בדצמבר 2023 לכ-8.</w:t>
      </w:r>
      <w:r w:rsidRPr="00DE05FA">
        <w:rPr>
          <w:rFonts w:ascii="Tahoma" w:eastAsia="Calibri" w:hAnsi="Tahoma" w:cs="Tahoma" w:hint="cs"/>
          <w:sz w:val="19"/>
          <w:szCs w:val="19"/>
          <w:rtl/>
        </w:rPr>
        <w:t>4</w:t>
      </w:r>
      <w:r w:rsidRPr="00DE05FA">
        <w:rPr>
          <w:rFonts w:ascii="Tahoma" w:eastAsia="Calibri" w:hAnsi="Tahoma" w:cs="Tahoma"/>
          <w:sz w:val="19"/>
          <w:szCs w:val="19"/>
          <w:rtl/>
        </w:rPr>
        <w:t xml:space="preserve"> מיליארד ש"ח באוגוסט 2025. </w:t>
      </w:r>
      <w:r w:rsidRPr="00DE05FA">
        <w:rPr>
          <w:rFonts w:ascii="Tahoma" w:eastAsia="Calibri" w:hAnsi="Tahoma" w:cs="Tahoma" w:hint="eastAsia"/>
          <w:sz w:val="19"/>
          <w:szCs w:val="19"/>
          <w:rtl/>
        </w:rPr>
        <w:t>עלה</w:t>
      </w:r>
      <w:r w:rsidRPr="00DE05FA">
        <w:rPr>
          <w:rFonts w:ascii="Tahoma" w:eastAsia="Calibri" w:hAnsi="Tahoma" w:cs="Tahoma"/>
          <w:sz w:val="19"/>
          <w:szCs w:val="19"/>
          <w:rtl/>
        </w:rPr>
        <w:t xml:space="preserve"> כי עד מתן הוראת השעה באפריל 2025 פעל הפיקוח על הבנקים במגוון פעולות להפחתת הסיכון של מבצע</w:t>
      </w:r>
      <w:r w:rsidRPr="00DE05FA">
        <w:rPr>
          <w:rFonts w:ascii="Tahoma" w:eastAsia="Calibri" w:hAnsi="Tahoma" w:cs="Tahoma" w:hint="cs"/>
          <w:sz w:val="19"/>
          <w:szCs w:val="19"/>
          <w:rtl/>
        </w:rPr>
        <w:t>י</w:t>
      </w:r>
      <w:r w:rsidRPr="00DE05FA">
        <w:rPr>
          <w:rFonts w:ascii="Tahoma" w:eastAsia="Calibri" w:hAnsi="Tahoma" w:cs="Tahoma"/>
          <w:sz w:val="19"/>
          <w:szCs w:val="19"/>
          <w:rtl/>
        </w:rPr>
        <w:t xml:space="preserve"> העידוד (ובה</w:t>
      </w:r>
      <w:r w:rsidRPr="00DE05FA">
        <w:rPr>
          <w:rFonts w:ascii="Tahoma" w:eastAsia="Calibri" w:hAnsi="Tahoma" w:cs="Tahoma" w:hint="cs"/>
          <w:sz w:val="19"/>
          <w:szCs w:val="19"/>
          <w:rtl/>
        </w:rPr>
        <w:t>ן</w:t>
      </w:r>
      <w:r w:rsidRPr="00DE05FA">
        <w:rPr>
          <w:rFonts w:ascii="Tahoma" w:eastAsia="Calibri" w:hAnsi="Tahoma" w:cs="Tahoma"/>
          <w:sz w:val="19"/>
          <w:szCs w:val="19"/>
          <w:rtl/>
        </w:rPr>
        <w:t xml:space="preserve"> העברת מסרים, הנחיות וגיבוש מתווה וולונטרי מול המערכת הבנקאית)</w:t>
      </w:r>
      <w:r w:rsidRPr="00DE05FA">
        <w:rPr>
          <w:rFonts w:ascii="Tahoma" w:eastAsia="Calibri" w:hAnsi="Tahoma" w:cs="Tahoma" w:hint="cs"/>
          <w:sz w:val="19"/>
          <w:szCs w:val="19"/>
          <w:rtl/>
        </w:rPr>
        <w:t xml:space="preserve"> שלא הביאו לירידה בהיקף האשראי המצטבר שניתן בהלוואות בסבסוד קבלנים</w:t>
      </w:r>
      <w:r w:rsidRPr="00DE05FA">
        <w:rPr>
          <w:rFonts w:ascii="Tahoma" w:eastAsia="Calibri" w:hAnsi="Tahoma" w:cs="Tahoma"/>
          <w:sz w:val="19"/>
          <w:szCs w:val="19"/>
          <w:rtl/>
        </w:rPr>
        <w:t>.</w:t>
      </w:r>
    </w:p>
    <w:p w:rsidR="004A17E8" w:rsidP="00DE05FA">
      <w:pPr>
        <w:numPr>
          <w:ilvl w:val="0"/>
          <w:numId w:val="23"/>
        </w:numPr>
        <w:spacing w:line="288" w:lineRule="auto"/>
        <w:ind w:left="-143" w:right="-567" w:hanging="595"/>
        <w:rPr>
          <w:rFonts w:ascii="Tahoma" w:eastAsia="Calibri" w:hAnsi="Tahoma" w:cs="Tahoma"/>
          <w:sz w:val="19"/>
          <w:szCs w:val="19"/>
          <w:rtl/>
        </w:rPr>
      </w:pPr>
      <w:r w:rsidRPr="00DE05FA">
        <w:rPr>
          <w:rFonts w:ascii="Tahoma" w:eastAsia="Calibri" w:hAnsi="Tahoma" w:cs="Tahoma" w:hint="cs"/>
          <w:b/>
          <w:bCs/>
          <w:sz w:val="19"/>
          <w:szCs w:val="19"/>
          <w:rtl/>
        </w:rPr>
        <w:t xml:space="preserve">בחינה של מעורבות הבנקים בקביעת מחירי דיור על ידי צוות בראשות ראש המועצה הלאומית לכלכלה </w:t>
      </w:r>
      <w:r w:rsidRPr="00DE05FA">
        <w:rPr>
          <w:rFonts w:ascii="Tahoma" w:eastAsia="Calibri" w:hAnsi="Tahoma" w:cs="Tahoma" w:hint="cs"/>
          <w:sz w:val="19"/>
          <w:szCs w:val="19"/>
          <w:rtl/>
        </w:rPr>
        <w:t xml:space="preserve">- במאי 2025 החליטה הממשלה על הקמת צוות </w:t>
      </w:r>
      <w:r w:rsidRPr="00DE05FA">
        <w:rPr>
          <w:rFonts w:ascii="Tahoma" w:eastAsia="Calibri" w:hAnsi="Tahoma" w:cs="Tahoma"/>
          <w:sz w:val="19"/>
          <w:szCs w:val="19"/>
          <w:rtl/>
        </w:rPr>
        <w:t>לבחינת מעורבות הבנקים בקביעת מחירי הדיור</w:t>
      </w:r>
      <w:r w:rsidRPr="00DE05FA">
        <w:rPr>
          <w:rFonts w:ascii="Tahoma" w:eastAsia="Calibri" w:hAnsi="Tahoma" w:cs="Tahoma" w:hint="cs"/>
          <w:sz w:val="19"/>
          <w:szCs w:val="19"/>
          <w:rtl/>
        </w:rPr>
        <w:t xml:space="preserve"> בראשות ראש המועצה הלאומית לכלכלה. על הצוות </w:t>
      </w:r>
      <w:r w:rsidRPr="00DE05FA">
        <w:rPr>
          <w:rFonts w:ascii="Tahoma" w:eastAsia="Calibri" w:hAnsi="Tahoma" w:cs="Tahoma"/>
          <w:sz w:val="19"/>
          <w:szCs w:val="19"/>
          <w:rtl/>
        </w:rPr>
        <w:t xml:space="preserve">הוטל לבחון את קיומה של מעורבות הבנקים בקביעת </w:t>
      </w:r>
      <w:r w:rsidRPr="00DE05FA">
        <w:rPr>
          <w:rFonts w:ascii="Tahoma" w:eastAsia="Calibri" w:hAnsi="Tahoma" w:cs="Tahoma"/>
          <w:sz w:val="19"/>
          <w:szCs w:val="19"/>
          <w:rtl/>
        </w:rPr>
        <w:t>מחירי הדיור, בין היתר באמצעות שימוש באמות מידה פיננסיות בהסכמי הליווי הפיננסי ואת ההשלכות שעלולות להיות לכך על התחרות בשוק הדיור.</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הצוות הגיע למסקנה שהוצגה בדו"ח הסופי שגיבש ביולי 2025 והמלצותיו אומצו</w:t>
      </w:r>
      <w:r w:rsidRPr="00DE05FA">
        <w:rPr>
          <w:rFonts w:ascii="Tahoma" w:eastAsia="Calibri" w:hAnsi="Tahoma" w:cs="Tahoma" w:hint="cs"/>
          <w:sz w:val="19"/>
          <w:szCs w:val="19"/>
          <w:rtl/>
        </w:rPr>
        <w:t xml:space="preserve"> על ידי בנק ישראל, </w:t>
      </w:r>
      <w:r w:rsidRPr="00DE05FA">
        <w:rPr>
          <w:rFonts w:ascii="Tahoma" w:eastAsia="Calibri" w:hAnsi="Tahoma" w:cs="Tahoma"/>
          <w:sz w:val="19"/>
          <w:szCs w:val="19"/>
          <w:rtl/>
        </w:rPr>
        <w:t>כי</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אין הצדקה לכך שבנקים יתערבו במחירי המכירה של דירות בפרויקטים של קבלנים ואף ייתכן כי התערבות זו עלולה למנוע את ירידת מחיריהן בנסיבות מסוימות. מסקנה זו התבססה על כך</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שהסכמי המימון בפרויקטים כוללים התניות של מכירת דירות לפי המחירים שנקבעו בתכניות העסקיות, ולאור בחינה של רמת סיכוני האשראי וכושר הספיגה של הבנקים, ולאור רווחיותם, שאינם מעידים על חשש משמעותי לנזק אם הבנקים יימנעו מלהתערב במחירי הדירות לאחר שנחתמו הסכמי המימון. בהתאם </w:t>
      </w:r>
      <w:r w:rsidRPr="00DE05FA">
        <w:rPr>
          <w:rFonts w:ascii="Tahoma" w:eastAsia="Calibri" w:hAnsi="Tahoma" w:cs="Tahoma" w:hint="cs"/>
          <w:sz w:val="19"/>
          <w:szCs w:val="19"/>
          <w:rtl/>
        </w:rPr>
        <w:t>לכך</w:t>
      </w:r>
      <w:r w:rsidRPr="00DE05FA">
        <w:rPr>
          <w:rFonts w:ascii="Tahoma" w:eastAsia="Calibri" w:hAnsi="Tahoma" w:cs="Tahoma"/>
          <w:sz w:val="19"/>
          <w:szCs w:val="19"/>
          <w:rtl/>
        </w:rPr>
        <w:t xml:space="preserve"> המליץ הצוות לאסור על הבנקים להתערב בשיקולים של הקבלנים בקביעת מחירי המכירה של דירות לאחר שהתקשרו עם קבלנים בהסכמי מימון בפרויקטים. עם זאת, </w:t>
      </w:r>
      <w:r w:rsidRPr="00DE05FA">
        <w:rPr>
          <w:rFonts w:ascii="Tahoma" w:eastAsia="Calibri" w:hAnsi="Tahoma" w:cs="Tahoma" w:hint="cs"/>
          <w:sz w:val="19"/>
          <w:szCs w:val="19"/>
          <w:rtl/>
        </w:rPr>
        <w:t xml:space="preserve">נמצא כי </w:t>
      </w:r>
      <w:r w:rsidRPr="00DE05FA">
        <w:rPr>
          <w:rFonts w:ascii="Tahoma" w:eastAsia="Calibri" w:hAnsi="Tahoma" w:cs="Tahoma"/>
          <w:sz w:val="19"/>
          <w:szCs w:val="19"/>
          <w:rtl/>
        </w:rPr>
        <w:t xml:space="preserve">הצוות התבסס על ההתניות בהסכמי המימון בלבד, ולא על מידע בהקשר לפרקטיקה הנהוגה, או </w:t>
      </w:r>
      <w:r w:rsidRPr="00DE05FA">
        <w:rPr>
          <w:rFonts w:ascii="Tahoma" w:eastAsia="Calibri" w:hAnsi="Tahoma" w:cs="Tahoma" w:hint="cs"/>
          <w:sz w:val="19"/>
          <w:szCs w:val="19"/>
          <w:rtl/>
        </w:rPr>
        <w:t xml:space="preserve">על </w:t>
      </w:r>
      <w:r w:rsidRPr="00DE05FA">
        <w:rPr>
          <w:rFonts w:ascii="Tahoma" w:eastAsia="Calibri" w:hAnsi="Tahoma" w:cs="Tahoma"/>
          <w:sz w:val="19"/>
          <w:szCs w:val="19"/>
          <w:rtl/>
        </w:rPr>
        <w:t>נתונים אמפיריים המעידים כי אכן המערכת הבנקאית מונעת הפחתה של מחירי הדיר</w:t>
      </w:r>
      <w:r w:rsidRPr="00DE05FA">
        <w:rPr>
          <w:rFonts w:ascii="Tahoma" w:eastAsia="Calibri" w:hAnsi="Tahoma" w:cs="Tahoma" w:hint="cs"/>
          <w:sz w:val="19"/>
          <w:szCs w:val="19"/>
          <w:rtl/>
        </w:rPr>
        <w:t>ות</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ומה עשויה להיות ההשפעה של </w:t>
      </w:r>
      <w:r w:rsidRPr="00DE05FA">
        <w:rPr>
          <w:rFonts w:ascii="Tahoma" w:eastAsia="Calibri" w:hAnsi="Tahoma" w:cs="Tahoma"/>
          <w:sz w:val="19"/>
          <w:szCs w:val="19"/>
          <w:rtl/>
        </w:rPr>
        <w:t xml:space="preserve">הסרת אמות </w:t>
      </w:r>
      <w:r w:rsidRPr="00DE05FA">
        <w:rPr>
          <w:rFonts w:ascii="Tahoma" w:eastAsia="Calibri" w:hAnsi="Tahoma" w:cs="Tahoma" w:hint="cs"/>
          <w:sz w:val="19"/>
          <w:szCs w:val="19"/>
          <w:rtl/>
        </w:rPr>
        <w:t>ה</w:t>
      </w:r>
      <w:r w:rsidRPr="00DE05FA">
        <w:rPr>
          <w:rFonts w:ascii="Tahoma" w:eastAsia="Calibri" w:hAnsi="Tahoma" w:cs="Tahoma"/>
          <w:sz w:val="19"/>
          <w:szCs w:val="19"/>
          <w:rtl/>
        </w:rPr>
        <w:t xml:space="preserve">מידה </w:t>
      </w:r>
      <w:r w:rsidRPr="00DE05FA">
        <w:rPr>
          <w:rFonts w:ascii="Tahoma" w:eastAsia="Calibri" w:hAnsi="Tahoma" w:cs="Tahoma" w:hint="cs"/>
          <w:sz w:val="19"/>
          <w:szCs w:val="19"/>
          <w:rtl/>
        </w:rPr>
        <w:t>ה</w:t>
      </w:r>
      <w:r w:rsidRPr="00DE05FA">
        <w:rPr>
          <w:rFonts w:ascii="Tahoma" w:eastAsia="Calibri" w:hAnsi="Tahoma" w:cs="Tahoma"/>
          <w:sz w:val="19"/>
          <w:szCs w:val="19"/>
          <w:rtl/>
        </w:rPr>
        <w:t>פיננסיות</w:t>
      </w:r>
      <w:r w:rsidRPr="00DE05FA">
        <w:rPr>
          <w:rFonts w:ascii="Tahoma" w:eastAsia="Calibri" w:hAnsi="Tahoma" w:cs="Tahoma" w:hint="cs"/>
          <w:sz w:val="19"/>
          <w:szCs w:val="19"/>
          <w:rtl/>
        </w:rPr>
        <w:t xml:space="preserve"> על מחירי הדירות</w:t>
      </w:r>
      <w:r w:rsidRPr="00DE05FA">
        <w:rPr>
          <w:rFonts w:ascii="Tahoma" w:eastAsia="Calibri" w:hAnsi="Tahoma" w:cs="Tahoma"/>
          <w:sz w:val="19"/>
          <w:szCs w:val="19"/>
          <w:rtl/>
        </w:rPr>
        <w:t>.</w:t>
      </w:r>
    </w:p>
    <w:p w:rsidR="00DE05FA" w:rsidRPr="00DE05FA" w:rsidP="00DE05FA">
      <w:pPr>
        <w:spacing w:line="288" w:lineRule="auto"/>
        <w:ind w:left="-143" w:right="-567"/>
        <w:contextualSpacing/>
        <w:rPr>
          <w:rFonts w:ascii="Tahoma" w:eastAsia="Calibri" w:hAnsi="Tahoma" w:cs="Tahoma"/>
          <w:sz w:val="19"/>
          <w:szCs w:val="19"/>
          <w:rtl/>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hint="cs"/>
          <w:b/>
          <w:bCs/>
          <w:sz w:val="22"/>
          <w:szCs w:val="22"/>
          <w:rtl/>
        </w:rPr>
        <w:t>פעולות הפיקוח על הבנקים בבנק ישראל להגברת השקיפות והתחרות בשוק המשכנתאות</w:t>
      </w:r>
    </w:p>
    <w:p w:rsidR="004A17E8" w:rsidP="00DE05FA">
      <w:pPr>
        <w:numPr>
          <w:ilvl w:val="0"/>
          <w:numId w:val="23"/>
        </w:numPr>
        <w:spacing w:after="120" w:line="288" w:lineRule="auto"/>
        <w:ind w:left="-142" w:right="-567" w:hanging="595"/>
        <w:rPr>
          <w:rFonts w:ascii="Tahoma" w:eastAsia="Calibri" w:hAnsi="Tahoma" w:cs="Tahoma"/>
          <w:sz w:val="19"/>
          <w:szCs w:val="19"/>
          <w:rtl/>
        </w:rPr>
      </w:pPr>
      <w:r w:rsidRPr="00DE05FA">
        <w:rPr>
          <w:rFonts w:ascii="Tahoma" w:eastAsia="Calibri" w:hAnsi="Tahoma" w:cs="Tahoma"/>
          <w:b/>
          <w:bCs/>
          <w:sz w:val="19"/>
          <w:szCs w:val="19"/>
          <w:rtl/>
        </w:rPr>
        <w:t>אפשרות הלווה לבצע השוואה בין הצעות משכנתא מבנקים שונים</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 xml:space="preserve">מנתוני בנק ישראל לשנת 2024 עולה כי כ-98% מהביצועים ניתנים בסל הרביעי, כלומר הלווים בוחרים בסל מוצע אחר שנקבע בינם לבין הבנקים, השונה בהרכבו מהסלים האחידים </w:t>
      </w:r>
      <w:r w:rsidRPr="00DE05FA">
        <w:rPr>
          <w:rFonts w:ascii="Tahoma" w:eastAsia="Calibri" w:hAnsi="Tahoma" w:cs="Tahoma" w:hint="cs"/>
          <w:sz w:val="19"/>
          <w:szCs w:val="19"/>
          <w:rtl/>
        </w:rPr>
        <w:t>שנקבעו על ידי הפיקוח על הבנקים בנב"ת 451 בשנת 2022, והם אלו</w:t>
      </w:r>
      <w:r w:rsidRPr="00DE05FA">
        <w:rPr>
          <w:rFonts w:ascii="Tahoma" w:eastAsia="Calibri" w:hAnsi="Tahoma" w:cs="Tahoma"/>
          <w:sz w:val="19"/>
          <w:szCs w:val="19"/>
          <w:rtl/>
        </w:rPr>
        <w:t>: סל אחיד 1 - ההלוואה כולה בריבית קבועה לא צמודה; סל אחיד 2 - ההלוואה מחולקת לשלושה חלקים שווים בין קבועה לא צמודה, ריבית הפריים וריבית משתנה צמודה כל 5 שנים; וסל אחיד 3 - ההלוואה מחולקת לשני חלקים שווים של ריבית קבועה לא צמודה וריבית הפריים.</w:t>
      </w:r>
    </w:p>
    <w:p w:rsidR="004A17E8" w:rsidP="00DE05FA">
      <w:pPr>
        <w:spacing w:after="200" w:line="288" w:lineRule="auto"/>
        <w:ind w:left="-142" w:right="-567"/>
        <w:rPr>
          <w:rFonts w:ascii="Tahoma" w:eastAsia="Calibri" w:hAnsi="Tahoma" w:cs="Tahoma"/>
          <w:sz w:val="19"/>
          <w:szCs w:val="19"/>
          <w:rtl/>
        </w:rPr>
      </w:pPr>
      <w:r w:rsidRPr="00DE05FA">
        <w:rPr>
          <w:rFonts w:ascii="Tahoma" w:eastAsia="Calibri" w:hAnsi="Tahoma" w:cs="Tahoma"/>
          <w:sz w:val="19"/>
          <w:szCs w:val="19"/>
          <w:rtl/>
        </w:rPr>
        <w:t>בסקירת מערכת הבנקאות לשנת 2025 ציין בנק ישראל כי הוא ערך ביקורות בדבר יישום הרפורמה במשכנתאות. ממצאי הביקורת מצביעים על ציות של הבנקים לעיקרי הרפורמה. עם זאת נמצאו מקרים שבהם הסל הרביעי שהוצע ללקוחות היה מורכב וכלל ריבוי של תקופות לפירעון ותמחור שאינו עקבי עם תמחור הסלים הרגולטוריים. פרקטיקה זו מכבידה על יכולתם של הלקוחות להבין את ההשלכות של בחירה בין המסלולים ועל יכולתם להשוות בין ההצעות של בנקים שונים. עוד צוין בסקירה כי הפיקוח על הבנקים דרש כי האישור העקרוני שיוצג ללקוחות יכלול סלים לתקופה אחידה וזהה לזו שנקבעה לתקופת הסלים הרגולטוריים וכן כי התמחור שלהם יעשה באופן שקוף ועקבי, התואם את עקרונות הפשטות, ההשוואתיות וההוגנות שעליהם הרפורמה מושתתת.</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hint="cs"/>
          <w:b/>
          <w:bCs/>
          <w:sz w:val="19"/>
          <w:szCs w:val="19"/>
          <w:rtl/>
        </w:rPr>
        <w:t>תרומת רפורמת השקיפות במשכנתאות לתיחור</w:t>
      </w:r>
      <w:r w:rsidRPr="00DE05FA">
        <w:rPr>
          <w:rFonts w:ascii="Tahoma" w:eastAsia="Calibri" w:hAnsi="Tahoma" w:cs="Tahoma" w:hint="cs"/>
          <w:sz w:val="19"/>
          <w:szCs w:val="19"/>
          <w:rtl/>
        </w:rPr>
        <w:t xml:space="preserve"> -</w:t>
      </w:r>
      <w:bookmarkStart w:id="8" w:name="_Hlk224047539"/>
      <w:r w:rsidRPr="00DE05FA">
        <w:rPr>
          <w:rFonts w:ascii="Tahoma" w:eastAsia="Calibri" w:hAnsi="Tahoma" w:cs="Tahoma" w:hint="cs"/>
          <w:sz w:val="19"/>
          <w:szCs w:val="19"/>
          <w:rtl/>
        </w:rPr>
        <w:t xml:space="preserve"> תיחור הוא תהליך בו לווים מקבלים מספר הצעות מחיר למשכנתא ומשווים ביניהם כדי להוזיל את עלויות המשכנתא. </w:t>
      </w:r>
      <w:r w:rsidRPr="00DE05FA">
        <w:rPr>
          <w:rFonts w:ascii="Tahoma" w:eastAsia="Calibri" w:hAnsi="Tahoma" w:cs="Tahoma"/>
          <w:sz w:val="19"/>
          <w:szCs w:val="19"/>
          <w:rtl/>
        </w:rPr>
        <w:t>ככל שתיחור מתבצע יותר פעמים יש לכך פוטנציאל להגביר את התחרות בין הבנקים באופן שיסייע ללווה להפחית את שיעורי הריביות ואת עלויות המשכנתא.</w:t>
      </w:r>
      <w:r w:rsidRPr="00DE05FA">
        <w:rPr>
          <w:rFonts w:ascii="Tahoma" w:eastAsia="Calibri" w:hAnsi="Tahoma" w:cs="Tahoma" w:hint="cs"/>
          <w:sz w:val="19"/>
          <w:szCs w:val="19"/>
          <w:rtl/>
        </w:rPr>
        <w:t xml:space="preserve"> </w:t>
      </w:r>
      <w:bookmarkEnd w:id="8"/>
      <w:r w:rsidRPr="00DE05FA">
        <w:rPr>
          <w:rFonts w:ascii="Tahoma" w:eastAsia="Calibri" w:hAnsi="Tahoma" w:cs="Tahoma"/>
          <w:sz w:val="19"/>
          <w:szCs w:val="19"/>
          <w:rtl/>
        </w:rPr>
        <w:t>אחת המטרות שהגדיר בנק ישראל ברפורמת השקיפות במשכנתאות מאוגוסט 2022 היא להגביר את התיחור שמבצעים לווים. נמצא כי</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על אף הרפורמה, על פי נתוני בנק ישראל, שיעור התיחור </w:t>
      </w:r>
      <w:r w:rsidRPr="00DE05FA">
        <w:rPr>
          <w:rFonts w:ascii="Tahoma" w:eastAsia="Calibri" w:hAnsi="Tahoma" w:cs="Tahoma" w:hint="cs"/>
          <w:sz w:val="19"/>
          <w:szCs w:val="19"/>
          <w:rtl/>
        </w:rPr>
        <w:t>של לווים בשנת</w:t>
      </w:r>
      <w:bookmarkStart w:id="9" w:name="_Hlk225168212"/>
      <w:r w:rsidRPr="00DE05FA">
        <w:rPr>
          <w:rFonts w:ascii="Tahoma" w:eastAsia="Calibri" w:hAnsi="Tahoma" w:cs="Tahoma" w:hint="cs"/>
          <w:sz w:val="19"/>
          <w:szCs w:val="19"/>
          <w:rtl/>
        </w:rPr>
        <w:t xml:space="preserve"> 2024 לאחר יישום הרפורמה הוא נמוך יחסית (37%), כך </w:t>
      </w:r>
      <w:r w:rsidRPr="00DE05FA">
        <w:rPr>
          <w:rFonts w:ascii="Tahoma" w:eastAsia="Calibri" w:hAnsi="Tahoma" w:cs="Tahoma"/>
          <w:sz w:val="19"/>
          <w:szCs w:val="19"/>
          <w:rtl/>
        </w:rPr>
        <w:t xml:space="preserve">שמרבית הלווים (63%) קיבלו הצעה מבנק אחד בלבד. </w:t>
      </w:r>
      <w:bookmarkEnd w:id="9"/>
      <w:r w:rsidRPr="00DE05FA">
        <w:rPr>
          <w:rFonts w:ascii="Tahoma" w:eastAsia="Calibri" w:hAnsi="Tahoma" w:cs="Tahoma"/>
          <w:sz w:val="19"/>
          <w:szCs w:val="19"/>
          <w:rtl/>
        </w:rPr>
        <w:t>כמו כן, מנתוני בנק ישראל לשנת 2024 עולה כי שיעורי התיחור גבוהים יותר ברכישת דירה יחידה (46%) לעומת דירה חליפית (40%) או דירה להשקעה (38%), כך שמרבית הלווים שלוקחים הלוואות למטרת רכישת דירה לא עושים תיחור.</w:t>
      </w:r>
    </w:p>
    <w:p w:rsidR="00DE05FA" w:rsidRPr="00DE05FA" w:rsidP="00DE05FA">
      <w:pPr>
        <w:spacing w:line="288" w:lineRule="auto"/>
        <w:ind w:left="-143" w:right="-567"/>
        <w:rPr>
          <w:rFonts w:ascii="Tahoma" w:eastAsia="Calibri" w:hAnsi="Tahoma" w:cs="Tahoma"/>
          <w:sz w:val="19"/>
          <w:szCs w:val="19"/>
          <w:rtl/>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hint="cs"/>
          <w:b/>
          <w:bCs/>
          <w:sz w:val="22"/>
          <w:szCs w:val="22"/>
          <w:rtl/>
        </w:rPr>
        <w:t>מחזור משכנתאות</w:t>
      </w:r>
    </w:p>
    <w:p w:rsid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hint="cs"/>
          <w:b/>
          <w:bCs/>
          <w:sz w:val="19"/>
          <w:szCs w:val="19"/>
          <w:rtl/>
        </w:rPr>
        <w:t xml:space="preserve">האפקטיביות של </w:t>
      </w:r>
      <w:r w:rsidRPr="00DE05FA">
        <w:rPr>
          <w:rFonts w:ascii="Tahoma" w:eastAsia="Calibri" w:hAnsi="Tahoma" w:cs="Tahoma" w:hint="eastAsia"/>
          <w:b/>
          <w:bCs/>
          <w:sz w:val="19"/>
          <w:szCs w:val="19"/>
          <w:rtl/>
        </w:rPr>
        <w:t>רפורמת</w:t>
      </w:r>
      <w:r w:rsidRPr="00DE05FA">
        <w:rPr>
          <w:rFonts w:ascii="Tahoma" w:eastAsia="Calibri" w:hAnsi="Tahoma" w:cs="Tahoma"/>
          <w:b/>
          <w:bCs/>
          <w:sz w:val="19"/>
          <w:szCs w:val="19"/>
          <w:rtl/>
        </w:rPr>
        <w:t xml:space="preserve"> </w:t>
      </w:r>
      <w:r w:rsidRPr="00DE05FA">
        <w:rPr>
          <w:rFonts w:ascii="Tahoma" w:eastAsia="Calibri" w:hAnsi="Tahoma" w:cs="Tahoma" w:hint="cs"/>
          <w:b/>
          <w:bCs/>
          <w:sz w:val="19"/>
          <w:szCs w:val="19"/>
          <w:rtl/>
        </w:rPr>
        <w:t>מחזור המשכנתאות</w:t>
      </w:r>
      <w:r w:rsidRPr="00DE05FA">
        <w:rPr>
          <w:rFonts w:ascii="Tahoma" w:eastAsia="Calibri" w:hAnsi="Tahoma" w:cs="Tahoma" w:hint="cs"/>
          <w:sz w:val="19"/>
          <w:szCs w:val="19"/>
          <w:rtl/>
        </w:rPr>
        <w:t xml:space="preserve"> - בשנים האחרונות הוביל בנק ישראל רפורמה (רפורמת "מחזור בקליק") </w:t>
      </w:r>
      <w:r w:rsidRPr="00DE05FA">
        <w:rPr>
          <w:rFonts w:ascii="Tahoma" w:eastAsia="Calibri" w:hAnsi="Tahoma" w:cs="Tahoma"/>
          <w:sz w:val="19"/>
          <w:szCs w:val="19"/>
          <w:rtl/>
        </w:rPr>
        <w:t>במטרה להקל על ציבור הלווים המבקשים לפרוע הלוואה בפירעון מוקדם או למחזרה על ידי לקיחת הלוואה בגוף אחר</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יישום הרפורמה נדחה לאפריל 2025 עקב המלחמה והמורכבות הטכנולוגית שהצריכה את היערכות הבנקים</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במהלך תקופת הביקורת פנה משרד מבקר המדינה לבנק ישראל </w:t>
      </w:r>
      <w:r w:rsidR="001C7141">
        <w:rPr>
          <w:rFonts w:ascii="Tahoma" w:eastAsia="Calibri" w:hAnsi="Tahoma" w:cs="Tahoma" w:hint="cs"/>
          <w:sz w:val="19"/>
          <w:szCs w:val="19"/>
          <w:rtl/>
        </w:rPr>
        <w:t>כדי</w:t>
      </w:r>
      <w:r w:rsidRPr="00DE05FA">
        <w:rPr>
          <w:rFonts w:ascii="Tahoma" w:eastAsia="Calibri" w:hAnsi="Tahoma" w:cs="Tahoma"/>
          <w:sz w:val="19"/>
          <w:szCs w:val="19"/>
          <w:rtl/>
        </w:rPr>
        <w:t xml:space="preserve"> לבדוק את אפקטיביות הרפורמה. </w:t>
      </w:r>
      <w:r w:rsidRPr="00DE05FA">
        <w:rPr>
          <w:rFonts w:ascii="Tahoma" w:eastAsia="Calibri" w:hAnsi="Tahoma" w:cs="Tahoma" w:hint="cs"/>
          <w:sz w:val="19"/>
          <w:szCs w:val="19"/>
          <w:rtl/>
        </w:rPr>
        <w:t>עד מועד סיום הביקורת לא היו בידי בנק ישראל נתונים בענ</w:t>
      </w:r>
      <w:r w:rsidR="000B2400">
        <w:rPr>
          <w:rFonts w:ascii="Tahoma" w:eastAsia="Calibri" w:hAnsi="Tahoma" w:cs="Tahoma" w:hint="cs"/>
          <w:sz w:val="19"/>
          <w:szCs w:val="19"/>
          <w:rtl/>
        </w:rPr>
        <w:t>י</w:t>
      </w:r>
      <w:r w:rsidRPr="00DE05FA">
        <w:rPr>
          <w:rFonts w:ascii="Tahoma" w:eastAsia="Calibri" w:hAnsi="Tahoma" w:cs="Tahoma" w:hint="cs"/>
          <w:sz w:val="19"/>
          <w:szCs w:val="19"/>
          <w:rtl/>
        </w:rPr>
        <w:t xml:space="preserve">ין האפקטיביות של </w:t>
      </w:r>
      <w:r w:rsidRPr="00DE05FA">
        <w:rPr>
          <w:rFonts w:ascii="Tahoma" w:eastAsia="Calibri" w:hAnsi="Tahoma" w:cs="Tahoma" w:hint="cs"/>
          <w:sz w:val="19"/>
          <w:szCs w:val="19"/>
          <w:rtl/>
        </w:rPr>
        <w:t>רפורמת מחזור המשכנתאות שכן הרפורמה יצאה לדרך במאי 2025. כ-80% ממחזורי המשכנתאות שבוצעו במחצית הראשונה של שנת 2025 היו מחזורים פנימיים, כך שרוב המחזורים נעשים בבנקים שבהם נלקחו ההלוואות המקוריות.</w:t>
      </w:r>
    </w:p>
    <w:p w:rsidR="000B2400" w:rsidRPr="00DE05FA" w:rsidP="000B2400">
      <w:pPr>
        <w:spacing w:line="288" w:lineRule="auto"/>
        <w:ind w:left="-143" w:right="-567"/>
        <w:rPr>
          <w:rFonts w:ascii="Tahoma" w:eastAsia="Calibri" w:hAnsi="Tahoma" w:cs="Tahoma"/>
          <w:sz w:val="19"/>
          <w:szCs w:val="19"/>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hint="cs"/>
          <w:b/>
          <w:bCs/>
          <w:sz w:val="22"/>
          <w:szCs w:val="22"/>
          <w:rtl/>
        </w:rPr>
        <w:t xml:space="preserve">תלונות הציבור בתחום </w:t>
      </w:r>
      <w:r w:rsidR="000B2400">
        <w:rPr>
          <w:rFonts w:ascii="Tahoma" w:eastAsia="Calibri" w:hAnsi="Tahoma" w:cs="Tahoma" w:hint="cs"/>
          <w:b/>
          <w:bCs/>
          <w:sz w:val="22"/>
          <w:szCs w:val="22"/>
          <w:rtl/>
        </w:rPr>
        <w:t>ה</w:t>
      </w:r>
      <w:r w:rsidRPr="00DE05FA">
        <w:rPr>
          <w:rFonts w:ascii="Tahoma" w:eastAsia="Calibri" w:hAnsi="Tahoma" w:cs="Tahoma" w:hint="cs"/>
          <w:b/>
          <w:bCs/>
          <w:sz w:val="22"/>
          <w:szCs w:val="22"/>
          <w:rtl/>
        </w:rPr>
        <w:t>הלוואות לדיור</w:t>
      </w:r>
    </w:p>
    <w:p w:rsidR="00DE05FA" w:rsidRPr="00DE05FA" w:rsidP="00DE05FA">
      <w:pPr>
        <w:numPr>
          <w:ilvl w:val="0"/>
          <w:numId w:val="23"/>
        </w:numPr>
        <w:spacing w:line="288" w:lineRule="auto"/>
        <w:ind w:left="-143" w:right="-567" w:hanging="595"/>
        <w:contextualSpacing/>
        <w:rPr>
          <w:rFonts w:ascii="Tahoma" w:eastAsia="Calibri" w:hAnsi="Tahoma" w:cs="Tahoma"/>
          <w:sz w:val="19"/>
          <w:szCs w:val="19"/>
        </w:rPr>
      </w:pPr>
      <w:r w:rsidRPr="00DE05FA">
        <w:rPr>
          <w:rFonts w:ascii="Tahoma" w:eastAsia="Calibri" w:hAnsi="Tahoma" w:cs="Tahoma" w:hint="eastAsia"/>
          <w:b/>
          <w:bCs/>
          <w:sz w:val="19"/>
          <w:szCs w:val="19"/>
          <w:rtl/>
        </w:rPr>
        <w:t>שקיפות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סטטוס</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תלונת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הלקוח</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בעת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הגשת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תלונה</w:t>
      </w:r>
      <w:r w:rsidRPr="00DE05FA">
        <w:rPr>
          <w:rFonts w:ascii="Tahoma" w:eastAsia="Calibri" w:hAnsi="Tahoma" w:cs="Tahoma"/>
          <w:sz w:val="19"/>
          <w:szCs w:val="19"/>
          <w:rtl/>
        </w:rPr>
        <w:t xml:space="preserve"> - </w:t>
      </w:r>
      <w:r w:rsidRPr="00DE05FA">
        <w:rPr>
          <w:rFonts w:ascii="Tahoma" w:eastAsia="Calibri" w:hAnsi="Tahoma" w:cs="Tahoma" w:hint="eastAsia"/>
          <w:sz w:val="19"/>
          <w:szCs w:val="19"/>
          <w:rtl/>
        </w:rPr>
        <w:t>נמצא</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בשל</w:t>
      </w:r>
      <w:r w:rsidRPr="00DE05FA">
        <w:rPr>
          <w:rFonts w:ascii="Tahoma" w:eastAsia="Calibri" w:hAnsi="Tahoma" w:cs="Tahoma"/>
          <w:sz w:val="19"/>
          <w:szCs w:val="19"/>
          <w:rtl/>
        </w:rPr>
        <w:t xml:space="preserve"> מבנה הטיפול </w:t>
      </w:r>
      <w:r w:rsidRPr="00DE05FA">
        <w:rPr>
          <w:rFonts w:ascii="Tahoma" w:eastAsia="Calibri" w:hAnsi="Tahoma" w:cs="Tahoma" w:hint="eastAsia"/>
          <w:sz w:val="19"/>
          <w:szCs w:val="19"/>
          <w:rtl/>
        </w:rPr>
        <w:t>בתלונות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בתאגיד</w:t>
      </w:r>
      <w:r w:rsidRPr="00DE05FA">
        <w:rPr>
          <w:rFonts w:ascii="Tahoma" w:eastAsia="Calibri" w:hAnsi="Tahoma" w:cs="Tahoma"/>
          <w:sz w:val="19"/>
          <w:szCs w:val="19"/>
          <w:rtl/>
        </w:rPr>
        <w:t xml:space="preserve"> הבנקאי </w:t>
      </w:r>
      <w:r w:rsidRPr="00DE05FA">
        <w:rPr>
          <w:rFonts w:ascii="Tahoma" w:eastAsia="Calibri" w:hAnsi="Tahoma" w:cs="Tahoma" w:hint="eastAsia"/>
          <w:sz w:val="19"/>
          <w:szCs w:val="19"/>
          <w:rtl/>
        </w:rPr>
        <w:t>ורק</w:t>
      </w:r>
      <w:r w:rsidRPr="00DE05FA">
        <w:rPr>
          <w:rFonts w:ascii="Tahoma" w:eastAsia="Calibri" w:hAnsi="Tahoma" w:cs="Tahoma"/>
          <w:sz w:val="19"/>
          <w:szCs w:val="19"/>
          <w:rtl/>
        </w:rPr>
        <w:t xml:space="preserve"> לאחר מכן </w:t>
      </w:r>
      <w:r w:rsidRPr="00DE05FA">
        <w:rPr>
          <w:rFonts w:ascii="Tahoma" w:eastAsia="Calibri" w:hAnsi="Tahoma" w:cs="Tahoma" w:hint="eastAsia"/>
          <w:sz w:val="19"/>
          <w:szCs w:val="19"/>
          <w:rtl/>
        </w:rPr>
        <w:t>בפיקוח</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על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הבנקים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אין</w:t>
      </w:r>
      <w:r w:rsidRPr="00DE05FA">
        <w:rPr>
          <w:rFonts w:ascii="Tahoma" w:eastAsia="Calibri" w:hAnsi="Tahoma" w:cs="Tahoma"/>
          <w:sz w:val="19"/>
          <w:szCs w:val="19"/>
          <w:rtl/>
        </w:rPr>
        <w:t xml:space="preserve"> תמונה כוללת ללקוח </w:t>
      </w:r>
      <w:r w:rsidRPr="00DE05FA">
        <w:rPr>
          <w:rFonts w:ascii="Tahoma" w:eastAsia="Calibri" w:hAnsi="Tahoma" w:cs="Tahoma" w:hint="eastAsia"/>
          <w:sz w:val="19"/>
          <w:szCs w:val="19"/>
          <w:rtl/>
        </w:rPr>
        <w:t>או</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לבנק</w:t>
      </w:r>
      <w:r w:rsidRPr="00DE05FA">
        <w:rPr>
          <w:rFonts w:ascii="Tahoma" w:eastAsia="Calibri" w:hAnsi="Tahoma" w:cs="Tahoma"/>
          <w:sz w:val="19"/>
          <w:szCs w:val="19"/>
          <w:rtl/>
        </w:rPr>
        <w:t xml:space="preserve"> ישראל </w:t>
      </w:r>
      <w:r w:rsidRPr="00DE05FA">
        <w:rPr>
          <w:rFonts w:ascii="Tahoma" w:eastAsia="Calibri" w:hAnsi="Tahoma" w:cs="Tahoma" w:hint="eastAsia"/>
          <w:sz w:val="19"/>
          <w:szCs w:val="19"/>
          <w:rtl/>
        </w:rPr>
        <w:t>בדבר</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סטטוס</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הטיפול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בתלונה</w:t>
      </w:r>
      <w:r w:rsidRPr="00DE05FA">
        <w:rPr>
          <w:rFonts w:ascii="Tahoma" w:eastAsia="Calibri" w:hAnsi="Tahoma" w:cs="Tahoma"/>
          <w:sz w:val="19"/>
          <w:szCs w:val="19"/>
          <w:rtl/>
        </w:rPr>
        <w:t xml:space="preserve">. מצב זה </w:t>
      </w:r>
      <w:r w:rsidRPr="00DE05FA">
        <w:rPr>
          <w:rFonts w:ascii="Tahoma" w:eastAsia="Calibri" w:hAnsi="Tahoma" w:cs="Tahoma" w:hint="eastAsia"/>
          <w:sz w:val="19"/>
          <w:szCs w:val="19"/>
          <w:rtl/>
        </w:rPr>
        <w:t>יוצר</w:t>
      </w:r>
      <w:r w:rsidRPr="00DE05FA">
        <w:rPr>
          <w:rFonts w:ascii="Tahoma" w:eastAsia="Calibri" w:hAnsi="Tahoma" w:cs="Tahoma"/>
          <w:sz w:val="19"/>
          <w:szCs w:val="19"/>
          <w:rtl/>
        </w:rPr>
        <w:t xml:space="preserve"> חוסר וודאות אצל הפונה לגבי משך הזמן הכולל שיידרש לפתרון הבעיה והשלבים שעליו לעבור.</w:t>
      </w:r>
    </w:p>
    <w:p w:rsidR="00DE05FA" w:rsidRPr="00DE05FA" w:rsidP="00DE05FA">
      <w:pPr>
        <w:spacing w:before="240" w:after="160" w:line="288" w:lineRule="auto"/>
        <w:ind w:left="-283" w:right="-567" w:hanging="454"/>
        <w:rPr>
          <w:rFonts w:ascii="Tahoma" w:eastAsia="Calibri" w:hAnsi="Tahoma" w:cs="Tahoma"/>
          <w:sz w:val="19"/>
          <w:szCs w:val="19"/>
          <w:rtl/>
        </w:rPr>
      </w:pPr>
      <w:r w:rsidRPr="00DE05FA">
        <w:rPr>
          <w:rFonts w:ascii="Tahoma" w:eastAsia="Calibri" w:hAnsi="Tahoma" w:cs="Tahoma" w:hint="cs"/>
          <w:noProof/>
          <w:sz w:val="19"/>
          <w:szCs w:val="19"/>
          <w:rtl/>
        </w:rPr>
        <w:drawing>
          <wp:inline distT="0" distB="0" distL="0" distR="0">
            <wp:extent cx="2710450" cy="207831"/>
            <wp:effectExtent l="0" t="0" r="0" b="1905"/>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DE05FA" w:rsidRPr="00DE05FA" w:rsidP="00DE05FA">
      <w:pPr>
        <w:spacing w:after="120" w:line="288" w:lineRule="auto"/>
        <w:ind w:left="-147" w:right="-567"/>
        <w:rPr>
          <w:rFonts w:ascii="Tahoma" w:eastAsia="Calibri" w:hAnsi="Tahoma" w:cs="Tahoma"/>
          <w:sz w:val="19"/>
          <w:szCs w:val="19"/>
          <w:rtl/>
        </w:rPr>
      </w:pPr>
      <w:r w:rsidRPr="00DE05FA">
        <w:rPr>
          <w:rFonts w:ascii="Tahoma" w:eastAsia="Calibri" w:hAnsi="Tahoma" w:cs="Tahoma"/>
          <w:b/>
          <w:bCs/>
          <w:sz w:val="19"/>
          <w:szCs w:val="19"/>
          <w:rtl/>
        </w:rPr>
        <w:t>הנגשה ופרסום של שיעורי ריביות במשכנתאות באתר "קו המשווה"</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משרד מבקר המדינה מציין לחיוב את פעולות בנק ישראל לפרסום והנגשה של מידע השוואתי על מוצרים פיננסיים</w:t>
      </w:r>
      <w:r w:rsidRPr="00DE05FA">
        <w:rPr>
          <w:rFonts w:ascii="Tahoma" w:eastAsia="Calibri" w:hAnsi="Tahoma" w:cs="Tahoma" w:hint="cs"/>
          <w:sz w:val="19"/>
          <w:szCs w:val="19"/>
          <w:rtl/>
        </w:rPr>
        <w:t xml:space="preserve"> באתר "קו המשווה"</w:t>
      </w:r>
      <w:r w:rsidRPr="00DE05FA">
        <w:rPr>
          <w:rFonts w:ascii="Tahoma" w:eastAsia="Calibri" w:hAnsi="Tahoma" w:cs="Tahoma"/>
          <w:sz w:val="19"/>
          <w:szCs w:val="19"/>
          <w:rtl/>
        </w:rPr>
        <w:t>, ובפרט את פרסום הנתונים החודשיים על שיעורי הריביות הממוצעות במשכנתאות למטרת מגורים</w:t>
      </w:r>
      <w:r w:rsidRPr="00DE05FA">
        <w:rPr>
          <w:rFonts w:ascii="Tahoma" w:eastAsia="Calibri" w:hAnsi="Tahoma" w:cs="Tahoma" w:hint="cs"/>
          <w:sz w:val="19"/>
          <w:szCs w:val="19"/>
          <w:rtl/>
        </w:rPr>
        <w:t xml:space="preserve"> החל מיולי 2023</w:t>
      </w:r>
      <w:r w:rsidRPr="00DE05FA">
        <w:rPr>
          <w:rFonts w:ascii="Tahoma" w:eastAsia="Calibri" w:hAnsi="Tahoma" w:cs="Tahoma"/>
          <w:sz w:val="19"/>
          <w:szCs w:val="19"/>
          <w:rtl/>
        </w:rPr>
        <w:t>. הפרסום כאמור מנגיש מידע שיכול לסייע לציבור בהבנת מוצר המשכנתא וההבדלים בריביות בין מסלולי ההלוואה השונים.</w:t>
      </w:r>
    </w:p>
    <w:p w:rsidR="000B2400" w:rsidP="00DE05FA">
      <w:pPr>
        <w:spacing w:line="288" w:lineRule="auto"/>
        <w:ind w:left="-150" w:right="-567"/>
        <w:rPr>
          <w:rFonts w:ascii="Tahoma" w:eastAsia="Calibri" w:hAnsi="Tahoma" w:cs="Tahoma"/>
          <w:sz w:val="19"/>
          <w:szCs w:val="19"/>
          <w:rtl/>
        </w:rPr>
      </w:pPr>
      <w:r w:rsidRPr="00DE05FA">
        <w:rPr>
          <w:rFonts w:ascii="Tahoma" w:eastAsia="Calibri" w:hAnsi="Tahoma" w:cs="Tahoma"/>
          <w:sz w:val="19"/>
          <w:szCs w:val="19"/>
          <w:rtl/>
        </w:rPr>
        <w:t>עם זאת נמצא כי הפיקוח על הבנקים אינו מפרסם ב"קו המשווה" נתונים נוספים על שיעורי הריביות במשכנתאות, כפי שנוהג לפרסם על הלוואות צרכניות של משקי בית, כמו הריבית החציונית והריבית הממוצעת ברבעון התחתון והעליון. עוד נמצא כי למרות שהפיקוח על הבנקים מחזיק במידע רחב שהבנקים מדווחים לו בתחום המשכנתאות, כגון שיעורי ריביות בפילוחים לפי משתנים שונים המשפיעים על שיעורי הריביות, הוא אינו מנגיש אותם לציבור ב"קו המשווה". בשל כך נמנעת מהציבור נגישות לנתונים השוואתיים בעלי חשיבות שיכולים להגביר את השקיפות ואת כוחם של הלווים כמו שיעורי ריביות במשכנתאות לפי פילוחים של משתנים כמו תקופה, שיעור המימון ושיעור החזר מהכנסה המשפיע</w:t>
      </w:r>
      <w:r w:rsidRPr="00DE05FA">
        <w:rPr>
          <w:rFonts w:ascii="Tahoma" w:eastAsia="Calibri" w:hAnsi="Tahoma" w:cs="Tahoma" w:hint="cs"/>
          <w:sz w:val="19"/>
          <w:szCs w:val="19"/>
          <w:rtl/>
        </w:rPr>
        <w:t>ים</w:t>
      </w:r>
      <w:r w:rsidRPr="00DE05FA">
        <w:rPr>
          <w:rFonts w:ascii="Tahoma" w:eastAsia="Calibri" w:hAnsi="Tahoma" w:cs="Tahoma"/>
          <w:sz w:val="19"/>
          <w:szCs w:val="19"/>
          <w:rtl/>
        </w:rPr>
        <w:t xml:space="preserve"> באופן משמעותי על גובה הריביות. בנוסף הפיקוח על הבנקים אינו מפרסם ב"קו המשווה" נתונים על שיעורי ריביות בהלוואות לכל מטרה.</w:t>
      </w:r>
    </w:p>
    <w:p w:rsidR="000B2400">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DE05FA" w:rsidRPr="00DE05FA" w:rsidP="000B2400">
      <w:pPr>
        <w:spacing w:line="288" w:lineRule="auto"/>
        <w:ind w:left="-851"/>
        <w:rPr>
          <w:rFonts w:eastAsia="Calibri"/>
          <w:rtl/>
        </w:rPr>
      </w:pPr>
      <w:r w:rsidRPr="00DE05FA">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-88069</wp:posOffset>
            </wp:positionH>
            <wp:positionV relativeFrom="paragraph">
              <wp:posOffset>9085</wp:posOffset>
            </wp:positionV>
            <wp:extent cx="5937396" cy="752463"/>
            <wp:effectExtent l="0" t="0" r="0"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37396" cy="752463"/>
                    </a:xfrm>
                    <a:prstGeom prst="rect">
                      <a:avLst/>
                    </a:prstGeom>
                  </pic:spPr>
                </pic:pic>
              </a:graphicData>
            </a:graphic>
            <wp14:sizeRelH relativeFrom="page">
              <wp14:pctWidth>0</wp14:pctWidth>
            </wp14:sizeRelH>
            <wp14:sizeRelV relativeFrom="page">
              <wp14:pctHeight>0</wp14:pctHeight>
            </wp14:sizeRelV>
          </wp:anchor>
        </w:drawing>
      </w:r>
    </w:p>
    <w:p w:rsidR="00DE05FA" w:rsidRPr="00DE05FA" w:rsidP="00780728">
      <w:pPr>
        <w:spacing w:line="288" w:lineRule="auto"/>
        <w:ind w:left="-711"/>
        <w:rPr>
          <w:rFonts w:ascii="Tahoma" w:eastAsia="Calibri" w:hAnsi="Tahoma" w:cs="Tahoma"/>
          <w:b/>
          <w:bCs/>
          <w:noProof/>
          <w:color w:val="FFFFFF"/>
          <w:sz w:val="22"/>
          <w:szCs w:val="22"/>
          <w:rtl/>
        </w:rPr>
      </w:pPr>
      <w:r w:rsidRPr="00DE05FA">
        <w:rPr>
          <w:rFonts w:ascii="Tahoma" w:eastAsia="Calibri" w:hAnsi="Tahoma" w:cs="Tahoma"/>
          <w:b/>
          <w:bCs/>
          <w:noProof/>
          <w:color w:val="FFFFFF"/>
          <w:sz w:val="22"/>
          <w:szCs w:val="22"/>
          <w:rtl/>
        </w:rPr>
        <w:t>משקל ההלוואות בשיעורי מימון ושיעור החזר מהכנסה גבוהים בשנים 2022 - 2025</w:t>
      </w:r>
    </w:p>
    <w:p w:rsidR="00DE05FA" w:rsidRPr="00DE05FA" w:rsidP="00DE05FA">
      <w:pPr>
        <w:spacing w:line="288" w:lineRule="auto"/>
        <w:rPr>
          <w:rFonts w:ascii="Tahoma" w:eastAsia="Calibri" w:hAnsi="Tahoma" w:cs="Tahoma"/>
          <w:color w:val="FFFFFF"/>
          <w:rtl/>
        </w:rPr>
      </w:pPr>
    </w:p>
    <w:p w:rsidR="00DE05FA" w:rsidRPr="00DE05FA" w:rsidP="00DE05FA">
      <w:pPr>
        <w:spacing w:line="288" w:lineRule="auto"/>
        <w:ind w:left="-851"/>
        <w:rPr>
          <w:rFonts w:ascii="Tahoma" w:eastAsia="Calibri" w:hAnsi="Tahoma" w:cs="Tahoma"/>
          <w:sz w:val="19"/>
          <w:szCs w:val="19"/>
          <w:rtl/>
        </w:rPr>
      </w:pPr>
    </w:p>
    <w:p w:rsidR="00DE05FA" w:rsidRPr="00DE05FA" w:rsidP="005405A6">
      <w:pPr>
        <w:spacing w:line="288" w:lineRule="auto"/>
        <w:ind w:left="-285"/>
        <w:jc w:val="center"/>
        <w:rPr>
          <w:rFonts w:ascii="Tahoma" w:eastAsia="Calibri" w:hAnsi="Tahoma" w:cs="Tahoma"/>
          <w:sz w:val="19"/>
          <w:szCs w:val="19"/>
          <w:rtl/>
        </w:rPr>
      </w:pPr>
      <w:r w:rsidRPr="00DE05FA">
        <w:rPr>
          <w:rFonts w:ascii="Tahoma" w:eastAsia="Calibri" w:hAnsi="Tahoma" w:cs="Tahoma"/>
          <w:noProof/>
          <w:sz w:val="19"/>
          <w:szCs w:val="19"/>
        </w:rPr>
        <w:drawing>
          <wp:inline distT="0" distB="0" distL="0" distR="0">
            <wp:extent cx="5277140" cy="3005750"/>
            <wp:effectExtent l="0" t="0" r="0" b="4445"/>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063" cy="3020515"/>
                    </a:xfrm>
                    <a:prstGeom prst="rect">
                      <a:avLst/>
                    </a:prstGeom>
                    <a:noFill/>
                  </pic:spPr>
                </pic:pic>
              </a:graphicData>
            </a:graphic>
          </wp:inline>
        </w:drawing>
      </w:r>
    </w:p>
    <w:p w:rsidR="00DE05FA" w:rsidP="00DE05FA">
      <w:pPr>
        <w:spacing w:line="288" w:lineRule="auto"/>
        <w:ind w:left="-851"/>
        <w:rPr>
          <w:rFonts w:ascii="Tahoma" w:eastAsia="Calibri" w:hAnsi="Tahoma" w:cs="Tahoma"/>
          <w:sz w:val="16"/>
          <w:szCs w:val="16"/>
          <w:rtl/>
        </w:rPr>
      </w:pPr>
      <w:r w:rsidRPr="00DE05FA">
        <w:rPr>
          <w:rFonts w:ascii="Tahoma" w:eastAsia="Calibri" w:hAnsi="Tahoma" w:cs="Tahoma" w:hint="cs"/>
          <w:sz w:val="16"/>
          <w:szCs w:val="16"/>
          <w:rtl/>
        </w:rPr>
        <w:t>על פי נתוני בנק ישראל, ב</w:t>
      </w:r>
      <w:r w:rsidRPr="00DE05FA">
        <w:rPr>
          <w:rFonts w:ascii="Tahoma" w:eastAsia="Calibri" w:hAnsi="Tahoma" w:cs="Tahoma"/>
          <w:sz w:val="16"/>
          <w:szCs w:val="16"/>
          <w:rtl/>
        </w:rPr>
        <w:t>עיבוד משרד מבקר המדינה</w:t>
      </w:r>
      <w:r w:rsidRPr="00DE05FA">
        <w:rPr>
          <w:rFonts w:ascii="Tahoma" w:eastAsia="Calibri" w:hAnsi="Tahoma" w:cs="Tahoma" w:hint="cs"/>
          <w:sz w:val="16"/>
          <w:szCs w:val="16"/>
          <w:rtl/>
        </w:rPr>
        <w:t>.</w:t>
      </w:r>
    </w:p>
    <w:p w:rsidR="005405A6" w:rsidRPr="00DE05FA" w:rsidP="00DE05FA">
      <w:pPr>
        <w:spacing w:line="288" w:lineRule="auto"/>
        <w:ind w:left="-851"/>
        <w:rPr>
          <w:rFonts w:ascii="Tahoma" w:eastAsia="Calibri" w:hAnsi="Tahoma" w:cs="Tahoma"/>
          <w:sz w:val="16"/>
          <w:szCs w:val="16"/>
          <w:rtl/>
        </w:rPr>
      </w:pPr>
    </w:p>
    <w:p w:rsidR="00DE05FA" w:rsidRPr="00DE05FA" w:rsidP="00DE05FA">
      <w:pPr>
        <w:spacing w:line="288" w:lineRule="auto"/>
        <w:ind w:left="-851"/>
        <w:rPr>
          <w:rFonts w:ascii="Tahoma" w:eastAsia="Calibri" w:hAnsi="Tahoma" w:cs="Tahoma"/>
          <w:sz w:val="19"/>
          <w:szCs w:val="19"/>
          <w:rtl/>
        </w:rPr>
      </w:pPr>
      <w:r w:rsidRPr="00DE05FA">
        <w:rPr>
          <w:rFonts w:ascii="Tahoma" w:eastAsia="Calibri" w:hAnsi="Tahoma" w:cs="Tahoma"/>
          <w:sz w:val="19"/>
          <w:szCs w:val="19"/>
          <w:rtl/>
        </w:rPr>
        <w:t xml:space="preserve">מהתרשים עולה כי משקל ההלוואות בסיכון גבוה עלה מכ-20% בינואר 2022 לכ-31% ביולי 2025. עוד עולה כי משקל ההלוואות בשיעור החזר בטווח 30% -40% עלה מכ-39% בינואר 2022 לכ-56% ביולי 2025, וכי משקל ההלוואות בשיעור מימון </w:t>
      </w:r>
      <w:r w:rsidRPr="00DE05FA" w:rsidR="004A17E8">
        <w:rPr>
          <w:rFonts w:ascii="Tahoma" w:eastAsia="Calibri" w:hAnsi="Tahoma" w:cs="Tahoma" w:hint="cs"/>
          <w:sz w:val="19"/>
          <w:szCs w:val="19"/>
          <w:rtl/>
        </w:rPr>
        <w:t>בטווח</w:t>
      </w:r>
      <w:r w:rsidRPr="00DE05FA">
        <w:rPr>
          <w:rFonts w:ascii="Tahoma" w:eastAsia="Calibri" w:hAnsi="Tahoma" w:cs="Tahoma"/>
          <w:sz w:val="19"/>
          <w:szCs w:val="19"/>
          <w:rtl/>
        </w:rPr>
        <w:t xml:space="preserve"> 60% - 75% עלה מכ-45% לכ-46.2% בתקופה זו. הסבר אפשרי לעל</w:t>
      </w:r>
      <w:r w:rsidRPr="00DE05FA">
        <w:rPr>
          <w:rFonts w:ascii="Tahoma" w:eastAsia="Calibri" w:hAnsi="Tahoma" w:cs="Tahoma" w:hint="cs"/>
          <w:sz w:val="19"/>
          <w:szCs w:val="19"/>
          <w:rtl/>
        </w:rPr>
        <w:t>י</w:t>
      </w:r>
      <w:r w:rsidRPr="00DE05FA">
        <w:rPr>
          <w:rFonts w:ascii="Tahoma" w:eastAsia="Calibri" w:hAnsi="Tahoma" w:cs="Tahoma"/>
          <w:sz w:val="19"/>
          <w:szCs w:val="19"/>
          <w:rtl/>
        </w:rPr>
        <w:t xml:space="preserve">יה בכמות </w:t>
      </w:r>
      <w:r w:rsidRPr="00DE05FA" w:rsidR="004A17E8">
        <w:rPr>
          <w:rFonts w:ascii="Tahoma" w:eastAsia="Calibri" w:hAnsi="Tahoma" w:cs="Tahoma" w:hint="cs"/>
          <w:sz w:val="19"/>
          <w:szCs w:val="19"/>
          <w:rtl/>
        </w:rPr>
        <w:t>ההלוואו</w:t>
      </w:r>
      <w:r w:rsidRPr="00DE05FA" w:rsidR="004A17E8">
        <w:rPr>
          <w:rFonts w:ascii="Tahoma" w:eastAsia="Calibri" w:hAnsi="Tahoma" w:cs="Tahoma" w:hint="eastAsia"/>
          <w:sz w:val="19"/>
          <w:szCs w:val="19"/>
          <w:rtl/>
        </w:rPr>
        <w:t>ת</w:t>
      </w:r>
      <w:r w:rsidRPr="00DE05FA">
        <w:rPr>
          <w:rFonts w:ascii="Tahoma" w:eastAsia="Calibri" w:hAnsi="Tahoma" w:cs="Tahoma"/>
          <w:sz w:val="19"/>
          <w:szCs w:val="19"/>
          <w:rtl/>
        </w:rPr>
        <w:t xml:space="preserve"> בהן שיעור ההחזר מהכנסה גבוה מ-30% הוא עליית ההחזר החודשי בשנים האחרונות שהתרחשה על רקע הגידול בסכומי המשכנתאות בסביבת ריבית ואינפלציה גבוהות מבעבר. בנק ישראל ציין בדוח היציבות הפיננסית למחצית </w:t>
      </w:r>
      <w:r w:rsidRPr="00DE05FA" w:rsidR="004A17E8">
        <w:rPr>
          <w:rFonts w:ascii="Tahoma" w:eastAsia="Calibri" w:hAnsi="Tahoma" w:cs="Tahoma" w:hint="cs"/>
          <w:sz w:val="19"/>
          <w:szCs w:val="19"/>
          <w:rtl/>
        </w:rPr>
        <w:t>השניי</w:t>
      </w:r>
      <w:r w:rsidRPr="00DE05FA" w:rsidR="004A17E8">
        <w:rPr>
          <w:rFonts w:ascii="Tahoma" w:eastAsia="Calibri" w:hAnsi="Tahoma" w:cs="Tahoma" w:hint="eastAsia"/>
          <w:sz w:val="19"/>
          <w:szCs w:val="19"/>
          <w:rtl/>
        </w:rPr>
        <w:t>ה</w:t>
      </w:r>
      <w:r w:rsidRPr="00DE05FA">
        <w:rPr>
          <w:rFonts w:ascii="Tahoma" w:eastAsia="Calibri" w:hAnsi="Tahoma" w:cs="Tahoma"/>
          <w:sz w:val="19"/>
          <w:szCs w:val="19"/>
          <w:rtl/>
        </w:rPr>
        <w:t xml:space="preserve"> של שנת 2024 כי שיעור המשכנתאות החדשות המוגדרות בסיכון גבוה נמצא ברמת שיא היסטורית, שנכון לספטמבר 2024 הייתה בשיעור של 29.7%, ומאז עלתה לכ-30.8% ביולי 2025, כך שמשקל ההלוואות בסיכון גבוה הוסיף לעלות. העל</w:t>
      </w:r>
      <w:r w:rsidRPr="00DE05FA">
        <w:rPr>
          <w:rFonts w:ascii="Tahoma" w:eastAsia="Calibri" w:hAnsi="Tahoma" w:cs="Tahoma" w:hint="cs"/>
          <w:sz w:val="19"/>
          <w:szCs w:val="19"/>
          <w:rtl/>
        </w:rPr>
        <w:t>י</w:t>
      </w:r>
      <w:r w:rsidRPr="00DE05FA">
        <w:rPr>
          <w:rFonts w:ascii="Tahoma" w:eastAsia="Calibri" w:hAnsi="Tahoma" w:cs="Tahoma"/>
          <w:sz w:val="19"/>
          <w:szCs w:val="19"/>
          <w:rtl/>
        </w:rPr>
        <w:t>יה המתמשכת בביצועי משכנתאות בסיכון גבוה נובעת בעיקר בשל העלי</w:t>
      </w:r>
      <w:r w:rsidRPr="00DE05FA">
        <w:rPr>
          <w:rFonts w:ascii="Tahoma" w:eastAsia="Calibri" w:hAnsi="Tahoma" w:cs="Tahoma" w:hint="cs"/>
          <w:sz w:val="19"/>
          <w:szCs w:val="19"/>
          <w:rtl/>
        </w:rPr>
        <w:t>י</w:t>
      </w:r>
      <w:r w:rsidRPr="00DE05FA">
        <w:rPr>
          <w:rFonts w:ascii="Tahoma" w:eastAsia="Calibri" w:hAnsi="Tahoma" w:cs="Tahoma"/>
          <w:sz w:val="19"/>
          <w:szCs w:val="19"/>
          <w:rtl/>
        </w:rPr>
        <w:t>ה במשקל ההלוואות בשיעור החזר מהכנסה מעל 30% ופחות מההלוואות בשיעורי מימון גבוהים, שמשקלן לא עלה באופן משמעותי בשנים 2022 - 2025.</w:t>
      </w:r>
    </w:p>
    <w:p w:rsidR="00DE05FA" w:rsidRPr="00DE05FA" w:rsidP="00DE05FA">
      <w:pPr>
        <w:spacing w:line="288" w:lineRule="auto"/>
        <w:ind w:left="-851"/>
        <w:rPr>
          <w:rFonts w:ascii="Tahoma" w:eastAsia="Calibri" w:hAnsi="Tahoma" w:cs="Tahoma"/>
          <w:sz w:val="19"/>
          <w:szCs w:val="19"/>
          <w:rtl/>
        </w:rPr>
      </w:pPr>
    </w:p>
    <w:p w:rsidR="00DE05FA" w:rsidRPr="00DE05FA" w:rsidP="00DE05FA">
      <w:pPr>
        <w:spacing w:line="288" w:lineRule="auto"/>
        <w:ind w:left="-851"/>
        <w:rPr>
          <w:rFonts w:ascii="Tahoma" w:eastAsia="Calibri" w:hAnsi="Tahoma" w:cs="Tahoma"/>
          <w:sz w:val="19"/>
          <w:szCs w:val="19"/>
          <w:rtl/>
        </w:rPr>
      </w:pPr>
    </w:p>
    <w:p w:rsidR="00DE05FA" w:rsidRPr="00DE05FA" w:rsidP="00DE05FA">
      <w:pPr>
        <w:spacing w:line="288" w:lineRule="auto"/>
        <w:ind w:left="-851"/>
        <w:rPr>
          <w:rFonts w:ascii="Tahoma" w:eastAsia="Calibri" w:hAnsi="Tahoma" w:cs="Tahoma"/>
          <w:sz w:val="19"/>
          <w:szCs w:val="19"/>
          <w:rtl/>
        </w:rPr>
      </w:pPr>
    </w:p>
    <w:p w:rsidR="000B2400">
      <w:pPr>
        <w:bidi w:val="0"/>
        <w:spacing w:after="200" w:line="276" w:lineRule="auto"/>
        <w:rPr>
          <w:rFonts w:ascii="Tahoma" w:eastAsia="Calibri" w:hAnsi="Tahoma" w:cs="Tahoma"/>
          <w:b/>
          <w:bCs/>
          <w:sz w:val="40"/>
          <w:szCs w:val="40"/>
          <w:rtl/>
        </w:rPr>
      </w:pPr>
      <w:r>
        <w:rPr>
          <w:rFonts w:ascii="Tahoma" w:eastAsia="Calibri" w:hAnsi="Tahoma" w:cs="Tahoma"/>
          <w:b/>
          <w:bCs/>
          <w:sz w:val="40"/>
          <w:szCs w:val="40"/>
          <w:rtl/>
        </w:rPr>
        <w:br w:type="page"/>
      </w:r>
    </w:p>
    <w:p w:rsidR="00DE05FA" w:rsidRPr="00DE05FA" w:rsidP="004A17E8">
      <w:pPr>
        <w:spacing w:line="240" w:lineRule="auto"/>
        <w:ind w:left="-852" w:right="-426"/>
        <w:jc w:val="center"/>
        <w:rPr>
          <w:rFonts w:ascii="Tahoma" w:eastAsia="Calibri" w:hAnsi="Tahoma" w:cs="Tahoma"/>
          <w:b/>
          <w:bCs/>
          <w:sz w:val="40"/>
          <w:szCs w:val="40"/>
          <w:rtl/>
        </w:rPr>
      </w:pPr>
      <w:r w:rsidRPr="00DE05FA">
        <w:rPr>
          <w:rFonts w:ascii="Tahoma" w:eastAsia="Calibri" w:hAnsi="Tahoma" w:cs="Tahoma" w:hint="cs"/>
          <w:b/>
          <w:bCs/>
          <w:sz w:val="40"/>
          <w:szCs w:val="40"/>
          <w:rtl/>
        </w:rPr>
        <w:t>שער שני - משכנתאות של אוכלוסיות שונות וסיוע במשכנתאות לזכאים ולנפגעי מלחמת חרבות ברזל</w:t>
      </w:r>
    </w:p>
    <w:p w:rsidR="00DE05FA" w:rsidRPr="00DE05FA" w:rsidP="00DE05FA">
      <w:pPr>
        <w:spacing w:line="288" w:lineRule="auto"/>
        <w:ind w:left="-284"/>
        <w:rPr>
          <w:rFonts w:ascii="Tahoma" w:eastAsia="Calibri" w:hAnsi="Tahoma" w:cs="Tahoma"/>
          <w:noProof/>
          <w:rtl/>
        </w:rPr>
      </w:pPr>
    </w:p>
    <w:p w:rsidR="00DE05FA" w:rsidRPr="00DE05FA" w:rsidP="00780728">
      <w:pPr>
        <w:spacing w:line="288" w:lineRule="auto"/>
        <w:ind w:left="-569"/>
        <w:rPr>
          <w:rFonts w:ascii="Tahoma" w:eastAsia="Calibri" w:hAnsi="Tahoma" w:cs="Tahoma"/>
          <w:noProof/>
          <w:rtl/>
        </w:rPr>
      </w:pPr>
      <w:r w:rsidRPr="00DE05FA">
        <w:rPr>
          <w:rFonts w:ascii="Tahoma" w:eastAsia="Calibri" w:hAnsi="Tahoma" w:cs="Tahoma"/>
          <w:noProof/>
          <w:rtl/>
        </w:rPr>
        <w:drawing>
          <wp:inline distT="0" distB="0" distL="0" distR="0">
            <wp:extent cx="2131060" cy="380943"/>
            <wp:effectExtent l="0" t="0" r="2540" b="63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2016" cy="388264"/>
                    </a:xfrm>
                    <a:prstGeom prst="rect">
                      <a:avLst/>
                    </a:prstGeom>
                  </pic:spPr>
                </pic:pic>
              </a:graphicData>
            </a:graphic>
          </wp:inline>
        </w:drawing>
      </w:r>
    </w:p>
    <w:tbl>
      <w:tblPr>
        <w:tblStyle w:val="26"/>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284"/>
        <w:gridCol w:w="2835"/>
        <w:gridCol w:w="283"/>
        <w:gridCol w:w="1701"/>
        <w:gridCol w:w="284"/>
        <w:gridCol w:w="1843"/>
      </w:tblGrid>
      <w:tr w:rsidTr="00606D97">
        <w:tblPrEx>
          <w:tblW w:w="9214" w:type="dxa"/>
          <w:tblLook w:val="04A0"/>
        </w:tblPrEx>
        <w:trPr>
          <w:trHeight w:val="148"/>
        </w:trPr>
        <w:tc>
          <w:tcPr>
            <w:tcW w:w="1984"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26"/>
                <w:szCs w:val="26"/>
                <w:rtl/>
              </w:rPr>
            </w:pPr>
            <w:r w:rsidRPr="00DE05FA">
              <w:rPr>
                <w:rFonts w:ascii="Tahoma" w:eastAsia="Calibri" w:hAnsi="Tahoma" w:cs="Tahoma" w:hint="cs"/>
                <w:spacing w:val="-10"/>
                <w:sz w:val="36"/>
                <w:szCs w:val="36"/>
                <w:rtl/>
              </w:rPr>
              <w:t xml:space="preserve">18 </w:t>
            </w:r>
            <w:r w:rsidRPr="00DE05FA">
              <w:rPr>
                <w:rFonts w:ascii="Tahoma" w:eastAsia="Calibri" w:hAnsi="Tahoma" w:cs="Tahoma" w:hint="cs"/>
                <w:spacing w:val="-10"/>
                <w:sz w:val="26"/>
                <w:szCs w:val="26"/>
                <w:rtl/>
              </w:rPr>
              <w:t>חודשים</w:t>
            </w:r>
          </w:p>
        </w:tc>
        <w:tc>
          <w:tcPr>
            <w:tcW w:w="284" w:type="dxa"/>
            <w:vAlign w:val="bottom"/>
          </w:tcPr>
          <w:p w:rsidR="00DE05FA" w:rsidRPr="00DE05FA" w:rsidP="00DE05FA">
            <w:pPr>
              <w:spacing w:after="60" w:line="240" w:lineRule="auto"/>
              <w:rPr>
                <w:rFonts w:ascii="Tahoma" w:eastAsia="Calibri" w:hAnsi="Tahoma" w:cs="Tahoma"/>
                <w:spacing w:val="-10"/>
              </w:rPr>
            </w:pPr>
          </w:p>
        </w:tc>
        <w:tc>
          <w:tcPr>
            <w:tcW w:w="2835"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26"/>
                <w:szCs w:val="26"/>
                <w:rtl/>
              </w:rPr>
            </w:pPr>
            <w:r w:rsidRPr="00DE05FA">
              <w:rPr>
                <w:rFonts w:ascii="Tahoma" w:eastAsia="Calibri" w:hAnsi="Tahoma" w:cs="Tahoma" w:hint="cs"/>
                <w:spacing w:val="-10"/>
                <w:sz w:val="36"/>
                <w:szCs w:val="36"/>
                <w:rtl/>
              </w:rPr>
              <w:t xml:space="preserve">57% </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7%</w:t>
            </w:r>
          </w:p>
        </w:tc>
        <w:tc>
          <w:tcPr>
            <w:tcW w:w="283" w:type="dxa"/>
            <w:vAlign w:val="bottom"/>
          </w:tcPr>
          <w:p w:rsidR="00DE05FA" w:rsidRPr="00DE05FA" w:rsidP="00DE05FA">
            <w:pPr>
              <w:spacing w:after="60" w:line="240" w:lineRule="auto"/>
              <w:rPr>
                <w:rFonts w:ascii="Tahoma" w:eastAsia="Calibri" w:hAnsi="Tahoma" w:cs="Tahoma"/>
                <w:spacing w:val="-10"/>
              </w:rPr>
            </w:pPr>
          </w:p>
        </w:tc>
        <w:tc>
          <w:tcPr>
            <w:tcW w:w="1701"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36"/>
                <w:szCs w:val="36"/>
                <w:rtl/>
              </w:rPr>
              <w:t>23.3%</w:t>
            </w:r>
          </w:p>
        </w:tc>
        <w:tc>
          <w:tcPr>
            <w:tcW w:w="284" w:type="dxa"/>
            <w:vAlign w:val="bottom"/>
          </w:tcPr>
          <w:p w:rsidR="00DE05FA" w:rsidRPr="00DE05FA" w:rsidP="00DE05FA">
            <w:pPr>
              <w:spacing w:after="60" w:line="240" w:lineRule="auto"/>
              <w:rPr>
                <w:rFonts w:ascii="Tahoma" w:eastAsia="Calibri" w:hAnsi="Tahoma" w:cs="Tahoma"/>
                <w:spacing w:val="-10"/>
              </w:rPr>
            </w:pPr>
          </w:p>
        </w:tc>
        <w:tc>
          <w:tcPr>
            <w:tcW w:w="1843" w:type="dxa"/>
            <w:tcBorders>
              <w:bottom w:val="single" w:sz="12" w:space="0" w:color="auto"/>
            </w:tcBorders>
            <w:vAlign w:val="bottom"/>
          </w:tcPr>
          <w:p w:rsidR="00DE05FA" w:rsidRPr="00DE05FA" w:rsidP="00DE05FA">
            <w:pPr>
              <w:spacing w:after="60" w:line="240" w:lineRule="auto"/>
              <w:rPr>
                <w:rFonts w:ascii="Tahoma" w:eastAsia="Calibri" w:hAnsi="Tahoma" w:cs="Tahoma"/>
                <w:spacing w:val="-10"/>
                <w:sz w:val="36"/>
                <w:szCs w:val="36"/>
              </w:rPr>
            </w:pPr>
            <w:r w:rsidRPr="00DE05FA">
              <w:rPr>
                <w:rFonts w:ascii="Tahoma" w:eastAsia="Calibri" w:hAnsi="Tahoma" w:cs="Tahoma" w:hint="cs"/>
                <w:spacing w:val="-10"/>
                <w:sz w:val="36"/>
                <w:szCs w:val="36"/>
                <w:rtl/>
              </w:rPr>
              <w:t xml:space="preserve">2% </w:t>
            </w:r>
            <w:r w:rsidRPr="00DE05FA">
              <w:rPr>
                <w:rFonts w:ascii="Tahoma" w:eastAsia="Calibri" w:hAnsi="Tahoma" w:cs="Tahoma" w:hint="cs"/>
                <w:spacing w:val="-10"/>
                <w:sz w:val="26"/>
                <w:szCs w:val="26"/>
                <w:rtl/>
              </w:rPr>
              <w:t>בלבד</w:t>
            </w:r>
            <w:r w:rsidRPr="00DE05FA">
              <w:rPr>
                <w:rFonts w:ascii="Tahoma" w:eastAsia="Calibri" w:hAnsi="Tahoma" w:cs="Tahoma" w:hint="cs"/>
                <w:spacing w:val="-10"/>
                <w:sz w:val="32"/>
                <w:szCs w:val="32"/>
              </w:rPr>
              <w:t xml:space="preserve"> </w:t>
            </w:r>
            <w:r w:rsidRPr="00DE05FA">
              <w:rPr>
                <w:rFonts w:ascii="Tahoma" w:eastAsia="Calibri" w:hAnsi="Tahoma" w:cs="Tahoma" w:hint="eastAsia"/>
                <w:spacing w:val="-10"/>
                <w:sz w:val="26"/>
                <w:szCs w:val="26"/>
                <w:rtl/>
              </w:rPr>
              <w:t>מכלל</w:t>
            </w:r>
            <w:r w:rsidRPr="00DE05FA">
              <w:rPr>
                <w:rFonts w:ascii="Tahoma" w:eastAsia="Calibri" w:hAnsi="Tahoma" w:cs="Tahoma"/>
                <w:spacing w:val="-10"/>
                <w:sz w:val="26"/>
                <w:szCs w:val="26"/>
                <w:rtl/>
              </w:rPr>
              <w:t xml:space="preserve"> </w:t>
            </w:r>
            <w:r w:rsidRPr="00DE05FA">
              <w:rPr>
                <w:rFonts w:ascii="Tahoma" w:eastAsia="Calibri" w:hAnsi="Tahoma" w:cs="Tahoma" w:hint="eastAsia"/>
                <w:spacing w:val="-10"/>
                <w:sz w:val="26"/>
                <w:szCs w:val="26"/>
                <w:rtl/>
              </w:rPr>
              <w:t>המשכנתאות</w:t>
            </w:r>
            <w:r w:rsidRPr="00DE05FA">
              <w:rPr>
                <w:rFonts w:ascii="Tahoma" w:eastAsia="Calibri" w:hAnsi="Tahoma" w:cs="Tahoma" w:hint="cs"/>
                <w:spacing w:val="-10"/>
                <w:sz w:val="36"/>
                <w:szCs w:val="36"/>
                <w:rtl/>
              </w:rPr>
              <w:t xml:space="preserve"> </w:t>
            </w:r>
          </w:p>
        </w:tc>
      </w:tr>
      <w:tr w:rsidTr="00606D97">
        <w:tblPrEx>
          <w:tblW w:w="9214" w:type="dxa"/>
          <w:tblLook w:val="04A0"/>
        </w:tblPrEx>
        <w:trPr>
          <w:trHeight w:val="45"/>
        </w:trPr>
        <w:tc>
          <w:tcPr>
            <w:tcW w:w="9214" w:type="dxa"/>
            <w:gridSpan w:val="7"/>
            <w:vAlign w:val="center"/>
          </w:tcPr>
          <w:p w:rsidR="00DE05FA" w:rsidRPr="00DE05FA" w:rsidP="00DE05FA">
            <w:pPr>
              <w:spacing w:line="288" w:lineRule="auto"/>
              <w:jc w:val="center"/>
              <w:rPr>
                <w:rFonts w:ascii="Tahoma" w:eastAsia="Calibri" w:hAnsi="Tahoma" w:cs="Tahoma"/>
                <w:spacing w:val="-10"/>
                <w:sz w:val="6"/>
                <w:szCs w:val="6"/>
                <w:highlight w:val="yellow"/>
                <w:rtl/>
              </w:rPr>
            </w:pPr>
          </w:p>
        </w:tc>
      </w:tr>
      <w:tr w:rsidTr="00606D97">
        <w:tblPrEx>
          <w:tblW w:w="9214" w:type="dxa"/>
          <w:tblLook w:val="04A0"/>
        </w:tblPrEx>
        <w:trPr>
          <w:trHeight w:val="755"/>
        </w:trPr>
        <w:tc>
          <w:tcPr>
            <w:tcW w:w="1984"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 xml:space="preserve">משך הזמן הכולל של מתווה בנק ישראל לסיוע כלכלי למשקי בית ועסקים במלחמת חרבות ברזל שהחל </w:t>
            </w:r>
            <w:r w:rsidR="008C6B81">
              <w:rPr>
                <w:rFonts w:ascii="Tahoma" w:eastAsia="Calibri" w:hAnsi="Tahoma" w:cs="Tahoma"/>
                <w:sz w:val="19"/>
                <w:szCs w:val="19"/>
                <w:rtl/>
              </w:rPr>
              <w:br/>
            </w:r>
            <w:r w:rsidRPr="00DE05FA">
              <w:rPr>
                <w:rFonts w:ascii="Tahoma" w:eastAsia="Calibri" w:hAnsi="Tahoma" w:cs="Tahoma" w:hint="cs"/>
                <w:sz w:val="19"/>
                <w:szCs w:val="19"/>
                <w:rtl/>
              </w:rPr>
              <w:t xml:space="preserve">ב-15.10.23 והסתיים </w:t>
            </w:r>
            <w:r w:rsidRPr="00DE05FA">
              <w:rPr>
                <w:rFonts w:ascii="Tahoma" w:eastAsia="Calibri" w:hAnsi="Tahoma" w:cs="Tahoma"/>
                <w:sz w:val="19"/>
                <w:szCs w:val="19"/>
                <w:rtl/>
              </w:rPr>
              <w:br/>
            </w:r>
            <w:r w:rsidRPr="00DE05FA">
              <w:rPr>
                <w:rFonts w:ascii="Tahoma" w:eastAsia="Calibri" w:hAnsi="Tahoma" w:cs="Tahoma" w:hint="cs"/>
                <w:sz w:val="19"/>
                <w:szCs w:val="19"/>
                <w:rtl/>
              </w:rPr>
              <w:t>ב-31.3.25, ובמסגרתו ניתנה לזכאים אפשרות לדחות את תשלומי המשכנתאות שלהם ללא חיוב בריבית ובעמלות</w:t>
            </w: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2835"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hint="cs"/>
                <w:sz w:val="19"/>
                <w:szCs w:val="19"/>
                <w:rtl/>
              </w:rPr>
              <w:t xml:space="preserve">לפי נתוני בנק ישראל, </w:t>
            </w:r>
            <w:r w:rsidRPr="00DE05FA">
              <w:rPr>
                <w:rFonts w:ascii="Tahoma" w:eastAsia="Calibri" w:hAnsi="Tahoma" w:cs="Tahoma"/>
                <w:sz w:val="19"/>
                <w:szCs w:val="19"/>
                <w:rtl/>
              </w:rPr>
              <w:t xml:space="preserve">באוקטובר 2024 שיעור הדחיה של מרבית ההלוואות (כ-57%) </w:t>
            </w:r>
            <w:r w:rsidRPr="00DE05FA">
              <w:rPr>
                <w:rFonts w:ascii="Tahoma" w:eastAsia="Calibri" w:hAnsi="Tahoma" w:cs="Tahoma" w:hint="cs"/>
                <w:sz w:val="19"/>
                <w:szCs w:val="19"/>
                <w:rtl/>
              </w:rPr>
              <w:t xml:space="preserve">שנדחו במתווה דחיית התשלומים במלחמת חרבות ברזל </w:t>
            </w:r>
            <w:r w:rsidRPr="00DE05FA">
              <w:rPr>
                <w:rFonts w:ascii="Tahoma" w:eastAsia="Calibri" w:hAnsi="Tahoma" w:cs="Tahoma"/>
                <w:sz w:val="19"/>
                <w:szCs w:val="19"/>
                <w:rtl/>
              </w:rPr>
              <w:t>היה ליותר מ-6 חודשים</w:t>
            </w:r>
            <w:r w:rsidRPr="00DE05FA">
              <w:rPr>
                <w:rFonts w:ascii="Tahoma" w:eastAsia="Calibri" w:hAnsi="Tahoma" w:cs="Tahoma" w:hint="cs"/>
                <w:sz w:val="19"/>
                <w:szCs w:val="19"/>
                <w:rtl/>
              </w:rPr>
              <w:t>, לעומת שיעור דחייה ממוצע של 7% על התקופה מאוקטובר 2023- אפריל 2024</w:t>
            </w:r>
          </w:p>
        </w:tc>
        <w:tc>
          <w:tcPr>
            <w:tcW w:w="283" w:type="dxa"/>
          </w:tcPr>
          <w:p w:rsidR="00DE05FA" w:rsidRPr="00DE05FA" w:rsidP="00DE05FA">
            <w:pPr>
              <w:spacing w:line="240" w:lineRule="auto"/>
              <w:rPr>
                <w:rFonts w:ascii="Tahoma" w:eastAsia="Calibri" w:hAnsi="Tahoma" w:cs="Tahoma"/>
                <w:sz w:val="19"/>
                <w:szCs w:val="19"/>
                <w:highlight w:val="yellow"/>
                <w:rtl/>
              </w:rPr>
            </w:pPr>
          </w:p>
        </w:tc>
        <w:tc>
          <w:tcPr>
            <w:tcW w:w="1701" w:type="dxa"/>
          </w:tcPr>
          <w:p w:rsidR="00DE05FA" w:rsidRPr="00DE05FA" w:rsidP="00DE05FA">
            <w:pPr>
              <w:spacing w:line="240" w:lineRule="auto"/>
              <w:rPr>
                <w:rFonts w:ascii="Tahoma" w:eastAsia="Calibri" w:hAnsi="Tahoma" w:cs="Tahoma"/>
                <w:sz w:val="19"/>
                <w:szCs w:val="19"/>
                <w:rtl/>
              </w:rPr>
            </w:pPr>
            <w:r w:rsidRPr="00DE05FA">
              <w:rPr>
                <w:rFonts w:ascii="Tahoma" w:eastAsia="Calibri" w:hAnsi="Tahoma" w:cs="Tahoma"/>
                <w:sz w:val="19"/>
                <w:szCs w:val="19"/>
                <w:rtl/>
              </w:rPr>
              <w:t>ההחזר החודשי עבור משכנתאות שנלקחו ב-2021 התייקר ב-23.3% ביישובים חרדיים, בהשוואה להתייקרות של 20.1% ביישובים יהודיים שאינם חרדיים (הממוצע הכולל עומד על 20.3%)</w:t>
            </w:r>
          </w:p>
          <w:p w:rsidR="00DE05FA" w:rsidRPr="00DE05FA" w:rsidP="00DE05FA">
            <w:pPr>
              <w:spacing w:line="240" w:lineRule="auto"/>
              <w:ind w:right="23"/>
              <w:rPr>
                <w:rFonts w:ascii="Tahoma" w:eastAsia="Calibri" w:hAnsi="Tahoma" w:cs="Tahoma"/>
                <w:sz w:val="19"/>
                <w:szCs w:val="19"/>
                <w:highlight w:val="yellow"/>
                <w:rtl/>
              </w:rPr>
            </w:pP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1843"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eastAsia"/>
                <w:sz w:val="19"/>
                <w:szCs w:val="19"/>
                <w:rtl/>
              </w:rPr>
              <w:t>שיעור</w:t>
            </w:r>
            <w:r w:rsidRPr="00DE05FA">
              <w:rPr>
                <w:rFonts w:ascii="Tahoma" w:eastAsia="Calibri" w:hAnsi="Tahoma" w:cs="Tahoma"/>
                <w:sz w:val="19"/>
                <w:szCs w:val="19"/>
                <w:rtl/>
              </w:rPr>
              <w:t xml:space="preserve"> המשכנתאות שניתנו ללקוחות המגזר הערבי עמד על </w:t>
            </w:r>
            <w:r w:rsidRPr="00DE05FA">
              <w:rPr>
                <w:rFonts w:ascii="Tahoma" w:eastAsia="Calibri" w:hAnsi="Tahoma" w:cs="Tahoma" w:hint="eastAsia"/>
                <w:sz w:val="19"/>
                <w:szCs w:val="19"/>
                <w:rtl/>
              </w:rPr>
              <w:t>כ</w:t>
            </w:r>
            <w:r w:rsidRPr="00DE05FA">
              <w:rPr>
                <w:rFonts w:ascii="Tahoma" w:eastAsia="Calibri" w:hAnsi="Tahoma" w:cs="Tahoma" w:hint="cs"/>
                <w:sz w:val="19"/>
                <w:szCs w:val="19"/>
                <w:rtl/>
              </w:rPr>
              <w:t>-2%</w:t>
            </w:r>
            <w:r w:rsidRPr="00DE05FA">
              <w:rPr>
                <w:rFonts w:ascii="Tahoma" w:eastAsia="Calibri" w:hAnsi="Tahoma" w:cs="Tahoma"/>
                <w:sz w:val="19"/>
                <w:szCs w:val="19"/>
                <w:rtl/>
              </w:rPr>
              <w:t xml:space="preserve"> מתוך </w:t>
            </w:r>
            <w:r w:rsidRPr="00DE05FA">
              <w:rPr>
                <w:rFonts w:ascii="Tahoma" w:eastAsia="Calibri" w:hAnsi="Tahoma" w:cs="Tahoma" w:hint="cs"/>
                <w:sz w:val="19"/>
                <w:szCs w:val="19"/>
                <w:rtl/>
              </w:rPr>
              <w:t xml:space="preserve">כלל </w:t>
            </w:r>
            <w:r w:rsidRPr="00DE05FA">
              <w:rPr>
                <w:rFonts w:ascii="Tahoma" w:eastAsia="Calibri" w:hAnsi="Tahoma" w:cs="Tahoma"/>
                <w:sz w:val="19"/>
                <w:szCs w:val="19"/>
                <w:rtl/>
              </w:rPr>
              <w:t>המשכנתאות שהועמדו בשנים 2010</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 xml:space="preserve">2014, שיעור הנמוך באופן </w:t>
            </w:r>
            <w:r w:rsidRPr="00DE05FA">
              <w:rPr>
                <w:rFonts w:ascii="Tahoma" w:eastAsia="Calibri" w:hAnsi="Tahoma" w:cs="Tahoma" w:hint="eastAsia"/>
                <w:sz w:val="19"/>
                <w:szCs w:val="19"/>
                <w:rtl/>
              </w:rPr>
              <w:t>משמעותי</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בהשוואה ל</w:t>
            </w:r>
            <w:r w:rsidRPr="00DE05FA">
              <w:rPr>
                <w:rFonts w:ascii="Tahoma" w:eastAsia="Calibri" w:hAnsi="Tahoma" w:cs="Tahoma"/>
                <w:sz w:val="19"/>
                <w:szCs w:val="19"/>
                <w:rtl/>
              </w:rPr>
              <w:t>שיעורם ב</w:t>
            </w:r>
            <w:r w:rsidRPr="00DE05FA">
              <w:rPr>
                <w:rFonts w:ascii="Tahoma" w:eastAsia="Calibri" w:hAnsi="Tahoma" w:cs="Tahoma" w:hint="cs"/>
                <w:sz w:val="19"/>
                <w:szCs w:val="19"/>
                <w:rtl/>
              </w:rPr>
              <w:t>כלל ה</w:t>
            </w:r>
            <w:r w:rsidRPr="00DE05FA">
              <w:rPr>
                <w:rFonts w:ascii="Tahoma" w:eastAsia="Calibri" w:hAnsi="Tahoma" w:cs="Tahoma"/>
                <w:sz w:val="19"/>
                <w:szCs w:val="19"/>
                <w:rtl/>
              </w:rPr>
              <w:t>אוכלוסייה (כ-21.4%)</w:t>
            </w:r>
          </w:p>
        </w:tc>
      </w:tr>
    </w:tbl>
    <w:p w:rsidR="00780728" w:rsidP="00DE05FA">
      <w:pPr>
        <w:spacing w:line="288" w:lineRule="auto"/>
        <w:rPr>
          <w:rFonts w:ascii="Tahoma" w:eastAsia="Calibri" w:hAnsi="Tahoma" w:cs="Tahoma"/>
          <w:noProof/>
          <w:rtl/>
        </w:rPr>
      </w:pPr>
    </w:p>
    <w:p w:rsidR="00DE05FA" w:rsidRPr="00DE05FA" w:rsidP="00780728">
      <w:pPr>
        <w:bidi w:val="0"/>
        <w:spacing w:after="200" w:line="276" w:lineRule="auto"/>
        <w:rPr>
          <w:rFonts w:ascii="Tahoma" w:eastAsia="Calibri" w:hAnsi="Tahoma" w:cs="Tahoma"/>
          <w:noProof/>
        </w:rPr>
      </w:pPr>
    </w:p>
    <w:tbl>
      <w:tblPr>
        <w:tblStyle w:val="26"/>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7"/>
        <w:gridCol w:w="279"/>
        <w:gridCol w:w="2058"/>
        <w:gridCol w:w="284"/>
        <w:gridCol w:w="2126"/>
        <w:gridCol w:w="284"/>
        <w:gridCol w:w="2266"/>
      </w:tblGrid>
      <w:tr w:rsidTr="00780728">
        <w:tblPrEx>
          <w:tblW w:w="9214" w:type="dxa"/>
          <w:tblLook w:val="04A0"/>
        </w:tblPrEx>
        <w:trPr>
          <w:trHeight w:val="148"/>
        </w:trPr>
        <w:tc>
          <w:tcPr>
            <w:tcW w:w="1917"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26"/>
                <w:szCs w:val="26"/>
                <w:rtl/>
              </w:rPr>
            </w:pPr>
            <w:r w:rsidRPr="00DE05FA">
              <w:rPr>
                <w:rFonts w:ascii="Tahoma" w:eastAsia="Calibri" w:hAnsi="Tahoma" w:cs="Tahoma"/>
                <w:spacing w:val="-10"/>
                <w:sz w:val="36"/>
                <w:szCs w:val="36"/>
                <w:rtl/>
              </w:rPr>
              <w:t>73%</w:t>
            </w:r>
            <w:r w:rsidRPr="00DE05FA">
              <w:rPr>
                <w:rFonts w:ascii="Tahoma" w:eastAsia="Calibri" w:hAnsi="Tahoma" w:cs="Tahoma" w:hint="cs"/>
                <w:spacing w:val="-10"/>
                <w:sz w:val="26"/>
                <w:szCs w:val="26"/>
                <w:rtl/>
              </w:rPr>
              <w:t xml:space="preserve"> </w:t>
            </w:r>
            <w:r w:rsidRPr="00DE05FA">
              <w:rPr>
                <w:rFonts w:ascii="Tahoma" w:eastAsia="Calibri" w:hAnsi="Tahoma" w:cs="Tahoma"/>
                <w:spacing w:val="-10"/>
                <w:sz w:val="26"/>
                <w:szCs w:val="26"/>
                <w:rtl/>
              </w:rPr>
              <w:t xml:space="preserve">מהלווים </w:t>
            </w:r>
          </w:p>
        </w:tc>
        <w:tc>
          <w:tcPr>
            <w:tcW w:w="279" w:type="dxa"/>
            <w:vAlign w:val="bottom"/>
          </w:tcPr>
          <w:p w:rsidR="00DE05FA" w:rsidRPr="00DE05FA" w:rsidP="00DE05FA">
            <w:pPr>
              <w:spacing w:after="60" w:line="240" w:lineRule="auto"/>
              <w:rPr>
                <w:rFonts w:ascii="Tahoma" w:eastAsia="Calibri" w:hAnsi="Tahoma" w:cs="Tahoma"/>
                <w:spacing w:val="-10"/>
                <w:sz w:val="36"/>
                <w:szCs w:val="36"/>
              </w:rPr>
            </w:pPr>
          </w:p>
        </w:tc>
        <w:tc>
          <w:tcPr>
            <w:tcW w:w="2058"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tl/>
              </w:rPr>
            </w:pPr>
            <w:r w:rsidRPr="00DE05FA">
              <w:rPr>
                <w:rFonts w:ascii="Tahoma" w:eastAsia="Calibri" w:hAnsi="Tahoma" w:cs="Tahoma" w:hint="cs"/>
                <w:spacing w:val="-10"/>
                <w:sz w:val="36"/>
                <w:szCs w:val="36"/>
                <w:rtl/>
              </w:rPr>
              <w:t xml:space="preserve">10 </w:t>
            </w:r>
            <w:r w:rsidRPr="00DE05FA">
              <w:rPr>
                <w:rFonts w:ascii="Tahoma" w:eastAsia="Calibri" w:hAnsi="Tahoma" w:cs="Tahoma" w:hint="eastAsia"/>
                <w:spacing w:val="-10"/>
                <w:sz w:val="26"/>
                <w:szCs w:val="26"/>
                <w:rtl/>
              </w:rPr>
              <w:t>שנים</w:t>
            </w:r>
          </w:p>
        </w:tc>
        <w:tc>
          <w:tcPr>
            <w:tcW w:w="284" w:type="dxa"/>
            <w:vAlign w:val="bottom"/>
          </w:tcPr>
          <w:p w:rsidR="00DE05FA" w:rsidRPr="00DE05FA" w:rsidP="00DE05FA">
            <w:pPr>
              <w:spacing w:after="60" w:line="240" w:lineRule="auto"/>
              <w:ind w:right="23"/>
              <w:rPr>
                <w:rFonts w:ascii="Tahoma" w:eastAsia="Calibri" w:hAnsi="Tahoma" w:cs="Tahoma"/>
                <w:spacing w:val="-10"/>
                <w:sz w:val="36"/>
                <w:szCs w:val="36"/>
              </w:rPr>
            </w:pPr>
          </w:p>
        </w:tc>
        <w:tc>
          <w:tcPr>
            <w:tcW w:w="2126"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36"/>
                <w:szCs w:val="36"/>
                <w:rtl/>
              </w:rPr>
              <w:t>13.5%</w:t>
            </w:r>
            <w:r w:rsidRPr="00DE05FA">
              <w:rPr>
                <w:rFonts w:ascii="Tahoma" w:eastAsia="Calibri" w:hAnsi="Tahoma" w:cs="Tahoma" w:hint="cs"/>
                <w:spacing w:val="-10"/>
                <w:sz w:val="26"/>
                <w:szCs w:val="26"/>
                <w:rtl/>
              </w:rPr>
              <w:t>לעומת</w:t>
            </w:r>
            <w:r w:rsidRPr="00DE05FA">
              <w:rPr>
                <w:rFonts w:ascii="Tahoma" w:eastAsia="Calibri" w:hAnsi="Tahoma" w:cs="Tahoma" w:hint="cs"/>
                <w:spacing w:val="-10"/>
                <w:sz w:val="36"/>
                <w:szCs w:val="36"/>
                <w:rtl/>
              </w:rPr>
              <w:t xml:space="preserve"> 12%</w:t>
            </w:r>
          </w:p>
        </w:tc>
        <w:tc>
          <w:tcPr>
            <w:tcW w:w="284" w:type="dxa"/>
            <w:vAlign w:val="bottom"/>
          </w:tcPr>
          <w:p w:rsidR="00DE05FA" w:rsidRPr="00DE05FA" w:rsidP="00DE05FA">
            <w:pPr>
              <w:spacing w:after="60" w:line="240" w:lineRule="auto"/>
              <w:rPr>
                <w:rFonts w:ascii="Tahoma" w:eastAsia="Calibri" w:hAnsi="Tahoma" w:cs="Tahoma"/>
                <w:spacing w:val="-10"/>
              </w:rPr>
            </w:pPr>
          </w:p>
        </w:tc>
        <w:tc>
          <w:tcPr>
            <w:tcW w:w="2266" w:type="dxa"/>
            <w:tcBorders>
              <w:bottom w:val="single" w:sz="12" w:space="0" w:color="auto"/>
            </w:tcBorders>
            <w:vAlign w:val="bottom"/>
          </w:tcPr>
          <w:p w:rsidR="00DE05FA" w:rsidRPr="00DE05FA" w:rsidP="00DE05FA">
            <w:pPr>
              <w:spacing w:after="60" w:line="240" w:lineRule="auto"/>
              <w:rPr>
                <w:rFonts w:ascii="Tahoma" w:eastAsia="Calibri" w:hAnsi="Tahoma" w:cs="Tahoma"/>
                <w:spacing w:val="-10"/>
                <w:sz w:val="36"/>
                <w:szCs w:val="36"/>
                <w:rtl/>
              </w:rPr>
            </w:pPr>
            <w:r w:rsidRPr="00DE05FA">
              <w:rPr>
                <w:rFonts w:ascii="Tahoma" w:eastAsia="Calibri" w:hAnsi="Tahoma" w:cs="Tahoma" w:hint="cs"/>
                <w:spacing w:val="-10"/>
                <w:sz w:val="36"/>
                <w:szCs w:val="36"/>
                <w:rtl/>
              </w:rPr>
              <w:t>6.05%</w:t>
            </w:r>
            <w:r w:rsidRPr="00DE05FA">
              <w:rPr>
                <w:rFonts w:ascii="Tahoma" w:eastAsia="Calibri" w:hAnsi="Tahoma" w:cs="Tahoma" w:hint="cs"/>
                <w:spacing w:val="-10"/>
                <w:sz w:val="36"/>
                <w:szCs w:val="36"/>
              </w:rPr>
              <w:t xml:space="preserve"> </w:t>
            </w:r>
            <w:r w:rsidRPr="00DE05FA">
              <w:rPr>
                <w:rFonts w:ascii="Tahoma" w:eastAsia="Calibri" w:hAnsi="Tahoma" w:cs="Tahoma" w:hint="eastAsia"/>
                <w:spacing w:val="-10"/>
                <w:sz w:val="26"/>
                <w:szCs w:val="26"/>
                <w:rtl/>
              </w:rPr>
              <w:t>מול</w:t>
            </w:r>
            <w:r w:rsidRPr="00DE05FA">
              <w:rPr>
                <w:rFonts w:ascii="Tahoma" w:eastAsia="Calibri" w:hAnsi="Tahoma" w:cs="Tahoma" w:hint="cs"/>
                <w:spacing w:val="-10"/>
                <w:sz w:val="36"/>
                <w:szCs w:val="36"/>
                <w:rtl/>
              </w:rPr>
              <w:t xml:space="preserve"> 5.8% </w:t>
            </w:r>
          </w:p>
        </w:tc>
      </w:tr>
      <w:tr w:rsidTr="00780728">
        <w:tblPrEx>
          <w:tblW w:w="9214" w:type="dxa"/>
          <w:tblLook w:val="04A0"/>
        </w:tblPrEx>
        <w:trPr>
          <w:trHeight w:val="755"/>
        </w:trPr>
        <w:tc>
          <w:tcPr>
            <w:tcW w:w="1917"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sz w:val="19"/>
                <w:szCs w:val="19"/>
                <w:rtl/>
              </w:rPr>
              <w:t xml:space="preserve">בחברה הערבית </w:t>
            </w:r>
            <w:r w:rsidRPr="00DE05FA">
              <w:rPr>
                <w:rFonts w:ascii="Tahoma" w:eastAsia="Calibri" w:hAnsi="Tahoma" w:cs="Tahoma" w:hint="cs"/>
                <w:sz w:val="19"/>
                <w:szCs w:val="19"/>
                <w:rtl/>
              </w:rPr>
              <w:t>נעזרים</w:t>
            </w:r>
            <w:r w:rsidRPr="00DE05FA">
              <w:rPr>
                <w:rFonts w:ascii="Tahoma" w:eastAsia="Calibri" w:hAnsi="Tahoma" w:cs="Tahoma"/>
                <w:sz w:val="19"/>
                <w:szCs w:val="19"/>
                <w:rtl/>
              </w:rPr>
              <w:t xml:space="preserve"> ביועץ משכנתאות חיצוני (לעומת 59% באוכלוסייה הכללית)</w:t>
            </w:r>
          </w:p>
        </w:tc>
        <w:tc>
          <w:tcPr>
            <w:tcW w:w="279" w:type="dxa"/>
          </w:tcPr>
          <w:p w:rsidR="00DE05FA" w:rsidRPr="00DE05FA" w:rsidP="00DE05FA">
            <w:pPr>
              <w:spacing w:line="240" w:lineRule="auto"/>
              <w:rPr>
                <w:rFonts w:ascii="Tahoma" w:eastAsia="Calibri" w:hAnsi="Tahoma" w:cs="Tahoma"/>
                <w:sz w:val="19"/>
                <w:szCs w:val="19"/>
                <w:highlight w:val="yellow"/>
                <w:rtl/>
              </w:rPr>
            </w:pPr>
          </w:p>
        </w:tc>
        <w:tc>
          <w:tcPr>
            <w:tcW w:w="2058" w:type="dxa"/>
          </w:tcPr>
          <w:p w:rsidR="00DE05FA" w:rsidRPr="00DE05FA" w:rsidP="00DE05FA">
            <w:pPr>
              <w:spacing w:line="240" w:lineRule="auto"/>
              <w:ind w:right="23"/>
              <w:rPr>
                <w:rFonts w:ascii="Tahoma" w:eastAsia="Calibri" w:hAnsi="Tahoma" w:cs="Tahoma"/>
                <w:sz w:val="19"/>
                <w:szCs w:val="19"/>
                <w:highlight w:val="yellow"/>
                <w:rtl/>
              </w:rPr>
            </w:pPr>
            <w:r w:rsidRPr="00DE05FA">
              <w:rPr>
                <w:rFonts w:ascii="Tahoma" w:eastAsia="Calibri" w:hAnsi="Tahoma" w:cs="Tahoma"/>
                <w:sz w:val="19"/>
                <w:szCs w:val="19"/>
                <w:rtl/>
              </w:rPr>
              <w:t>מזה כעשור סוגיית העדר הנגישות של החברה הערבית למשכנתאות, עומדת על שולחן מקבלי ההחלטות. סוגיה זו נדונה במספר החלטות ממשלה ובמספר צוותי עבודה שונים במהלך השנים</w:t>
            </w: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2126" w:type="dxa"/>
          </w:tcPr>
          <w:p w:rsidR="004A17E8" w:rsidP="00DE05FA">
            <w:pPr>
              <w:spacing w:line="240" w:lineRule="auto"/>
              <w:ind w:right="23"/>
              <w:rPr>
                <w:rFonts w:ascii="Tahoma" w:eastAsia="Calibri" w:hAnsi="Tahoma" w:cs="Tahoma" w:hint="cs"/>
                <w:sz w:val="19"/>
                <w:szCs w:val="19"/>
                <w:rtl/>
              </w:rPr>
            </w:pPr>
            <w:r w:rsidRPr="00DE05FA">
              <w:rPr>
                <w:rFonts w:ascii="Tahoma" w:eastAsia="Calibri" w:hAnsi="Tahoma" w:cs="Tahoma" w:hint="cs"/>
                <w:sz w:val="19"/>
                <w:szCs w:val="19"/>
                <w:rtl/>
              </w:rPr>
              <w:t>מנתוני בנק ישראל עולה כי בקרב</w:t>
            </w:r>
            <w:r w:rsidRPr="00DE05FA">
              <w:rPr>
                <w:rFonts w:ascii="Tahoma" w:eastAsia="Calibri" w:hAnsi="Tahoma" w:cs="Tahoma"/>
                <w:sz w:val="19"/>
                <w:szCs w:val="19"/>
                <w:rtl/>
              </w:rPr>
              <w:t xml:space="preserve"> יישובים יהודים שאינם בחברה החרדית </w:t>
            </w:r>
            <w:r w:rsidRPr="00DE05FA">
              <w:rPr>
                <w:rFonts w:ascii="Tahoma" w:eastAsia="Calibri" w:hAnsi="Tahoma" w:cs="Tahoma" w:hint="cs"/>
                <w:sz w:val="19"/>
                <w:szCs w:val="19"/>
                <w:rtl/>
              </w:rPr>
              <w:t xml:space="preserve">שיעור </w:t>
            </w:r>
            <w:r w:rsidRPr="00DE05FA">
              <w:rPr>
                <w:rFonts w:ascii="Tahoma" w:eastAsia="Calibri" w:hAnsi="Tahoma" w:cs="Tahoma"/>
                <w:sz w:val="19"/>
                <w:szCs w:val="19"/>
                <w:rtl/>
              </w:rPr>
              <w:t xml:space="preserve">הגידול בהחזר החודשי </w:t>
            </w:r>
            <w:r w:rsidRPr="00DE05FA">
              <w:rPr>
                <w:rFonts w:ascii="Tahoma" w:eastAsia="Calibri" w:hAnsi="Tahoma" w:cs="Tahoma" w:hint="cs"/>
                <w:sz w:val="19"/>
                <w:szCs w:val="19"/>
                <w:rtl/>
              </w:rPr>
              <w:t xml:space="preserve">בגין הלוואות המשכנתא שניתנו בשנים 2020-2022 </w:t>
            </w:r>
            <w:r w:rsidRPr="00DE05FA">
              <w:rPr>
                <w:rFonts w:ascii="Tahoma" w:eastAsia="Calibri" w:hAnsi="Tahoma" w:cs="Tahoma"/>
                <w:sz w:val="19"/>
                <w:szCs w:val="19"/>
                <w:rtl/>
              </w:rPr>
              <w:t>עמד על 12%,</w:t>
            </w:r>
            <w:r w:rsidRPr="00DE05FA">
              <w:rPr>
                <w:rFonts w:ascii="Tahoma" w:eastAsia="Calibri" w:hAnsi="Tahoma" w:cs="Tahoma" w:hint="cs"/>
                <w:sz w:val="19"/>
                <w:szCs w:val="19"/>
                <w:rtl/>
              </w:rPr>
              <w:t xml:space="preserve"> בדומה לשיעור הגידול הממוצע בכלל המגזרים, ואילו</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ב</w:t>
            </w:r>
            <w:r w:rsidRPr="00DE05FA">
              <w:rPr>
                <w:rFonts w:ascii="Tahoma" w:eastAsia="Calibri" w:hAnsi="Tahoma" w:cs="Tahoma"/>
                <w:sz w:val="19"/>
                <w:szCs w:val="19"/>
                <w:rtl/>
              </w:rPr>
              <w:t xml:space="preserve">יישובי החברה החרדית </w:t>
            </w:r>
            <w:r w:rsidRPr="00DE05FA">
              <w:rPr>
                <w:rFonts w:ascii="Tahoma" w:eastAsia="Calibri" w:hAnsi="Tahoma" w:cs="Tahoma" w:hint="cs"/>
                <w:sz w:val="19"/>
                <w:szCs w:val="19"/>
                <w:rtl/>
              </w:rPr>
              <w:t xml:space="preserve">שיעור </w:t>
            </w:r>
            <w:r w:rsidRPr="00DE05FA">
              <w:rPr>
                <w:rFonts w:ascii="Tahoma" w:eastAsia="Calibri" w:hAnsi="Tahoma" w:cs="Tahoma"/>
                <w:sz w:val="19"/>
                <w:szCs w:val="19"/>
                <w:rtl/>
              </w:rPr>
              <w:t xml:space="preserve">הגידול עמד על </w:t>
            </w:r>
            <w:r>
              <w:rPr>
                <w:rFonts w:ascii="Tahoma" w:eastAsia="Calibri" w:hAnsi="Tahoma" w:cs="Tahoma"/>
                <w:sz w:val="19"/>
                <w:szCs w:val="19"/>
                <w:vertAlign w:val="superscript"/>
                <w:rtl/>
              </w:rPr>
              <w:footnoteReference w:id="17"/>
            </w:r>
            <w:r w:rsidRPr="00DE05FA">
              <w:rPr>
                <w:rFonts w:ascii="Tahoma" w:eastAsia="Calibri" w:hAnsi="Tahoma" w:cs="Tahoma"/>
                <w:sz w:val="19"/>
                <w:szCs w:val="19"/>
                <w:rtl/>
              </w:rPr>
              <w:t>13.5%</w:t>
            </w:r>
          </w:p>
          <w:p w:rsidR="00DE05FA" w:rsidRPr="00DE05FA" w:rsidP="00DE05FA">
            <w:pPr>
              <w:spacing w:line="240" w:lineRule="auto"/>
              <w:ind w:right="23"/>
              <w:rPr>
                <w:rFonts w:ascii="Tahoma" w:eastAsia="Calibri" w:hAnsi="Tahoma" w:cs="Tahoma"/>
                <w:sz w:val="19"/>
                <w:szCs w:val="19"/>
                <w:highlight w:val="yellow"/>
                <w:rtl/>
              </w:rPr>
            </w:pPr>
          </w:p>
        </w:tc>
        <w:tc>
          <w:tcPr>
            <w:tcW w:w="284" w:type="dxa"/>
          </w:tcPr>
          <w:p w:rsidR="00DE05FA" w:rsidRPr="00DE05FA" w:rsidP="00DE05FA">
            <w:pPr>
              <w:spacing w:line="240" w:lineRule="auto"/>
              <w:rPr>
                <w:rFonts w:ascii="Tahoma" w:eastAsia="Calibri" w:hAnsi="Tahoma" w:cs="Tahoma"/>
                <w:sz w:val="19"/>
                <w:szCs w:val="19"/>
                <w:highlight w:val="yellow"/>
                <w:rtl/>
              </w:rPr>
            </w:pPr>
          </w:p>
        </w:tc>
        <w:tc>
          <w:tcPr>
            <w:tcW w:w="2266" w:type="dxa"/>
          </w:tcPr>
          <w:p w:rsidR="00DE05FA" w:rsidRPr="00DE05FA" w:rsidP="00DE05FA">
            <w:pPr>
              <w:spacing w:line="240" w:lineRule="auto"/>
              <w:ind w:right="23"/>
              <w:rPr>
                <w:rFonts w:ascii="Tahoma" w:eastAsia="Calibri" w:hAnsi="Tahoma" w:cs="Tahoma"/>
                <w:b/>
                <w:sz w:val="19"/>
                <w:szCs w:val="19"/>
                <w:rtl/>
              </w:rPr>
            </w:pPr>
            <w:r w:rsidRPr="00DE05FA">
              <w:rPr>
                <w:rFonts w:ascii="Tahoma" w:eastAsia="Calibri" w:hAnsi="Tahoma" w:cs="Tahoma" w:hint="eastAsia"/>
                <w:b/>
                <w:sz w:val="19"/>
                <w:szCs w:val="19"/>
                <w:rtl/>
              </w:rPr>
              <w:t>קיימים</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פערים</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בין</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המגזרים</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השונים</w:t>
            </w:r>
            <w:r w:rsidRPr="00DE05FA">
              <w:rPr>
                <w:rFonts w:ascii="Tahoma" w:eastAsia="Calibri" w:hAnsi="Tahoma" w:cs="Tahoma"/>
                <w:b/>
                <w:sz w:val="19"/>
                <w:szCs w:val="19"/>
                <w:rtl/>
              </w:rPr>
              <w:t xml:space="preserve"> - </w:t>
            </w:r>
            <w:r w:rsidRPr="00DE05FA">
              <w:rPr>
                <w:rFonts w:ascii="Tahoma" w:eastAsia="Calibri" w:hAnsi="Tahoma" w:cs="Tahoma" w:hint="eastAsia"/>
                <w:b/>
                <w:sz w:val="19"/>
                <w:szCs w:val="19"/>
                <w:rtl/>
              </w:rPr>
              <w:t>ביישובי</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החברה</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הערבית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הריביות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גבוהות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יותר</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במסלולים</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הלא</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צמודים</w:t>
            </w:r>
            <w:r w:rsidRPr="00DE05FA">
              <w:rPr>
                <w:rFonts w:ascii="Tahoma" w:eastAsia="Calibri" w:hAnsi="Tahoma" w:cs="Tahoma" w:hint="cs"/>
                <w:b/>
                <w:sz w:val="19"/>
                <w:szCs w:val="19"/>
                <w:rtl/>
              </w:rPr>
              <w:t>,</w:t>
            </w:r>
            <w:r w:rsidR="00780728">
              <w:rPr>
                <w:rFonts w:ascii="Tahoma" w:eastAsia="Calibri" w:hAnsi="Tahoma" w:cs="Tahoma" w:hint="cs"/>
                <w:b/>
                <w:sz w:val="19"/>
                <w:szCs w:val="19"/>
                <w:rtl/>
              </w:rPr>
              <w:t xml:space="preserve"> </w:t>
            </w:r>
            <w:r w:rsidRPr="00DE05FA">
              <w:rPr>
                <w:rFonts w:ascii="Tahoma" w:eastAsia="Calibri" w:hAnsi="Tahoma" w:cs="Tahoma" w:hint="eastAsia"/>
                <w:b/>
                <w:sz w:val="19"/>
                <w:szCs w:val="19"/>
                <w:rtl/>
              </w:rPr>
              <w:t>ב</w:t>
            </w:r>
            <w:r w:rsidRPr="00DE05FA">
              <w:rPr>
                <w:rFonts w:ascii="Tahoma" w:eastAsia="Calibri" w:hAnsi="Tahoma" w:cs="Tahoma" w:hint="cs"/>
                <w:b/>
                <w:sz w:val="19"/>
                <w:szCs w:val="19"/>
                <w:rtl/>
              </w:rPr>
              <w:t>י</w:t>
            </w:r>
            <w:r w:rsidRPr="00DE05FA">
              <w:rPr>
                <w:rFonts w:ascii="Tahoma" w:eastAsia="Calibri" w:hAnsi="Tahoma" w:cs="Tahoma" w:hint="eastAsia"/>
                <w:b/>
                <w:sz w:val="19"/>
                <w:szCs w:val="19"/>
                <w:rtl/>
              </w:rPr>
              <w:t>ישובי</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החברה</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היהודית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הריביות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הנמוכות</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ביותר</w:t>
            </w:r>
            <w:r w:rsidRPr="00DE05FA">
              <w:rPr>
                <w:rFonts w:ascii="Tahoma" w:eastAsia="Calibri" w:hAnsi="Tahoma" w:cs="Tahoma" w:hint="cs"/>
                <w:b/>
                <w:sz w:val="19"/>
                <w:szCs w:val="19"/>
                <w:rtl/>
              </w:rPr>
              <w:t>,</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והמגזר</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החרדי</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נמצא</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בתווך</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האמצעי</w:t>
            </w:r>
            <w:r w:rsidRPr="00DE05FA">
              <w:rPr>
                <w:rFonts w:ascii="Tahoma" w:eastAsia="Calibri" w:hAnsi="Tahoma" w:cs="Tahoma"/>
                <w:b/>
                <w:sz w:val="19"/>
                <w:szCs w:val="19"/>
                <w:rtl/>
              </w:rPr>
              <w:t xml:space="preserve"> </w:t>
            </w:r>
            <w:r w:rsidRPr="00DE05FA">
              <w:rPr>
                <w:rFonts w:ascii="Tahoma" w:eastAsia="Calibri" w:hAnsi="Tahoma" w:cs="Tahoma" w:hint="eastAsia"/>
                <w:b/>
                <w:sz w:val="19"/>
                <w:szCs w:val="19"/>
                <w:rtl/>
              </w:rPr>
              <w:t>ביניהם</w:t>
            </w:r>
            <w:r w:rsidRPr="00DE05FA">
              <w:rPr>
                <w:rFonts w:ascii="Tahoma" w:eastAsia="Calibri" w:hAnsi="Tahoma" w:cs="Tahoma"/>
                <w:b/>
                <w:sz w:val="19"/>
                <w:szCs w:val="19"/>
                <w:rtl/>
              </w:rPr>
              <w:t>.</w:t>
            </w:r>
            <w:r w:rsidRPr="00DE05FA">
              <w:rPr>
                <w:rFonts w:ascii="Tahoma" w:eastAsia="Calibri" w:hAnsi="Tahoma" w:cs="Tahoma" w:hint="cs"/>
                <w:b/>
                <w:sz w:val="19"/>
                <w:szCs w:val="19"/>
                <w:rtl/>
              </w:rPr>
              <w:t xml:space="preserve"> כך למשל, במסלול הפריים בשנת 2023 משלם המגזר הערבי ריבית פריים של 6.05% ואילו המגזר היהודי משלם 5.80%</w:t>
            </w:r>
          </w:p>
          <w:p w:rsidR="00DE05FA" w:rsidRPr="00DE05FA" w:rsidP="00DE05FA">
            <w:pPr>
              <w:spacing w:line="240" w:lineRule="auto"/>
              <w:ind w:right="23"/>
              <w:rPr>
                <w:rFonts w:ascii="Tahoma" w:eastAsia="Calibri" w:hAnsi="Tahoma" w:cs="Tahoma"/>
                <w:sz w:val="19"/>
                <w:szCs w:val="19"/>
                <w:highlight w:val="yellow"/>
                <w:rtl/>
              </w:rPr>
            </w:pPr>
          </w:p>
        </w:tc>
      </w:tr>
    </w:tbl>
    <w:p w:rsidR="007C3AF6" w:rsidP="00DE05FA">
      <w:pPr>
        <w:spacing w:line="288" w:lineRule="auto"/>
        <w:ind w:left="-710"/>
        <w:rPr>
          <w:rFonts w:ascii="Tahoma" w:eastAsia="Calibri" w:hAnsi="Tahoma" w:cs="Tahoma"/>
          <w:noProof/>
          <w:rtl/>
        </w:rPr>
      </w:pPr>
    </w:p>
    <w:p w:rsidR="007C3AF6" w:rsidP="005405A6">
      <w:pPr>
        <w:spacing w:line="288" w:lineRule="auto"/>
        <w:rPr>
          <w:rFonts w:ascii="Tahoma" w:eastAsia="Calibri" w:hAnsi="Tahoma" w:cs="Tahoma"/>
          <w:noProof/>
          <w:rtl/>
        </w:rPr>
      </w:pPr>
    </w:p>
    <w:p w:rsidR="00DE05FA" w:rsidRPr="00DE05FA" w:rsidP="00DE05FA">
      <w:pPr>
        <w:spacing w:line="288" w:lineRule="auto"/>
        <w:ind w:left="-710"/>
        <w:rPr>
          <w:rFonts w:ascii="Tahoma" w:eastAsia="Calibri" w:hAnsi="Tahoma" w:cs="Tahoma"/>
          <w:noProof/>
          <w:rtl/>
        </w:rPr>
      </w:pPr>
      <w:r w:rsidRPr="00DE05FA">
        <w:rPr>
          <w:rFonts w:ascii="Tahoma" w:eastAsia="Calibri" w:hAnsi="Tahoma" w:cs="Tahoma"/>
          <w:noProof/>
        </w:rPr>
        <w:drawing>
          <wp:inline distT="0" distB="0" distL="0" distR="0">
            <wp:extent cx="6104255" cy="438829"/>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DE05FA" w:rsidRPr="00DE05FA" w:rsidP="00DE05FA">
      <w:pPr>
        <w:spacing w:before="240" w:after="160" w:line="288" w:lineRule="auto"/>
        <w:ind w:left="-709" w:right="-567"/>
        <w:rPr>
          <w:rFonts w:eastAsia="Calibri"/>
          <w:rtl/>
        </w:rPr>
      </w:pPr>
      <w:r w:rsidRPr="00DE05FA">
        <w:rPr>
          <w:rFonts w:ascii="Tahoma" w:eastAsia="Calibri" w:hAnsi="Tahoma" w:cs="Tahoma"/>
          <w:noProof/>
          <w:rtl/>
        </w:rPr>
        <w:drawing>
          <wp:inline distT="0" distB="0" distL="0" distR="0">
            <wp:extent cx="2616789" cy="200650"/>
            <wp:effectExtent l="0" t="0" r="0" b="9525"/>
            <wp:docPr id="1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DE05FA" w:rsidRPr="00DE05FA" w:rsidP="00DE05FA">
      <w:pPr>
        <w:spacing w:after="160" w:line="288" w:lineRule="auto"/>
        <w:ind w:left="-737" w:right="-567"/>
        <w:rPr>
          <w:rFonts w:ascii="Tahoma" w:eastAsia="Calibri" w:hAnsi="Tahoma" w:cs="Tahoma"/>
          <w:b/>
          <w:bCs/>
          <w:sz w:val="22"/>
          <w:szCs w:val="22"/>
        </w:rPr>
      </w:pPr>
      <w:r w:rsidRPr="00DE05FA">
        <w:rPr>
          <w:rFonts w:ascii="Tahoma" w:eastAsia="Calibri" w:hAnsi="Tahoma" w:cs="Tahoma" w:hint="eastAsia"/>
          <w:b/>
          <w:bCs/>
          <w:sz w:val="19"/>
          <w:szCs w:val="19"/>
          <w:rtl/>
        </w:rPr>
        <w:t>משכנתאות</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בחברה</w:t>
      </w:r>
      <w:r w:rsidRPr="00DE05FA">
        <w:rPr>
          <w:rFonts w:ascii="Tahoma" w:eastAsia="Calibri" w:hAnsi="Tahoma" w:cs="Tahoma"/>
          <w:b/>
          <w:bCs/>
          <w:sz w:val="19"/>
          <w:szCs w:val="19"/>
          <w:rtl/>
        </w:rPr>
        <w:t xml:space="preserve"> </w:t>
      </w:r>
      <w:r w:rsidRPr="00DE05FA">
        <w:rPr>
          <w:rFonts w:ascii="Tahoma" w:eastAsia="Calibri" w:hAnsi="Tahoma" w:cs="Tahoma" w:hint="eastAsia"/>
          <w:b/>
          <w:bCs/>
          <w:sz w:val="19"/>
          <w:szCs w:val="19"/>
          <w:rtl/>
        </w:rPr>
        <w:t>הערבית</w:t>
      </w:r>
      <w:r w:rsidRPr="00DE05FA">
        <w:rPr>
          <w:rFonts w:ascii="Tahoma" w:eastAsia="Calibri" w:hAnsi="Tahoma" w:cs="Tahoma" w:hint="cs"/>
          <w:b/>
          <w:bCs/>
          <w:sz w:val="22"/>
          <w:szCs w:val="22"/>
          <w:rtl/>
        </w:rPr>
        <w:t xml:space="preserve"> </w:t>
      </w:r>
      <w:r w:rsidRPr="00DE05FA">
        <w:rPr>
          <w:rFonts w:ascii="Tahoma" w:eastAsia="Calibri" w:hAnsi="Tahoma" w:cs="Tahoma" w:hint="cs"/>
          <w:sz w:val="22"/>
          <w:szCs w:val="22"/>
          <w:rtl/>
        </w:rPr>
        <w:t>-</w:t>
      </w:r>
      <w:r w:rsidRPr="00DE05FA">
        <w:rPr>
          <w:rFonts w:ascii="Tahoma" w:eastAsia="Calibri" w:hAnsi="Tahoma" w:cs="Tahoma" w:hint="cs"/>
          <w:b/>
          <w:bCs/>
          <w:sz w:val="22"/>
          <w:szCs w:val="22"/>
          <w:rtl/>
        </w:rPr>
        <w:t xml:space="preserve"> </w:t>
      </w:r>
      <w:r w:rsidRPr="00DE05FA">
        <w:rPr>
          <w:rFonts w:ascii="Tahoma" w:eastAsia="Calibri" w:hAnsi="Tahoma" w:cs="Tahoma"/>
          <w:sz w:val="19"/>
          <w:szCs w:val="19"/>
          <w:rtl/>
        </w:rPr>
        <w:t xml:space="preserve">סוגיית הדיור והאשראי </w:t>
      </w:r>
      <w:r w:rsidRPr="00DE05FA">
        <w:rPr>
          <w:rFonts w:ascii="Tahoma" w:eastAsia="Calibri" w:hAnsi="Tahoma" w:cs="Tahoma" w:hint="eastAsia"/>
          <w:sz w:val="19"/>
          <w:szCs w:val="19"/>
          <w:rtl/>
        </w:rPr>
        <w:t>לדיור</w:t>
      </w:r>
      <w:r w:rsidRPr="00DE05FA">
        <w:rPr>
          <w:rFonts w:ascii="Tahoma" w:eastAsia="Calibri" w:hAnsi="Tahoma" w:cs="Tahoma"/>
          <w:sz w:val="19"/>
          <w:szCs w:val="19"/>
          <w:rtl/>
        </w:rPr>
        <w:t xml:space="preserve"> בחברה הערבית משקפת כשל שוק הנובע משילוב של חסמים סטטוטוריים (רישום מקרקעין), מאפיינים תרבותיים (בנייה עצמית) ופערי נגישות פיננסית. בעוד שהחלטות ממשלה </w:t>
      </w:r>
      <w:r w:rsidRPr="00DE05FA">
        <w:rPr>
          <w:rFonts w:ascii="Tahoma" w:eastAsia="Calibri" w:hAnsi="Tahoma" w:cs="Tahoma" w:hint="eastAsia"/>
          <w:sz w:val="19"/>
          <w:szCs w:val="19"/>
          <w:rtl/>
        </w:rPr>
        <w:t>שונות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דנו</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בסוגיית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הגברת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ההכלה</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הפיננסית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הציבור</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הערבי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ואף</w:t>
      </w:r>
      <w:r w:rsidRPr="00DE05FA">
        <w:rPr>
          <w:rFonts w:ascii="Tahoma" w:eastAsia="Calibri" w:hAnsi="Tahoma" w:cs="Tahoma"/>
          <w:sz w:val="19"/>
          <w:szCs w:val="19"/>
          <w:rtl/>
        </w:rPr>
        <w:t xml:space="preserve"> הציבו יעדים להכפלת שיעור מקבלי המשכנתאות וצמצום פערי הריבית, היישום בפועל ס</w:t>
      </w:r>
      <w:r w:rsidRPr="00DE05FA">
        <w:rPr>
          <w:rFonts w:ascii="Tahoma" w:eastAsia="Calibri" w:hAnsi="Tahoma" w:cs="Tahoma" w:hint="eastAsia"/>
          <w:sz w:val="19"/>
          <w:szCs w:val="19"/>
          <w:rtl/>
        </w:rPr>
        <w:t>ו</w:t>
      </w:r>
      <w:r w:rsidRPr="00DE05FA">
        <w:rPr>
          <w:rFonts w:ascii="Tahoma" w:eastAsia="Calibri" w:hAnsi="Tahoma" w:cs="Tahoma"/>
          <w:sz w:val="19"/>
          <w:szCs w:val="19"/>
          <w:rtl/>
        </w:rPr>
        <w:t>בל מעיכובים בירוקרטיים. היעדר נתונים עדכניים מצד בנק ישראל ומצד גורמים אחרים האמונים על כלכלת ישראל כגון משרד האוצר מקשה על בחינת האפקטיביות של הצעדים שננקטו, ובהיעדר פתרונות אשראי מוסדרים, משקי בית ערבים נאלצים לפנות לאפיקי מימון יקרים ומסוכנים, המעצימים את המצוקה הכלכלית ומהווים קרקע פורייה לצמיחת אשראי חוץ-בנקאי לא מבוק</w:t>
      </w:r>
      <w:r w:rsidRPr="00DE05FA">
        <w:rPr>
          <w:rFonts w:ascii="Tahoma" w:eastAsia="Calibri" w:hAnsi="Tahoma" w:cs="Tahoma" w:hint="eastAsia"/>
          <w:sz w:val="19"/>
          <w:szCs w:val="19"/>
          <w:rtl/>
        </w:rPr>
        <w:t>ר</w:t>
      </w:r>
      <w:r w:rsidRPr="00DE05FA">
        <w:rPr>
          <w:rFonts w:ascii="Tahoma" w:eastAsia="Calibri" w:hAnsi="Tahoma" w:cs="Tahoma"/>
          <w:sz w:val="19"/>
          <w:szCs w:val="19"/>
          <w:rtl/>
        </w:rPr>
        <w:t xml:space="preserve">, הגורם לפגיעה קשה ביכולתם של אזרחים ערבים לבנות בתי מגורים בשל </w:t>
      </w:r>
      <w:r w:rsidRPr="00DE05FA">
        <w:rPr>
          <w:rFonts w:ascii="Tahoma" w:eastAsia="Calibri" w:hAnsi="Tahoma" w:cs="Tahoma" w:hint="eastAsia"/>
          <w:sz w:val="19"/>
          <w:szCs w:val="19"/>
          <w:rtl/>
        </w:rPr>
        <w:t>חוסר</w:t>
      </w:r>
      <w:r w:rsidRPr="00DE05FA">
        <w:rPr>
          <w:rFonts w:ascii="Tahoma" w:eastAsia="Calibri" w:hAnsi="Tahoma" w:cs="Tahoma"/>
          <w:sz w:val="19"/>
          <w:szCs w:val="19"/>
          <w:rtl/>
        </w:rPr>
        <w:t xml:space="preserve"> נגישותם </w:t>
      </w:r>
      <w:r w:rsidRPr="00DE05FA">
        <w:rPr>
          <w:rFonts w:ascii="Tahoma" w:eastAsia="Calibri" w:hAnsi="Tahoma" w:cs="Tahoma" w:hint="eastAsia"/>
          <w:sz w:val="19"/>
          <w:szCs w:val="19"/>
          <w:rtl/>
        </w:rPr>
        <w:t>למשכנתאות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בנקאיות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ואף</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במקרים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מסוימים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יכול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אף</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לעודד</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פשיעה</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כלכלית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וזאת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בשל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מעורבותם</w:t>
      </w:r>
      <w:r w:rsidRPr="00DE05FA">
        <w:rPr>
          <w:rFonts w:ascii="Tahoma" w:eastAsia="Calibri" w:hAnsi="Tahoma" w:cs="Tahoma"/>
          <w:sz w:val="19"/>
          <w:szCs w:val="19"/>
          <w:rtl/>
        </w:rPr>
        <w:t xml:space="preserve"> של גורמים פליליים בנתינת הלוואות </w:t>
      </w:r>
      <w:r w:rsidR="002646BE">
        <w:rPr>
          <w:rFonts w:ascii="Tahoma" w:eastAsia="Calibri" w:hAnsi="Tahoma" w:cs="Tahoma"/>
          <w:sz w:val="19"/>
          <w:szCs w:val="19"/>
          <w:rtl/>
        </w:rPr>
        <w:t>חוץ-בנק</w:t>
      </w:r>
      <w:r w:rsidRPr="00DE05FA">
        <w:rPr>
          <w:rFonts w:ascii="Tahoma" w:eastAsia="Calibri" w:hAnsi="Tahoma" w:cs="Tahoma" w:hint="eastAsia"/>
          <w:sz w:val="19"/>
          <w:szCs w:val="19"/>
          <w:rtl/>
        </w:rPr>
        <w:t>איות</w:t>
      </w:r>
      <w:r w:rsidRPr="00DE05FA">
        <w:rPr>
          <w:rFonts w:ascii="Tahoma" w:eastAsia="Calibri" w:hAnsi="Tahoma" w:cs="Tahoma"/>
          <w:sz w:val="19"/>
          <w:szCs w:val="19"/>
          <w:rtl/>
        </w:rPr>
        <w:t>.</w:t>
      </w:r>
    </w:p>
    <w:p w:rsidR="004A17E8" w:rsidP="00DE05FA">
      <w:pPr>
        <w:numPr>
          <w:ilvl w:val="0"/>
          <w:numId w:val="23"/>
        </w:numPr>
        <w:spacing w:after="200" w:line="288" w:lineRule="auto"/>
        <w:ind w:left="-142" w:right="-567" w:hanging="595"/>
        <w:rPr>
          <w:rFonts w:ascii="Tahoma" w:eastAsia="Calibri" w:hAnsi="Tahoma" w:cs="Tahoma" w:hint="cs"/>
          <w:b/>
          <w:bCs/>
          <w:sz w:val="19"/>
          <w:szCs w:val="19"/>
          <w:rtl/>
        </w:rPr>
      </w:pPr>
      <w:r w:rsidRPr="00DE05FA">
        <w:rPr>
          <w:rFonts w:ascii="Tahoma" w:eastAsia="Calibri" w:hAnsi="Tahoma" w:cs="Tahoma" w:hint="cs"/>
          <w:b/>
          <w:bCs/>
          <w:sz w:val="19"/>
          <w:szCs w:val="19"/>
          <w:rtl/>
        </w:rPr>
        <w:t>פרסום מחקר מעודכן</w:t>
      </w:r>
      <w:r w:rsidR="000B2400">
        <w:rPr>
          <w:rFonts w:ascii="Tahoma" w:eastAsia="Calibri" w:hAnsi="Tahoma" w:cs="Tahoma" w:hint="cs"/>
          <w:b/>
          <w:bCs/>
          <w:sz w:val="19"/>
          <w:szCs w:val="19"/>
          <w:rtl/>
        </w:rPr>
        <w:t xml:space="preserve"> על</w:t>
      </w:r>
      <w:r w:rsidRPr="00DE05FA">
        <w:rPr>
          <w:rFonts w:ascii="Tahoma" w:eastAsia="Calibri" w:hAnsi="Tahoma" w:cs="Tahoma" w:hint="cs"/>
          <w:b/>
          <w:bCs/>
          <w:sz w:val="19"/>
          <w:szCs w:val="19"/>
          <w:rtl/>
        </w:rPr>
        <w:t xml:space="preserve"> המשכנתאות במגזר הערבי על ידי בנק ישראל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hint="cs"/>
          <w:sz w:val="19"/>
          <w:szCs w:val="19"/>
          <w:rtl/>
        </w:rPr>
        <w:t>נמצא</w:t>
      </w:r>
      <w:r w:rsidRPr="00DE05FA">
        <w:rPr>
          <w:rFonts w:ascii="Tahoma" w:eastAsia="Calibri" w:hAnsi="Tahoma" w:cs="Tahoma"/>
          <w:sz w:val="19"/>
          <w:szCs w:val="19"/>
          <w:rtl/>
        </w:rPr>
        <w:t xml:space="preserve"> כי </w:t>
      </w:r>
      <w:r w:rsidRPr="00DE05FA">
        <w:rPr>
          <w:rFonts w:ascii="Tahoma" w:eastAsia="Calibri" w:hAnsi="Tahoma" w:cs="Tahoma" w:hint="cs"/>
          <w:sz w:val="19"/>
          <w:szCs w:val="19"/>
          <w:rtl/>
        </w:rPr>
        <w:t>ממועד פרסום הדוח האחרון של הפיקוח על הבנקים בשנת 2022 (לגבי נתוני שנת 2020)</w:t>
      </w:r>
      <w:r w:rsidRPr="00DE05FA">
        <w:rPr>
          <w:rFonts w:ascii="Tahoma" w:eastAsia="Calibri" w:hAnsi="Tahoma" w:cs="Tahoma"/>
          <w:sz w:val="19"/>
          <w:szCs w:val="19"/>
          <w:rtl/>
        </w:rPr>
        <w:t xml:space="preserve">, לא פורסם מחקר </w:t>
      </w:r>
      <w:r w:rsidRPr="00DE05FA">
        <w:rPr>
          <w:rFonts w:ascii="Tahoma" w:eastAsia="Calibri" w:hAnsi="Tahoma" w:cs="Tahoma" w:hint="eastAsia"/>
          <w:sz w:val="19"/>
          <w:szCs w:val="19"/>
          <w:rtl/>
        </w:rPr>
        <w:t>עדכני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של</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הפיקוח על הבנקים או חטיבת המחקר של </w:t>
      </w:r>
      <w:r w:rsidRPr="00DE05FA">
        <w:rPr>
          <w:rFonts w:ascii="Tahoma" w:eastAsia="Calibri" w:hAnsi="Tahoma" w:cs="Tahoma" w:hint="eastAsia"/>
          <w:sz w:val="19"/>
          <w:szCs w:val="19"/>
          <w:rtl/>
        </w:rPr>
        <w:t>בנק</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ישראל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על</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שיעור המשכנתאות שניתנות</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למגזר</w:t>
      </w:r>
      <w:r w:rsidRPr="00DE05FA">
        <w:rPr>
          <w:rFonts w:ascii="Tahoma" w:eastAsia="Calibri" w:hAnsi="Tahoma" w:cs="Tahoma"/>
          <w:sz w:val="19"/>
          <w:szCs w:val="19"/>
          <w:rtl/>
        </w:rPr>
        <w:t xml:space="preserve"> הערבי </w:t>
      </w:r>
      <w:r w:rsidRPr="00DE05FA">
        <w:rPr>
          <w:rFonts w:ascii="Tahoma" w:eastAsia="Calibri" w:hAnsi="Tahoma" w:cs="Tahoma" w:hint="cs"/>
          <w:sz w:val="19"/>
          <w:szCs w:val="19"/>
          <w:rtl/>
        </w:rPr>
        <w:t xml:space="preserve">מכלל </w:t>
      </w:r>
      <w:r w:rsidRPr="00DE05FA">
        <w:rPr>
          <w:rFonts w:ascii="Tahoma" w:eastAsia="Calibri" w:hAnsi="Tahoma" w:cs="Tahoma"/>
          <w:sz w:val="19"/>
          <w:szCs w:val="19"/>
          <w:rtl/>
        </w:rPr>
        <w:t>המשכנתאות</w:t>
      </w:r>
      <w:r w:rsidRPr="00DE05FA">
        <w:rPr>
          <w:rFonts w:ascii="Tahoma" w:eastAsia="Calibri" w:hAnsi="Tahoma" w:cs="Tahoma" w:hint="cs"/>
          <w:sz w:val="19"/>
          <w:szCs w:val="19"/>
          <w:rtl/>
        </w:rPr>
        <w:t xml:space="preserve"> וזאת למרות החשיבות הקיימת בהצגת הנתונים האמורים לצורך גיבוש המלצות מדיניות הקשורות למגזר הערבי.</w:t>
      </w:r>
    </w:p>
    <w:p w:rsidR="00DE05FA" w:rsidRPr="00DE05FA" w:rsidP="00DE05FA">
      <w:pPr>
        <w:numPr>
          <w:ilvl w:val="0"/>
          <w:numId w:val="23"/>
        </w:numPr>
        <w:spacing w:after="200" w:line="288" w:lineRule="auto"/>
        <w:ind w:left="-142" w:right="-567" w:hanging="595"/>
        <w:rPr>
          <w:rFonts w:ascii="Tahoma" w:eastAsia="Calibri" w:hAnsi="Tahoma"/>
          <w:b/>
          <w:sz w:val="19"/>
        </w:rPr>
      </w:pPr>
      <w:r w:rsidRPr="00DE05FA">
        <w:rPr>
          <w:rFonts w:ascii="Tahoma" w:eastAsia="Calibri" w:hAnsi="Tahoma" w:cs="Tahoma" w:hint="cs"/>
          <w:b/>
          <w:bCs/>
          <w:sz w:val="19"/>
          <w:szCs w:val="19"/>
          <w:rtl/>
        </w:rPr>
        <w:t xml:space="preserve">נתונים </w:t>
      </w:r>
      <w:r w:rsidR="000B2400">
        <w:rPr>
          <w:rFonts w:ascii="Tahoma" w:eastAsia="Calibri" w:hAnsi="Tahoma" w:cs="Tahoma" w:hint="cs"/>
          <w:b/>
          <w:bCs/>
          <w:sz w:val="19"/>
          <w:szCs w:val="19"/>
          <w:rtl/>
        </w:rPr>
        <w:t xml:space="preserve">על </w:t>
      </w:r>
      <w:r w:rsidRPr="00DE05FA">
        <w:rPr>
          <w:rFonts w:ascii="Tahoma" w:eastAsia="Calibri" w:hAnsi="Tahoma" w:cs="Tahoma" w:hint="cs"/>
          <w:b/>
          <w:bCs/>
          <w:sz w:val="19"/>
          <w:szCs w:val="19"/>
          <w:rtl/>
        </w:rPr>
        <w:t xml:space="preserve">המגזר הערבי בבנק ישראל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 xml:space="preserve">נמצא כי בנק ישראל אינו מחזיק בנתונים בסיסיים הנדרשים לצורך גיבוש מדיניות להנגשת אשראי לדיור בחברה הערבית. </w:t>
      </w:r>
      <w:r w:rsidRPr="00DE05FA">
        <w:rPr>
          <w:rFonts w:ascii="Tahoma" w:eastAsia="Calibri" w:hAnsi="Tahoma" w:cs="Tahoma" w:hint="cs"/>
          <w:sz w:val="19"/>
          <w:szCs w:val="19"/>
          <w:rtl/>
        </w:rPr>
        <w:t xml:space="preserve">נמצא </w:t>
      </w:r>
      <w:r w:rsidRPr="00DE05FA">
        <w:rPr>
          <w:rFonts w:ascii="Tahoma" w:eastAsia="Calibri" w:hAnsi="Tahoma" w:cs="Tahoma"/>
          <w:sz w:val="19"/>
          <w:szCs w:val="19"/>
          <w:rtl/>
        </w:rPr>
        <w:t xml:space="preserve">כי הפיקוח </w:t>
      </w:r>
      <w:r w:rsidRPr="00DE05FA">
        <w:rPr>
          <w:rFonts w:ascii="Tahoma" w:eastAsia="Calibri" w:hAnsi="Tahoma" w:cs="Tahoma" w:hint="cs"/>
          <w:sz w:val="19"/>
          <w:szCs w:val="19"/>
          <w:rtl/>
        </w:rPr>
        <w:t xml:space="preserve">על הבנקים </w:t>
      </w:r>
      <w:r w:rsidRPr="00DE05FA">
        <w:rPr>
          <w:rFonts w:ascii="Tahoma" w:eastAsia="Calibri" w:hAnsi="Tahoma" w:cs="Tahoma"/>
          <w:sz w:val="19"/>
          <w:szCs w:val="19"/>
          <w:rtl/>
        </w:rPr>
        <w:t>אינו מנטר את מספר יועצי המשכנתאות דוברי הערבית במערכת הבנקאית או את פריסת "נציגויות המשכנתא" בתוך היישובים הערביים</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העדר נתונים אלו מהווה "שטח מת" רגולטורי המקשה על בחינת האפקטיביות של צעדי ההנגשה. יתרה מכך, הנתונים הקיימים מצביעים על</w:t>
      </w:r>
      <w:r w:rsidRPr="00DE05FA">
        <w:rPr>
          <w:rFonts w:ascii="Tahoma" w:eastAsia="Calibri" w:hAnsi="Tahoma" w:cs="Tahoma" w:hint="cs"/>
          <w:sz w:val="19"/>
          <w:szCs w:val="19"/>
          <w:rtl/>
        </w:rPr>
        <w:t xml:space="preserve"> פערים</w:t>
      </w:r>
      <w:r w:rsidRPr="00DE05FA">
        <w:rPr>
          <w:rFonts w:ascii="Tahoma" w:eastAsia="Calibri" w:hAnsi="Tahoma" w:cs="Tahoma"/>
          <w:sz w:val="19"/>
          <w:szCs w:val="19"/>
          <w:rtl/>
        </w:rPr>
        <w:t xml:space="preserve"> בהנגשה הישיר</w:t>
      </w:r>
      <w:r w:rsidRPr="00DE05FA">
        <w:rPr>
          <w:rFonts w:ascii="Tahoma" w:eastAsia="Calibri" w:hAnsi="Tahoma" w:cs="Tahoma" w:hint="cs"/>
          <w:sz w:val="19"/>
          <w:szCs w:val="19"/>
          <w:rtl/>
        </w:rPr>
        <w:t xml:space="preserve">ה: 73% </w:t>
      </w:r>
      <w:r w:rsidRPr="00DE05FA">
        <w:rPr>
          <w:rFonts w:ascii="Tahoma" w:eastAsia="Calibri" w:hAnsi="Tahoma" w:cs="Tahoma"/>
          <w:sz w:val="19"/>
          <w:szCs w:val="19"/>
          <w:rtl/>
        </w:rPr>
        <w:t xml:space="preserve">מהלווים בחברה הערבית </w:t>
      </w:r>
      <w:r w:rsidRPr="00DE05FA">
        <w:rPr>
          <w:rFonts w:ascii="Tahoma" w:eastAsia="Calibri" w:hAnsi="Tahoma" w:cs="Tahoma" w:hint="cs"/>
          <w:sz w:val="19"/>
          <w:szCs w:val="19"/>
          <w:rtl/>
        </w:rPr>
        <w:t>נעזרים</w:t>
      </w:r>
      <w:r w:rsidRPr="00DE05FA">
        <w:rPr>
          <w:rFonts w:ascii="Tahoma" w:eastAsia="Calibri" w:hAnsi="Tahoma" w:cs="Tahoma"/>
          <w:sz w:val="19"/>
          <w:szCs w:val="19"/>
          <w:rtl/>
        </w:rPr>
        <w:t xml:space="preserve"> ביועץ משכנתאות חיצוני (לעומת </w:t>
      </w:r>
      <w:r w:rsidRPr="00DE05FA">
        <w:rPr>
          <w:rFonts w:ascii="Tahoma" w:eastAsia="Calibri" w:hAnsi="Tahoma" w:cs="Tahoma" w:hint="cs"/>
          <w:sz w:val="19"/>
          <w:szCs w:val="19"/>
          <w:rtl/>
        </w:rPr>
        <w:t>59</w:t>
      </w:r>
      <w:r w:rsidRPr="00DE05FA">
        <w:rPr>
          <w:rFonts w:ascii="Tahoma" w:eastAsia="Calibri" w:hAnsi="Tahoma" w:cs="Tahoma"/>
          <w:sz w:val="19"/>
          <w:szCs w:val="19"/>
          <w:rtl/>
        </w:rPr>
        <w:t>% באוכלוסייה הכללית). נתון זה מעיד על כך שהמערכת הבנקאית אינה פשוטה או נגישה דיה עבור הלקוח הערבי, דבר המטיל עליו נטל כלכלי נוסף בדמות תשלום שכר טרחה ליועצים פרטיים</w:t>
      </w:r>
      <w:r w:rsidRPr="00DE05FA">
        <w:rPr>
          <w:rFonts w:eastAsia="Calibri"/>
        </w:rPr>
        <w:t>.</w:t>
      </w:r>
    </w:p>
    <w:p w:rsidR="00DE05FA" w:rsidRPr="00DE05FA" w:rsidP="00DE05FA">
      <w:pPr>
        <w:numPr>
          <w:ilvl w:val="0"/>
          <w:numId w:val="23"/>
        </w:numPr>
        <w:spacing w:after="200" w:line="288" w:lineRule="auto"/>
        <w:ind w:left="-142" w:right="-567" w:hanging="595"/>
        <w:rPr>
          <w:rFonts w:ascii="Tahoma" w:eastAsia="Calibri" w:hAnsi="Tahoma" w:cs="Tahoma"/>
          <w:sz w:val="19"/>
          <w:szCs w:val="19"/>
        </w:rPr>
      </w:pPr>
      <w:r w:rsidRPr="00DE05FA">
        <w:rPr>
          <w:rFonts w:ascii="Tahoma" w:eastAsia="Calibri" w:hAnsi="Tahoma" w:cs="Tahoma" w:hint="cs"/>
          <w:b/>
          <w:bCs/>
          <w:sz w:val="19"/>
          <w:szCs w:val="19"/>
          <w:rtl/>
        </w:rPr>
        <w:t xml:space="preserve">פנייה לאשראי </w:t>
      </w:r>
      <w:r w:rsidR="002646BE">
        <w:rPr>
          <w:rFonts w:ascii="Tahoma" w:eastAsia="Calibri" w:hAnsi="Tahoma" w:cs="Tahoma" w:hint="cs"/>
          <w:b/>
          <w:bCs/>
          <w:sz w:val="19"/>
          <w:szCs w:val="19"/>
          <w:rtl/>
        </w:rPr>
        <w:t>חוץ-בנק</w:t>
      </w:r>
      <w:r w:rsidRPr="00DE05FA">
        <w:rPr>
          <w:rFonts w:ascii="Tahoma" w:eastAsia="Calibri" w:hAnsi="Tahoma" w:cs="Tahoma" w:hint="cs"/>
          <w:b/>
          <w:bCs/>
          <w:sz w:val="19"/>
          <w:szCs w:val="19"/>
          <w:rtl/>
        </w:rPr>
        <w:t xml:space="preserve">אי והלוואות צרכניות שוטפות שאינן לדיור על ידי המגזר הערבי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נוכח הקושי בקבלת אשראי לדיור</w:t>
      </w:r>
      <w:r w:rsidRPr="00DE05FA">
        <w:rPr>
          <w:rFonts w:ascii="Tahoma" w:eastAsia="Calibri" w:hAnsi="Tahoma" w:cs="Tahoma" w:hint="cs"/>
          <w:sz w:val="19"/>
          <w:szCs w:val="19"/>
          <w:rtl/>
        </w:rPr>
        <w:t xml:space="preserve"> מהבנקים</w:t>
      </w:r>
      <w:r w:rsidRPr="00DE05FA">
        <w:rPr>
          <w:rFonts w:ascii="Tahoma" w:eastAsia="Calibri" w:hAnsi="Tahoma" w:cs="Tahoma"/>
          <w:sz w:val="19"/>
          <w:szCs w:val="19"/>
          <w:rtl/>
        </w:rPr>
        <w:t xml:space="preserve">, נאלצים חלק מהלקוחות במגזר הערבי לקחת הלוואות </w:t>
      </w:r>
      <w:r w:rsidRPr="00DE05FA">
        <w:rPr>
          <w:rFonts w:ascii="Tahoma" w:eastAsia="Calibri" w:hAnsi="Tahoma" w:cs="Tahoma" w:hint="cs"/>
          <w:sz w:val="19"/>
          <w:szCs w:val="19"/>
          <w:rtl/>
        </w:rPr>
        <w:t>צרכניות שוטפות שאינן לדיור</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באמצעות המערכת </w:t>
      </w:r>
      <w:r w:rsidRPr="00DE05FA">
        <w:rPr>
          <w:rFonts w:ascii="Tahoma" w:eastAsia="Calibri" w:hAnsi="Tahoma" w:cs="Tahoma"/>
          <w:sz w:val="19"/>
          <w:szCs w:val="19"/>
          <w:rtl/>
        </w:rPr>
        <w:t>הבנק</w:t>
      </w:r>
      <w:r w:rsidRPr="00DE05FA">
        <w:rPr>
          <w:rFonts w:ascii="Tahoma" w:eastAsia="Calibri" w:hAnsi="Tahoma" w:cs="Tahoma" w:hint="cs"/>
          <w:sz w:val="19"/>
          <w:szCs w:val="19"/>
          <w:rtl/>
        </w:rPr>
        <w:t>א</w:t>
      </w:r>
      <w:r w:rsidRPr="00DE05FA">
        <w:rPr>
          <w:rFonts w:ascii="Tahoma" w:eastAsia="Calibri" w:hAnsi="Tahoma" w:cs="Tahoma"/>
          <w:sz w:val="19"/>
          <w:szCs w:val="19"/>
          <w:rtl/>
        </w:rPr>
        <w:t>י</w:t>
      </w:r>
      <w:r w:rsidRPr="00DE05FA">
        <w:rPr>
          <w:rFonts w:ascii="Tahoma" w:eastAsia="Calibri" w:hAnsi="Tahoma" w:cs="Tahoma" w:hint="cs"/>
          <w:sz w:val="19"/>
          <w:szCs w:val="19"/>
          <w:rtl/>
        </w:rPr>
        <w:t>ת</w:t>
      </w:r>
      <w:r w:rsidRPr="00DE05FA">
        <w:rPr>
          <w:rFonts w:ascii="Tahoma" w:eastAsia="Calibri" w:hAnsi="Tahoma" w:cs="Tahoma"/>
          <w:sz w:val="19"/>
          <w:szCs w:val="19"/>
          <w:rtl/>
        </w:rPr>
        <w:t>, חברות כרטיסי האשראי או חברות האשראי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 </w:t>
      </w:r>
      <w:r w:rsidRPr="00DE05FA">
        <w:rPr>
          <w:rFonts w:ascii="Tahoma" w:eastAsia="Calibri" w:hAnsi="Tahoma" w:cs="Tahoma" w:hint="cs"/>
          <w:sz w:val="19"/>
          <w:szCs w:val="19"/>
          <w:rtl/>
        </w:rPr>
        <w:t xml:space="preserve">הניתנות </w:t>
      </w:r>
      <w:r w:rsidRPr="00DE05FA">
        <w:rPr>
          <w:rFonts w:ascii="Tahoma" w:eastAsia="Calibri" w:hAnsi="Tahoma" w:cs="Tahoma"/>
          <w:sz w:val="19"/>
          <w:szCs w:val="19"/>
          <w:rtl/>
        </w:rPr>
        <w:t xml:space="preserve">בריביות גבוהות </w:t>
      </w:r>
      <w:r w:rsidRPr="00DE05FA">
        <w:rPr>
          <w:rFonts w:ascii="Tahoma" w:eastAsia="Calibri" w:hAnsi="Tahoma" w:cs="Tahoma" w:hint="cs"/>
          <w:sz w:val="19"/>
          <w:szCs w:val="19"/>
          <w:rtl/>
        </w:rPr>
        <w:t xml:space="preserve">יותר </w:t>
      </w:r>
      <w:r w:rsidRPr="00DE05FA">
        <w:rPr>
          <w:rFonts w:ascii="Tahoma" w:eastAsia="Calibri" w:hAnsi="Tahoma" w:cs="Tahoma"/>
          <w:sz w:val="19"/>
          <w:szCs w:val="19"/>
          <w:rtl/>
        </w:rPr>
        <w:t>מאשר הלווא</w:t>
      </w:r>
      <w:r w:rsidRPr="00DE05FA">
        <w:rPr>
          <w:rFonts w:ascii="Tahoma" w:eastAsia="Calibri" w:hAnsi="Tahoma" w:cs="Tahoma" w:hint="cs"/>
          <w:sz w:val="19"/>
          <w:szCs w:val="19"/>
          <w:rtl/>
        </w:rPr>
        <w:t>ו</w:t>
      </w:r>
      <w:r w:rsidRPr="00DE05FA">
        <w:rPr>
          <w:rFonts w:ascii="Tahoma" w:eastAsia="Calibri" w:hAnsi="Tahoma" w:cs="Tahoma"/>
          <w:sz w:val="19"/>
          <w:szCs w:val="19"/>
          <w:rtl/>
        </w:rPr>
        <w:t xml:space="preserve">ת לדיור. </w:t>
      </w:r>
      <w:r w:rsidRPr="00DE05FA">
        <w:rPr>
          <w:rFonts w:ascii="Tahoma" w:eastAsia="Calibri" w:hAnsi="Tahoma" w:cs="Tahoma" w:hint="eastAsia"/>
          <w:sz w:val="19"/>
          <w:szCs w:val="19"/>
          <w:rtl/>
        </w:rPr>
        <w:t>יצוין</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כי</w:t>
      </w:r>
      <w:r w:rsidRPr="00DE05FA">
        <w:rPr>
          <w:rFonts w:ascii="Tahoma" w:eastAsia="Calibri" w:hAnsi="Tahoma" w:cs="Tahoma"/>
          <w:sz w:val="19"/>
          <w:szCs w:val="19"/>
          <w:rtl/>
        </w:rPr>
        <w:t xml:space="preserve"> קיימים פערי </w:t>
      </w:r>
      <w:r w:rsidRPr="00DE05FA">
        <w:rPr>
          <w:rFonts w:ascii="Tahoma" w:eastAsia="Calibri" w:hAnsi="Tahoma" w:cs="Tahoma" w:hint="cs"/>
          <w:sz w:val="19"/>
          <w:szCs w:val="19"/>
          <w:rtl/>
        </w:rPr>
        <w:t>ה</w:t>
      </w:r>
      <w:r w:rsidRPr="00DE05FA">
        <w:rPr>
          <w:rFonts w:ascii="Tahoma" w:eastAsia="Calibri" w:hAnsi="Tahoma" w:cs="Tahoma" w:hint="eastAsia"/>
          <w:sz w:val="19"/>
          <w:szCs w:val="19"/>
          <w:rtl/>
        </w:rPr>
        <w:t>ריביות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בין</w:t>
      </w:r>
      <w:r w:rsidRPr="00DE05FA">
        <w:rPr>
          <w:rFonts w:ascii="Tahoma" w:eastAsia="Calibri" w:hAnsi="Tahoma" w:cs="Tahoma"/>
          <w:sz w:val="19"/>
          <w:szCs w:val="19"/>
          <w:rtl/>
        </w:rPr>
        <w:t xml:space="preserve"> טווח ריבית האשראי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 הגבוהה מטווח </w:t>
      </w:r>
      <w:r w:rsidRPr="00DE05FA">
        <w:rPr>
          <w:rFonts w:ascii="Tahoma" w:eastAsia="Calibri" w:hAnsi="Tahoma" w:cs="Tahoma" w:hint="eastAsia"/>
          <w:sz w:val="19"/>
          <w:szCs w:val="19"/>
          <w:rtl/>
        </w:rPr>
        <w:t>ריבית</w:t>
      </w:r>
      <w:r w:rsidRPr="00DE05FA">
        <w:rPr>
          <w:rFonts w:ascii="Tahoma" w:eastAsia="Calibri" w:hAnsi="Tahoma" w:cs="Tahoma"/>
          <w:sz w:val="19"/>
          <w:szCs w:val="19"/>
          <w:rtl/>
        </w:rPr>
        <w:t xml:space="preserve"> האשראי הבנקאי. כך, כ-80% מזרם האשראי החוץ-בנקאי ניתן בטווח ריביות שבין 5% ל-20%</w:t>
      </w:r>
      <w:r w:rsidRPr="00DE05FA">
        <w:rPr>
          <w:rFonts w:ascii="Tahoma" w:eastAsia="Calibri" w:hAnsi="Tahoma" w:cs="Tahoma" w:hint="cs"/>
          <w:sz w:val="19"/>
          <w:szCs w:val="19"/>
          <w:rtl/>
        </w:rPr>
        <w:t>. טווח זה כולל את האשראי הצרכני והאשראי העסקי. יצוין כי טווח ה</w:t>
      </w:r>
      <w:r w:rsidRPr="00DE05FA">
        <w:rPr>
          <w:rFonts w:ascii="Tahoma" w:eastAsia="Calibri" w:hAnsi="Tahoma" w:cs="Tahoma" w:hint="eastAsia"/>
          <w:sz w:val="19"/>
          <w:szCs w:val="19"/>
          <w:rtl/>
        </w:rPr>
        <w:t>ריביות</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ה</w:t>
      </w:r>
      <w:r w:rsidRPr="00DE05FA">
        <w:rPr>
          <w:rFonts w:ascii="Tahoma" w:eastAsia="Calibri" w:hAnsi="Tahoma" w:cs="Tahoma" w:hint="eastAsia"/>
          <w:sz w:val="19"/>
          <w:szCs w:val="19"/>
          <w:rtl/>
        </w:rPr>
        <w:t>ממוצע</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על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הלוואות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במערכת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הבנקאית</w:t>
      </w:r>
      <w:r>
        <w:rPr>
          <w:rFonts w:ascii="Tahoma" w:eastAsia="Calibri" w:hAnsi="Tahoma" w:cs="Tahoma"/>
          <w:sz w:val="19"/>
          <w:szCs w:val="19"/>
          <w:vertAlign w:val="superscript"/>
          <w:rtl/>
        </w:rPr>
        <w:footnoteReference w:id="18"/>
      </w:r>
      <w:r w:rsidRPr="00DE05FA">
        <w:rPr>
          <w:rFonts w:ascii="Tahoma" w:eastAsia="Calibri" w:hAnsi="Tahoma" w:cs="Tahoma" w:hint="cs"/>
          <w:sz w:val="19"/>
          <w:szCs w:val="19"/>
          <w:rtl/>
        </w:rPr>
        <w:t xml:space="preserve"> עמד </w:t>
      </w:r>
      <w:r w:rsidRPr="00DE05FA">
        <w:rPr>
          <w:rFonts w:ascii="Tahoma" w:eastAsia="Calibri" w:hAnsi="Tahoma" w:cs="Tahoma"/>
          <w:sz w:val="19"/>
          <w:szCs w:val="19"/>
          <w:rtl/>
        </w:rPr>
        <w:t>על כ-9%</w:t>
      </w:r>
      <w:r w:rsidRPr="00DE05FA">
        <w:rPr>
          <w:rFonts w:ascii="Tahoma" w:eastAsia="Calibri" w:hAnsi="Tahoma" w:cs="Tahoma"/>
          <w:sz w:val="19"/>
          <w:szCs w:val="19"/>
        </w:rPr>
        <w:t xml:space="preserve"> </w:t>
      </w:r>
      <w:r w:rsidRPr="00DE05FA">
        <w:rPr>
          <w:rFonts w:ascii="Tahoma" w:eastAsia="Calibri" w:hAnsi="Tahoma" w:cs="Tahoma" w:hint="eastAsia"/>
          <w:sz w:val="19"/>
          <w:szCs w:val="19"/>
          <w:rtl/>
        </w:rPr>
        <w:t>עד</w:t>
      </w:r>
      <w:r w:rsidRPr="00DE05FA">
        <w:rPr>
          <w:rFonts w:ascii="Tahoma" w:eastAsia="Calibri" w:hAnsi="Tahoma" w:cs="Tahoma"/>
          <w:sz w:val="19"/>
          <w:szCs w:val="19"/>
          <w:rtl/>
        </w:rPr>
        <w:t xml:space="preserve"> 10% </w:t>
      </w:r>
      <w:r w:rsidRPr="00DE05FA">
        <w:rPr>
          <w:rFonts w:ascii="Tahoma" w:eastAsia="Calibri" w:hAnsi="Tahoma" w:cs="Tahoma" w:hint="eastAsia"/>
          <w:sz w:val="19"/>
          <w:szCs w:val="19"/>
          <w:rtl/>
        </w:rPr>
        <w:t>בשנת</w:t>
      </w:r>
      <w:r w:rsidRPr="00DE05FA">
        <w:rPr>
          <w:rFonts w:ascii="Tahoma" w:eastAsia="Calibri" w:hAnsi="Tahoma" w:cs="Tahoma"/>
          <w:sz w:val="19"/>
          <w:szCs w:val="19"/>
          <w:rtl/>
        </w:rPr>
        <w:t xml:space="preserve"> 2024</w:t>
      </w:r>
      <w:r w:rsidRPr="00DE05FA">
        <w:rPr>
          <w:rFonts w:ascii="Tahoma" w:eastAsia="Calibri" w:hAnsi="Tahoma" w:cs="Tahoma" w:hint="cs"/>
          <w:sz w:val="19"/>
          <w:szCs w:val="19"/>
          <w:rtl/>
        </w:rPr>
        <w:t>.</w:t>
      </w:r>
    </w:p>
    <w:p w:rsidR="00DE05FA" w:rsidRPr="00DE05FA" w:rsidP="00DE05FA">
      <w:pPr>
        <w:numPr>
          <w:ilvl w:val="0"/>
          <w:numId w:val="23"/>
        </w:numPr>
        <w:spacing w:after="200" w:line="288" w:lineRule="auto"/>
        <w:ind w:left="-142" w:right="-567" w:hanging="595"/>
        <w:rPr>
          <w:rFonts w:ascii="Tahoma" w:eastAsia="Calibri" w:hAnsi="Tahoma" w:cs="Tahoma"/>
          <w:sz w:val="19"/>
          <w:szCs w:val="19"/>
        </w:rPr>
      </w:pPr>
      <w:r w:rsidRPr="00DE05FA">
        <w:rPr>
          <w:rFonts w:ascii="Tahoma" w:eastAsia="Calibri" w:hAnsi="Tahoma" w:cs="Tahoma" w:hint="cs"/>
          <w:b/>
          <w:bCs/>
          <w:sz w:val="19"/>
          <w:szCs w:val="19"/>
          <w:rtl/>
        </w:rPr>
        <w:t>טיפול בסוגיית העדר הנגישות של החברה הערבית למשכנתאות</w:t>
      </w:r>
      <w:r w:rsidRPr="00DE05FA">
        <w:rPr>
          <w:rFonts w:ascii="Tahoma" w:eastAsia="Calibri" w:hAnsi="Tahoma" w:cs="Tahoma" w:hint="cs"/>
          <w:sz w:val="19"/>
          <w:szCs w:val="19"/>
        </w:rPr>
        <w:t xml:space="preserve">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sidR="004A17E8">
        <w:rPr>
          <w:rFonts w:ascii="Tahoma" w:eastAsia="Calibri" w:hAnsi="Tahoma" w:cs="Tahoma" w:hint="cs"/>
          <w:sz w:val="19"/>
          <w:szCs w:val="19"/>
          <w:rtl/>
        </w:rPr>
        <w:t>הסוגיה</w:t>
      </w:r>
      <w:r w:rsidRPr="00DE05FA">
        <w:rPr>
          <w:rFonts w:ascii="Tahoma" w:eastAsia="Calibri" w:hAnsi="Tahoma" w:cs="Tahoma" w:hint="cs"/>
          <w:sz w:val="19"/>
          <w:szCs w:val="19"/>
          <w:rtl/>
        </w:rPr>
        <w:t xml:space="preserve"> עומדת על שולחן מקבלי ההחלטות. סוגיה זו נדונה במספר החלטות ממשלה ובמספר צוותי עבודה שונים במהלך השנים. האחרון שבהם - הצוות בראשות החשב הכללי, שהוקם בתחילת 2022 לא פרסם את מסקנותיו, דבר שהוביל לכך שהן לא נדונו כלל גם בממשלה. לפיכך, הסוגיה האמורה אינה מקודמת ואינה מטופלת על ידי הגורמים הרלוונטיים בממשלה, כפי שנקבעו בהחלטת הממשלה.</w:t>
      </w:r>
    </w:p>
    <w:p w:rsidR="00DE05FA" w:rsidRPr="00DE05FA" w:rsidP="00DE05FA">
      <w:pPr>
        <w:spacing w:line="288" w:lineRule="auto"/>
        <w:ind w:left="-738" w:right="-567"/>
        <w:rPr>
          <w:rFonts w:ascii="Tahoma" w:eastAsia="Calibri" w:hAnsi="Tahoma" w:cs="Tahoma"/>
          <w:b/>
          <w:bCs/>
          <w:sz w:val="22"/>
          <w:szCs w:val="22"/>
          <w:rtl/>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hint="eastAsia"/>
          <w:b/>
          <w:bCs/>
          <w:sz w:val="22"/>
          <w:szCs w:val="22"/>
          <w:rtl/>
        </w:rPr>
        <w:t>משכנתאות</w:t>
      </w:r>
      <w:r w:rsidRPr="00DE05FA">
        <w:rPr>
          <w:rFonts w:ascii="Tahoma" w:eastAsia="Calibri" w:hAnsi="Tahoma" w:cs="Tahoma"/>
          <w:b/>
          <w:bCs/>
          <w:sz w:val="22"/>
          <w:szCs w:val="22"/>
          <w:rtl/>
        </w:rPr>
        <w:t xml:space="preserve"> </w:t>
      </w:r>
      <w:r w:rsidRPr="00DE05FA">
        <w:rPr>
          <w:rFonts w:ascii="Tahoma" w:eastAsia="Calibri" w:hAnsi="Tahoma" w:cs="Tahoma" w:hint="cs"/>
          <w:b/>
          <w:bCs/>
          <w:sz w:val="22"/>
          <w:szCs w:val="22"/>
          <w:rtl/>
        </w:rPr>
        <w:t>במגזר החרדי</w:t>
      </w:r>
    </w:p>
    <w:p w:rsidR="004A17E8" w:rsidP="00DE05FA">
      <w:pPr>
        <w:numPr>
          <w:ilvl w:val="0"/>
          <w:numId w:val="23"/>
        </w:numPr>
        <w:spacing w:after="200" w:line="288" w:lineRule="auto"/>
        <w:ind w:left="-142" w:right="-567" w:hanging="595"/>
        <w:contextualSpacing/>
        <w:rPr>
          <w:rFonts w:ascii="Tahoma" w:eastAsia="Calibri" w:hAnsi="Tahoma" w:cs="Tahoma" w:hint="cs"/>
          <w:sz w:val="19"/>
          <w:szCs w:val="19"/>
          <w:rtl/>
        </w:rPr>
      </w:pPr>
      <w:r w:rsidRPr="00DE05FA">
        <w:rPr>
          <w:rFonts w:ascii="Tahoma" w:eastAsia="Calibri" w:hAnsi="Tahoma" w:cs="Tahoma"/>
          <w:b/>
          <w:bCs/>
          <w:sz w:val="19"/>
          <w:szCs w:val="19"/>
          <w:rtl/>
        </w:rPr>
        <w:t>החוק לאסדרת</w:t>
      </w:r>
      <w:r w:rsidRPr="00DE05FA">
        <w:rPr>
          <w:rFonts w:ascii="Tahoma" w:eastAsia="Calibri" w:hAnsi="Tahoma" w:cs="Tahoma" w:hint="cs"/>
          <w:b/>
          <w:bCs/>
          <w:sz w:val="19"/>
          <w:szCs w:val="19"/>
          <w:rtl/>
        </w:rPr>
        <w:t xml:space="preserve"> פעילות</w:t>
      </w:r>
      <w:r w:rsidRPr="00DE05FA">
        <w:rPr>
          <w:rFonts w:ascii="Tahoma" w:eastAsia="Calibri" w:hAnsi="Tahoma" w:cs="Tahoma"/>
          <w:b/>
          <w:bCs/>
          <w:sz w:val="19"/>
          <w:szCs w:val="19"/>
          <w:rtl/>
        </w:rPr>
        <w:t xml:space="preserve"> </w:t>
      </w:r>
      <w:r w:rsidRPr="00DE05FA">
        <w:rPr>
          <w:rFonts w:ascii="Tahoma" w:eastAsia="Calibri" w:hAnsi="Tahoma" w:cs="Tahoma" w:hint="cs"/>
          <w:b/>
          <w:bCs/>
          <w:sz w:val="19"/>
          <w:szCs w:val="19"/>
          <w:rtl/>
        </w:rPr>
        <w:t xml:space="preserve">מתן שירותי פיקדון ואשראי בלא ריבית על ידי מוסדות לגמילות חסדים, התשע"ט - 2019 (חוק לאסדרת הגמ"חים) </w:t>
      </w:r>
      <w:r w:rsidRPr="00DE05FA">
        <w:rPr>
          <w:rFonts w:ascii="Tahoma" w:eastAsia="Calibri" w:hAnsi="Tahoma" w:cs="Tahoma" w:hint="cs"/>
          <w:sz w:val="19"/>
          <w:szCs w:val="19"/>
          <w:rtl/>
        </w:rPr>
        <w:t>-</w:t>
      </w:r>
      <w:r w:rsidRPr="00DE05FA">
        <w:rPr>
          <w:rFonts w:ascii="Tahoma" w:eastAsia="Calibri" w:hAnsi="Tahoma" w:cs="Tahoma" w:hint="cs"/>
          <w:b/>
          <w:bCs/>
          <w:sz w:val="19"/>
          <w:szCs w:val="19"/>
          <w:rtl/>
        </w:rPr>
        <w:t xml:space="preserve"> </w:t>
      </w:r>
      <w:r w:rsidRPr="00DE05FA">
        <w:rPr>
          <w:rFonts w:ascii="Tahoma" w:eastAsia="Calibri" w:hAnsi="Tahoma" w:cs="Tahoma" w:hint="cs"/>
          <w:sz w:val="19"/>
          <w:szCs w:val="19"/>
          <w:rtl/>
        </w:rPr>
        <w:t>החוק</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פורסם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w:t>
      </w:r>
      <w:r w:rsidRPr="00DE05FA">
        <w:rPr>
          <w:rFonts w:ascii="Tahoma" w:eastAsia="Calibri" w:hAnsi="Tahoma" w:cs="Tahoma"/>
          <w:sz w:val="19"/>
          <w:szCs w:val="19"/>
          <w:rtl/>
        </w:rPr>
        <w:t xml:space="preserve">-13.1.19 </w:t>
      </w:r>
      <w:r w:rsidRPr="00DE05FA">
        <w:rPr>
          <w:rFonts w:ascii="Tahoma" w:eastAsia="Calibri" w:hAnsi="Tahoma" w:cs="Tahoma" w:hint="eastAsia"/>
          <w:sz w:val="19"/>
          <w:szCs w:val="19"/>
          <w:rtl/>
        </w:rPr>
        <w:t>והוא</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מסדיר</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פעילותם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הגמ</w:t>
      </w:r>
      <w:r w:rsidRPr="00DE05FA">
        <w:rPr>
          <w:rFonts w:ascii="Tahoma" w:eastAsia="Calibri" w:hAnsi="Tahoma" w:cs="Tahoma"/>
          <w:sz w:val="19"/>
          <w:szCs w:val="19"/>
          <w:rtl/>
        </w:rPr>
        <w:t xml:space="preserve">"חים, </w:t>
      </w:r>
      <w:r w:rsidRPr="00DE05FA">
        <w:rPr>
          <w:rFonts w:ascii="Tahoma" w:eastAsia="Calibri" w:hAnsi="Tahoma" w:cs="Tahoma" w:hint="eastAsia"/>
          <w:sz w:val="19"/>
          <w:szCs w:val="19"/>
          <w:rtl/>
        </w:rPr>
        <w:t>את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הרישוי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שלהם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ואת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הפיקוח</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עליהם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החוק</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קובע</w:t>
      </w:r>
      <w:r w:rsidRPr="00DE05FA">
        <w:rPr>
          <w:rFonts w:ascii="Tahoma" w:eastAsia="Calibri" w:hAnsi="Tahoma" w:cs="Tahoma"/>
          <w:sz w:val="19"/>
          <w:szCs w:val="19"/>
          <w:rtl/>
        </w:rPr>
        <w:t xml:space="preserve"> כי רשות שוק ההון תחל בפיקוח אחר </w:t>
      </w:r>
      <w:r w:rsidRPr="00DE05FA">
        <w:rPr>
          <w:rFonts w:ascii="Tahoma" w:eastAsia="Calibri" w:hAnsi="Tahoma" w:cs="Tahoma" w:hint="eastAsia"/>
          <w:sz w:val="19"/>
          <w:szCs w:val="19"/>
          <w:rtl/>
        </w:rPr>
        <w:t>הגמ</w:t>
      </w:r>
      <w:r w:rsidRPr="00DE05FA">
        <w:rPr>
          <w:rFonts w:ascii="Tahoma" w:eastAsia="Calibri" w:hAnsi="Tahoma" w:cs="Tahoma"/>
          <w:sz w:val="19"/>
          <w:szCs w:val="19"/>
          <w:rtl/>
        </w:rPr>
        <w:t>"חים השונים מ-13.07.22. בדצמבר 2025 התקיים דיון בוועדת הכספים של הכנסת ובו התברר כי ישנן 170 בקשות הממתינות</w:t>
      </w:r>
      <w:r w:rsidRPr="00DE05FA">
        <w:rPr>
          <w:rFonts w:ascii="Tahoma" w:eastAsia="Calibri" w:hAnsi="Tahoma" w:cs="Tahoma" w:hint="cs"/>
          <w:sz w:val="19"/>
          <w:szCs w:val="19"/>
          <w:rtl/>
        </w:rPr>
        <w:t xml:space="preserve"> אצל רשות שוק ההון</w:t>
      </w:r>
      <w:r w:rsidRPr="00DE05FA">
        <w:rPr>
          <w:rFonts w:ascii="Tahoma" w:eastAsia="Calibri" w:hAnsi="Tahoma" w:cs="Tahoma"/>
          <w:sz w:val="19"/>
          <w:szCs w:val="19"/>
          <w:rtl/>
        </w:rPr>
        <w:t xml:space="preserve"> לקבלת רישיון </w:t>
      </w:r>
      <w:r w:rsidRPr="00DE05FA">
        <w:rPr>
          <w:rFonts w:ascii="Tahoma" w:eastAsia="Calibri" w:hAnsi="Tahoma" w:cs="Tahoma" w:hint="eastAsia"/>
          <w:sz w:val="19"/>
          <w:szCs w:val="19"/>
          <w:rtl/>
        </w:rPr>
        <w:t>לגמ</w:t>
      </w:r>
      <w:r w:rsidRPr="00DE05FA">
        <w:rPr>
          <w:rFonts w:ascii="Tahoma" w:eastAsia="Calibri" w:hAnsi="Tahoma" w:cs="Tahoma"/>
          <w:sz w:val="19"/>
          <w:szCs w:val="19"/>
          <w:rtl/>
        </w:rPr>
        <w:t xml:space="preserve">"חים, כאשר 102 מהם מתנהלים על פי רישיון זמני, ואילו 68 </w:t>
      </w:r>
      <w:r w:rsidRPr="00DE05FA">
        <w:rPr>
          <w:rFonts w:ascii="Tahoma" w:eastAsia="Calibri" w:hAnsi="Tahoma" w:cs="Tahoma" w:hint="eastAsia"/>
          <w:sz w:val="19"/>
          <w:szCs w:val="19"/>
          <w:rtl/>
        </w:rPr>
        <w:t>גמ</w:t>
      </w:r>
      <w:r w:rsidRPr="00DE05FA">
        <w:rPr>
          <w:rFonts w:ascii="Tahoma" w:eastAsia="Calibri" w:hAnsi="Tahoma" w:cs="Tahoma"/>
          <w:sz w:val="19"/>
          <w:szCs w:val="19"/>
          <w:rtl/>
        </w:rPr>
        <w:t>"חים עובדים ללא רישיון. רשות שוק ההון העריכה בדיון כי כ-90%</w:t>
      </w:r>
      <w:r w:rsidRPr="00DE05FA">
        <w:rPr>
          <w:rFonts w:ascii="Tahoma" w:eastAsia="Calibri" w:hAnsi="Tahoma" w:cs="Tahoma"/>
          <w:sz w:val="19"/>
          <w:szCs w:val="19"/>
        </w:rPr>
        <w:t xml:space="preserve"> </w:t>
      </w:r>
      <w:r w:rsidRPr="00DE05FA">
        <w:rPr>
          <w:rFonts w:ascii="Tahoma" w:eastAsia="Calibri" w:hAnsi="Tahoma" w:cs="Tahoma" w:hint="eastAsia"/>
          <w:sz w:val="19"/>
          <w:szCs w:val="19"/>
          <w:rtl/>
        </w:rPr>
        <w:t>מהגמ</w:t>
      </w:r>
      <w:r w:rsidRPr="00DE05FA">
        <w:rPr>
          <w:rFonts w:ascii="Tahoma" w:eastAsia="Calibri" w:hAnsi="Tahoma" w:cs="Tahoma"/>
          <w:sz w:val="19"/>
          <w:szCs w:val="19"/>
          <w:rtl/>
        </w:rPr>
        <w:t>"חים אינם עומדים בדרישות הרישיו</w:t>
      </w:r>
      <w:r w:rsidRPr="00DE05FA">
        <w:rPr>
          <w:rFonts w:ascii="Tahoma" w:eastAsia="Calibri" w:hAnsi="Tahoma" w:cs="Tahoma" w:hint="eastAsia"/>
          <w:sz w:val="19"/>
          <w:szCs w:val="19"/>
          <w:rtl/>
        </w:rPr>
        <w:t>ן</w:t>
      </w:r>
      <w:r w:rsidRPr="00DE05FA">
        <w:rPr>
          <w:rFonts w:ascii="Tahoma" w:eastAsia="Calibri" w:hAnsi="Tahoma" w:cs="Tahoma"/>
          <w:sz w:val="19"/>
          <w:szCs w:val="19"/>
          <w:rtl/>
        </w:rPr>
        <w:t xml:space="preserve"> כפי שקבעה הרשות</w:t>
      </w:r>
      <w:r w:rsidRPr="00DE05FA">
        <w:rPr>
          <w:rFonts w:eastAsia="Calibri"/>
          <w:rtl/>
        </w:rPr>
        <w:t>.</w:t>
      </w:r>
      <w:r w:rsidRPr="00DE05FA">
        <w:rPr>
          <w:rFonts w:eastAsia="Calibri"/>
          <w:b/>
          <w:bCs/>
          <w:rtl/>
        </w:rPr>
        <w:t xml:space="preserve"> </w:t>
      </w:r>
      <w:r w:rsidRPr="00DE05FA">
        <w:rPr>
          <w:rFonts w:ascii="Tahoma" w:eastAsia="Calibri" w:hAnsi="Tahoma" w:cs="Tahoma" w:hint="cs"/>
          <w:sz w:val="19"/>
          <w:szCs w:val="19"/>
          <w:rtl/>
        </w:rPr>
        <w:t>כך למעשה, אי-הכללת נתוני הגמ"חים במערכת נותני אשראי מונעת תמונה מלאה על רמת המינוף של משקי הבית בישראל, דבר המקשה על הערכת הסיכונים המערכתיים בשוק האשראי הפרטי ובפרט בשוק האשראי לדיור.</w:t>
      </w:r>
    </w:p>
    <w:p w:rsidR="00DE05FA" w:rsidRPr="00DE05FA" w:rsidP="00DE05FA">
      <w:pPr>
        <w:spacing w:after="200" w:line="288" w:lineRule="auto"/>
        <w:ind w:left="-142" w:right="-567"/>
        <w:contextualSpacing/>
        <w:rPr>
          <w:rFonts w:ascii="Tahoma" w:eastAsia="Calibri" w:hAnsi="Tahoma" w:cs="Tahoma"/>
          <w:b/>
          <w:bCs/>
          <w:sz w:val="14"/>
          <w:szCs w:val="14"/>
        </w:rPr>
      </w:pPr>
    </w:p>
    <w:p w:rsidR="00DE05FA" w:rsidRPr="00DE05FA" w:rsidP="00DE05FA">
      <w:pPr>
        <w:numPr>
          <w:ilvl w:val="0"/>
          <w:numId w:val="23"/>
        </w:numPr>
        <w:spacing w:line="288" w:lineRule="auto"/>
        <w:ind w:left="-143" w:right="-567" w:hanging="595"/>
        <w:contextualSpacing/>
        <w:rPr>
          <w:rFonts w:ascii="Tahoma" w:eastAsia="Calibri" w:hAnsi="Tahoma" w:cs="Tahoma"/>
          <w:sz w:val="19"/>
          <w:szCs w:val="19"/>
          <w:rtl/>
        </w:rPr>
      </w:pPr>
      <w:bookmarkStart w:id="10" w:name="_Hlk225420529"/>
      <w:r w:rsidRPr="00DE05FA">
        <w:rPr>
          <w:rFonts w:ascii="Tahoma" w:eastAsia="Calibri" w:hAnsi="Tahoma" w:cs="Tahoma" w:hint="cs"/>
          <w:b/>
          <w:bCs/>
          <w:sz w:val="19"/>
          <w:szCs w:val="19"/>
          <w:rtl/>
        </w:rPr>
        <w:t xml:space="preserve">מודל המימון במגזר החרדי לרכישת דירה </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ממצאי הבדיקה </w:t>
      </w:r>
      <w:r w:rsidRPr="00DE05FA">
        <w:rPr>
          <w:rFonts w:ascii="Tahoma" w:eastAsia="Calibri" w:hAnsi="Tahoma" w:cs="Tahoma" w:hint="cs"/>
          <w:sz w:val="19"/>
          <w:szCs w:val="19"/>
          <w:rtl/>
        </w:rPr>
        <w:t xml:space="preserve">שערך משרד מבקר המדינה </w:t>
      </w:r>
      <w:r w:rsidRPr="00DE05FA">
        <w:rPr>
          <w:rFonts w:ascii="Tahoma" w:eastAsia="Calibri" w:hAnsi="Tahoma" w:cs="Tahoma"/>
          <w:sz w:val="19"/>
          <w:szCs w:val="19"/>
          <w:rtl/>
        </w:rPr>
        <w:t>מעלים כי מודל המימון במגזר החרדי נשען על מבנה תלת-שכבתי ייחודי, המבדל אותו מדפוסי הצריכה במגזר הכללי ומגביר את המורכבות בניהול הסיכונים הבנקאיים</w:t>
      </w:r>
      <w:r w:rsidRPr="00DE05FA">
        <w:rPr>
          <w:rFonts w:ascii="Tahoma" w:eastAsia="Calibri" w:hAnsi="Tahoma" w:cs="Tahoma" w:hint="cs"/>
          <w:sz w:val="19"/>
          <w:szCs w:val="19"/>
          <w:rtl/>
        </w:rPr>
        <w:t xml:space="preserve">: 1. </w:t>
      </w:r>
      <w:r w:rsidRPr="00DE05FA">
        <w:rPr>
          <w:rFonts w:ascii="Tahoma" w:eastAsia="Calibri" w:hAnsi="Tahoma" w:cs="Tahoma"/>
          <w:sz w:val="19"/>
          <w:szCs w:val="19"/>
          <w:rtl/>
        </w:rPr>
        <w:t>הנדבך המוסדי (המשכנתא)</w:t>
      </w:r>
      <w:r w:rsidRPr="00DE05FA">
        <w:rPr>
          <w:rFonts w:ascii="Tahoma" w:eastAsia="Calibri" w:hAnsi="Tahoma" w:cs="Tahoma" w:hint="cs"/>
          <w:sz w:val="19"/>
          <w:szCs w:val="19"/>
          <w:rtl/>
        </w:rPr>
        <w:t xml:space="preserve">; 2. </w:t>
      </w:r>
      <w:r w:rsidRPr="00DE05FA">
        <w:rPr>
          <w:rFonts w:ascii="Tahoma" w:eastAsia="Calibri" w:hAnsi="Tahoma" w:cs="Tahoma"/>
          <w:sz w:val="19"/>
          <w:szCs w:val="19"/>
          <w:rtl/>
        </w:rPr>
        <w:t>הנדבך הקהילתי (הגמ"ח)</w:t>
      </w:r>
      <w:r w:rsidRPr="00DE05FA">
        <w:rPr>
          <w:rFonts w:ascii="Tahoma" w:eastAsia="Calibri" w:hAnsi="Tahoma" w:cs="Tahoma" w:hint="cs"/>
          <w:sz w:val="19"/>
          <w:szCs w:val="19"/>
          <w:rtl/>
        </w:rPr>
        <w:t>:</w:t>
      </w:r>
      <w:r w:rsidR="008C6B81">
        <w:rPr>
          <w:rFonts w:ascii="Tahoma" w:eastAsia="Calibri" w:hAnsi="Tahoma" w:cs="Tahoma" w:hint="cs"/>
          <w:sz w:val="19"/>
          <w:szCs w:val="19"/>
          <w:rtl/>
        </w:rPr>
        <w:t xml:space="preserve"> </w:t>
      </w:r>
      <w:r w:rsidRPr="00DE05FA">
        <w:rPr>
          <w:rFonts w:ascii="Tahoma" w:eastAsia="Calibri" w:hAnsi="Tahoma" w:cs="Tahoma"/>
          <w:sz w:val="19"/>
          <w:szCs w:val="19"/>
          <w:rtl/>
        </w:rPr>
        <w:t xml:space="preserve">הלוואות ללא ריבית לטווח קצר, המאופיינות בהחזר חודשי גבוה במיוחד. אשראי זה אינו מדווח למערכת נתוני האשראי ולפיכך הוא </w:t>
      </w:r>
      <w:r w:rsidRPr="00DE05FA">
        <w:rPr>
          <w:rFonts w:ascii="Tahoma" w:eastAsia="Calibri" w:hAnsi="Tahoma" w:cs="Tahoma" w:hint="cs"/>
          <w:sz w:val="19"/>
          <w:szCs w:val="19"/>
          <w:rtl/>
        </w:rPr>
        <w:t>אינו מ</w:t>
      </w:r>
      <w:r w:rsidRPr="00DE05FA">
        <w:rPr>
          <w:rFonts w:ascii="Tahoma" w:eastAsia="Calibri" w:hAnsi="Tahoma" w:cs="Tahoma" w:hint="eastAsia"/>
          <w:sz w:val="19"/>
          <w:szCs w:val="19"/>
          <w:rtl/>
        </w:rPr>
        <w:t>ובא</w:t>
      </w:r>
      <w:r w:rsidRPr="00DE05FA">
        <w:rPr>
          <w:rFonts w:ascii="Tahoma" w:eastAsia="Calibri" w:hAnsi="Tahoma" w:cs="Tahoma" w:hint="cs"/>
          <w:sz w:val="19"/>
          <w:szCs w:val="19"/>
          <w:rtl/>
        </w:rPr>
        <w:t xml:space="preserve"> לפני ה</w:t>
      </w:r>
      <w:r w:rsidRPr="00DE05FA">
        <w:rPr>
          <w:rFonts w:ascii="Tahoma" w:eastAsia="Calibri" w:hAnsi="Tahoma" w:cs="Tahoma"/>
          <w:sz w:val="19"/>
          <w:szCs w:val="19"/>
          <w:rtl/>
        </w:rPr>
        <w:t>מערכת הבנקאית בעת העמדת המשכנתא</w:t>
      </w:r>
      <w:r w:rsidRPr="00DE05FA">
        <w:rPr>
          <w:rFonts w:ascii="Tahoma" w:eastAsia="Calibri" w:hAnsi="Tahoma" w:cs="Tahoma" w:hint="cs"/>
          <w:sz w:val="19"/>
          <w:szCs w:val="19"/>
          <w:rtl/>
        </w:rPr>
        <w:t xml:space="preserve">; 3. </w:t>
      </w:r>
      <w:r w:rsidRPr="00DE05FA">
        <w:rPr>
          <w:rFonts w:ascii="Tahoma" w:eastAsia="Calibri" w:hAnsi="Tahoma" w:cs="Tahoma"/>
          <w:sz w:val="19"/>
          <w:szCs w:val="19"/>
          <w:rtl/>
        </w:rPr>
        <w:t>הנדבך המשלים (אשראי חוץ-בנקאי)</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הלוואות מחברות כרטיסי אשראי או גופי מימון חוץ-בנקאיים לצורך גישור על פערים שוטפים</w:t>
      </w:r>
      <w:r w:rsidRPr="00DE05FA">
        <w:rPr>
          <w:rFonts w:ascii="Tahoma" w:eastAsia="Calibri" w:hAnsi="Tahoma" w:cs="Tahoma"/>
          <w:sz w:val="19"/>
          <w:szCs w:val="19"/>
        </w:rPr>
        <w:t>.</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שילוב שלושת המקורות יוצר מצב בו </w:t>
      </w:r>
      <w:r w:rsidRPr="00DE05FA">
        <w:rPr>
          <w:rFonts w:ascii="Tahoma" w:eastAsia="Calibri" w:hAnsi="Tahoma" w:cs="Tahoma" w:hint="cs"/>
          <w:sz w:val="19"/>
          <w:szCs w:val="19"/>
          <w:rtl/>
        </w:rPr>
        <w:t xml:space="preserve">שיעור המימון </w:t>
      </w:r>
      <w:r w:rsidRPr="00DE05FA">
        <w:rPr>
          <w:rFonts w:ascii="Tahoma" w:eastAsia="Calibri" w:hAnsi="Tahoma" w:cs="Tahoma"/>
          <w:sz w:val="19"/>
          <w:szCs w:val="19"/>
          <w:rtl/>
        </w:rPr>
        <w:t xml:space="preserve">האמיתי של משק הבית </w:t>
      </w:r>
      <w:r w:rsidRPr="00DE05FA">
        <w:rPr>
          <w:rFonts w:ascii="Tahoma" w:eastAsia="Calibri" w:hAnsi="Tahoma" w:cs="Tahoma" w:hint="cs"/>
          <w:sz w:val="19"/>
          <w:szCs w:val="19"/>
          <w:rtl/>
        </w:rPr>
        <w:t xml:space="preserve">במגזר החרדי </w:t>
      </w:r>
      <w:r w:rsidRPr="00DE05FA">
        <w:rPr>
          <w:rFonts w:ascii="Tahoma" w:eastAsia="Calibri" w:hAnsi="Tahoma" w:cs="Tahoma"/>
          <w:sz w:val="19"/>
          <w:szCs w:val="19"/>
          <w:rtl/>
        </w:rPr>
        <w:t xml:space="preserve">עשוי לחרוג מהרף </w:t>
      </w:r>
      <w:r w:rsidRPr="00DE05FA">
        <w:rPr>
          <w:rFonts w:ascii="Tahoma" w:eastAsia="Calibri" w:hAnsi="Tahoma" w:cs="Tahoma" w:hint="cs"/>
          <w:sz w:val="19"/>
          <w:szCs w:val="19"/>
          <w:rtl/>
        </w:rPr>
        <w:t>שנקבע על ידי בנק ישראל</w:t>
      </w:r>
      <w:r w:rsidRPr="00DE05FA">
        <w:rPr>
          <w:rFonts w:ascii="Tahoma" w:eastAsia="Calibri" w:hAnsi="Tahoma" w:cs="Tahoma"/>
          <w:sz w:val="19"/>
          <w:szCs w:val="19"/>
          <w:rtl/>
        </w:rPr>
        <w:t xml:space="preserve"> של </w:t>
      </w:r>
      <w:r w:rsidRPr="00DE05FA">
        <w:rPr>
          <w:rFonts w:ascii="Tahoma" w:eastAsia="Calibri" w:hAnsi="Tahoma" w:cs="Tahoma" w:hint="cs"/>
          <w:sz w:val="19"/>
          <w:szCs w:val="19"/>
          <w:rtl/>
        </w:rPr>
        <w:t>75% לרוכשי דירה יחידה ו-50%</w:t>
      </w:r>
      <w:r w:rsidRPr="00DE05FA">
        <w:rPr>
          <w:rFonts w:ascii="Tahoma" w:eastAsia="Calibri" w:hAnsi="Tahoma" w:cs="Tahoma" w:hint="cs"/>
          <w:sz w:val="19"/>
          <w:szCs w:val="19"/>
        </w:rPr>
        <w:t xml:space="preserve"> </w:t>
      </w:r>
      <w:r w:rsidRPr="00DE05FA">
        <w:rPr>
          <w:rFonts w:ascii="Tahoma" w:eastAsia="Calibri" w:hAnsi="Tahoma" w:cs="Tahoma" w:hint="cs"/>
          <w:sz w:val="19"/>
          <w:szCs w:val="19"/>
          <w:rtl/>
        </w:rPr>
        <w:t xml:space="preserve">לרוכשי דירה להשקעה. </w:t>
      </w:r>
      <w:r w:rsidRPr="00DE05FA">
        <w:rPr>
          <w:rFonts w:ascii="Tahoma" w:eastAsia="Calibri" w:hAnsi="Tahoma" w:cs="Tahoma"/>
          <w:sz w:val="19"/>
          <w:szCs w:val="19"/>
          <w:rtl/>
        </w:rPr>
        <w:t>בעוד שבמגזר הכללי הלוואות משלימות גלויות לרוב לבנק דרך מערכת נתוני האשראי, במגזר החרדי נדבך הגמ"ח</w:t>
      </w:r>
      <w:r w:rsidRPr="00DE05FA">
        <w:rPr>
          <w:rFonts w:ascii="Tahoma" w:eastAsia="Calibri" w:hAnsi="Tahoma" w:cs="Tahoma" w:hint="cs"/>
          <w:sz w:val="19"/>
          <w:szCs w:val="19"/>
          <w:rtl/>
        </w:rPr>
        <w:t xml:space="preserve"> אינו מובא כאמור בפני המערכת הבנקאית, דבר ה</w:t>
      </w:r>
      <w:r w:rsidRPr="00DE05FA">
        <w:rPr>
          <w:rFonts w:ascii="Tahoma" w:eastAsia="Calibri" w:hAnsi="Tahoma" w:cs="Tahoma"/>
          <w:sz w:val="19"/>
          <w:szCs w:val="19"/>
          <w:rtl/>
        </w:rPr>
        <w:t>מערי</w:t>
      </w:r>
      <w:r w:rsidRPr="00DE05FA">
        <w:rPr>
          <w:rFonts w:ascii="Tahoma" w:eastAsia="Calibri" w:hAnsi="Tahoma" w:cs="Tahoma" w:hint="cs"/>
          <w:sz w:val="19"/>
          <w:szCs w:val="19"/>
          <w:rtl/>
        </w:rPr>
        <w:t>ם</w:t>
      </w:r>
      <w:r w:rsidRPr="00DE05FA">
        <w:rPr>
          <w:rFonts w:ascii="Tahoma" w:eastAsia="Calibri" w:hAnsi="Tahoma" w:cs="Tahoma"/>
          <w:sz w:val="19"/>
          <w:szCs w:val="19"/>
          <w:rtl/>
        </w:rPr>
        <w:t xml:space="preserve"> קושי על הבנקים (ועל בנק ישראל כרגולטור) לאמוד את רמת המינוף הריאלית ואת יכולת העמידות של משק הבית מול שינויים בריבית או בהכנסות</w:t>
      </w:r>
      <w:r w:rsidRPr="00DE05FA">
        <w:rPr>
          <w:rFonts w:ascii="Tahoma" w:eastAsia="Calibri" w:hAnsi="Tahoma" w:cs="Tahoma"/>
          <w:sz w:val="19"/>
          <w:szCs w:val="19"/>
        </w:rPr>
        <w:t>.</w:t>
      </w:r>
    </w:p>
    <w:bookmarkEnd w:id="10"/>
    <w:p w:rsidR="00DE05FA" w:rsidRPr="00DE05FA" w:rsidP="00DE05FA">
      <w:pPr>
        <w:spacing w:line="288" w:lineRule="auto"/>
        <w:ind w:left="-143" w:right="-567"/>
        <w:contextualSpacing/>
        <w:rPr>
          <w:rFonts w:ascii="Tahoma" w:eastAsia="Calibri" w:hAnsi="Tahoma" w:cs="Tahoma"/>
          <w:sz w:val="19"/>
          <w:szCs w:val="19"/>
          <w:rtl/>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hint="cs"/>
          <w:b/>
          <w:bCs/>
          <w:sz w:val="22"/>
          <w:szCs w:val="22"/>
          <w:rtl/>
        </w:rPr>
        <w:t>הלוואות לזכאים</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hint="cs"/>
          <w:b/>
          <w:bCs/>
          <w:sz w:val="19"/>
          <w:szCs w:val="19"/>
          <w:rtl/>
        </w:rPr>
        <w:t xml:space="preserve">מעקב אחר נתוני התפלגות של מממשי הלוואות </w:t>
      </w:r>
      <w:r w:rsidRPr="00DE05FA">
        <w:rPr>
          <w:rFonts w:ascii="Tahoma" w:eastAsia="Calibri" w:hAnsi="Tahoma" w:cs="Tahoma" w:hint="eastAsia"/>
          <w:b/>
          <w:bCs/>
          <w:sz w:val="19"/>
          <w:szCs w:val="19"/>
          <w:rtl/>
        </w:rPr>
        <w:t>לזכאים</w:t>
      </w:r>
      <w:r w:rsidRPr="00DE05FA">
        <w:rPr>
          <w:rFonts w:ascii="Tahoma" w:eastAsia="Calibri" w:hAnsi="Tahoma" w:cs="Tahoma"/>
          <w:sz w:val="19"/>
          <w:szCs w:val="19"/>
          <w:rtl/>
        </w:rPr>
        <w:t xml:space="preserve"> - בין השנים 2017 </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2024 הועמדו הלוואות לזכאים (מתקציב המדינה וממקורות הבנקים) בטווח שבין 1.04 מיליארד ש"ח ל-1.71 מיליארד ש"ח.</w:t>
      </w:r>
      <w:r w:rsidRPr="00DE05FA">
        <w:rPr>
          <w:rFonts w:eastAsia="Calibri"/>
          <w:b/>
          <w:bCs/>
          <w:rtl/>
        </w:rPr>
        <w:t xml:space="preserve"> </w:t>
      </w:r>
      <w:r w:rsidRPr="00DE05FA">
        <w:rPr>
          <w:rFonts w:ascii="Tahoma" w:eastAsia="Calibri" w:hAnsi="Tahoma" w:cs="Tahoma"/>
          <w:sz w:val="19"/>
          <w:szCs w:val="19"/>
          <w:rtl/>
        </w:rPr>
        <w:t>זיהוי מאפייני מבקשי הסיוע בהלוואות לזכאים נחוץ להתאמת תנאי ההלוואות וייעול התהליך וכדי להבטיח שכספי המימון הציבורי יגיעו לאלה הזקוקים לו.</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הביקורת העלתה כי משרד הבינוי והשיכון אינו עוקב אחר נתוני התפלגות מממשי הלוואות לזכאים בחלוקה לאזורי מימוש. מידע כאמור יכול לעזור בבחינת הצורך בהתאמת הסיוע הניתן מכספי ציבור כדי לתמוך באוכלוסיות ראויות לקידום ובהתאם ליעדי הסיוע.</w:t>
      </w:r>
    </w:p>
    <w:p w:rsidR="00DE05FA" w:rsidRPr="00DE05FA" w:rsidP="00DE05FA">
      <w:pPr>
        <w:spacing w:line="288" w:lineRule="auto"/>
        <w:ind w:left="-738" w:right="-567"/>
        <w:rPr>
          <w:rFonts w:ascii="Tahoma" w:eastAsia="Calibri" w:hAnsi="Tahoma" w:cs="Tahoma"/>
          <w:b/>
          <w:bCs/>
          <w:sz w:val="22"/>
          <w:szCs w:val="22"/>
          <w:rtl/>
        </w:rPr>
      </w:pPr>
    </w:p>
    <w:p w:rsidR="00DE05FA" w:rsidRPr="00DE05FA" w:rsidP="00DE05FA">
      <w:pPr>
        <w:spacing w:after="160" w:line="288" w:lineRule="auto"/>
        <w:ind w:left="-737" w:right="-567"/>
        <w:rPr>
          <w:rFonts w:ascii="Tahoma" w:eastAsia="Calibri" w:hAnsi="Tahoma" w:cs="Tahoma"/>
          <w:b/>
          <w:bCs/>
          <w:sz w:val="22"/>
          <w:szCs w:val="22"/>
          <w:rtl/>
        </w:rPr>
      </w:pPr>
      <w:r w:rsidRPr="00DE05FA">
        <w:rPr>
          <w:rFonts w:ascii="Tahoma" w:eastAsia="Calibri" w:hAnsi="Tahoma" w:cs="Tahoma"/>
          <w:b/>
          <w:bCs/>
          <w:sz w:val="22"/>
          <w:szCs w:val="22"/>
          <w:rtl/>
        </w:rPr>
        <w:t>ה</w:t>
      </w:r>
      <w:r w:rsidRPr="00DE05FA">
        <w:rPr>
          <w:rFonts w:ascii="Tahoma" w:eastAsia="Calibri" w:hAnsi="Tahoma" w:cs="Tahoma" w:hint="eastAsia"/>
          <w:b/>
          <w:bCs/>
          <w:sz w:val="22"/>
          <w:szCs w:val="22"/>
          <w:rtl/>
        </w:rPr>
        <w:t>ליכי</w:t>
      </w:r>
      <w:r w:rsidRPr="00DE05FA">
        <w:rPr>
          <w:rFonts w:ascii="Tahoma" w:eastAsia="Calibri" w:hAnsi="Tahoma" w:cs="Tahoma"/>
          <w:b/>
          <w:bCs/>
          <w:sz w:val="22"/>
          <w:szCs w:val="22"/>
          <w:rtl/>
        </w:rPr>
        <w:t xml:space="preserve"> הפקת לקחים בדבר </w:t>
      </w:r>
      <w:r w:rsidRPr="00DE05FA">
        <w:rPr>
          <w:rFonts w:ascii="Tahoma" w:eastAsia="Calibri" w:hAnsi="Tahoma" w:cs="Tahoma" w:hint="cs"/>
          <w:b/>
          <w:bCs/>
          <w:sz w:val="22"/>
          <w:szCs w:val="22"/>
          <w:rtl/>
        </w:rPr>
        <w:t>ה</w:t>
      </w:r>
      <w:r w:rsidRPr="00DE05FA">
        <w:rPr>
          <w:rFonts w:ascii="Tahoma" w:eastAsia="Calibri" w:hAnsi="Tahoma" w:cs="Tahoma"/>
          <w:b/>
          <w:bCs/>
          <w:sz w:val="22"/>
          <w:szCs w:val="22"/>
          <w:rtl/>
        </w:rPr>
        <w:t>קלות בתחום משכנתאות בזמן מלחמת חרבות ברזל ומבצע עם כלביא</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b/>
          <w:bCs/>
          <w:sz w:val="19"/>
          <w:szCs w:val="19"/>
          <w:rtl/>
        </w:rPr>
        <w:t>המתווים של בנק ישראל בתחום המשכנתאות במלחמ</w:t>
      </w:r>
      <w:r w:rsidRPr="00DE05FA">
        <w:rPr>
          <w:rFonts w:ascii="Tahoma" w:eastAsia="Calibri" w:hAnsi="Tahoma" w:cs="Tahoma" w:hint="cs"/>
          <w:b/>
          <w:bCs/>
          <w:sz w:val="19"/>
          <w:szCs w:val="19"/>
          <w:rtl/>
        </w:rPr>
        <w:t>ת "חרבות ברזל"</w:t>
      </w:r>
      <w:r w:rsidRPr="00DE05FA">
        <w:rPr>
          <w:rFonts w:ascii="Tahoma" w:eastAsia="Calibri" w:hAnsi="Tahoma" w:cs="Tahoma"/>
          <w:b/>
          <w:bCs/>
          <w:sz w:val="19"/>
          <w:szCs w:val="19"/>
          <w:rtl/>
        </w:rPr>
        <w:t xml:space="preserve"> ובמבצע "עם כלביא"</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מבקר המדינה המליץ בדוח בנושא ההיערכות כלכלית לשעת חירום לפני מלחמת חרבות ברזל מנובמבר 2025 כי בנק ישראל יבצע תהליך הפקת לקחים סדור ומתועד לגבי החלטות שהוא מקבל על מתווים לסיוע כלכלי לאוכלוסיות בעת אירועי חירום. יצוין כי במהלך הביקורת הנוכחית של משרד מבקר המדינה פרסם בנק ישראל לציבור מסמך בנושא "אפקטיביות מתווי-הסיוע לציבור שגיבש הפיקוח על הבנקים בעת אירועי משבר</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הבוחן את יעילות המתווים בקורונה, במלחמת חרבות ברזל ובמבצע "עם כלביא", תוך בחינת ההשפעות שלהם על המערכת הבנקאית ועלויותיהם ותובנות מהן בראייה צופה פני עתיד.</w:t>
      </w:r>
    </w:p>
    <w:p w:rsidR="002646BE">
      <w:pPr>
        <w:bidi w:val="0"/>
        <w:spacing w:after="200" w:line="276" w:lineRule="auto"/>
        <w:rPr>
          <w:rFonts w:ascii="Tahoma" w:eastAsia="Calibri" w:hAnsi="Tahoma" w:cs="Tahoma"/>
          <w:sz w:val="19"/>
          <w:szCs w:val="19"/>
        </w:rPr>
      </w:pPr>
      <w:r>
        <w:rPr>
          <w:rFonts w:ascii="Tahoma" w:eastAsia="Calibri" w:hAnsi="Tahoma" w:cs="Tahoma"/>
          <w:sz w:val="19"/>
          <w:szCs w:val="19"/>
          <w:rtl/>
        </w:rPr>
        <w:br w:type="page"/>
      </w:r>
    </w:p>
    <w:p w:rsidR="00DE05FA" w:rsidRPr="00DE05FA" w:rsidP="00DE05FA">
      <w:pPr>
        <w:spacing w:before="240" w:after="160" w:line="288" w:lineRule="auto"/>
        <w:ind w:left="-283" w:right="-567" w:hanging="454"/>
        <w:rPr>
          <w:rFonts w:ascii="Tahoma" w:eastAsia="Calibri" w:hAnsi="Tahoma" w:cs="Tahoma"/>
          <w:sz w:val="19"/>
          <w:szCs w:val="19"/>
          <w:rtl/>
        </w:rPr>
      </w:pPr>
      <w:r w:rsidRPr="00DE05FA">
        <w:rPr>
          <w:rFonts w:ascii="Tahoma" w:eastAsia="Calibri" w:hAnsi="Tahoma" w:cs="Tahoma" w:hint="cs"/>
          <w:noProof/>
          <w:sz w:val="19"/>
          <w:szCs w:val="19"/>
          <w:rtl/>
        </w:rPr>
        <w:drawing>
          <wp:inline distT="0" distB="0" distL="0" distR="0">
            <wp:extent cx="2710450" cy="207831"/>
            <wp:effectExtent l="0" t="0" r="0" b="1905"/>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DE05FA" w:rsidRPr="00DE05FA" w:rsidP="00DE05FA">
      <w:pPr>
        <w:spacing w:line="288" w:lineRule="auto"/>
        <w:ind w:left="-150" w:right="-567"/>
        <w:rPr>
          <w:rFonts w:ascii="Tahoma" w:eastAsia="Calibri" w:hAnsi="Tahoma" w:cs="Tahoma"/>
          <w:sz w:val="19"/>
          <w:szCs w:val="19"/>
          <w:rtl/>
        </w:rPr>
      </w:pPr>
      <w:r w:rsidRPr="00DE05FA">
        <w:rPr>
          <w:rFonts w:ascii="Tahoma" w:eastAsia="Calibri" w:hAnsi="Tahoma" w:cs="Tahoma"/>
          <w:b/>
          <w:bCs/>
          <w:sz w:val="19"/>
          <w:szCs w:val="19"/>
          <w:rtl/>
        </w:rPr>
        <w:t xml:space="preserve">המתווים של בנק ישראל בתחום המשכנתאות במלחמת "חרבות ברזל" ובמבצע "עם כלביא" </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נמצא כי בנק ישראל גיבש מתווה סיוע כלכלי רחב לציבור תוך שמונה ימים מפרוץ מלחמת חרבות ברזל, שבמסגרתו אפשר דחיית תשלומי משכנתאות לזכאים שנפגעו באופן ישיר מנזקי המלחמה ללא חיוב בריבית ובעמלות. בנק ישראל האריך את המתווה חמש פעמים ועדכן את התנאים ואת קבוצת הזכאים בהתאם להתפתחויות במלחמה ולצורכיהן של אוכלוסיות שונות במתווה שנמשך כשנה וחצי במצטבר. עוד נמצא כי בנק ישראל פרסם מתווה סיוע כלכלי תוך ארבעה ימים מפתיחת מבצע "עם כלביא" שבו אפשר דחיית תשלומי</w:t>
      </w:r>
      <w:r w:rsidRPr="00DE05FA">
        <w:rPr>
          <w:rFonts w:ascii="Tahoma" w:eastAsia="Calibri" w:hAnsi="Tahoma" w:cs="Tahoma" w:hint="cs"/>
          <w:sz w:val="19"/>
          <w:szCs w:val="19"/>
          <w:rtl/>
        </w:rPr>
        <w:t xml:space="preserve"> משכנתאות </w:t>
      </w:r>
      <w:r w:rsidRPr="00DE05FA">
        <w:rPr>
          <w:rFonts w:ascii="Tahoma" w:eastAsia="Calibri" w:hAnsi="Tahoma" w:cs="Tahoma"/>
          <w:sz w:val="19"/>
          <w:szCs w:val="19"/>
          <w:rtl/>
        </w:rPr>
        <w:t>לזכאים שנפגעו במבצע.</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מבקר המדינה מציין לחיוב את פעולות בנק ישראל לגיבוש של מתווים לסיוע כלכלי בזמן מהיר וקצר מפרוץ המלחמה ומבצע "עם כלביא".</w:t>
      </w:r>
    </w:p>
    <w:p w:rsidR="00DE05FA" w:rsidRPr="00DE05FA" w:rsidP="00DE05FA">
      <w:pPr>
        <w:spacing w:line="288" w:lineRule="auto"/>
        <w:ind w:left="-851"/>
        <w:rPr>
          <w:rFonts w:ascii="Tahoma" w:eastAsia="Calibri" w:hAnsi="Tahoma" w:cs="Tahoma"/>
          <w:b/>
          <w:bCs/>
          <w:sz w:val="18"/>
          <w:szCs w:val="18"/>
          <w:rtl/>
        </w:rPr>
      </w:pPr>
    </w:p>
    <w:p w:rsidR="00DE05FA" w:rsidRPr="005405A6" w:rsidP="00DE05FA">
      <w:pPr>
        <w:spacing w:line="288" w:lineRule="auto"/>
        <w:ind w:left="-851"/>
        <w:rPr>
          <w:rFonts w:ascii="Tahoma" w:eastAsia="Calibri" w:hAnsi="Tahoma" w:cs="Tahoma"/>
          <w:b/>
          <w:bCs/>
          <w:sz w:val="10"/>
          <w:szCs w:val="10"/>
          <w:rtl/>
        </w:rPr>
      </w:pPr>
    </w:p>
    <w:p w:rsidR="00DE05FA" w:rsidRPr="00DE05FA" w:rsidP="00DE05FA">
      <w:pPr>
        <w:spacing w:line="288" w:lineRule="auto"/>
        <w:ind w:left="-851"/>
        <w:rPr>
          <w:rFonts w:ascii="Tahoma" w:eastAsia="Calibri" w:hAnsi="Tahoma" w:cs="Tahoma"/>
          <w:b/>
          <w:bCs/>
          <w:sz w:val="18"/>
          <w:szCs w:val="18"/>
          <w:rtl/>
        </w:rPr>
      </w:pPr>
      <w:r w:rsidRPr="00DE05FA">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align>left</wp:align>
            </wp:positionH>
            <wp:positionV relativeFrom="paragraph">
              <wp:posOffset>89291</wp:posOffset>
            </wp:positionV>
            <wp:extent cx="5712167" cy="732131"/>
            <wp:effectExtent l="0" t="0" r="3175" b="0"/>
            <wp:wrapNone/>
            <wp:docPr id="28" name="תמונה 28"/>
            <wp:cNvGraphicFramePr/>
            <a:graphic xmlns:a="http://schemas.openxmlformats.org/drawingml/2006/main">
              <a:graphicData uri="http://schemas.openxmlformats.org/drawingml/2006/picture">
                <pic:pic xmlns:pic="http://schemas.openxmlformats.org/drawingml/2006/picture">
                  <pic:nvPicPr>
                    <pic:cNvPr id="28" name="תקציר-0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2167" cy="732131"/>
                    </a:xfrm>
                    <a:prstGeom prst="rect">
                      <a:avLst/>
                    </a:prstGeom>
                  </pic:spPr>
                </pic:pic>
              </a:graphicData>
            </a:graphic>
            <wp14:sizeRelH relativeFrom="page">
              <wp14:pctWidth>0</wp14:pctWidth>
            </wp14:sizeRelH>
            <wp14:sizeRelV relativeFrom="page">
              <wp14:pctHeight>0</wp14:pctHeight>
            </wp14:sizeRelV>
          </wp:anchor>
        </w:drawing>
      </w:r>
    </w:p>
    <w:p w:rsidR="004A17E8" w:rsidP="005405A6">
      <w:pPr>
        <w:spacing w:line="288" w:lineRule="auto"/>
        <w:ind w:left="-569" w:right="-567"/>
        <w:jc w:val="left"/>
        <w:rPr>
          <w:rFonts w:ascii="Tahoma" w:eastAsia="Calibri" w:hAnsi="Tahoma" w:cs="Tahoma"/>
          <w:b/>
          <w:bCs/>
          <w:noProof/>
          <w:color w:val="FFFFFF"/>
          <w:sz w:val="22"/>
          <w:szCs w:val="22"/>
          <w:rtl/>
        </w:rPr>
      </w:pPr>
      <w:r>
        <w:rPr>
          <w:rFonts w:ascii="Tahoma" w:eastAsia="Calibri" w:hAnsi="Tahoma" w:cs="Tahoma" w:hint="cs"/>
          <w:b/>
          <w:bCs/>
          <w:noProof/>
          <w:color w:val="FFFFFF"/>
          <w:sz w:val="22"/>
          <w:szCs w:val="22"/>
          <w:rtl/>
        </w:rPr>
        <w:t>ה</w:t>
      </w:r>
      <w:r w:rsidRPr="00DE05FA" w:rsidR="00DE05FA">
        <w:rPr>
          <w:rFonts w:ascii="Tahoma" w:eastAsia="Calibri" w:hAnsi="Tahoma" w:cs="Tahoma"/>
          <w:b/>
          <w:bCs/>
          <w:noProof/>
          <w:color w:val="FFFFFF"/>
          <w:sz w:val="22"/>
          <w:szCs w:val="22"/>
          <w:rtl/>
        </w:rPr>
        <w:t xml:space="preserve">מחיר הממוצע של דירות וסך ההלוואה הממוצעת לזכאים בשנים 2017 - 2024, </w:t>
      </w:r>
      <w:r>
        <w:rPr>
          <w:rFonts w:ascii="Tahoma" w:eastAsia="Calibri" w:hAnsi="Tahoma" w:cs="Tahoma"/>
          <w:b/>
          <w:bCs/>
          <w:noProof/>
          <w:color w:val="FFFFFF"/>
          <w:sz w:val="22"/>
          <w:szCs w:val="22"/>
          <w:rtl/>
        </w:rPr>
        <w:br/>
      </w:r>
      <w:r w:rsidRPr="00DE05FA" w:rsidR="00DE05FA">
        <w:rPr>
          <w:rFonts w:ascii="Tahoma" w:eastAsia="Calibri" w:hAnsi="Tahoma" w:cs="Tahoma"/>
          <w:b/>
          <w:bCs/>
          <w:noProof/>
          <w:color w:val="FFFFFF"/>
          <w:sz w:val="22"/>
          <w:szCs w:val="22"/>
          <w:rtl/>
        </w:rPr>
        <w:t>באלפי ש"ח</w:t>
      </w:r>
    </w:p>
    <w:p w:rsidR="00DE05FA" w:rsidRPr="00DE05FA" w:rsidP="00DE05FA">
      <w:pPr>
        <w:spacing w:line="288" w:lineRule="auto"/>
        <w:ind w:left="-851"/>
        <w:rPr>
          <w:rFonts w:ascii="Tahoma" w:eastAsia="Calibri" w:hAnsi="Tahoma" w:cs="Tahoma"/>
          <w:b/>
          <w:bCs/>
          <w:sz w:val="18"/>
          <w:szCs w:val="18"/>
          <w:rtl/>
        </w:rPr>
      </w:pPr>
    </w:p>
    <w:p w:rsidR="00DE05FA" w:rsidRPr="005405A6" w:rsidP="00DE05FA">
      <w:pPr>
        <w:spacing w:line="288" w:lineRule="auto"/>
        <w:ind w:left="-851"/>
        <w:rPr>
          <w:rFonts w:ascii="Tahoma" w:eastAsia="Calibri" w:hAnsi="Tahoma" w:cs="Tahoma"/>
          <w:b/>
          <w:bCs/>
          <w:sz w:val="4"/>
          <w:szCs w:val="4"/>
          <w:rtl/>
        </w:rPr>
      </w:pPr>
    </w:p>
    <w:p w:rsidR="00DE05FA" w:rsidRPr="00DE05FA" w:rsidP="00780728">
      <w:pPr>
        <w:spacing w:line="288" w:lineRule="auto"/>
        <w:ind w:left="-2"/>
        <w:jc w:val="center"/>
        <w:rPr>
          <w:rFonts w:ascii="Tahoma" w:eastAsia="Calibri" w:hAnsi="Tahoma" w:cs="Tahoma"/>
          <w:b/>
          <w:bCs/>
          <w:sz w:val="18"/>
          <w:szCs w:val="18"/>
          <w:rtl/>
        </w:rPr>
      </w:pPr>
      <w:r w:rsidRPr="00DE05FA">
        <w:rPr>
          <w:rFonts w:eastAsia="Calibri"/>
          <w:noProof/>
        </w:rPr>
        <w:drawing>
          <wp:inline distT="0" distB="0" distL="0" distR="0">
            <wp:extent cx="5220335" cy="2001520"/>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21"/>
                    <a:stretch>
                      <a:fillRect/>
                    </a:stretch>
                  </pic:blipFill>
                  <pic:spPr>
                    <a:xfrm>
                      <a:off x="0" y="0"/>
                      <a:ext cx="5220335" cy="2001520"/>
                    </a:xfrm>
                    <a:prstGeom prst="rect">
                      <a:avLst/>
                    </a:prstGeom>
                  </pic:spPr>
                </pic:pic>
              </a:graphicData>
            </a:graphic>
          </wp:inline>
        </w:drawing>
      </w:r>
    </w:p>
    <w:p w:rsidR="00DE05FA" w:rsidRPr="00DE05FA" w:rsidP="00DE05FA">
      <w:pPr>
        <w:spacing w:line="288" w:lineRule="auto"/>
        <w:ind w:left="-851"/>
        <w:rPr>
          <w:rFonts w:ascii="Tahoma" w:eastAsia="Calibri" w:hAnsi="Tahoma" w:cs="Tahoma"/>
          <w:sz w:val="16"/>
          <w:szCs w:val="16"/>
          <w:rtl/>
        </w:rPr>
      </w:pPr>
      <w:r w:rsidRPr="00DE05FA">
        <w:rPr>
          <w:rFonts w:ascii="Tahoma" w:eastAsia="Calibri" w:hAnsi="Tahoma" w:cs="Tahoma" w:hint="cs"/>
          <w:sz w:val="16"/>
          <w:szCs w:val="16"/>
          <w:rtl/>
        </w:rPr>
        <w:t xml:space="preserve">על פי </w:t>
      </w:r>
      <w:r w:rsidRPr="00DE05FA">
        <w:rPr>
          <w:rFonts w:ascii="Tahoma" w:eastAsia="Calibri" w:hAnsi="Tahoma" w:cs="Tahoma"/>
          <w:sz w:val="16"/>
          <w:szCs w:val="16"/>
          <w:rtl/>
        </w:rPr>
        <w:t>נתוני הלשכה המרכזית לסטטיסטיקה ומשרד הבינוי והשיכון</w:t>
      </w:r>
      <w:r w:rsidRPr="00DE05FA">
        <w:rPr>
          <w:rFonts w:ascii="Tahoma" w:eastAsia="Calibri" w:hAnsi="Tahoma" w:cs="Tahoma" w:hint="cs"/>
          <w:sz w:val="16"/>
          <w:szCs w:val="16"/>
          <w:rtl/>
        </w:rPr>
        <w:t>,</w:t>
      </w:r>
      <w:r w:rsidRPr="00DE05FA">
        <w:rPr>
          <w:rFonts w:ascii="Tahoma" w:eastAsia="Calibri" w:hAnsi="Tahoma" w:cs="Tahoma"/>
          <w:sz w:val="16"/>
          <w:szCs w:val="16"/>
          <w:rtl/>
        </w:rPr>
        <w:t xml:space="preserve"> בעיבוד משרד מבקר המדינה</w:t>
      </w:r>
      <w:r w:rsidRPr="00DE05FA">
        <w:rPr>
          <w:rFonts w:ascii="Tahoma" w:eastAsia="Calibri" w:hAnsi="Tahoma" w:cs="Tahoma" w:hint="cs"/>
          <w:sz w:val="16"/>
          <w:szCs w:val="16"/>
          <w:rtl/>
        </w:rPr>
        <w:t>.</w:t>
      </w:r>
    </w:p>
    <w:p w:rsidR="002646BE" w:rsidP="005405A6">
      <w:pPr>
        <w:spacing w:after="120" w:line="288" w:lineRule="auto"/>
        <w:ind w:left="-851" w:right="-709"/>
        <w:rPr>
          <w:rFonts w:ascii="Tahoma" w:eastAsia="Calibri" w:hAnsi="Tahoma" w:cs="Tahoma"/>
          <w:sz w:val="19"/>
          <w:szCs w:val="19"/>
          <w:rtl/>
        </w:rPr>
      </w:pPr>
    </w:p>
    <w:p w:rsidR="00DE05FA" w:rsidRPr="00DE05FA" w:rsidP="005405A6">
      <w:pPr>
        <w:spacing w:after="120" w:line="288" w:lineRule="auto"/>
        <w:ind w:left="-851" w:right="-709"/>
        <w:rPr>
          <w:rFonts w:ascii="Tahoma" w:eastAsia="Calibri" w:hAnsi="Tahoma" w:cs="Tahoma"/>
          <w:sz w:val="19"/>
          <w:szCs w:val="19"/>
          <w:rtl/>
        </w:rPr>
      </w:pPr>
      <w:r w:rsidRPr="00DE05FA">
        <w:rPr>
          <w:rFonts w:ascii="Tahoma" w:eastAsia="Calibri" w:hAnsi="Tahoma" w:cs="Tahoma"/>
          <w:sz w:val="19"/>
          <w:szCs w:val="19"/>
          <w:rtl/>
        </w:rPr>
        <w:t xml:space="preserve">ניתן לראות בטבלה כי במהלך השנים 2017 - 2024 הועמדו הלוואות לזכאים בסכום ממוצע בטווח שבין </w:t>
      </w:r>
      <w:r w:rsidR="00780728">
        <w:rPr>
          <w:rFonts w:ascii="Tahoma" w:eastAsia="Calibri" w:hAnsi="Tahoma" w:cs="Tahoma"/>
          <w:sz w:val="19"/>
          <w:szCs w:val="19"/>
          <w:rtl/>
        </w:rPr>
        <w:br/>
      </w:r>
      <w:r w:rsidRPr="00DE05FA">
        <w:rPr>
          <w:rFonts w:ascii="Tahoma" w:eastAsia="Calibri" w:hAnsi="Tahoma" w:cs="Tahoma"/>
          <w:sz w:val="19"/>
          <w:szCs w:val="19"/>
          <w:rtl/>
        </w:rPr>
        <w:t>כ-128</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ש"ח לכ-147</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ש"ח. סכומים אלה משקפים ניצול של כ-80% עד כ-92% מהסכום הבסיסי</w:t>
      </w:r>
      <w:r>
        <w:rPr>
          <w:rFonts w:ascii="Tahoma" w:eastAsia="Calibri" w:hAnsi="Tahoma" w:cs="Tahoma"/>
          <w:sz w:val="19"/>
          <w:szCs w:val="19"/>
          <w:vertAlign w:val="superscript"/>
          <w:rtl/>
        </w:rPr>
        <w:footnoteReference w:id="19"/>
      </w:r>
      <w:r w:rsidRPr="00DE05FA">
        <w:rPr>
          <w:rFonts w:ascii="Tahoma" w:eastAsia="Calibri" w:hAnsi="Tahoma" w:cs="Tahoma"/>
          <w:sz w:val="19"/>
          <w:szCs w:val="19"/>
          <w:rtl/>
        </w:rPr>
        <w:t xml:space="preserve"> וכ-26% עד כ-29% מהסכום המרבי, השמור לאוכלוסיות בעלות מאפיינים מיוחדים מתוך אוכלוסיית הזכאים, כפי שהוגדרו בידי משב"ש ומשרד האוצר. עוד ניתן לראות בטבלה כי למרות שלא חלו שינויים מהותיים בסכום ההלוואה הממוצעת לזכאים במהלך התקופה (פער מרבי של כ-19</w:t>
      </w:r>
      <w:r w:rsidRPr="00DE05FA">
        <w:rPr>
          <w:rFonts w:ascii="Tahoma" w:eastAsia="Calibri" w:hAnsi="Tahoma" w:cs="Tahoma" w:hint="cs"/>
          <w:sz w:val="19"/>
          <w:szCs w:val="19"/>
          <w:rtl/>
        </w:rPr>
        <w:t>,000</w:t>
      </w:r>
      <w:r w:rsidRPr="00DE05FA">
        <w:rPr>
          <w:rFonts w:ascii="Tahoma" w:eastAsia="Calibri" w:hAnsi="Tahoma" w:cs="Tahoma"/>
          <w:sz w:val="19"/>
          <w:szCs w:val="19"/>
          <w:rtl/>
        </w:rPr>
        <w:t xml:space="preserve"> ש"ח), שיעור הלוואות לזכאים ממחיר הדירה הממוצע פחת בצורה משמעותית במהלך השנים, מ-9% בשנת 2017 ל-5.6% בשנת 2024. זאת כתוצאה מעליית מחירי הדירות בשיעור ממוצע של 53% שתועדה במהלך תקופה זו.</w:t>
      </w:r>
    </w:p>
    <w:p w:rsidR="00DE05FA" w:rsidRPr="00DE05FA" w:rsidP="005405A6">
      <w:pPr>
        <w:spacing w:line="288" w:lineRule="auto"/>
        <w:ind w:left="-851" w:right="-709"/>
        <w:rPr>
          <w:rFonts w:ascii="Tahoma" w:eastAsia="Calibri" w:hAnsi="Tahoma" w:cs="Tahoma"/>
          <w:sz w:val="19"/>
          <w:szCs w:val="19"/>
          <w:rtl/>
        </w:rPr>
      </w:pPr>
      <w:r w:rsidRPr="00DE05FA">
        <w:rPr>
          <w:rFonts w:ascii="Tahoma" w:eastAsia="Calibri" w:hAnsi="Tahoma" w:cs="Tahoma"/>
          <w:sz w:val="19"/>
          <w:szCs w:val="19"/>
          <w:rtl/>
        </w:rPr>
        <w:t>בשנים האחרונות הועמדו הלוואות לזכאים בסכום ממוצע דומה ובשיעור גבוה מתוך הסכום הבסיסי להעמדתן (כ-80% עד כ-92%). עם זאת שיעורן מסך מחירי הדירות הממוצעים פחת באופן משמעותי במהלך השנים (מ-9% בשנת 2017 ל-5.6% בשנת 2024). נתונים אלה מעלים חשש לפגיעה במקורות המימון של הזכאים ולצמצום ההטבות המוצעות בהעמדתן.</w:t>
      </w:r>
    </w:p>
    <w:p w:rsidR="00DE05FA" w:rsidRPr="00DE05FA" w:rsidP="00780728">
      <w:pPr>
        <w:spacing w:line="288" w:lineRule="auto"/>
        <w:rPr>
          <w:rFonts w:ascii="Tahoma" w:eastAsia="Calibri" w:hAnsi="Tahoma" w:cs="Tahoma"/>
          <w:sz w:val="22"/>
          <w:szCs w:val="22"/>
          <w:rtl/>
        </w:rPr>
      </w:pPr>
    </w:p>
    <w:p w:rsidR="00DE05FA" w:rsidRPr="00DE05FA" w:rsidP="00DE05FA">
      <w:pPr>
        <w:spacing w:line="288" w:lineRule="auto"/>
        <w:ind w:left="-851"/>
        <w:rPr>
          <w:rFonts w:ascii="Tahoma" w:eastAsia="Calibri" w:hAnsi="Tahoma" w:cs="Tahoma"/>
          <w:sz w:val="22"/>
          <w:szCs w:val="22"/>
          <w:rtl/>
        </w:rPr>
      </w:pPr>
    </w:p>
    <w:p w:rsidR="00DE05FA" w:rsidRPr="00DE05FA" w:rsidP="007C3AF6">
      <w:pPr>
        <w:spacing w:line="288" w:lineRule="auto"/>
        <w:ind w:left="-852" w:right="-426"/>
        <w:jc w:val="center"/>
        <w:rPr>
          <w:rFonts w:ascii="Tahoma" w:eastAsia="Calibri" w:hAnsi="Tahoma" w:cs="Tahoma"/>
          <w:b/>
          <w:bCs/>
          <w:sz w:val="40"/>
          <w:szCs w:val="40"/>
          <w:rtl/>
        </w:rPr>
      </w:pPr>
      <w:r w:rsidRPr="00DE05FA">
        <w:rPr>
          <w:rFonts w:ascii="Tahoma" w:eastAsia="Calibri" w:hAnsi="Tahoma" w:cs="Tahoma" w:hint="cs"/>
          <w:b/>
          <w:bCs/>
          <w:sz w:val="40"/>
          <w:szCs w:val="40"/>
          <w:rtl/>
        </w:rPr>
        <w:t>שער שלישי - משכנתאות חוץ</w:t>
      </w:r>
      <w:r w:rsidR="002646BE">
        <w:rPr>
          <w:rFonts w:ascii="Tahoma" w:eastAsia="Calibri" w:hAnsi="Tahoma" w:cs="Tahoma" w:hint="cs"/>
          <w:b/>
          <w:bCs/>
          <w:sz w:val="40"/>
          <w:szCs w:val="40"/>
          <w:rtl/>
        </w:rPr>
        <w:t>-</w:t>
      </w:r>
      <w:r w:rsidRPr="00DE05FA">
        <w:rPr>
          <w:rFonts w:ascii="Tahoma" w:eastAsia="Calibri" w:hAnsi="Tahoma" w:cs="Tahoma" w:hint="cs"/>
          <w:b/>
          <w:bCs/>
          <w:sz w:val="40"/>
          <w:szCs w:val="40"/>
          <w:rtl/>
        </w:rPr>
        <w:t>בנקאיות והפיקוח על יועצי המשכנתאות</w:t>
      </w:r>
    </w:p>
    <w:p w:rsidR="00DE05FA" w:rsidRPr="00DE05FA" w:rsidP="00DE05FA">
      <w:pPr>
        <w:spacing w:line="288" w:lineRule="auto"/>
        <w:jc w:val="left"/>
        <w:rPr>
          <w:rFonts w:ascii="Tahoma" w:eastAsia="Calibri" w:hAnsi="Tahoma" w:cs="Tahoma"/>
          <w:b/>
          <w:bCs/>
          <w:sz w:val="40"/>
          <w:szCs w:val="40"/>
          <w:rtl/>
        </w:rPr>
      </w:pPr>
    </w:p>
    <w:p w:rsidR="00DE05FA" w:rsidRPr="00DE05FA" w:rsidP="00780728">
      <w:pPr>
        <w:spacing w:line="288" w:lineRule="auto"/>
        <w:ind w:left="-569"/>
        <w:rPr>
          <w:rFonts w:ascii="Tahoma" w:eastAsia="Calibri" w:hAnsi="Tahoma" w:cs="Tahoma"/>
          <w:noProof/>
          <w:rtl/>
        </w:rPr>
      </w:pPr>
      <w:r w:rsidRPr="00DE05FA">
        <w:rPr>
          <w:rFonts w:ascii="Tahoma" w:eastAsia="Calibri" w:hAnsi="Tahoma" w:cs="Tahoma"/>
          <w:noProof/>
          <w:rtl/>
        </w:rPr>
        <w:drawing>
          <wp:inline distT="0" distB="0" distL="0" distR="0">
            <wp:extent cx="2131060" cy="380943"/>
            <wp:effectExtent l="0" t="0" r="2540" b="635"/>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2016" cy="388264"/>
                    </a:xfrm>
                    <a:prstGeom prst="rect">
                      <a:avLst/>
                    </a:prstGeom>
                  </pic:spPr>
                </pic:pic>
              </a:graphicData>
            </a:graphic>
          </wp:inline>
        </w:drawing>
      </w:r>
    </w:p>
    <w:p w:rsidR="00DE05FA" w:rsidRPr="00DE05FA" w:rsidP="00DE05FA">
      <w:pPr>
        <w:spacing w:line="288" w:lineRule="auto"/>
        <w:ind w:left="-284"/>
        <w:rPr>
          <w:rFonts w:ascii="Tahoma" w:eastAsia="Calibri" w:hAnsi="Tahoma" w:cs="Tahoma"/>
          <w:noProof/>
          <w:rtl/>
        </w:rPr>
      </w:pPr>
    </w:p>
    <w:tbl>
      <w:tblPr>
        <w:tblStyle w:val="26"/>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9"/>
        <w:gridCol w:w="265"/>
        <w:gridCol w:w="2069"/>
        <w:gridCol w:w="283"/>
        <w:gridCol w:w="2126"/>
        <w:gridCol w:w="284"/>
        <w:gridCol w:w="2408"/>
      </w:tblGrid>
      <w:tr w:rsidTr="00606D97">
        <w:tblPrEx>
          <w:tblW w:w="9214" w:type="dxa"/>
          <w:tblLook w:val="04A0"/>
        </w:tblPrEx>
        <w:trPr>
          <w:trHeight w:val="148"/>
        </w:trPr>
        <w:tc>
          <w:tcPr>
            <w:tcW w:w="1779"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36"/>
                <w:szCs w:val="36"/>
                <w:rtl/>
              </w:rPr>
              <w:t xml:space="preserve">1% </w:t>
            </w:r>
            <w:r w:rsidRPr="00DE05FA">
              <w:rPr>
                <w:rFonts w:ascii="Tahoma" w:eastAsia="Calibri" w:hAnsi="Tahoma" w:cs="Tahoma" w:hint="cs"/>
                <w:spacing w:val="-10"/>
                <w:sz w:val="26"/>
                <w:szCs w:val="26"/>
                <w:rtl/>
              </w:rPr>
              <w:t>בלבד</w:t>
            </w:r>
          </w:p>
        </w:tc>
        <w:tc>
          <w:tcPr>
            <w:tcW w:w="265" w:type="dxa"/>
            <w:vAlign w:val="bottom"/>
          </w:tcPr>
          <w:p w:rsidR="00DE05FA" w:rsidRPr="00DE05FA" w:rsidP="00DE05FA">
            <w:pPr>
              <w:spacing w:after="60" w:line="240" w:lineRule="auto"/>
              <w:rPr>
                <w:rFonts w:ascii="Tahoma" w:eastAsia="Calibri" w:hAnsi="Tahoma" w:cs="Tahoma"/>
                <w:spacing w:val="-10"/>
              </w:rPr>
            </w:pPr>
          </w:p>
        </w:tc>
        <w:tc>
          <w:tcPr>
            <w:tcW w:w="2069"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tl/>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61%</w:t>
            </w:r>
          </w:p>
        </w:tc>
        <w:tc>
          <w:tcPr>
            <w:tcW w:w="283" w:type="dxa"/>
            <w:vAlign w:val="bottom"/>
          </w:tcPr>
          <w:p w:rsidR="00DE05FA" w:rsidRPr="00DE05FA" w:rsidP="00DE05FA">
            <w:pPr>
              <w:spacing w:after="60" w:line="240" w:lineRule="auto"/>
              <w:ind w:right="23"/>
              <w:rPr>
                <w:rFonts w:ascii="Tahoma" w:eastAsia="Calibri" w:hAnsi="Tahoma" w:cs="Tahoma"/>
                <w:spacing w:val="-10"/>
                <w:sz w:val="36"/>
                <w:szCs w:val="36"/>
              </w:rPr>
            </w:pPr>
          </w:p>
        </w:tc>
        <w:tc>
          <w:tcPr>
            <w:tcW w:w="2126"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36"/>
                <w:szCs w:val="36"/>
                <w:rtl/>
              </w:rPr>
              <w:t>590,000</w:t>
            </w:r>
            <w:r w:rsidRPr="00DE05FA">
              <w:rPr>
                <w:rFonts w:ascii="Tahoma" w:eastAsia="Calibri" w:hAnsi="Tahoma" w:cs="Tahoma" w:hint="cs"/>
                <w:spacing w:val="-10"/>
                <w:sz w:val="26"/>
                <w:szCs w:val="26"/>
                <w:rtl/>
              </w:rPr>
              <w:t xml:space="preserve"> ש"ח</w:t>
            </w:r>
          </w:p>
        </w:tc>
        <w:tc>
          <w:tcPr>
            <w:tcW w:w="284" w:type="dxa"/>
            <w:vAlign w:val="bottom"/>
          </w:tcPr>
          <w:p w:rsidR="00DE05FA" w:rsidRPr="00DE05FA" w:rsidP="00DE05FA">
            <w:pPr>
              <w:spacing w:after="60" w:line="240" w:lineRule="auto"/>
              <w:rPr>
                <w:rFonts w:ascii="Tahoma" w:eastAsia="Calibri" w:hAnsi="Tahoma" w:cs="Tahoma"/>
                <w:spacing w:val="-10"/>
              </w:rPr>
            </w:pPr>
          </w:p>
        </w:tc>
        <w:tc>
          <w:tcPr>
            <w:tcW w:w="2408" w:type="dxa"/>
            <w:tcBorders>
              <w:bottom w:val="single" w:sz="12" w:space="0" w:color="auto"/>
            </w:tcBorders>
            <w:vAlign w:val="bottom"/>
          </w:tcPr>
          <w:p w:rsidR="00DE05FA" w:rsidRPr="00DE05FA" w:rsidP="00DE05FA">
            <w:pPr>
              <w:spacing w:after="60" w:line="240" w:lineRule="auto"/>
              <w:rPr>
                <w:rFonts w:ascii="Tahoma" w:eastAsia="Calibri" w:hAnsi="Tahoma" w:cs="Tahoma"/>
                <w:spacing w:val="-10"/>
                <w:sz w:val="36"/>
                <w:szCs w:val="36"/>
              </w:rPr>
            </w:pPr>
            <w:r w:rsidRPr="00DE05FA">
              <w:rPr>
                <w:rFonts w:ascii="Tahoma" w:eastAsia="Calibri" w:hAnsi="Tahoma" w:cs="Tahoma" w:hint="cs"/>
                <w:spacing w:val="-10"/>
                <w:sz w:val="26"/>
                <w:szCs w:val="26"/>
                <w:rtl/>
              </w:rPr>
              <w:t>בין</w:t>
            </w:r>
            <w:r w:rsidRPr="00DE05FA">
              <w:rPr>
                <w:rFonts w:ascii="Tahoma" w:eastAsia="Calibri" w:hAnsi="Tahoma" w:cs="Tahoma" w:hint="cs"/>
                <w:spacing w:val="-10"/>
                <w:sz w:val="36"/>
                <w:szCs w:val="36"/>
                <w:rtl/>
              </w:rPr>
              <w:t xml:space="preserve"> 5% </w:t>
            </w:r>
            <w:r w:rsidRPr="00DE05FA">
              <w:rPr>
                <w:rFonts w:ascii="Tahoma" w:eastAsia="Calibri" w:hAnsi="Tahoma" w:cs="Tahoma" w:hint="cs"/>
                <w:spacing w:val="-10"/>
                <w:sz w:val="26"/>
                <w:szCs w:val="26"/>
                <w:rtl/>
              </w:rPr>
              <w:t>ל-</w:t>
            </w:r>
            <w:r w:rsidRPr="00DE05FA">
              <w:rPr>
                <w:rFonts w:ascii="Tahoma" w:eastAsia="Calibri" w:hAnsi="Tahoma" w:cs="Tahoma" w:hint="cs"/>
                <w:spacing w:val="-10"/>
                <w:sz w:val="36"/>
                <w:szCs w:val="36"/>
                <w:rtl/>
              </w:rPr>
              <w:t>20%</w:t>
            </w:r>
          </w:p>
        </w:tc>
      </w:tr>
      <w:tr w:rsidTr="00606D97">
        <w:tblPrEx>
          <w:tblW w:w="9214" w:type="dxa"/>
          <w:tblLook w:val="04A0"/>
        </w:tblPrEx>
        <w:trPr>
          <w:trHeight w:val="45"/>
        </w:trPr>
        <w:tc>
          <w:tcPr>
            <w:tcW w:w="9214" w:type="dxa"/>
            <w:gridSpan w:val="7"/>
            <w:vAlign w:val="center"/>
          </w:tcPr>
          <w:p w:rsidR="00DE05FA" w:rsidRPr="00DE05FA" w:rsidP="00DE05FA">
            <w:pPr>
              <w:spacing w:line="288" w:lineRule="auto"/>
              <w:jc w:val="center"/>
              <w:rPr>
                <w:rFonts w:ascii="Tahoma" w:eastAsia="Calibri" w:hAnsi="Tahoma" w:cs="Tahoma"/>
                <w:spacing w:val="-10"/>
                <w:sz w:val="6"/>
                <w:szCs w:val="6"/>
                <w:rtl/>
              </w:rPr>
            </w:pPr>
          </w:p>
        </w:tc>
      </w:tr>
      <w:tr w:rsidTr="00606D97">
        <w:tblPrEx>
          <w:tblW w:w="9214" w:type="dxa"/>
          <w:tblLook w:val="04A0"/>
        </w:tblPrEx>
        <w:trPr>
          <w:trHeight w:val="3636"/>
        </w:trPr>
        <w:tc>
          <w:tcPr>
            <w:tcW w:w="1779"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נ</w:t>
            </w:r>
            <w:r w:rsidRPr="00DE05FA">
              <w:rPr>
                <w:rFonts w:ascii="Tahoma" w:eastAsia="Calibri" w:hAnsi="Tahoma" w:cs="Tahoma"/>
                <w:sz w:val="19"/>
                <w:szCs w:val="19"/>
                <w:rtl/>
              </w:rPr>
              <w:t xml:space="preserve">תח שוק המשכנתאות </w:t>
            </w:r>
            <w:r w:rsidRPr="00DE05FA">
              <w:rPr>
                <w:rFonts w:ascii="Tahoma" w:eastAsia="Calibri" w:hAnsi="Tahoma" w:cs="Tahoma" w:hint="cs"/>
                <w:sz w:val="19"/>
                <w:szCs w:val="19"/>
                <w:rtl/>
              </w:rPr>
              <w:t xml:space="preserve">של גופים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 xml:space="preserve">איים </w:t>
            </w:r>
            <w:r w:rsidRPr="00DE05FA">
              <w:rPr>
                <w:rFonts w:ascii="Tahoma" w:eastAsia="Calibri" w:hAnsi="Tahoma" w:cs="Tahoma"/>
                <w:sz w:val="19"/>
                <w:szCs w:val="19"/>
                <w:rtl/>
              </w:rPr>
              <w:t>עומד על כ-1% בלבד מסך המשכנתאות הניתנות בישראל (כ-5.7 מיליארד ש"ח מתוך שוק של מאות מיליארדים)</w:t>
            </w:r>
          </w:p>
        </w:tc>
        <w:tc>
          <w:tcPr>
            <w:tcW w:w="265" w:type="dxa"/>
          </w:tcPr>
          <w:p w:rsidR="00DE05FA" w:rsidRPr="00DE05FA" w:rsidP="00DE05FA">
            <w:pPr>
              <w:spacing w:line="240" w:lineRule="auto"/>
              <w:rPr>
                <w:rFonts w:ascii="Tahoma" w:eastAsia="Calibri" w:hAnsi="Tahoma" w:cs="Tahoma"/>
                <w:sz w:val="19"/>
                <w:szCs w:val="19"/>
                <w:rtl/>
              </w:rPr>
            </w:pPr>
          </w:p>
        </w:tc>
        <w:tc>
          <w:tcPr>
            <w:tcW w:w="2069"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sz w:val="19"/>
                <w:szCs w:val="19"/>
                <w:rtl/>
              </w:rPr>
              <w:t>מנוטלי המשכנתאות כיום נעזרים ביועץ משכנתאות לצורך קבלת ההחלטה הפיננסית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שיעור העסקאות שבוצעו בליווי יועץ משכנתאות זינק מ-20% בשנת 2017 ל-61% בשנת </w:t>
            </w:r>
            <w:r w:rsidRPr="00DE05FA">
              <w:rPr>
                <w:rFonts w:ascii="Tahoma" w:eastAsia="Calibri" w:hAnsi="Tahoma" w:cs="Tahoma" w:hint="cs"/>
                <w:sz w:val="19"/>
                <w:szCs w:val="19"/>
                <w:rtl/>
              </w:rPr>
              <w:t>2025</w:t>
            </w:r>
          </w:p>
        </w:tc>
        <w:tc>
          <w:tcPr>
            <w:tcW w:w="283" w:type="dxa"/>
          </w:tcPr>
          <w:p w:rsidR="00DE05FA" w:rsidRPr="00DE05FA" w:rsidP="00DE05FA">
            <w:pPr>
              <w:spacing w:line="240" w:lineRule="auto"/>
              <w:rPr>
                <w:rFonts w:ascii="Tahoma" w:eastAsia="Calibri" w:hAnsi="Tahoma" w:cs="Tahoma"/>
                <w:sz w:val="19"/>
                <w:szCs w:val="19"/>
                <w:rtl/>
              </w:rPr>
            </w:pPr>
          </w:p>
        </w:tc>
        <w:tc>
          <w:tcPr>
            <w:tcW w:w="2126"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 xml:space="preserve">גובה משכנתא ממוצעת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 xml:space="preserve">אית לעומת כמיליון ש"ח בבנקים </w:t>
            </w:r>
          </w:p>
        </w:tc>
        <w:tc>
          <w:tcPr>
            <w:tcW w:w="284" w:type="dxa"/>
          </w:tcPr>
          <w:p w:rsidR="00DE05FA" w:rsidRPr="00DE05FA" w:rsidP="00DE05FA">
            <w:pPr>
              <w:spacing w:line="240" w:lineRule="auto"/>
              <w:rPr>
                <w:rFonts w:ascii="Tahoma" w:eastAsia="Calibri" w:hAnsi="Tahoma" w:cs="Tahoma"/>
                <w:sz w:val="19"/>
                <w:szCs w:val="19"/>
                <w:rtl/>
              </w:rPr>
            </w:pPr>
          </w:p>
        </w:tc>
        <w:tc>
          <w:tcPr>
            <w:tcW w:w="2408"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sz w:val="19"/>
                <w:szCs w:val="19"/>
                <w:rtl/>
              </w:rPr>
              <w:t>כ-80% מזרם האשראי החוץ-בנקאי ניתן בטווח ריביות שבין 5% ל-20</w:t>
            </w:r>
            <w:r w:rsidRPr="00DE05FA">
              <w:rPr>
                <w:rFonts w:ascii="Tahoma" w:eastAsia="Calibri" w:hAnsi="Tahoma" w:cs="Tahoma" w:hint="cs"/>
                <w:sz w:val="19"/>
                <w:szCs w:val="19"/>
                <w:rtl/>
              </w:rPr>
              <w:t>%</w:t>
            </w:r>
            <w:r>
              <w:rPr>
                <w:rFonts w:ascii="Tahoma" w:eastAsia="Calibri" w:hAnsi="Tahoma" w:cs="Tahoma"/>
                <w:sz w:val="19"/>
                <w:szCs w:val="19"/>
                <w:vertAlign w:val="superscript"/>
                <w:rtl/>
              </w:rPr>
              <w:footnoteReference w:id="20"/>
            </w:r>
            <w:r w:rsidRPr="00DE05FA">
              <w:rPr>
                <w:rFonts w:ascii="Tahoma" w:eastAsia="Calibri" w:hAnsi="Tahoma" w:cs="Tahoma" w:hint="cs"/>
                <w:sz w:val="19"/>
                <w:szCs w:val="19"/>
                <w:rtl/>
              </w:rPr>
              <w:t xml:space="preserve"> וזאת בהשוואה לטווח הריביות הממוצע על הלוואות במערכת הבנקאית שעמד על </w:t>
            </w:r>
            <w:r w:rsidRPr="00DE05FA">
              <w:rPr>
                <w:rFonts w:ascii="Tahoma" w:eastAsia="Calibri" w:hAnsi="Tahoma" w:cs="Tahoma"/>
                <w:sz w:val="19"/>
                <w:szCs w:val="19"/>
                <w:rtl/>
              </w:rPr>
              <w:br/>
            </w:r>
            <w:r w:rsidRPr="00DE05FA">
              <w:rPr>
                <w:rFonts w:ascii="Tahoma" w:eastAsia="Calibri" w:hAnsi="Tahoma" w:cs="Tahoma" w:hint="cs"/>
                <w:sz w:val="19"/>
                <w:szCs w:val="19"/>
                <w:rtl/>
              </w:rPr>
              <w:t>כ-9%</w:t>
            </w:r>
            <w:r w:rsidRPr="00DE05FA">
              <w:rPr>
                <w:rFonts w:ascii="Tahoma" w:eastAsia="Calibri" w:hAnsi="Tahoma" w:cs="Tahoma" w:hint="cs"/>
                <w:sz w:val="19"/>
                <w:szCs w:val="19"/>
              </w:rPr>
              <w:t xml:space="preserve"> </w:t>
            </w:r>
            <w:r w:rsidRPr="00DE05FA">
              <w:rPr>
                <w:rFonts w:ascii="Tahoma" w:eastAsia="Calibri" w:hAnsi="Tahoma" w:cs="Tahoma" w:hint="cs"/>
                <w:sz w:val="19"/>
                <w:szCs w:val="19"/>
                <w:rtl/>
              </w:rPr>
              <w:t>עד 10% בשנת 2024</w:t>
            </w:r>
          </w:p>
        </w:tc>
      </w:tr>
    </w:tbl>
    <w:p w:rsidR="00DE05FA" w:rsidRPr="00DE05FA" w:rsidP="00DE05FA">
      <w:pPr>
        <w:spacing w:line="288" w:lineRule="auto"/>
        <w:ind w:left="-284"/>
        <w:rPr>
          <w:rFonts w:ascii="Tahoma" w:eastAsia="Calibri" w:hAnsi="Tahoma" w:cs="Tahoma"/>
          <w:noProof/>
          <w:rtl/>
        </w:rPr>
      </w:pPr>
    </w:p>
    <w:p w:rsidR="00DE05FA" w:rsidRPr="00DE05FA" w:rsidP="00DE05FA">
      <w:pPr>
        <w:bidi w:val="0"/>
        <w:spacing w:line="288" w:lineRule="auto"/>
        <w:jc w:val="right"/>
        <w:rPr>
          <w:rFonts w:eastAsia="Calibri"/>
          <w:rtl/>
        </w:rPr>
      </w:pPr>
    </w:p>
    <w:tbl>
      <w:tblPr>
        <w:tblStyle w:val="26"/>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2"/>
        <w:gridCol w:w="283"/>
        <w:gridCol w:w="2268"/>
        <w:gridCol w:w="284"/>
        <w:gridCol w:w="1840"/>
        <w:gridCol w:w="284"/>
        <w:gridCol w:w="1843"/>
      </w:tblGrid>
      <w:tr w:rsidTr="00606D97">
        <w:tblPrEx>
          <w:tblW w:w="9214" w:type="dxa"/>
          <w:tblLook w:val="04A0"/>
        </w:tblPrEx>
        <w:trPr>
          <w:trHeight w:val="148"/>
        </w:trPr>
        <w:tc>
          <w:tcPr>
            <w:tcW w:w="2412"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57% בלבד</w:t>
            </w:r>
          </w:p>
        </w:tc>
        <w:tc>
          <w:tcPr>
            <w:tcW w:w="283" w:type="dxa"/>
            <w:vAlign w:val="bottom"/>
          </w:tcPr>
          <w:p w:rsidR="00DE05FA" w:rsidRPr="00DE05FA" w:rsidP="00DE05FA">
            <w:pPr>
              <w:spacing w:after="60" w:line="240" w:lineRule="auto"/>
              <w:rPr>
                <w:rFonts w:ascii="Tahoma" w:eastAsia="Calibri" w:hAnsi="Tahoma" w:cs="Tahoma"/>
                <w:spacing w:val="-10"/>
              </w:rPr>
            </w:pPr>
          </w:p>
        </w:tc>
        <w:tc>
          <w:tcPr>
            <w:tcW w:w="2268"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tl/>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879%</w:t>
            </w:r>
          </w:p>
        </w:tc>
        <w:tc>
          <w:tcPr>
            <w:tcW w:w="284" w:type="dxa"/>
            <w:vAlign w:val="bottom"/>
          </w:tcPr>
          <w:p w:rsidR="00DE05FA" w:rsidRPr="00DE05FA" w:rsidP="00DE05FA">
            <w:pPr>
              <w:spacing w:after="60" w:line="240" w:lineRule="auto"/>
              <w:ind w:right="23"/>
              <w:rPr>
                <w:rFonts w:ascii="Tahoma" w:eastAsia="Calibri" w:hAnsi="Tahoma" w:cs="Tahoma"/>
                <w:spacing w:val="-10"/>
                <w:sz w:val="36"/>
                <w:szCs w:val="36"/>
              </w:rPr>
            </w:pPr>
          </w:p>
        </w:tc>
        <w:tc>
          <w:tcPr>
            <w:tcW w:w="1840" w:type="dxa"/>
            <w:tcBorders>
              <w:bottom w:val="single" w:sz="12" w:space="0" w:color="auto"/>
            </w:tcBorders>
            <w:vAlign w:val="bottom"/>
          </w:tcPr>
          <w:p w:rsidR="00DE05FA" w:rsidRPr="00DE05FA" w:rsidP="00DE05FA">
            <w:pPr>
              <w:spacing w:after="60" w:line="240" w:lineRule="auto"/>
              <w:ind w:right="23"/>
              <w:rPr>
                <w:rFonts w:ascii="Tahoma" w:eastAsia="Calibri" w:hAnsi="Tahoma" w:cs="Tahoma"/>
                <w:spacing w:val="-10"/>
                <w:sz w:val="36"/>
                <w:szCs w:val="36"/>
                <w:rtl/>
              </w:rPr>
            </w:pPr>
            <w:r w:rsidRPr="00DE05FA">
              <w:rPr>
                <w:rFonts w:ascii="Tahoma" w:eastAsia="Calibri" w:hAnsi="Tahoma" w:cs="Tahoma"/>
                <w:spacing w:val="-10"/>
                <w:sz w:val="36"/>
                <w:szCs w:val="36"/>
                <w:rtl/>
              </w:rPr>
              <w:t>2,500</w:t>
            </w:r>
          </w:p>
        </w:tc>
        <w:tc>
          <w:tcPr>
            <w:tcW w:w="284" w:type="dxa"/>
            <w:vAlign w:val="bottom"/>
          </w:tcPr>
          <w:p w:rsidR="00DE05FA" w:rsidRPr="00DE05FA" w:rsidP="00DE05FA">
            <w:pPr>
              <w:spacing w:after="60" w:line="240" w:lineRule="auto"/>
              <w:rPr>
                <w:rFonts w:ascii="Tahoma" w:eastAsia="Calibri" w:hAnsi="Tahoma" w:cs="Tahoma"/>
                <w:spacing w:val="-10"/>
              </w:rPr>
            </w:pPr>
          </w:p>
        </w:tc>
        <w:tc>
          <w:tcPr>
            <w:tcW w:w="1843" w:type="dxa"/>
            <w:tcBorders>
              <w:bottom w:val="single" w:sz="12" w:space="0" w:color="auto"/>
            </w:tcBorders>
            <w:vAlign w:val="bottom"/>
          </w:tcPr>
          <w:p w:rsidR="00DE05FA" w:rsidRPr="00DE05FA" w:rsidP="00DE05FA">
            <w:pPr>
              <w:spacing w:after="60" w:line="240" w:lineRule="auto"/>
              <w:rPr>
                <w:rFonts w:ascii="Tahoma" w:eastAsia="Calibri" w:hAnsi="Tahoma" w:cs="Tahoma"/>
                <w:spacing w:val="-10"/>
                <w:sz w:val="36"/>
                <w:szCs w:val="36"/>
              </w:rPr>
            </w:pPr>
            <w:r w:rsidRPr="00DE05FA">
              <w:rPr>
                <w:rFonts w:ascii="Tahoma" w:eastAsia="Calibri" w:hAnsi="Tahoma" w:cs="Tahoma" w:hint="cs"/>
                <w:spacing w:val="-10"/>
                <w:sz w:val="26"/>
                <w:szCs w:val="26"/>
                <w:rtl/>
              </w:rPr>
              <w:t>כ-</w:t>
            </w:r>
            <w:r w:rsidRPr="00DE05FA">
              <w:rPr>
                <w:rFonts w:ascii="Tahoma" w:eastAsia="Calibri" w:hAnsi="Tahoma" w:cs="Tahoma" w:hint="cs"/>
                <w:spacing w:val="-10"/>
                <w:sz w:val="36"/>
                <w:szCs w:val="36"/>
                <w:rtl/>
              </w:rPr>
              <w:t>72%</w:t>
            </w:r>
          </w:p>
        </w:tc>
      </w:tr>
      <w:tr w:rsidTr="00606D97">
        <w:tblPrEx>
          <w:tblW w:w="9214" w:type="dxa"/>
          <w:tblLook w:val="04A0"/>
        </w:tblPrEx>
        <w:trPr>
          <w:trHeight w:val="45"/>
        </w:trPr>
        <w:tc>
          <w:tcPr>
            <w:tcW w:w="9214" w:type="dxa"/>
            <w:gridSpan w:val="7"/>
            <w:vAlign w:val="center"/>
          </w:tcPr>
          <w:p w:rsidR="00DE05FA" w:rsidRPr="00DE05FA" w:rsidP="00DE05FA">
            <w:pPr>
              <w:spacing w:line="288" w:lineRule="auto"/>
              <w:jc w:val="center"/>
              <w:rPr>
                <w:rFonts w:ascii="Tahoma" w:eastAsia="Calibri" w:hAnsi="Tahoma" w:cs="Tahoma"/>
                <w:spacing w:val="-10"/>
                <w:sz w:val="6"/>
                <w:szCs w:val="6"/>
                <w:rtl/>
              </w:rPr>
            </w:pPr>
          </w:p>
        </w:tc>
      </w:tr>
      <w:tr w:rsidTr="00606D97">
        <w:tblPrEx>
          <w:tblW w:w="9214" w:type="dxa"/>
          <w:tblLook w:val="04A0"/>
        </w:tblPrEx>
        <w:trPr>
          <w:trHeight w:val="653"/>
        </w:trPr>
        <w:tc>
          <w:tcPr>
            <w:tcW w:w="2412"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מתוך הנעזרים ביועץ משכנתאות מבצעים תיחור עם בנק אחד בלבד וזאת על פי נתוני בנק ישראל</w:t>
            </w:r>
          </w:p>
        </w:tc>
        <w:tc>
          <w:tcPr>
            <w:tcW w:w="283" w:type="dxa"/>
          </w:tcPr>
          <w:p w:rsidR="00DE05FA" w:rsidRPr="00DE05FA" w:rsidP="00DE05FA">
            <w:pPr>
              <w:spacing w:line="240" w:lineRule="auto"/>
              <w:rPr>
                <w:rFonts w:ascii="Tahoma" w:eastAsia="Calibri" w:hAnsi="Tahoma" w:cs="Tahoma"/>
                <w:sz w:val="19"/>
                <w:szCs w:val="19"/>
                <w:rtl/>
              </w:rPr>
            </w:pPr>
          </w:p>
        </w:tc>
        <w:tc>
          <w:tcPr>
            <w:tcW w:w="2268"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eastAsia"/>
                <w:sz w:val="19"/>
                <w:szCs w:val="19"/>
                <w:rtl/>
              </w:rPr>
              <w:t>קיים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גידול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מתמיד</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במספר</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בעלי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הרישיון</w:t>
            </w:r>
            <w:r w:rsidRPr="00DE05FA">
              <w:rPr>
                <w:rFonts w:ascii="Tahoma" w:eastAsia="Calibri" w:hAnsi="Tahoma" w:cs="Tahoma" w:hint="cs"/>
                <w:sz w:val="19"/>
                <w:szCs w:val="19"/>
                <w:rtl/>
              </w:rPr>
              <w:t xml:space="preserve"> למתן אשראי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אי</w:t>
            </w:r>
            <w:r w:rsidRPr="00DE05FA">
              <w:rPr>
                <w:rFonts w:ascii="Tahoma" w:eastAsia="Calibri" w:hAnsi="Tahoma" w:cs="Tahoma"/>
                <w:sz w:val="19"/>
                <w:szCs w:val="19"/>
                <w:rtl/>
              </w:rPr>
              <w:t xml:space="preserve">, בכל סוגי הרישיון. כך, מספר בעלי הרישיון גדל בין השנים 2018 ל-2024 </w:t>
            </w:r>
            <w:r w:rsidRPr="00DE05FA">
              <w:rPr>
                <w:rFonts w:ascii="Tahoma" w:eastAsia="Calibri" w:hAnsi="Tahoma" w:cs="Tahoma"/>
                <w:sz w:val="19"/>
                <w:szCs w:val="19"/>
                <w:rtl/>
              </w:rPr>
              <w:br/>
            </w:r>
            <w:r w:rsidRPr="00DE05FA">
              <w:rPr>
                <w:rFonts w:ascii="Tahoma" w:eastAsia="Calibri" w:hAnsi="Tahoma" w:cs="Tahoma" w:hint="eastAsia"/>
                <w:sz w:val="19"/>
                <w:szCs w:val="19"/>
                <w:rtl/>
              </w:rPr>
              <w:t>מ</w:t>
            </w:r>
            <w:r w:rsidRPr="00DE05FA">
              <w:rPr>
                <w:rFonts w:ascii="Tahoma" w:eastAsia="Calibri" w:hAnsi="Tahoma" w:cs="Tahoma"/>
                <w:sz w:val="19"/>
                <w:szCs w:val="19"/>
                <w:rtl/>
              </w:rPr>
              <w:t>-157 רישיונו</w:t>
            </w:r>
            <w:r w:rsidRPr="00DE05FA">
              <w:rPr>
                <w:rFonts w:ascii="Tahoma" w:eastAsia="Calibri" w:hAnsi="Tahoma" w:cs="Tahoma" w:hint="eastAsia"/>
                <w:sz w:val="19"/>
                <w:szCs w:val="19"/>
                <w:rtl/>
              </w:rPr>
              <w:t>ת</w:t>
            </w:r>
            <w:r w:rsidRPr="00DE05FA">
              <w:rPr>
                <w:rFonts w:ascii="Tahoma" w:eastAsia="Calibri" w:hAnsi="Tahoma" w:cs="Tahoma"/>
                <w:sz w:val="19"/>
                <w:szCs w:val="19"/>
                <w:rtl/>
              </w:rPr>
              <w:t xml:space="preserve"> ל-1,536 רישיונות </w:t>
            </w:r>
            <w:r w:rsidRPr="00DE05FA">
              <w:rPr>
                <w:rFonts w:ascii="Tahoma" w:eastAsia="Calibri" w:hAnsi="Tahoma" w:cs="Tahoma" w:hint="eastAsia"/>
                <w:sz w:val="19"/>
                <w:szCs w:val="19"/>
                <w:rtl/>
              </w:rPr>
              <w:t>כלומר</w:t>
            </w:r>
            <w:r w:rsidRPr="00DE05FA">
              <w:rPr>
                <w:rFonts w:ascii="Tahoma" w:eastAsia="Calibri" w:hAnsi="Tahoma" w:cs="Tahoma"/>
                <w:sz w:val="19"/>
                <w:szCs w:val="19"/>
                <w:rtl/>
              </w:rPr>
              <w:t xml:space="preserve"> סך הרישיונות גדלו </w:t>
            </w:r>
            <w:r w:rsidRPr="00DE05FA">
              <w:rPr>
                <w:rFonts w:ascii="Tahoma" w:eastAsia="Calibri" w:hAnsi="Tahoma" w:cs="Tahoma" w:hint="eastAsia"/>
                <w:sz w:val="19"/>
                <w:szCs w:val="19"/>
                <w:rtl/>
              </w:rPr>
              <w:t>בכ</w:t>
            </w:r>
            <w:r w:rsidRPr="00DE05FA">
              <w:rPr>
                <w:rFonts w:ascii="Tahoma" w:eastAsia="Calibri" w:hAnsi="Tahoma" w:cs="Tahoma"/>
                <w:sz w:val="19"/>
                <w:szCs w:val="19"/>
                <w:rtl/>
              </w:rPr>
              <w:t>-879%</w:t>
            </w:r>
          </w:p>
        </w:tc>
        <w:tc>
          <w:tcPr>
            <w:tcW w:w="284" w:type="dxa"/>
          </w:tcPr>
          <w:p w:rsidR="00DE05FA" w:rsidRPr="00DE05FA" w:rsidP="00DE05FA">
            <w:pPr>
              <w:spacing w:line="240" w:lineRule="auto"/>
              <w:rPr>
                <w:rFonts w:ascii="Tahoma" w:eastAsia="Calibri" w:hAnsi="Tahoma" w:cs="Tahoma"/>
                <w:sz w:val="19"/>
                <w:szCs w:val="19"/>
                <w:rtl/>
              </w:rPr>
            </w:pPr>
          </w:p>
        </w:tc>
        <w:tc>
          <w:tcPr>
            <w:tcW w:w="1840"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sz w:val="19"/>
                <w:szCs w:val="19"/>
                <w:rtl/>
              </w:rPr>
              <w:t>מספר יועצי המשכנתאות עלה מכ-800 בשנת 2017 לכ-2,000 עד 2,500 ביוני 2025</w:t>
            </w:r>
          </w:p>
        </w:tc>
        <w:tc>
          <w:tcPr>
            <w:tcW w:w="284" w:type="dxa"/>
          </w:tcPr>
          <w:p w:rsidR="00DE05FA" w:rsidRPr="00DE05FA" w:rsidP="00DE05FA">
            <w:pPr>
              <w:spacing w:line="240" w:lineRule="auto"/>
              <w:rPr>
                <w:rFonts w:ascii="Tahoma" w:eastAsia="Calibri" w:hAnsi="Tahoma" w:cs="Tahoma"/>
                <w:sz w:val="19"/>
                <w:szCs w:val="19"/>
                <w:rtl/>
              </w:rPr>
            </w:pPr>
          </w:p>
        </w:tc>
        <w:tc>
          <w:tcPr>
            <w:tcW w:w="1843" w:type="dxa"/>
          </w:tcPr>
          <w:p w:rsidR="00DE05FA" w:rsidRPr="00DE05FA" w:rsidP="00DE05FA">
            <w:pPr>
              <w:spacing w:line="240" w:lineRule="auto"/>
              <w:ind w:right="23"/>
              <w:rPr>
                <w:rFonts w:ascii="Tahoma" w:eastAsia="Calibri" w:hAnsi="Tahoma" w:cs="Tahoma"/>
                <w:sz w:val="19"/>
                <w:szCs w:val="19"/>
                <w:rtl/>
              </w:rPr>
            </w:pPr>
            <w:r w:rsidRPr="00DE05FA">
              <w:rPr>
                <w:rFonts w:ascii="Tahoma" w:eastAsia="Calibri" w:hAnsi="Tahoma" w:cs="Tahoma" w:hint="cs"/>
                <w:sz w:val="19"/>
                <w:szCs w:val="19"/>
                <w:rtl/>
              </w:rPr>
              <w:t>מנוטלי המשכנתאות בישובים ברמה סוציו-אקונומית נמוכה נעזרים ביועצי משכנתאות לעומת 56% בישובים ברמה סוציו-אקונומית גבוהה</w:t>
            </w:r>
          </w:p>
        </w:tc>
      </w:tr>
    </w:tbl>
    <w:p w:rsidR="00DE05FA" w:rsidRPr="00DE05FA" w:rsidP="00DE05FA">
      <w:pPr>
        <w:bidi w:val="0"/>
        <w:spacing w:line="288" w:lineRule="auto"/>
        <w:jc w:val="right"/>
        <w:rPr>
          <w:rFonts w:eastAsia="Calibri"/>
          <w:rtl/>
        </w:rPr>
      </w:pPr>
    </w:p>
    <w:p w:rsidR="00DE05FA" w:rsidRPr="00DE05FA" w:rsidP="00DE05FA">
      <w:pPr>
        <w:bidi w:val="0"/>
        <w:spacing w:line="288" w:lineRule="auto"/>
        <w:jc w:val="right"/>
        <w:rPr>
          <w:rFonts w:eastAsia="Calibri"/>
        </w:rPr>
      </w:pPr>
    </w:p>
    <w:p w:rsidR="00DE05FA" w:rsidRPr="00DE05FA" w:rsidP="00DE05FA">
      <w:pPr>
        <w:bidi w:val="0"/>
        <w:spacing w:line="288" w:lineRule="auto"/>
        <w:jc w:val="right"/>
        <w:rPr>
          <w:rFonts w:eastAsia="Calibri"/>
        </w:rPr>
      </w:pPr>
    </w:p>
    <w:p w:rsidR="00DE05FA" w:rsidRPr="00DE05FA" w:rsidP="00DE05FA">
      <w:pPr>
        <w:bidi w:val="0"/>
        <w:spacing w:line="288" w:lineRule="auto"/>
        <w:jc w:val="right"/>
        <w:rPr>
          <w:rFonts w:eastAsia="Calibri"/>
          <w:rtl/>
        </w:rPr>
      </w:pPr>
    </w:p>
    <w:p w:rsidR="002646BE">
      <w:pPr>
        <w:bidi w:val="0"/>
        <w:spacing w:after="200" w:line="276" w:lineRule="auto"/>
        <w:rPr>
          <w:rFonts w:ascii="Tahoma" w:eastAsia="Calibri" w:hAnsi="Tahoma" w:cs="Tahoma"/>
          <w:noProof/>
          <w:rtl/>
        </w:rPr>
      </w:pPr>
      <w:r>
        <w:rPr>
          <w:rFonts w:ascii="Tahoma" w:eastAsia="Calibri" w:hAnsi="Tahoma" w:cs="Tahoma"/>
          <w:noProof/>
          <w:rtl/>
        </w:rPr>
        <w:br w:type="page"/>
      </w:r>
    </w:p>
    <w:p w:rsidR="00DE05FA" w:rsidRPr="00DE05FA" w:rsidP="00DE05FA">
      <w:pPr>
        <w:spacing w:line="288" w:lineRule="auto"/>
        <w:ind w:left="-710"/>
        <w:rPr>
          <w:rFonts w:ascii="Tahoma" w:eastAsia="Calibri" w:hAnsi="Tahoma" w:cs="Tahoma"/>
          <w:noProof/>
          <w:rtl/>
        </w:rPr>
      </w:pPr>
      <w:r w:rsidRPr="00DE05FA">
        <w:rPr>
          <w:rFonts w:ascii="Tahoma" w:eastAsia="Calibri" w:hAnsi="Tahoma" w:cs="Tahoma"/>
          <w:noProof/>
        </w:rPr>
        <w:drawing>
          <wp:inline distT="0" distB="0" distL="0" distR="0">
            <wp:extent cx="6104255" cy="43882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DE05FA" w:rsidRPr="00DE05FA" w:rsidP="00DE05FA">
      <w:pPr>
        <w:spacing w:before="240" w:after="160" w:line="288" w:lineRule="auto"/>
        <w:ind w:left="-709" w:right="-567"/>
        <w:rPr>
          <w:rFonts w:eastAsia="Calibri"/>
          <w:rtl/>
        </w:rPr>
      </w:pPr>
      <w:r w:rsidRPr="00DE05FA">
        <w:rPr>
          <w:rFonts w:ascii="Tahoma" w:eastAsia="Calibri" w:hAnsi="Tahoma" w:cs="Tahoma"/>
          <w:noProof/>
          <w:rtl/>
        </w:rPr>
        <w:drawing>
          <wp:inline distT="0" distB="0" distL="0" distR="0">
            <wp:extent cx="2616789" cy="200650"/>
            <wp:effectExtent l="0" t="0" r="0" b="9525"/>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DE05FA" w:rsidRPr="00DE05FA" w:rsidP="00DE05FA">
      <w:pPr>
        <w:spacing w:line="288" w:lineRule="auto"/>
        <w:ind w:left="-710" w:right="-567"/>
        <w:rPr>
          <w:rFonts w:ascii="Tahoma" w:eastAsia="Calibri" w:hAnsi="Tahoma" w:cs="Tahoma"/>
          <w:b/>
          <w:bCs/>
          <w:sz w:val="22"/>
          <w:szCs w:val="22"/>
          <w:rtl/>
        </w:rPr>
      </w:pPr>
      <w:r w:rsidRPr="00DE05FA">
        <w:rPr>
          <w:rFonts w:ascii="Tahoma" w:eastAsia="Calibri" w:hAnsi="Tahoma" w:cs="Tahoma" w:hint="eastAsia"/>
          <w:b/>
          <w:bCs/>
          <w:sz w:val="22"/>
          <w:szCs w:val="22"/>
          <w:rtl/>
        </w:rPr>
        <w:t>משכנתאות</w:t>
      </w:r>
      <w:r w:rsidRPr="00DE05FA">
        <w:rPr>
          <w:rFonts w:ascii="Tahoma" w:eastAsia="Calibri" w:hAnsi="Tahoma" w:cs="Tahoma"/>
          <w:b/>
          <w:bCs/>
          <w:sz w:val="22"/>
          <w:szCs w:val="22"/>
          <w:rtl/>
        </w:rPr>
        <w:t xml:space="preserve"> </w:t>
      </w:r>
      <w:r w:rsidR="002646BE">
        <w:rPr>
          <w:rFonts w:ascii="Tahoma" w:eastAsia="Calibri" w:hAnsi="Tahoma" w:cs="Tahoma"/>
          <w:b/>
          <w:bCs/>
          <w:sz w:val="22"/>
          <w:szCs w:val="22"/>
          <w:rtl/>
        </w:rPr>
        <w:t>חוץ-בנק</w:t>
      </w:r>
      <w:r w:rsidRPr="00DE05FA">
        <w:rPr>
          <w:rFonts w:ascii="Tahoma" w:eastAsia="Calibri" w:hAnsi="Tahoma" w:cs="Tahoma"/>
          <w:b/>
          <w:bCs/>
          <w:sz w:val="22"/>
          <w:szCs w:val="22"/>
          <w:rtl/>
        </w:rPr>
        <w:t>איות</w:t>
      </w:r>
    </w:p>
    <w:p w:rsidR="00DE05FA" w:rsidRPr="00DE05FA" w:rsidP="00DE05FA">
      <w:pPr>
        <w:spacing w:line="288" w:lineRule="auto"/>
        <w:ind w:left="-710" w:right="-567"/>
        <w:rPr>
          <w:rFonts w:ascii="Tahoma" w:eastAsia="Calibri" w:hAnsi="Tahoma" w:cs="Tahoma"/>
          <w:b/>
          <w:bCs/>
          <w:szCs w:val="20"/>
          <w:rtl/>
        </w:rPr>
      </w:pPr>
    </w:p>
    <w:p w:rsidR="00DE05FA" w:rsidRPr="00DE05FA" w:rsidP="00DE05FA">
      <w:pPr>
        <w:spacing w:after="160" w:line="288" w:lineRule="auto"/>
        <w:ind w:left="-709" w:right="-567"/>
        <w:rPr>
          <w:rFonts w:ascii="Tahoma" w:eastAsia="Calibri" w:hAnsi="Tahoma" w:cs="Tahoma"/>
          <w:sz w:val="19"/>
          <w:szCs w:val="19"/>
          <w:rtl/>
        </w:rPr>
      </w:pPr>
      <w:r w:rsidRPr="00DE05FA">
        <w:rPr>
          <w:rFonts w:ascii="Tahoma" w:eastAsia="Calibri" w:hAnsi="Tahoma" w:cs="Tahoma"/>
          <w:sz w:val="19"/>
          <w:szCs w:val="19"/>
          <w:rtl/>
        </w:rPr>
        <w:t xml:space="preserve">משכנתא </w:t>
      </w:r>
      <w:r w:rsidR="002646BE">
        <w:rPr>
          <w:rFonts w:ascii="Tahoma" w:eastAsia="Calibri" w:hAnsi="Tahoma" w:cs="Tahoma"/>
          <w:sz w:val="19"/>
          <w:szCs w:val="19"/>
          <w:rtl/>
        </w:rPr>
        <w:t>חוץ-בנק</w:t>
      </w:r>
      <w:r w:rsidRPr="00DE05FA">
        <w:rPr>
          <w:rFonts w:ascii="Tahoma" w:eastAsia="Calibri" w:hAnsi="Tahoma" w:cs="Tahoma"/>
          <w:sz w:val="19"/>
          <w:szCs w:val="19"/>
          <w:rtl/>
        </w:rPr>
        <w:t>אית</w:t>
      </w:r>
      <w:r w:rsidRPr="00DE05FA">
        <w:rPr>
          <w:rFonts w:ascii="Tahoma" w:eastAsia="Calibri" w:hAnsi="Tahoma" w:cs="Tahoma"/>
          <w:sz w:val="19"/>
          <w:szCs w:val="19"/>
        </w:rPr>
        <w:t xml:space="preserve"> </w:t>
      </w:r>
      <w:r w:rsidRPr="00DE05FA">
        <w:rPr>
          <w:rFonts w:ascii="Tahoma" w:eastAsia="Calibri" w:hAnsi="Tahoma" w:cs="Tahoma"/>
          <w:sz w:val="19"/>
          <w:szCs w:val="19"/>
          <w:rtl/>
        </w:rPr>
        <w:t xml:space="preserve">היא משכנתא שניתנת על ידי גופים פיננסים שאינם בנקים כגון גופים </w:t>
      </w:r>
      <w:r w:rsidR="002646BE">
        <w:rPr>
          <w:rFonts w:ascii="Tahoma" w:eastAsia="Calibri" w:hAnsi="Tahoma" w:cs="Tahoma"/>
          <w:sz w:val="19"/>
          <w:szCs w:val="19"/>
          <w:rtl/>
        </w:rPr>
        <w:t>חוץ-בנק</w:t>
      </w:r>
      <w:r w:rsidRPr="00DE05FA">
        <w:rPr>
          <w:rFonts w:ascii="Tahoma" w:eastAsia="Calibri" w:hAnsi="Tahoma" w:cs="Tahoma"/>
          <w:sz w:val="19"/>
          <w:szCs w:val="19"/>
          <w:rtl/>
        </w:rPr>
        <w:t>איים וגופים מוסדיים.</w:t>
      </w:r>
    </w:p>
    <w:p w:rsidR="00DE05FA" w:rsidRPr="00DE05FA" w:rsidP="00DE05FA">
      <w:pPr>
        <w:numPr>
          <w:ilvl w:val="0"/>
          <w:numId w:val="23"/>
        </w:numPr>
        <w:spacing w:after="200" w:line="288" w:lineRule="auto"/>
        <w:ind w:left="-142" w:right="-567" w:hanging="595"/>
        <w:rPr>
          <w:rFonts w:ascii="Tahoma" w:eastAsia="Calibri" w:hAnsi="Tahoma" w:cs="Tahoma"/>
          <w:sz w:val="19"/>
          <w:szCs w:val="19"/>
        </w:rPr>
      </w:pPr>
      <w:r w:rsidRPr="00DE05FA">
        <w:rPr>
          <w:rFonts w:ascii="Tahoma" w:eastAsia="Calibri" w:hAnsi="Tahoma" w:cs="Tahoma"/>
          <w:b/>
          <w:bCs/>
          <w:sz w:val="19"/>
          <w:szCs w:val="19"/>
          <w:rtl/>
        </w:rPr>
        <w:t>נתח שוק נמוך של המשכנתאות ה</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איות</w:t>
      </w:r>
      <w:r w:rsidRPr="00DE05FA">
        <w:rPr>
          <w:rFonts w:ascii="Tahoma" w:eastAsia="Calibri" w:hAnsi="Tahoma" w:cs="Tahoma" w:hint="cs"/>
          <w:sz w:val="19"/>
          <w:szCs w:val="19"/>
          <w:rtl/>
        </w:rPr>
        <w:t xml:space="preserve"> - </w:t>
      </w:r>
      <w:r w:rsidRPr="00DE05FA">
        <w:rPr>
          <w:rFonts w:ascii="Tahoma" w:eastAsia="Calibri" w:hAnsi="Tahoma" w:cs="Tahoma"/>
          <w:sz w:val="19"/>
          <w:szCs w:val="19"/>
          <w:rtl/>
        </w:rPr>
        <w:t>למרות הגידול במספר הרישיונות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איים, המשכנתאות </w:t>
      </w:r>
      <w:r w:rsidRPr="00DE05FA">
        <w:rPr>
          <w:rFonts w:ascii="Tahoma" w:eastAsia="Calibri" w:hAnsi="Tahoma" w:cs="Tahoma" w:hint="cs"/>
          <w:sz w:val="19"/>
          <w:szCs w:val="19"/>
          <w:rtl/>
        </w:rPr>
        <w:t xml:space="preserve">של גופים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אים</w:t>
      </w:r>
      <w:r w:rsidRPr="00DE05FA">
        <w:rPr>
          <w:rFonts w:ascii="Tahoma" w:eastAsia="Calibri" w:hAnsi="Tahoma" w:cs="Tahoma"/>
          <w:sz w:val="19"/>
          <w:szCs w:val="19"/>
          <w:rtl/>
        </w:rPr>
        <w:t xml:space="preserve"> מהוות כ-1% בלבד מהיקף המשכנתאות הניתנות על ידי הבנקים</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על פי נתוני רשות שוק ההון שהועברו לידי משרד מבקר המדינה היקף המשכנתאות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איות בשנת 2024 עמד על כ-5.5 מיליארד ש"ח ואילו היקף המשכנתאות הבנקאיות עמד כ-587 מיליארד </w:t>
      </w:r>
      <w:r w:rsidRPr="00DE05FA">
        <w:rPr>
          <w:rFonts w:ascii="Tahoma" w:eastAsia="Calibri" w:hAnsi="Tahoma" w:cs="Tahoma" w:hint="cs"/>
          <w:sz w:val="19"/>
          <w:szCs w:val="19"/>
          <w:rtl/>
        </w:rPr>
        <w:t>ש"ח.</w:t>
      </w:r>
    </w:p>
    <w:p w:rsidR="00DE05FA" w:rsidRPr="00DE05FA" w:rsidP="00DE05FA">
      <w:pPr>
        <w:numPr>
          <w:ilvl w:val="0"/>
          <w:numId w:val="23"/>
        </w:numPr>
        <w:spacing w:after="200" w:line="288" w:lineRule="auto"/>
        <w:ind w:left="-142" w:right="-567" w:hanging="595"/>
        <w:rPr>
          <w:rFonts w:ascii="Tahoma" w:eastAsia="Calibri" w:hAnsi="Tahoma" w:cs="Tahoma"/>
          <w:b/>
          <w:bCs/>
          <w:sz w:val="19"/>
          <w:szCs w:val="19"/>
        </w:rPr>
      </w:pPr>
      <w:r w:rsidRPr="00DE05FA">
        <w:rPr>
          <w:rFonts w:ascii="Tahoma" w:eastAsia="Calibri" w:hAnsi="Tahoma" w:cs="Tahoma"/>
          <w:b/>
          <w:bCs/>
          <w:sz w:val="19"/>
          <w:szCs w:val="19"/>
          <w:rtl/>
        </w:rPr>
        <w:t xml:space="preserve">נתונים </w:t>
      </w:r>
      <w:r w:rsidR="000B2400">
        <w:rPr>
          <w:rFonts w:ascii="Tahoma" w:eastAsia="Calibri" w:hAnsi="Tahoma" w:cs="Tahoma" w:hint="cs"/>
          <w:b/>
          <w:bCs/>
          <w:sz w:val="19"/>
          <w:szCs w:val="19"/>
          <w:rtl/>
        </w:rPr>
        <w:t>על</w:t>
      </w:r>
      <w:r w:rsidRPr="00DE05FA">
        <w:rPr>
          <w:rFonts w:ascii="Tahoma" w:eastAsia="Calibri" w:hAnsi="Tahoma" w:cs="Tahoma"/>
          <w:b/>
          <w:bCs/>
          <w:sz w:val="19"/>
          <w:szCs w:val="19"/>
          <w:rtl/>
        </w:rPr>
        <w:t xml:space="preserve"> שוק המשכנתאות ה</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 xml:space="preserve">איות </w:t>
      </w:r>
      <w:r w:rsidRPr="00DE05FA">
        <w:rPr>
          <w:rFonts w:ascii="Tahoma" w:eastAsia="Calibri" w:hAnsi="Tahoma" w:cs="Tahoma"/>
          <w:sz w:val="19"/>
          <w:szCs w:val="19"/>
          <w:rtl/>
        </w:rPr>
        <w:t>-</w:t>
      </w:r>
      <w:r w:rsidRPr="00DE05FA">
        <w:rPr>
          <w:rFonts w:ascii="Tahoma" w:eastAsia="Calibri" w:hAnsi="Tahoma" w:cs="Tahoma"/>
          <w:b/>
          <w:bCs/>
          <w:sz w:val="19"/>
          <w:szCs w:val="19"/>
          <w:rtl/>
        </w:rPr>
        <w:t xml:space="preserve"> </w:t>
      </w:r>
      <w:r w:rsidRPr="00DE05FA">
        <w:rPr>
          <w:rFonts w:ascii="Tahoma" w:eastAsia="Calibri" w:hAnsi="Tahoma" w:cs="Tahoma"/>
          <w:sz w:val="19"/>
          <w:szCs w:val="19"/>
          <w:rtl/>
        </w:rPr>
        <w:t>הנתונים שנמצאים בידי רשות שוק ההון כוללים את כלל האשראי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 ואין בידיה נתונים פרטניים נפרדים </w:t>
      </w:r>
      <w:r w:rsidR="000B2400">
        <w:rPr>
          <w:rFonts w:ascii="Tahoma" w:eastAsia="Calibri" w:hAnsi="Tahoma" w:cs="Tahoma" w:hint="cs"/>
          <w:sz w:val="19"/>
          <w:szCs w:val="19"/>
          <w:rtl/>
        </w:rPr>
        <w:t>על</w:t>
      </w:r>
      <w:r w:rsidRPr="00DE05FA">
        <w:rPr>
          <w:rFonts w:ascii="Tahoma" w:eastAsia="Calibri" w:hAnsi="Tahoma" w:cs="Tahoma"/>
          <w:sz w:val="19"/>
          <w:szCs w:val="19"/>
          <w:rtl/>
        </w:rPr>
        <w:t xml:space="preserve"> המשכנתאות ה</w:t>
      </w:r>
      <w:r w:rsidR="002646BE">
        <w:rPr>
          <w:rFonts w:ascii="Tahoma" w:eastAsia="Calibri" w:hAnsi="Tahoma" w:cs="Tahoma"/>
          <w:sz w:val="19"/>
          <w:szCs w:val="19"/>
          <w:rtl/>
        </w:rPr>
        <w:t>חוץ-בנק</w:t>
      </w:r>
      <w:r w:rsidRPr="00DE05FA">
        <w:rPr>
          <w:rFonts w:ascii="Tahoma" w:eastAsia="Calibri" w:hAnsi="Tahoma" w:cs="Tahoma"/>
          <w:sz w:val="19"/>
          <w:szCs w:val="19"/>
          <w:rtl/>
        </w:rPr>
        <w:t>איות,</w:t>
      </w:r>
      <w:r w:rsidRPr="00DE05FA">
        <w:rPr>
          <w:rFonts w:ascii="Tahoma" w:eastAsia="Calibri" w:hAnsi="Tahoma" w:cs="Tahoma" w:hint="cs"/>
          <w:sz w:val="19"/>
          <w:szCs w:val="19"/>
          <w:rtl/>
        </w:rPr>
        <w:t xml:space="preserve"> כגון שיעורי הריביות</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או שיעור מחזורי המשכנתאות </w:t>
      </w:r>
      <w:r w:rsidRPr="00DE05FA">
        <w:rPr>
          <w:rFonts w:ascii="Tahoma" w:eastAsia="Calibri" w:hAnsi="Tahoma" w:cs="Tahoma"/>
          <w:sz w:val="19"/>
          <w:szCs w:val="19"/>
          <w:rtl/>
        </w:rPr>
        <w:t>על אף שמדובר בתחום מהותי השונה במהותו מאשראי צרכני.</w:t>
      </w:r>
    </w:p>
    <w:p w:rsidR="004A17E8" w:rsidP="00DE05FA">
      <w:pPr>
        <w:numPr>
          <w:ilvl w:val="0"/>
          <w:numId w:val="23"/>
        </w:numPr>
        <w:spacing w:after="200" w:line="288" w:lineRule="auto"/>
        <w:ind w:left="-142" w:right="-567" w:hanging="595"/>
        <w:rPr>
          <w:rFonts w:ascii="Tahoma" w:eastAsia="Calibri" w:hAnsi="Tahoma" w:cs="Tahoma"/>
          <w:sz w:val="19"/>
          <w:szCs w:val="19"/>
          <w:rtl/>
        </w:rPr>
      </w:pPr>
      <w:r w:rsidRPr="00DE05FA">
        <w:rPr>
          <w:rFonts w:ascii="Tahoma" w:eastAsia="Calibri" w:hAnsi="Tahoma" w:cs="Tahoma"/>
          <w:b/>
          <w:bCs/>
          <w:sz w:val="19"/>
          <w:szCs w:val="19"/>
          <w:rtl/>
        </w:rPr>
        <w:t xml:space="preserve">פרסום נתונים לציבור הרחב בדבר משכנתאות </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איות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w:t>
      </w:r>
      <w:r w:rsidRPr="00DE05FA">
        <w:rPr>
          <w:rFonts w:ascii="Tahoma" w:eastAsia="Calibri" w:hAnsi="Tahoma" w:cs="Tahoma"/>
          <w:b/>
          <w:bCs/>
          <w:sz w:val="19"/>
          <w:szCs w:val="19"/>
          <w:rtl/>
        </w:rPr>
        <w:t xml:space="preserve"> </w:t>
      </w:r>
      <w:r w:rsidRPr="00DE05FA">
        <w:rPr>
          <w:rFonts w:ascii="Tahoma" w:eastAsia="Calibri" w:hAnsi="Tahoma" w:cs="Tahoma"/>
          <w:sz w:val="19"/>
          <w:szCs w:val="19"/>
          <w:rtl/>
        </w:rPr>
        <w:t>רשות שוק ההון אינה מפרסמת נתונים</w:t>
      </w:r>
      <w:r>
        <w:rPr>
          <w:rFonts w:eastAsia="Calibri"/>
          <w:vertAlign w:val="superscript"/>
          <w:rtl/>
        </w:rPr>
        <w:footnoteReference w:id="21"/>
      </w:r>
      <w:r w:rsidRPr="00DE05FA">
        <w:rPr>
          <w:rFonts w:eastAsia="Calibri" w:hint="cs"/>
          <w:rtl/>
        </w:rPr>
        <w:t xml:space="preserve"> </w:t>
      </w:r>
      <w:r w:rsidRPr="00DE05FA">
        <w:rPr>
          <w:rFonts w:ascii="Tahoma" w:eastAsia="Calibri" w:hAnsi="Tahoma" w:cs="Tahoma"/>
          <w:sz w:val="19"/>
          <w:szCs w:val="19"/>
          <w:rtl/>
        </w:rPr>
        <w:t>בדבר השוק החוץ הבנקאי בתחום הלוואות לדיור מלבד נתונים אגרגטיביים כוללים בתחומים נקודתיים וזאת במסגרת דוח המתפרסם אחת לשנה. כך למשל, הרשות לא מפרסמת לציבור נתונים בדבר הרכבי משכנתאות נפוצות אצל הגופים ה</w:t>
      </w:r>
      <w:r w:rsidR="002646BE">
        <w:rPr>
          <w:rFonts w:ascii="Tahoma" w:eastAsia="Calibri" w:hAnsi="Tahoma" w:cs="Tahoma"/>
          <w:sz w:val="19"/>
          <w:szCs w:val="19"/>
          <w:rtl/>
        </w:rPr>
        <w:t>חוץ-בנק</w:t>
      </w:r>
      <w:r w:rsidRPr="00DE05FA">
        <w:rPr>
          <w:rFonts w:ascii="Tahoma" w:eastAsia="Calibri" w:hAnsi="Tahoma" w:cs="Tahoma"/>
          <w:sz w:val="19"/>
          <w:szCs w:val="19"/>
          <w:rtl/>
        </w:rPr>
        <w:t>איים השונים, ריביות ממוצעות, ריביות מקסימליות ועלות הריבית הכוללת החזויה (שהינה העלות הכוללת והאמ</w:t>
      </w:r>
      <w:r w:rsidRPr="00DE05FA">
        <w:rPr>
          <w:rFonts w:ascii="Tahoma" w:eastAsia="Calibri" w:hAnsi="Tahoma" w:cs="Tahoma" w:hint="cs"/>
          <w:sz w:val="19"/>
          <w:szCs w:val="19"/>
          <w:rtl/>
        </w:rPr>
        <w:t>י</w:t>
      </w:r>
      <w:r w:rsidRPr="00DE05FA">
        <w:rPr>
          <w:rFonts w:ascii="Tahoma" w:eastAsia="Calibri" w:hAnsi="Tahoma" w:cs="Tahoma"/>
          <w:sz w:val="19"/>
          <w:szCs w:val="19"/>
          <w:rtl/>
        </w:rPr>
        <w:t xml:space="preserve">תית של </w:t>
      </w:r>
      <w:r w:rsidRPr="00DE05FA">
        <w:rPr>
          <w:rFonts w:ascii="Tahoma" w:eastAsia="Calibri" w:hAnsi="Tahoma" w:cs="Tahoma" w:hint="cs"/>
          <w:sz w:val="19"/>
          <w:szCs w:val="19"/>
          <w:rtl/>
        </w:rPr>
        <w:t>ה</w:t>
      </w:r>
      <w:r w:rsidRPr="00DE05FA">
        <w:rPr>
          <w:rFonts w:ascii="Tahoma" w:eastAsia="Calibri" w:hAnsi="Tahoma" w:cs="Tahoma"/>
          <w:sz w:val="19"/>
          <w:szCs w:val="19"/>
          <w:rtl/>
        </w:rPr>
        <w:t>הלוואה, כפי שמוערכת על בסיס תחזיות לשינויי ריבית ואינפלציה).</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b/>
          <w:bCs/>
          <w:sz w:val="19"/>
          <w:szCs w:val="19"/>
          <w:rtl/>
        </w:rPr>
        <w:t>נתונים כוללים בדבר כלל שוק המשכנתאות</w:t>
      </w:r>
      <w:r w:rsidR="002646BE">
        <w:rPr>
          <w:rFonts w:ascii="Tahoma" w:eastAsia="Calibri" w:hAnsi="Tahoma" w:cs="Tahoma" w:hint="cs"/>
          <w:b/>
          <w:bCs/>
          <w:sz w:val="19"/>
          <w:szCs w:val="19"/>
          <w:rtl/>
        </w:rPr>
        <w:t xml:space="preserve"> </w:t>
      </w:r>
      <w:r w:rsidRPr="00DE05FA">
        <w:rPr>
          <w:rFonts w:ascii="Tahoma" w:eastAsia="Calibri" w:hAnsi="Tahoma" w:cs="Tahoma"/>
          <w:sz w:val="19"/>
          <w:szCs w:val="19"/>
          <w:rtl/>
        </w:rPr>
        <w:t>-</w:t>
      </w:r>
      <w:r w:rsidRPr="00DE05FA">
        <w:rPr>
          <w:rFonts w:ascii="Tahoma" w:eastAsia="Calibri" w:hAnsi="Tahoma" w:cs="Tahoma"/>
          <w:b/>
          <w:bCs/>
          <w:sz w:val="19"/>
          <w:szCs w:val="19"/>
          <w:rtl/>
        </w:rPr>
        <w:t xml:space="preserve"> </w:t>
      </w:r>
      <w:r w:rsidRPr="00DE05FA">
        <w:rPr>
          <w:rFonts w:ascii="Tahoma" w:eastAsia="Calibri" w:hAnsi="Tahoma" w:cs="Tahoma"/>
          <w:sz w:val="19"/>
          <w:szCs w:val="19"/>
          <w:rtl/>
        </w:rPr>
        <w:t>הנתונים המוצגים על ידי בנק ישראל בדבר יתרות חובות המשכנתאות של משקי הבית הם רק של הבנקים והגופים המוסדיים. כך למעשה, לאף רגולטור פיננסי אין נתונים כוללים בדבר שוק המשכנתאות הניתן על ידי כלל נותני המשכנתאות. החוב לדיור של משקי הבית נמצא במגמת עלייה וזאת בעקבות מחירי הדירות וסביבת הריבית. העדר נתונים כוללים עלול לגרום לקושי עבור מקבלי ההחלטות לראות את כלל התמונה הפיננסית של משקי הבית לדיור.</w:t>
      </w:r>
    </w:p>
    <w:p w:rsidR="004A17E8" w:rsidP="00DE05FA">
      <w:pPr>
        <w:numPr>
          <w:ilvl w:val="0"/>
          <w:numId w:val="23"/>
        </w:numPr>
        <w:spacing w:after="120" w:line="288" w:lineRule="auto"/>
        <w:ind w:left="-142" w:right="-567" w:hanging="595"/>
        <w:rPr>
          <w:rFonts w:ascii="Tahoma" w:eastAsia="Calibri" w:hAnsi="Tahoma" w:cs="Tahoma"/>
          <w:sz w:val="19"/>
          <w:szCs w:val="19"/>
          <w:rtl/>
        </w:rPr>
      </w:pPr>
      <w:r w:rsidRPr="00DE05FA">
        <w:rPr>
          <w:rFonts w:ascii="Tahoma" w:eastAsia="Calibri" w:hAnsi="Tahoma" w:cs="Tahoma"/>
          <w:b/>
          <w:bCs/>
          <w:sz w:val="19"/>
          <w:szCs w:val="19"/>
          <w:rtl/>
        </w:rPr>
        <w:t>שקיפות במשכנתאות ה</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איות</w:t>
      </w:r>
      <w:r w:rsidR="002646BE">
        <w:rPr>
          <w:rFonts w:ascii="Tahoma" w:eastAsia="Calibri" w:hAnsi="Tahoma" w:cs="Tahoma" w:hint="cs"/>
          <w:b/>
          <w:bCs/>
          <w:sz w:val="19"/>
          <w:szCs w:val="19"/>
          <w:rtl/>
        </w:rPr>
        <w:t xml:space="preserve"> </w:t>
      </w:r>
      <w:r w:rsidRPr="00DE05FA">
        <w:rPr>
          <w:rFonts w:ascii="Tahoma" w:eastAsia="Calibri" w:hAnsi="Tahoma" w:cs="Tahoma"/>
          <w:b/>
          <w:bCs/>
          <w:sz w:val="19"/>
          <w:szCs w:val="19"/>
          <w:rtl/>
        </w:rPr>
        <w:t>-</w:t>
      </w:r>
      <w:r w:rsidRPr="00DE05FA">
        <w:rPr>
          <w:rFonts w:ascii="Tahoma" w:eastAsia="Calibri" w:hAnsi="Tahoma" w:cs="Tahoma"/>
          <w:sz w:val="19"/>
          <w:szCs w:val="19"/>
          <w:rtl/>
        </w:rPr>
        <w:t xml:space="preserve"> בניגוד למערכת הבנקאית, הכפופה להנחיות בנק ישראל ולחובת פרסום תעריפי עמלות, בשוק החוץ-בנקאי קיים חוסר בשקיפות נאותה בעמלת פתיחת תיק שכן לא קיימת חובה לפרסם תעריפון כפי שהבנקים מחויבים. לווים רבים אינם מקבלים מידע השוואתי זמין על גובה העמלות טרם הגשת הבקשה. יתרה מכך, בעוד שבבנקים עמלת פתיחת התיק משוקללת בחישוב הריבית האפקטיבית המוצגת ללקוח, בגופים חוץ-בנקאיים רבים לא קיים מנגנון אחיד המאפשר ללווה להבין את ההשפעה של העמלה שכן אין חובה להציג את העלות הכוללת של האשראי</w:t>
      </w:r>
      <w:r w:rsidRPr="00DE05FA">
        <w:rPr>
          <w:rFonts w:ascii="Tahoma" w:eastAsia="Calibri" w:hAnsi="Tahoma" w:cs="Tahoma"/>
          <w:sz w:val="19"/>
          <w:szCs w:val="19"/>
        </w:rPr>
        <w:t>.</w:t>
      </w:r>
      <w:r w:rsidRPr="00DE05FA">
        <w:rPr>
          <w:rFonts w:ascii="Tahoma" w:eastAsia="Calibri" w:hAnsi="Tahoma" w:cs="Tahoma"/>
          <w:sz w:val="19"/>
          <w:szCs w:val="19"/>
          <w:rtl/>
        </w:rPr>
        <w:t xml:space="preserve"> כמו כן, הממונה על רשות שוק ההון </w:t>
      </w:r>
      <w:r w:rsidRPr="00DE05FA">
        <w:rPr>
          <w:rFonts w:ascii="Tahoma" w:eastAsia="Calibri" w:hAnsi="Tahoma" w:cs="Tahoma" w:hint="eastAsia"/>
          <w:sz w:val="19"/>
          <w:szCs w:val="19"/>
          <w:rtl/>
        </w:rPr>
        <w:t>לא</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קבע</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ל</w:t>
      </w:r>
      <w:r w:rsidRPr="00DE05FA">
        <w:rPr>
          <w:rFonts w:ascii="Tahoma" w:eastAsia="Calibri" w:hAnsi="Tahoma" w:cs="Tahoma"/>
          <w:sz w:val="19"/>
          <w:szCs w:val="19"/>
          <w:rtl/>
        </w:rPr>
        <w:t xml:space="preserve">נותני אשראי </w:t>
      </w:r>
      <w:r w:rsidR="002646BE">
        <w:rPr>
          <w:rFonts w:ascii="Tahoma" w:eastAsia="Calibri" w:hAnsi="Tahoma" w:cs="Tahoma"/>
          <w:sz w:val="19"/>
          <w:szCs w:val="19"/>
          <w:rtl/>
        </w:rPr>
        <w:t>חוץ-בנק</w:t>
      </w:r>
      <w:r w:rsidRPr="00DE05FA">
        <w:rPr>
          <w:rFonts w:ascii="Tahoma" w:eastAsia="Calibri" w:hAnsi="Tahoma" w:cs="Tahoma"/>
          <w:sz w:val="19"/>
          <w:szCs w:val="19"/>
          <w:rtl/>
        </w:rPr>
        <w:t>אי חובה להציג "סלים אחידים" (מסלולים הקבועים מראש להשוואה) או לספק אישור עקרוני בפורמט אחיד ומפורט כפי שמחייב בנק ישראל את הבנקים, כלומר אין מסמך הניתן ללקוח ומאפשר את השוואתיות המוצר בין נותני האשראי השונים.</w:t>
      </w:r>
    </w:p>
    <w:p w:rsidR="004A17E8" w:rsidP="00DE05FA">
      <w:pPr>
        <w:spacing w:after="200" w:line="288" w:lineRule="auto"/>
        <w:ind w:left="-142" w:right="-567"/>
        <w:rPr>
          <w:rFonts w:ascii="Tahoma" w:eastAsia="Calibri" w:hAnsi="Tahoma" w:cs="Tahoma"/>
          <w:b/>
          <w:bCs/>
          <w:sz w:val="19"/>
          <w:szCs w:val="19"/>
          <w:rtl/>
        </w:rPr>
      </w:pPr>
      <w:r w:rsidRPr="00DE05FA">
        <w:rPr>
          <w:rFonts w:ascii="Tahoma" w:eastAsia="Calibri" w:hAnsi="Tahoma" w:cs="Tahoma"/>
          <w:sz w:val="19"/>
          <w:szCs w:val="19"/>
          <w:rtl/>
        </w:rPr>
        <w:t>עוד עלה כי רשות שוק ההון אינה מפרסמת נתונים השוואתיים שיכולים לאפשר ללקוחות הגופים ה</w:t>
      </w:r>
      <w:r w:rsidR="002646BE">
        <w:rPr>
          <w:rFonts w:ascii="Tahoma" w:eastAsia="Calibri" w:hAnsi="Tahoma" w:cs="Tahoma"/>
          <w:sz w:val="19"/>
          <w:szCs w:val="19"/>
          <w:rtl/>
        </w:rPr>
        <w:t>חוץ-בנק</w:t>
      </w:r>
      <w:r w:rsidRPr="00DE05FA">
        <w:rPr>
          <w:rFonts w:ascii="Tahoma" w:eastAsia="Calibri" w:hAnsi="Tahoma" w:cs="Tahoma"/>
          <w:sz w:val="19"/>
          <w:szCs w:val="19"/>
          <w:rtl/>
        </w:rPr>
        <w:t>איים לבצע השוואה של תנאי ההלוואות השונות המוצעות להם על ידי הגופים ה</w:t>
      </w:r>
      <w:r w:rsidR="002646BE">
        <w:rPr>
          <w:rFonts w:ascii="Tahoma" w:eastAsia="Calibri" w:hAnsi="Tahoma" w:cs="Tahoma"/>
          <w:sz w:val="19"/>
          <w:szCs w:val="19"/>
          <w:rtl/>
        </w:rPr>
        <w:t>חוץ-בנק</w:t>
      </w:r>
      <w:r w:rsidRPr="00DE05FA">
        <w:rPr>
          <w:rFonts w:ascii="Tahoma" w:eastAsia="Calibri" w:hAnsi="Tahoma" w:cs="Tahoma"/>
          <w:sz w:val="19"/>
          <w:szCs w:val="19"/>
          <w:rtl/>
        </w:rPr>
        <w:t>איים, והלקוח אינו יכול לקבל תמונה כוללת בדבר שיעורי הריבית והמסלולים האפשריים המוצעים על ידם, ובדבר הריבית הכוללת החזויה אצל כל אחד מהם.</w:t>
      </w:r>
    </w:p>
    <w:p w:rsidR="00DE05FA" w:rsidRPr="00DE05FA" w:rsidP="00DE05FA">
      <w:pPr>
        <w:numPr>
          <w:ilvl w:val="0"/>
          <w:numId w:val="23"/>
        </w:numPr>
        <w:spacing w:line="288" w:lineRule="auto"/>
        <w:ind w:left="-143" w:right="-567" w:hanging="595"/>
        <w:rPr>
          <w:rFonts w:ascii="Tahoma" w:eastAsia="Calibri" w:hAnsi="Tahoma" w:cs="Tahoma"/>
          <w:sz w:val="19"/>
          <w:szCs w:val="19"/>
        </w:rPr>
      </w:pPr>
      <w:r w:rsidRPr="00DE05FA">
        <w:rPr>
          <w:rFonts w:ascii="Tahoma" w:eastAsia="Calibri" w:hAnsi="Tahoma" w:cs="Tahoma"/>
          <w:b/>
          <w:bCs/>
          <w:sz w:val="19"/>
          <w:szCs w:val="19"/>
          <w:rtl/>
        </w:rPr>
        <w:t xml:space="preserve">שוני בין גופים מוסדיים לגופים </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 xml:space="preserve">איים בעת נתינת משכנתאות </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איות</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w:t>
      </w:r>
      <w:r w:rsidRPr="00DE05FA">
        <w:rPr>
          <w:rFonts w:ascii="Tahoma" w:eastAsia="Calibri" w:hAnsi="Tahoma" w:cs="Tahoma"/>
          <w:b/>
          <w:bCs/>
          <w:sz w:val="19"/>
          <w:szCs w:val="19"/>
          <w:rtl/>
        </w:rPr>
        <w:t xml:space="preserve"> </w:t>
      </w:r>
      <w:r w:rsidRPr="00DE05FA">
        <w:rPr>
          <w:rFonts w:ascii="Tahoma" w:eastAsia="Calibri" w:hAnsi="Tahoma" w:cs="Tahoma"/>
          <w:sz w:val="19"/>
          <w:szCs w:val="19"/>
          <w:rtl/>
        </w:rPr>
        <w:t>נמצא שגופים מוסדיים אינם רשאים לתת משכנתא מעל 60% משווי הנכס ואינם רשאים לתת משכנתא בדרגה שנייה</w:t>
      </w:r>
      <w:r>
        <w:rPr>
          <w:rFonts w:ascii="Tahoma" w:eastAsia="Calibri" w:hAnsi="Tahoma" w:cs="Tahoma"/>
          <w:sz w:val="19"/>
          <w:szCs w:val="19"/>
          <w:vertAlign w:val="superscript"/>
          <w:rtl/>
        </w:rPr>
        <w:footnoteReference w:id="22"/>
      </w:r>
      <w:r w:rsidRPr="00DE05FA">
        <w:rPr>
          <w:rFonts w:ascii="Tahoma" w:eastAsia="Calibri" w:hAnsi="Tahoma" w:cs="Tahoma"/>
          <w:sz w:val="19"/>
          <w:szCs w:val="19"/>
          <w:rtl/>
        </w:rPr>
        <w:t xml:space="preserve"> וזאת בניגוד לנותני אשראי </w:t>
      </w:r>
      <w:r w:rsidR="002646BE">
        <w:rPr>
          <w:rFonts w:ascii="Tahoma" w:eastAsia="Calibri" w:hAnsi="Tahoma" w:cs="Tahoma"/>
          <w:sz w:val="19"/>
          <w:szCs w:val="19"/>
          <w:rtl/>
        </w:rPr>
        <w:t>חוץ-בנק</w:t>
      </w:r>
      <w:r w:rsidRPr="00DE05FA">
        <w:rPr>
          <w:rFonts w:ascii="Tahoma" w:eastAsia="Calibri" w:hAnsi="Tahoma" w:cs="Tahoma"/>
          <w:sz w:val="19"/>
          <w:szCs w:val="19"/>
          <w:rtl/>
        </w:rPr>
        <w:t>איים ולבנקים, תוך פגיעה בתחרות וזאת בשל הגבלות הקיימות בהוראות קודקס הרגולציה של רשות שוק ההון.</w:t>
      </w:r>
    </w:p>
    <w:p w:rsidR="00DE05FA" w:rsidRPr="00DE05FA" w:rsidP="00DE05FA">
      <w:pPr>
        <w:spacing w:line="288" w:lineRule="auto"/>
        <w:ind w:left="-143" w:right="-567"/>
        <w:rPr>
          <w:rFonts w:ascii="Tahoma" w:eastAsia="Calibri" w:hAnsi="Tahoma" w:cs="Tahoma"/>
          <w:sz w:val="19"/>
          <w:szCs w:val="19"/>
          <w:rtl/>
        </w:rPr>
      </w:pPr>
    </w:p>
    <w:p w:rsidR="004A17E8" w:rsidP="00DE05FA">
      <w:pPr>
        <w:spacing w:after="160" w:line="288" w:lineRule="auto"/>
        <w:ind w:left="-142" w:right="-567"/>
        <w:rPr>
          <w:rFonts w:ascii="Tahoma" w:eastAsia="Calibri" w:hAnsi="Tahoma" w:cs="Tahoma"/>
          <w:b/>
          <w:bCs/>
          <w:sz w:val="22"/>
          <w:szCs w:val="22"/>
          <w:rtl/>
        </w:rPr>
      </w:pPr>
      <w:r w:rsidRPr="00DE05FA">
        <w:rPr>
          <w:rFonts w:ascii="Tahoma" w:eastAsia="Calibri" w:hAnsi="Tahoma" w:cs="Tahoma" w:hint="eastAsia"/>
          <w:b/>
          <w:bCs/>
          <w:sz w:val="22"/>
          <w:szCs w:val="22"/>
          <w:rtl/>
        </w:rPr>
        <w:t>הפיקוח</w:t>
      </w:r>
      <w:r w:rsidRPr="00DE05FA">
        <w:rPr>
          <w:rFonts w:ascii="Tahoma" w:eastAsia="Calibri" w:hAnsi="Tahoma" w:cs="Tahoma"/>
          <w:b/>
          <w:bCs/>
          <w:sz w:val="22"/>
          <w:szCs w:val="22"/>
          <w:rtl/>
        </w:rPr>
        <w:t xml:space="preserve"> </w:t>
      </w:r>
      <w:r w:rsidRPr="00DE05FA">
        <w:rPr>
          <w:rFonts w:ascii="Tahoma" w:eastAsia="Calibri" w:hAnsi="Tahoma" w:cs="Tahoma" w:hint="eastAsia"/>
          <w:b/>
          <w:bCs/>
          <w:sz w:val="22"/>
          <w:szCs w:val="22"/>
          <w:rtl/>
        </w:rPr>
        <w:t>על</w:t>
      </w:r>
      <w:r w:rsidRPr="00DE05FA">
        <w:rPr>
          <w:rFonts w:ascii="Tahoma" w:eastAsia="Calibri" w:hAnsi="Tahoma" w:cs="Tahoma"/>
          <w:b/>
          <w:bCs/>
          <w:sz w:val="22"/>
          <w:szCs w:val="22"/>
          <w:rtl/>
        </w:rPr>
        <w:t xml:space="preserve"> יועצי משכנתאות</w:t>
      </w:r>
    </w:p>
    <w:p w:rsidR="00DE05FA" w:rsidRPr="00DE05FA" w:rsidP="00DE05FA">
      <w:pPr>
        <w:spacing w:after="200" w:line="288" w:lineRule="auto"/>
        <w:ind w:left="-142" w:right="-567"/>
        <w:rPr>
          <w:rFonts w:ascii="Tahoma" w:eastAsia="Calibri" w:hAnsi="Tahoma" w:cs="Tahoma"/>
          <w:sz w:val="19"/>
          <w:szCs w:val="19"/>
          <w:rtl/>
        </w:rPr>
      </w:pPr>
      <w:r w:rsidRPr="00DE05FA">
        <w:rPr>
          <w:rFonts w:ascii="Tahoma" w:eastAsia="Calibri" w:hAnsi="Tahoma" w:cs="Tahoma" w:hint="cs"/>
          <w:sz w:val="19"/>
          <w:szCs w:val="19"/>
          <w:rtl/>
        </w:rPr>
        <w:t>בהתאם להערכת התאחדות יועצי המשכנתאות כיום ישנם 2,000 - 2,500 יועצי משכנתאות. על פי נתוני בנק ישראל, 61% מבין נוטלי המשכנתאות כיום משתמשים בסיועו של יועץ משכנתאות. קבלת שירות ייעוץ משכנתאות מאדם שאינו בעל הכישורים המתאימים יכולה להוביל לנזקים כלכליים משפטיים ורגולטורים בעלי השלכות ניכרות. יעוץ לא מקצועי עלול להוביל את הלקוח להחלטות שגויות שיעלות לו מאות אלפי שקלים לאורך חיי המשכנתא.</w:t>
      </w:r>
    </w:p>
    <w:p w:rsidR="00DE05FA" w:rsidRPr="00DE05FA" w:rsidP="00DE05FA">
      <w:pPr>
        <w:numPr>
          <w:ilvl w:val="0"/>
          <w:numId w:val="23"/>
        </w:numPr>
        <w:spacing w:after="200" w:line="288" w:lineRule="auto"/>
        <w:ind w:left="-142" w:right="-567" w:hanging="595"/>
        <w:rPr>
          <w:rFonts w:ascii="Tahoma" w:eastAsia="Calibri" w:hAnsi="Tahoma" w:cs="Tahoma"/>
          <w:sz w:val="19"/>
          <w:szCs w:val="19"/>
        </w:rPr>
      </w:pPr>
      <w:bookmarkStart w:id="11" w:name="_Hlk225175148"/>
      <w:r w:rsidRPr="00DE05FA">
        <w:rPr>
          <w:rFonts w:ascii="Tahoma" w:eastAsia="Calibri" w:hAnsi="Tahoma" w:cs="Tahoma"/>
          <w:b/>
          <w:bCs/>
          <w:sz w:val="19"/>
          <w:szCs w:val="19"/>
          <w:rtl/>
        </w:rPr>
        <w:t>חובת רישוי ואסדרה מקצו</w:t>
      </w:r>
      <w:r w:rsidRPr="00DE05FA">
        <w:rPr>
          <w:rFonts w:ascii="Tahoma" w:eastAsia="Calibri" w:hAnsi="Tahoma" w:cs="Tahoma" w:hint="eastAsia"/>
          <w:b/>
          <w:bCs/>
          <w:sz w:val="19"/>
          <w:szCs w:val="19"/>
          <w:rtl/>
        </w:rPr>
        <w:t>עית</w:t>
      </w:r>
      <w:r w:rsidRPr="00DE05FA">
        <w:rPr>
          <w:rFonts w:ascii="Tahoma" w:eastAsia="Calibri" w:hAnsi="Tahoma" w:cs="Tahoma"/>
          <w:b/>
          <w:bCs/>
          <w:sz w:val="19"/>
          <w:szCs w:val="19"/>
          <w:rtl/>
        </w:rPr>
        <w:t xml:space="preserve"> </w:t>
      </w:r>
      <w:bookmarkEnd w:id="11"/>
      <w:r w:rsidRPr="00DE05FA">
        <w:rPr>
          <w:rFonts w:ascii="Tahoma" w:eastAsia="Calibri" w:hAnsi="Tahoma" w:cs="Tahoma"/>
          <w:sz w:val="19"/>
          <w:szCs w:val="19"/>
          <w:rtl/>
        </w:rPr>
        <w:t>-</w:t>
      </w:r>
      <w:r w:rsidRPr="00DE05FA">
        <w:rPr>
          <w:rFonts w:ascii="Tahoma" w:eastAsia="Calibri" w:hAnsi="Tahoma" w:cs="Tahoma"/>
          <w:sz w:val="19"/>
          <w:szCs w:val="19"/>
        </w:rPr>
        <w:t xml:space="preserve"> </w:t>
      </w:r>
      <w:r w:rsidRPr="00DE05FA">
        <w:rPr>
          <w:rFonts w:ascii="Tahoma" w:eastAsia="Calibri" w:hAnsi="Tahoma" w:cs="Tahoma"/>
          <w:sz w:val="19"/>
          <w:szCs w:val="19"/>
          <w:rtl/>
        </w:rPr>
        <w:t xml:space="preserve">בניגוד לתחומי ייעוץ פיננסיים אחרים (כגון </w:t>
      </w:r>
      <w:r w:rsidRPr="00DE05FA">
        <w:rPr>
          <w:rFonts w:ascii="Tahoma" w:eastAsia="Calibri" w:hAnsi="Tahoma" w:cs="Tahoma" w:hint="eastAsia"/>
          <w:sz w:val="19"/>
          <w:szCs w:val="19"/>
          <w:rtl/>
        </w:rPr>
        <w:t>ייעוץ</w:t>
      </w:r>
      <w:r w:rsidRPr="00DE05FA">
        <w:rPr>
          <w:rFonts w:ascii="Tahoma" w:eastAsia="Calibri" w:hAnsi="Tahoma" w:cs="Tahoma"/>
          <w:sz w:val="19"/>
          <w:szCs w:val="19"/>
          <w:rtl/>
        </w:rPr>
        <w:t xml:space="preserve"> השקעות, </w:t>
      </w:r>
      <w:r w:rsidRPr="00DE05FA">
        <w:rPr>
          <w:rFonts w:ascii="Tahoma" w:eastAsia="Calibri" w:hAnsi="Tahoma" w:cs="Tahoma" w:hint="eastAsia"/>
          <w:sz w:val="19"/>
          <w:szCs w:val="19"/>
          <w:rtl/>
        </w:rPr>
        <w:t>ייעוץ</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פנסיוני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שמאות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מקרקעין</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וסוכני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ביטוח</w:t>
      </w:r>
      <w:r w:rsidRPr="00DE05FA">
        <w:rPr>
          <w:rFonts w:ascii="Tahoma" w:eastAsia="Calibri" w:hAnsi="Tahoma" w:cs="Tahoma"/>
          <w:sz w:val="19"/>
          <w:szCs w:val="19"/>
          <w:rtl/>
        </w:rPr>
        <w:t xml:space="preserve">), תחום ייעוץ המשכנתאות אינו דורש רישיון, בחינות הסמכה או התמחות. ההבדלים האמורים יוצרים פער בסטנדרטים המקצועיים והאתיים בהם יועצי משכנתאות פועלים ללא כל הסמכה רשמית </w:t>
      </w:r>
      <w:r w:rsidRPr="00DE05FA">
        <w:rPr>
          <w:rFonts w:ascii="Tahoma" w:eastAsia="Calibri" w:hAnsi="Tahoma" w:cs="Tahoma" w:hint="eastAsia"/>
          <w:sz w:val="19"/>
          <w:szCs w:val="19"/>
          <w:rtl/>
        </w:rPr>
        <w:t>לכללי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אתיקה</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ברורים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כפי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שקיימים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בענפים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מוסדרים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אחרים</w:t>
      </w:r>
      <w:r w:rsidRPr="00DE05FA">
        <w:rPr>
          <w:rFonts w:ascii="Tahoma" w:eastAsia="Calibri" w:hAnsi="Tahoma" w:cs="Tahoma"/>
          <w:sz w:val="19"/>
          <w:szCs w:val="19"/>
          <w:rtl/>
        </w:rPr>
        <w:t>.</w:t>
      </w:r>
    </w:p>
    <w:p w:rsidR="00DE05FA" w:rsidRPr="00DE05FA" w:rsidP="00DE05FA">
      <w:pPr>
        <w:numPr>
          <w:ilvl w:val="0"/>
          <w:numId w:val="23"/>
        </w:numPr>
        <w:spacing w:after="200" w:line="288" w:lineRule="auto"/>
        <w:ind w:left="-142" w:right="-567" w:hanging="595"/>
        <w:rPr>
          <w:rFonts w:ascii="Tahoma" w:eastAsia="Calibri" w:hAnsi="Tahoma" w:cs="Tahoma"/>
          <w:b/>
          <w:bCs/>
          <w:sz w:val="19"/>
          <w:szCs w:val="19"/>
        </w:rPr>
      </w:pPr>
      <w:r w:rsidRPr="00DE05FA">
        <w:rPr>
          <w:rFonts w:ascii="Tahoma" w:eastAsia="Calibri" w:hAnsi="Tahoma" w:cs="Tahoma" w:hint="eastAsia"/>
          <w:b/>
          <w:bCs/>
          <w:sz w:val="19"/>
          <w:szCs w:val="19"/>
          <w:rtl/>
        </w:rPr>
        <w:t>פיקוח</w:t>
      </w:r>
      <w:r w:rsidRPr="00DE05FA">
        <w:rPr>
          <w:rFonts w:ascii="Tahoma" w:eastAsia="Calibri" w:hAnsi="Tahoma" w:cs="Tahoma"/>
          <w:b/>
          <w:bCs/>
          <w:sz w:val="19"/>
          <w:szCs w:val="19"/>
          <w:rtl/>
        </w:rPr>
        <w:t xml:space="preserve"> רגולטורי </w:t>
      </w:r>
      <w:r w:rsidRPr="00DE05FA">
        <w:rPr>
          <w:rFonts w:ascii="Tahoma" w:eastAsia="Calibri" w:hAnsi="Tahoma" w:cs="Tahoma" w:hint="eastAsia"/>
          <w:b/>
          <w:bCs/>
          <w:sz w:val="19"/>
          <w:szCs w:val="19"/>
          <w:rtl/>
        </w:rPr>
        <w:t>על</w:t>
      </w:r>
      <w:r w:rsidRPr="00DE05FA">
        <w:rPr>
          <w:rFonts w:ascii="Tahoma" w:eastAsia="Calibri" w:hAnsi="Tahoma" w:cs="Tahoma"/>
          <w:b/>
          <w:bCs/>
          <w:sz w:val="19"/>
          <w:szCs w:val="19"/>
          <w:rtl/>
        </w:rPr>
        <w:t xml:space="preserve"> יועצי </w:t>
      </w:r>
      <w:r w:rsidRPr="00DE05FA">
        <w:rPr>
          <w:rFonts w:ascii="Tahoma" w:eastAsia="Calibri" w:hAnsi="Tahoma" w:cs="Tahoma" w:hint="eastAsia"/>
          <w:b/>
          <w:bCs/>
          <w:sz w:val="19"/>
          <w:szCs w:val="19"/>
          <w:rtl/>
        </w:rPr>
        <w:t>המשכנתאות</w:t>
      </w:r>
      <w:r w:rsidRPr="00DE05FA">
        <w:rPr>
          <w:rFonts w:ascii="Tahoma" w:eastAsia="Calibri" w:hAnsi="Tahoma" w:cs="Tahoma" w:hint="cs"/>
          <w:b/>
          <w:bCs/>
          <w:sz w:val="19"/>
          <w:szCs w:val="19"/>
          <w:rtl/>
        </w:rPr>
        <w:t xml:space="preserve"> </w:t>
      </w:r>
      <w:r w:rsidRPr="00DE05FA">
        <w:rPr>
          <w:rFonts w:ascii="Tahoma" w:eastAsia="Calibri" w:hAnsi="Tahoma" w:cs="Tahoma"/>
          <w:sz w:val="19"/>
          <w:szCs w:val="19"/>
          <w:rtl/>
        </w:rPr>
        <w:t>-</w:t>
      </w:r>
      <w:r w:rsidRPr="00DE05FA">
        <w:rPr>
          <w:rFonts w:ascii="Tahoma" w:eastAsia="Calibri" w:hAnsi="Tahoma" w:cs="Tahoma"/>
          <w:b/>
          <w:bCs/>
          <w:sz w:val="19"/>
          <w:szCs w:val="19"/>
          <w:rtl/>
        </w:rPr>
        <w:t xml:space="preserve"> </w:t>
      </w:r>
      <w:bookmarkStart w:id="12" w:name="_Hlk232523747"/>
      <w:r w:rsidRPr="00DE05FA">
        <w:rPr>
          <w:rFonts w:ascii="Tahoma" w:eastAsia="Calibri" w:hAnsi="Tahoma" w:cs="Tahoma"/>
          <w:sz w:val="19"/>
          <w:szCs w:val="19"/>
          <w:rtl/>
        </w:rPr>
        <w:t>מאז שנת 2017 הועלה הצורך באסדרת תחום יועצי המשכנתאות ו</w:t>
      </w:r>
      <w:r w:rsidRPr="00DE05FA">
        <w:rPr>
          <w:rFonts w:ascii="Tahoma" w:eastAsia="Calibri" w:hAnsi="Tahoma" w:cs="Tahoma" w:hint="cs"/>
          <w:sz w:val="19"/>
          <w:szCs w:val="19"/>
          <w:rtl/>
        </w:rPr>
        <w:t xml:space="preserve">עד מועד סיום הביקורת </w:t>
      </w:r>
      <w:r w:rsidRPr="00DE05FA">
        <w:rPr>
          <w:rFonts w:ascii="Tahoma" w:eastAsia="Calibri" w:hAnsi="Tahoma" w:cs="Tahoma"/>
          <w:sz w:val="19"/>
          <w:szCs w:val="19"/>
          <w:rtl/>
        </w:rPr>
        <w:t xml:space="preserve">הצעת החוק האחרונה בנושא לא התגבשה לכדי חקיקה </w:t>
      </w:r>
      <w:r w:rsidRPr="00DE05FA">
        <w:rPr>
          <w:rFonts w:ascii="Tahoma" w:eastAsia="Calibri" w:hAnsi="Tahoma" w:cs="Tahoma" w:hint="cs"/>
          <w:sz w:val="19"/>
          <w:szCs w:val="19"/>
          <w:rtl/>
        </w:rPr>
        <w:t>ו</w:t>
      </w:r>
      <w:r w:rsidRPr="00DE05FA">
        <w:rPr>
          <w:rFonts w:ascii="Tahoma" w:eastAsia="Calibri" w:hAnsi="Tahoma" w:cs="Tahoma"/>
          <w:sz w:val="19"/>
          <w:szCs w:val="19"/>
          <w:rtl/>
        </w:rPr>
        <w:t xml:space="preserve">עדיין אין כל רגולטור או משרד ממשלתי המפקח על יועצי המשכנתאות. </w:t>
      </w:r>
      <w:bookmarkStart w:id="13" w:name="_Hlk232515997"/>
      <w:r w:rsidRPr="00DE05FA">
        <w:rPr>
          <w:rFonts w:ascii="Tahoma" w:eastAsia="Calibri" w:hAnsi="Tahoma" w:cs="Tahoma" w:hint="cs"/>
          <w:sz w:val="19"/>
          <w:szCs w:val="19"/>
          <w:rtl/>
        </w:rPr>
        <w:t>יצוין כי לאחר סיום הביקורת במאי 2026 החוק לאסדרת העיסוק בייעוץ משכנתאות אושר לקריאה ראשונה בה נקבע כי משרד המשפטים יפקח על יועצי המשכנתאות.</w:t>
      </w:r>
      <w:bookmarkEnd w:id="13"/>
    </w:p>
    <w:bookmarkEnd w:id="12"/>
    <w:p w:rsidR="00DE05FA" w:rsidRPr="00DE05FA" w:rsidP="00DE05FA">
      <w:pPr>
        <w:numPr>
          <w:ilvl w:val="0"/>
          <w:numId w:val="23"/>
        </w:numPr>
        <w:spacing w:after="200" w:line="288" w:lineRule="auto"/>
        <w:ind w:left="-142" w:right="-567" w:hanging="595"/>
        <w:rPr>
          <w:rFonts w:ascii="Tahoma" w:eastAsia="Calibri" w:hAnsi="Tahoma" w:cs="Tahoma"/>
          <w:sz w:val="19"/>
          <w:szCs w:val="19"/>
        </w:rPr>
      </w:pPr>
      <w:r w:rsidRPr="00DE05FA">
        <w:rPr>
          <w:rFonts w:ascii="Tahoma" w:eastAsia="Calibri" w:hAnsi="Tahoma" w:cs="Tahoma"/>
          <w:b/>
          <w:bCs/>
          <w:sz w:val="19"/>
          <w:szCs w:val="19"/>
          <w:rtl/>
        </w:rPr>
        <w:t xml:space="preserve">תגמול יועצי משכנתאות בגין שיווק משכנתאות </w:t>
      </w:r>
      <w:r w:rsidR="002646BE">
        <w:rPr>
          <w:rFonts w:ascii="Tahoma" w:eastAsia="Calibri" w:hAnsi="Tahoma" w:cs="Tahoma"/>
          <w:b/>
          <w:bCs/>
          <w:sz w:val="19"/>
          <w:szCs w:val="19"/>
          <w:rtl/>
        </w:rPr>
        <w:t>חוץ-בנק</w:t>
      </w:r>
      <w:r w:rsidRPr="00DE05FA">
        <w:rPr>
          <w:rFonts w:ascii="Tahoma" w:eastAsia="Calibri" w:hAnsi="Tahoma" w:cs="Tahoma"/>
          <w:b/>
          <w:bCs/>
          <w:sz w:val="19"/>
          <w:szCs w:val="19"/>
          <w:rtl/>
        </w:rPr>
        <w:t>איות</w:t>
      </w:r>
      <w:r w:rsidRPr="00DE05FA">
        <w:rPr>
          <w:rFonts w:ascii="Tahoma" w:eastAsia="Calibri" w:hAnsi="Tahoma" w:cs="Tahoma"/>
          <w:sz w:val="19"/>
          <w:szCs w:val="19"/>
          <w:rtl/>
        </w:rPr>
        <w:t xml:space="preserve"> - שלא כמקובל בשוק המשכנתאות הבנקאיות, מודל התגמול הנוכחי של יועצי משכנתאות מהגופים המוסדיים ונותני האשראי ה</w:t>
      </w:r>
      <w:r w:rsidR="002646BE">
        <w:rPr>
          <w:rFonts w:ascii="Tahoma" w:eastAsia="Calibri" w:hAnsi="Tahoma" w:cs="Tahoma"/>
          <w:sz w:val="19"/>
          <w:szCs w:val="19"/>
          <w:rtl/>
        </w:rPr>
        <w:t>חוץ-בנק</w:t>
      </w:r>
      <w:r w:rsidRPr="00DE05FA">
        <w:rPr>
          <w:rFonts w:ascii="Tahoma" w:eastAsia="Calibri" w:hAnsi="Tahoma" w:cs="Tahoma"/>
          <w:sz w:val="19"/>
          <w:szCs w:val="19"/>
          <w:rtl/>
        </w:rPr>
        <w:t xml:space="preserve">אי בשיווק משכנתא </w:t>
      </w:r>
      <w:r w:rsidR="002646BE">
        <w:rPr>
          <w:rFonts w:ascii="Tahoma" w:eastAsia="Calibri" w:hAnsi="Tahoma" w:cs="Tahoma"/>
          <w:sz w:val="19"/>
          <w:szCs w:val="19"/>
          <w:rtl/>
        </w:rPr>
        <w:t>חוץ-בנק</w:t>
      </w:r>
      <w:r w:rsidRPr="00DE05FA">
        <w:rPr>
          <w:rFonts w:ascii="Tahoma" w:eastAsia="Calibri" w:hAnsi="Tahoma" w:cs="Tahoma"/>
          <w:sz w:val="19"/>
          <w:szCs w:val="19"/>
          <w:rtl/>
        </w:rPr>
        <w:t>אית, מבוסס על תשלום עמלות שוטפות, עמלות חד פעמיות במכירה ובהגעה ליעד מכירות, פרסים ומתנות. הדבר מעלה חשש על היווצרותן של הטיות ותמריצים שאינם מתיישבים עם טובתו של הצרכן בהכרח, ואף מטה לכיוון המשכנתאות ה</w:t>
      </w:r>
      <w:r w:rsidR="002646BE">
        <w:rPr>
          <w:rFonts w:ascii="Tahoma" w:eastAsia="Calibri" w:hAnsi="Tahoma" w:cs="Tahoma"/>
          <w:sz w:val="19"/>
          <w:szCs w:val="19"/>
          <w:rtl/>
        </w:rPr>
        <w:t>חוץ-בנק</w:t>
      </w:r>
      <w:r w:rsidRPr="00DE05FA">
        <w:rPr>
          <w:rFonts w:ascii="Tahoma" w:eastAsia="Calibri" w:hAnsi="Tahoma" w:cs="Tahoma"/>
          <w:sz w:val="19"/>
          <w:szCs w:val="19"/>
          <w:rtl/>
        </w:rPr>
        <w:t>איות לעומת המשכנתאות הבנקאיות.</w:t>
      </w:r>
      <w:r w:rsidRPr="00DE05FA">
        <w:rPr>
          <w:rFonts w:ascii="Tahoma" w:eastAsia="Calibri" w:hAnsi="Tahoma" w:cs="Tahoma" w:hint="cs"/>
          <w:sz w:val="19"/>
          <w:szCs w:val="19"/>
          <w:rtl/>
        </w:rPr>
        <w:t xml:space="preserve"> לדוגמה, חברה גבתה שכר טרחה של 10% מגובה המשכנתא בתוספת מע"מ, שכר החורג באופן קיצוני מהמוכר והמקובל בענף המשכנתאות</w:t>
      </w:r>
      <w:r w:rsidRPr="00DE05FA">
        <w:rPr>
          <w:rFonts w:ascii="Tahoma" w:eastAsia="Calibri" w:hAnsi="Tahoma" w:cs="Tahoma"/>
          <w:sz w:val="19"/>
          <w:szCs w:val="19"/>
          <w:rtl/>
        </w:rPr>
        <w:t xml:space="preserve">. עוד נמצא כי בפרקטיקה הקיימת כיום מקבלים יועצי המשכנתאות מהגופים המוסדיים ומסוכנויות הביטוח תגמול נוסף ואף תגמול בשווי כסף דוגמת פרסים, הוצאות משרד, הטבות וטיסות לחו"ל בגין הפניית לקוחותיהם לגופים המוסדיים או לסוכני ביטוח </w:t>
      </w:r>
      <w:r w:rsidR="001C7141">
        <w:rPr>
          <w:rFonts w:ascii="Tahoma" w:eastAsia="Calibri" w:hAnsi="Tahoma" w:cs="Tahoma" w:hint="cs"/>
          <w:sz w:val="19"/>
          <w:szCs w:val="19"/>
          <w:rtl/>
        </w:rPr>
        <w:t>כדי</w:t>
      </w:r>
      <w:r w:rsidRPr="00DE05FA">
        <w:rPr>
          <w:rFonts w:ascii="Tahoma" w:eastAsia="Calibri" w:hAnsi="Tahoma" w:cs="Tahoma"/>
          <w:sz w:val="19"/>
          <w:szCs w:val="19"/>
          <w:rtl/>
        </w:rPr>
        <w:t xml:space="preserve"> לבצע ביטוח משכנתא.</w:t>
      </w:r>
    </w:p>
    <w:p w:rsidR="004A17E8" w:rsidP="00DE05FA">
      <w:pPr>
        <w:numPr>
          <w:ilvl w:val="0"/>
          <w:numId w:val="23"/>
        </w:numPr>
        <w:spacing w:line="288" w:lineRule="auto"/>
        <w:ind w:left="-143" w:right="-567" w:hanging="595"/>
        <w:rPr>
          <w:rFonts w:ascii="Tahoma" w:eastAsia="Calibri" w:hAnsi="Tahoma" w:cs="Tahoma"/>
          <w:b/>
          <w:bCs/>
          <w:sz w:val="19"/>
          <w:szCs w:val="19"/>
          <w:rtl/>
        </w:rPr>
      </w:pPr>
      <w:r w:rsidRPr="00DE05FA">
        <w:rPr>
          <w:rFonts w:ascii="Tahoma" w:eastAsia="Calibri" w:hAnsi="Tahoma" w:cs="Tahoma"/>
          <w:b/>
          <w:bCs/>
          <w:sz w:val="19"/>
          <w:szCs w:val="19"/>
          <w:rtl/>
        </w:rPr>
        <w:t xml:space="preserve">טיפול בתלונות בדבר יועצי משכנתאות - </w:t>
      </w:r>
      <w:r w:rsidRPr="00DE05FA">
        <w:rPr>
          <w:rFonts w:ascii="Tahoma" w:eastAsia="Calibri" w:hAnsi="Tahoma" w:cs="Tahoma"/>
          <w:sz w:val="19"/>
          <w:szCs w:val="19"/>
          <w:rtl/>
        </w:rPr>
        <w:t xml:space="preserve">כיום, בהעדר רגולטור המפקח על יועצי משכנתאות, </w:t>
      </w:r>
      <w:r w:rsidRPr="00DE05FA">
        <w:rPr>
          <w:rFonts w:ascii="Tahoma" w:eastAsia="Calibri" w:hAnsi="Tahoma" w:cs="Tahoma" w:hint="cs"/>
          <w:sz w:val="19"/>
          <w:szCs w:val="19"/>
          <w:rtl/>
        </w:rPr>
        <w:t>ל</w:t>
      </w:r>
      <w:r w:rsidRPr="00DE05FA">
        <w:rPr>
          <w:rFonts w:ascii="Tahoma" w:eastAsia="Calibri" w:hAnsi="Tahoma" w:cs="Tahoma"/>
          <w:sz w:val="19"/>
          <w:szCs w:val="19"/>
          <w:rtl/>
        </w:rPr>
        <w:t>תלונות בדבר יועצי משכנתאות אין כתובת להגשת התלונות. בהעדר גורם פיקוחי תלונות בדבר יועצי משכנתאות במקרים רבים לא מוגשות לגורם אכיפתי כלשהוא וכך למעשה לא מטופלות על ידי אף גורם.</w:t>
      </w:r>
    </w:p>
    <w:p w:rsidR="00DE05FA" w:rsidRPr="00DE05FA" w:rsidP="00DE05FA">
      <w:pPr>
        <w:spacing w:line="288" w:lineRule="auto"/>
        <w:rPr>
          <w:rFonts w:ascii="Tahoma" w:eastAsia="Calibri" w:hAnsi="Tahoma" w:cs="Tahoma"/>
          <w:sz w:val="22"/>
          <w:szCs w:val="22"/>
          <w:rtl/>
        </w:rPr>
      </w:pPr>
    </w:p>
    <w:p w:rsidR="00DE05FA" w:rsidRPr="00DE05FA" w:rsidP="00DE05FA">
      <w:pPr>
        <w:spacing w:line="288" w:lineRule="auto"/>
        <w:rPr>
          <w:rFonts w:ascii="Tahoma" w:eastAsia="Calibri" w:hAnsi="Tahoma" w:cs="Tahoma"/>
          <w:sz w:val="22"/>
          <w:szCs w:val="22"/>
          <w:rtl/>
        </w:rPr>
      </w:pPr>
    </w:p>
    <w:p w:rsidR="002646BE">
      <w:r>
        <w:br w:type="page"/>
      </w:r>
    </w:p>
    <w:tbl>
      <w:tblPr>
        <w:tblStyle w:val="26"/>
        <w:tblpPr w:leftFromText="180" w:rightFromText="180" w:vertAnchor="text" w:tblpXSpec="center" w:tblpY="1"/>
        <w:tblOverlap w:val="never"/>
        <w:bidiVisual/>
        <w:tblW w:w="9783" w:type="dxa"/>
        <w:tblLayout w:type="fixed"/>
        <w:tblLook w:val="04A0"/>
      </w:tblPr>
      <w:tblGrid>
        <w:gridCol w:w="9783"/>
      </w:tblGrid>
      <w:tr w:rsidTr="00606D97">
        <w:tblPrEx>
          <w:tblW w:w="9783" w:type="dxa"/>
          <w:tblLayout w:type="fixed"/>
          <w:tblLook w:val="04A0"/>
        </w:tblPrEx>
        <w:trPr>
          <w:trHeight w:val="851"/>
        </w:trPr>
        <w:tc>
          <w:tcPr>
            <w:tcW w:w="9783" w:type="dxa"/>
            <w:tcBorders>
              <w:top w:val="nil"/>
              <w:left w:val="nil"/>
              <w:bottom w:val="nil"/>
              <w:right w:val="nil"/>
            </w:tcBorders>
          </w:tcPr>
          <w:p w:rsidR="00DE05FA" w:rsidRPr="00DE05FA" w:rsidP="00DE05FA">
            <w:pPr>
              <w:spacing w:line="288" w:lineRule="auto"/>
              <w:rPr>
                <w:rFonts w:ascii="Tahoma" w:eastAsia="Calibri" w:hAnsi="Tahoma" w:cs="Tahoma"/>
                <w:szCs w:val="24"/>
                <w:rtl/>
              </w:rPr>
            </w:pPr>
            <w:r w:rsidRPr="00DE05FA">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5405A6">
        <w:tblPrEx>
          <w:tblW w:w="9783" w:type="dxa"/>
          <w:tblLayout w:type="fixed"/>
          <w:tblLook w:val="04A0"/>
        </w:tblPrEx>
        <w:trPr>
          <w:trHeight w:val="1980"/>
        </w:trPr>
        <w:tc>
          <w:tcPr>
            <w:tcW w:w="9783" w:type="dxa"/>
            <w:tcBorders>
              <w:top w:val="nil"/>
              <w:left w:val="nil"/>
              <w:bottom w:val="nil"/>
              <w:right w:val="nil"/>
            </w:tcBorders>
            <w:shd w:val="clear" w:color="auto" w:fill="F1F5F9"/>
          </w:tcPr>
          <w:p w:rsidR="00DE05FA" w:rsidRPr="00DE05FA" w:rsidP="00DE05FA">
            <w:pPr>
              <w:spacing w:line="288" w:lineRule="auto"/>
              <w:ind w:left="598" w:right="173" w:hanging="598"/>
              <w:contextualSpacing/>
              <w:rPr>
                <w:rFonts w:ascii="Tahoma" w:eastAsia="Calibri" w:hAnsi="Tahoma" w:cs="Tahoma"/>
                <w:sz w:val="13"/>
                <w:szCs w:val="13"/>
              </w:rPr>
            </w:pPr>
          </w:p>
          <w:p w:rsidR="00DE05FA" w:rsidRPr="00DE05FA" w:rsidP="002646BE">
            <w:pPr>
              <w:spacing w:before="120" w:line="288" w:lineRule="auto"/>
              <w:ind w:left="172" w:right="176"/>
              <w:rPr>
                <w:rFonts w:ascii="Tahoma" w:eastAsia="Calibri" w:hAnsi="Tahoma" w:cs="Tahoma"/>
                <w:b/>
                <w:bCs/>
              </w:rPr>
            </w:pPr>
            <w:r w:rsidRPr="00DE05FA">
              <w:rPr>
                <w:rFonts w:ascii="Tahoma" w:eastAsia="Calibri" w:hAnsi="Tahoma" w:cs="Tahoma" w:hint="cs"/>
                <w:b/>
                <w:bCs/>
                <w:rtl/>
              </w:rPr>
              <w:t>המלצות לשער הראשון - משכנתאות במערכת הבנקאית</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sz w:val="19"/>
                <w:szCs w:val="19"/>
                <w:rtl/>
              </w:rPr>
              <w:t xml:space="preserve">נוכח ההשפעה הרחבה שיש למגבלות על רוכשי הדירות ועל יציבות המערכת הבנקאית מומלץ כי הפיקוח על הבנקים יתקף באופן עיתי את המגבלות ויבחן את ההשפעות שלהם על יציבות הבנקים וההוגנות כלפי הלווים. </w:t>
            </w:r>
            <w:r w:rsidRPr="00DE05FA">
              <w:rPr>
                <w:rFonts w:ascii="Tahoma" w:eastAsia="Calibri" w:hAnsi="Tahoma" w:cs="Tahoma" w:hint="cs"/>
                <w:sz w:val="19"/>
                <w:szCs w:val="19"/>
                <w:rtl/>
              </w:rPr>
              <w:t>עוד</w:t>
            </w:r>
            <w:r w:rsidRPr="00DE05FA">
              <w:rPr>
                <w:rFonts w:eastAsia="Calibri"/>
                <w:szCs w:val="24"/>
                <w:rtl/>
              </w:rPr>
              <w:t xml:space="preserve"> </w:t>
            </w:r>
            <w:r w:rsidRPr="00DE05FA">
              <w:rPr>
                <w:rFonts w:ascii="Tahoma" w:eastAsia="Calibri" w:hAnsi="Tahoma" w:cs="Tahoma"/>
                <w:sz w:val="19"/>
                <w:szCs w:val="19"/>
                <w:rtl/>
              </w:rPr>
              <w:t>מומלץ כי הפיקוח על הבנקים ימשיך לבחון באופן עתי את ההשפעה של השימוש בכלים המקרו-יציבותיים על שוק המשכנתאות בישראל, בהשוואה לעולם, ובתוך כך יבחן את ההשפעה שלהם על יציבות המערכת הבנקאית ועל יעדי ההוגנות והתחרות בתחום המשכנתאות.</w:t>
            </w:r>
          </w:p>
          <w:p w:rsidR="004A17E8" w:rsidP="002646BE">
            <w:pPr>
              <w:numPr>
                <w:ilvl w:val="0"/>
                <w:numId w:val="25"/>
              </w:numPr>
              <w:spacing w:before="240" w:after="200" w:line="288" w:lineRule="auto"/>
              <w:ind w:left="655" w:right="337" w:hanging="516"/>
              <w:jc w:val="both"/>
              <w:rPr>
                <w:rFonts w:ascii="Tahoma" w:eastAsia="Calibri" w:hAnsi="Tahoma" w:cs="Tahoma" w:hint="cs"/>
                <w:sz w:val="19"/>
                <w:szCs w:val="19"/>
                <w:rtl/>
              </w:rPr>
            </w:pPr>
            <w:r w:rsidRPr="00DE05FA">
              <w:rPr>
                <w:rFonts w:ascii="Tahoma" w:eastAsia="Calibri" w:hAnsi="Tahoma" w:cs="Tahoma"/>
                <w:sz w:val="19"/>
                <w:szCs w:val="19"/>
                <w:rtl/>
              </w:rPr>
              <w:t xml:space="preserve">מומלץ כי הפיקוח על הבנקים יבצע מעקב עיתי על שוק הדיור ועל מבצעי העידוד השונים וינקוט </w:t>
            </w:r>
            <w:bookmarkStart w:id="14" w:name="_GoBack"/>
            <w:bookmarkEnd w:id="14"/>
            <w:r w:rsidRPr="00DE05FA">
              <w:rPr>
                <w:rFonts w:ascii="Tahoma" w:eastAsia="Calibri" w:hAnsi="Tahoma" w:cs="Tahoma"/>
                <w:sz w:val="19"/>
                <w:szCs w:val="19"/>
                <w:rtl/>
              </w:rPr>
              <w:t>צעדים פיקוחיים מתאימים לרמת הסיכון תוך שמירה גם על הוגנות הלקוחות. כמו כן מומלץ לפיקוח לאמץ דרכים לבחינת אפקטיביות צעדיו הפיקוחיים בנוגע לפיקוח ההדוק שהוא מקיים אחר ההתפתחויות בשוק ולגבש דרכי פעולה אפשריים מבעוד מועד.</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sz w:val="19"/>
                <w:szCs w:val="19"/>
                <w:rtl/>
              </w:rPr>
              <w:t xml:space="preserve">מומלץ כי משרד האוצר בשיתוף הגורמים הרלוונטיים </w:t>
            </w:r>
            <w:r w:rsidRPr="00DE05FA">
              <w:rPr>
                <w:rFonts w:ascii="Tahoma" w:eastAsia="Calibri" w:hAnsi="Tahoma" w:cs="Tahoma" w:hint="cs"/>
                <w:sz w:val="19"/>
                <w:szCs w:val="19"/>
                <w:rtl/>
              </w:rPr>
              <w:t>יבחנו</w:t>
            </w:r>
            <w:r w:rsidRPr="00DE05FA">
              <w:rPr>
                <w:rFonts w:ascii="Tahoma" w:eastAsia="Calibri" w:hAnsi="Tahoma" w:cs="Tahoma"/>
                <w:sz w:val="19"/>
                <w:szCs w:val="19"/>
                <w:rtl/>
              </w:rPr>
              <w:t xml:space="preserve"> דרכים למציאת פתרונות ארוכי טווח לשוק הדיור, בהם פתרונות שיובילו להפחתת מחירים באופן הדרגתי, אגב שמירה על איזון בין טובת הקבלנים לטובת משקי הבית, ובפרט צעירים ומשפחות צעירות.</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sz w:val="19"/>
                <w:szCs w:val="19"/>
                <w:rtl/>
              </w:rPr>
              <w:t>לאור הנתונים בסקירה של בנק ישראל לשנת 2025 לפיהם נמצאו מקרים בהם הוצע ללווים סל הלוואה מורכב שאינו עקבי עם תמחור הסלים הרגולטוריים, מומלץ כי הפיקוח על הבנקים</w:t>
            </w:r>
            <w:r w:rsidRPr="00DE05FA">
              <w:rPr>
                <w:rFonts w:ascii="Tahoma" w:eastAsia="Calibri" w:hAnsi="Tahoma" w:cs="Tahoma" w:hint="cs"/>
                <w:sz w:val="19"/>
                <w:szCs w:val="19"/>
                <w:rtl/>
              </w:rPr>
              <w:t xml:space="preserve"> י</w:t>
            </w:r>
            <w:r w:rsidRPr="00DE05FA">
              <w:rPr>
                <w:rFonts w:ascii="Tahoma" w:eastAsia="Calibri" w:hAnsi="Tahoma" w:cs="Tahoma"/>
                <w:sz w:val="19"/>
                <w:szCs w:val="19"/>
                <w:rtl/>
              </w:rPr>
              <w:t>משיך לבצע ביקורות על הבנקים בדבר יישום רפורמת השקיפות לאור חשיבותה.</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 xml:space="preserve">עוד מומלץ כי הפיקוח יבחן מעת לעת כי מידת היכולת של הלקוחות לביצוע השוואות ותיחור מול הבנקים אכן נשמרת לאור המציאות הכלכלית המשתנה. </w:t>
            </w:r>
            <w:r w:rsidRPr="00DE05FA">
              <w:rPr>
                <w:rFonts w:ascii="Tahoma" w:eastAsia="Calibri" w:hAnsi="Tahoma" w:cs="Tahoma" w:hint="cs"/>
                <w:sz w:val="19"/>
                <w:szCs w:val="19"/>
                <w:rtl/>
              </w:rPr>
              <w:t xml:space="preserve">עוד </w:t>
            </w:r>
            <w:r w:rsidRPr="00DE05FA">
              <w:rPr>
                <w:rFonts w:ascii="Tahoma" w:eastAsia="Calibri" w:hAnsi="Tahoma" w:cs="Tahoma"/>
                <w:sz w:val="19"/>
                <w:szCs w:val="19"/>
                <w:rtl/>
              </w:rPr>
              <w:t xml:space="preserve">מומלץ כי הפיקוח על הבנקים </w:t>
            </w:r>
            <w:r w:rsidRPr="00DE05FA">
              <w:rPr>
                <w:rFonts w:ascii="Tahoma" w:eastAsia="Calibri" w:hAnsi="Tahoma" w:cs="Tahoma" w:hint="cs"/>
                <w:sz w:val="19"/>
                <w:szCs w:val="19"/>
                <w:rtl/>
              </w:rPr>
              <w:t>יבחן</w:t>
            </w:r>
            <w:r w:rsidRPr="00DE05FA">
              <w:rPr>
                <w:rFonts w:ascii="Tahoma" w:eastAsia="Calibri" w:hAnsi="Tahoma" w:cs="Tahoma"/>
                <w:sz w:val="19"/>
                <w:szCs w:val="19"/>
                <w:rtl/>
              </w:rPr>
              <w:t xml:space="preserve"> דרכים לשיפור שיעורי התיחור של הלווים במשכנתאות ובפרט בקרב לווים בגילים מבוגרים, בדירוג סוציו-אקונומי נמוך, ובהלוואות למטרות שונות.</w:t>
            </w:r>
            <w:r w:rsidRPr="00DE05FA">
              <w:rPr>
                <w:rFonts w:eastAsia="Calibri"/>
                <w:szCs w:val="24"/>
                <w:rtl/>
              </w:rPr>
              <w:t xml:space="preserve"> </w:t>
            </w:r>
            <w:r w:rsidRPr="00DE05FA">
              <w:rPr>
                <w:rFonts w:ascii="Tahoma" w:eastAsia="Calibri" w:hAnsi="Tahoma" w:cs="Tahoma"/>
                <w:sz w:val="19"/>
                <w:szCs w:val="19"/>
                <w:rtl/>
              </w:rPr>
              <w:t>כמו כן, מומלץ כי הפיקוח על הבנקים ישקול לפרסם את שיעורי התיחור לציבור באופן עיתי וסדור.</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sz w:val="19"/>
                <w:szCs w:val="19"/>
                <w:rtl/>
              </w:rPr>
              <w:t xml:space="preserve">נוכח הגידול בהיקפי מחזור המשכנתאות בשנים 2025-2023, מומלץ כי בנק ישראל יגבש מנגנון לניטור שוטף ("בקרת זמן אמת") של יישום רפורמת המחזור. </w:t>
            </w:r>
            <w:r w:rsidRPr="00DE05FA">
              <w:rPr>
                <w:rFonts w:ascii="Tahoma" w:eastAsia="Calibri" w:hAnsi="Tahoma" w:cs="Tahoma" w:hint="cs"/>
                <w:sz w:val="19"/>
                <w:szCs w:val="19"/>
                <w:rtl/>
              </w:rPr>
              <w:t xml:space="preserve">מומלץ לבנק </w:t>
            </w:r>
            <w:r w:rsidRPr="00DE05FA">
              <w:rPr>
                <w:rFonts w:ascii="Tahoma" w:eastAsia="Calibri" w:hAnsi="Tahoma" w:cs="Tahoma"/>
                <w:sz w:val="19"/>
                <w:szCs w:val="19"/>
                <w:rtl/>
              </w:rPr>
              <w:t>ל</w:t>
            </w:r>
            <w:r w:rsidRPr="00DE05FA">
              <w:rPr>
                <w:rFonts w:ascii="Tahoma" w:eastAsia="Calibri" w:hAnsi="Tahoma" w:cs="Tahoma" w:hint="cs"/>
                <w:sz w:val="19"/>
                <w:szCs w:val="19"/>
                <w:rtl/>
              </w:rPr>
              <w:t>המשיך ל</w:t>
            </w:r>
            <w:r w:rsidRPr="00DE05FA">
              <w:rPr>
                <w:rFonts w:ascii="Tahoma" w:eastAsia="Calibri" w:hAnsi="Tahoma" w:cs="Tahoma"/>
                <w:sz w:val="19"/>
                <w:szCs w:val="19"/>
                <w:rtl/>
              </w:rPr>
              <w:t xml:space="preserve">בצע בדיקות עומק איכותניות ודגימות שטח של תהליכי המחזור בבנקים השונים, </w:t>
            </w:r>
            <w:r w:rsidR="001C7141">
              <w:rPr>
                <w:rFonts w:ascii="Tahoma" w:eastAsia="Calibri" w:hAnsi="Tahoma" w:cs="Tahoma" w:hint="cs"/>
                <w:sz w:val="19"/>
                <w:szCs w:val="19"/>
                <w:rtl/>
              </w:rPr>
              <w:t>כדי</w:t>
            </w:r>
            <w:r w:rsidRPr="00DE05FA">
              <w:rPr>
                <w:rFonts w:ascii="Tahoma" w:eastAsia="Calibri" w:hAnsi="Tahoma" w:cs="Tahoma"/>
                <w:sz w:val="19"/>
                <w:szCs w:val="19"/>
                <w:rtl/>
              </w:rPr>
              <w:t xml:space="preserve"> לוודא שאפשרותם של הלווים למחזר משכנתא בקלות אינה מתעכבת או נבלמת משיקולי רווחיות של המערכת הבנקאית.</w:t>
            </w:r>
          </w:p>
          <w:p w:rsidR="005405A6" w:rsidP="00DE05FA">
            <w:pPr>
              <w:spacing w:line="288" w:lineRule="auto"/>
              <w:ind w:right="176"/>
              <w:rPr>
                <w:rFonts w:ascii="Tahoma" w:eastAsia="Calibri" w:hAnsi="Tahoma" w:cs="Tahoma"/>
                <w:b/>
                <w:bCs/>
                <w:rtl/>
              </w:rPr>
            </w:pPr>
          </w:p>
          <w:p w:rsidR="00DE05FA" w:rsidRPr="00DE05FA" w:rsidP="002646BE">
            <w:pPr>
              <w:spacing w:line="288" w:lineRule="auto"/>
              <w:ind w:left="172" w:right="176"/>
              <w:rPr>
                <w:rFonts w:ascii="Tahoma" w:eastAsia="Calibri" w:hAnsi="Tahoma" w:cs="Tahoma"/>
                <w:b/>
                <w:bCs/>
              </w:rPr>
            </w:pPr>
            <w:r w:rsidRPr="00DE05FA">
              <w:rPr>
                <w:rFonts w:ascii="Tahoma" w:eastAsia="Calibri" w:hAnsi="Tahoma" w:cs="Tahoma" w:hint="cs"/>
                <w:b/>
                <w:bCs/>
                <w:rtl/>
              </w:rPr>
              <w:t xml:space="preserve">המלצות לשער השני - </w:t>
            </w:r>
            <w:r w:rsidRPr="00DE05FA">
              <w:rPr>
                <w:rFonts w:ascii="Tahoma" w:eastAsia="Calibri" w:hAnsi="Tahoma" w:cs="Tahoma"/>
                <w:b/>
                <w:bCs/>
                <w:rtl/>
              </w:rPr>
              <w:t>משכנתאות לזכאים ולאוכלוסיות שונות והקלות במשכנתאות במלחמת חרבות ברזל ומבצע עם כלביא</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sz w:val="19"/>
                <w:szCs w:val="19"/>
                <w:rtl/>
              </w:rPr>
              <w:t xml:space="preserve">מומלץ כי בנק ישראל </w:t>
            </w:r>
            <w:r w:rsidRPr="00DE05FA">
              <w:rPr>
                <w:rFonts w:ascii="Tahoma" w:eastAsia="Calibri" w:hAnsi="Tahoma" w:cs="Tahoma" w:hint="cs"/>
                <w:sz w:val="19"/>
                <w:szCs w:val="19"/>
                <w:rtl/>
              </w:rPr>
              <w:t>ימשיך ל</w:t>
            </w:r>
            <w:r w:rsidRPr="00DE05FA">
              <w:rPr>
                <w:rFonts w:ascii="Tahoma" w:eastAsia="Calibri" w:hAnsi="Tahoma" w:cs="Tahoma"/>
                <w:sz w:val="19"/>
                <w:szCs w:val="19"/>
                <w:rtl/>
              </w:rPr>
              <w:t xml:space="preserve">בצע תהליך </w:t>
            </w:r>
            <w:r w:rsidRPr="00DE05FA">
              <w:rPr>
                <w:rFonts w:ascii="Tahoma" w:eastAsia="Calibri" w:hAnsi="Tahoma" w:cs="Tahoma" w:hint="cs"/>
                <w:sz w:val="19"/>
                <w:szCs w:val="19"/>
                <w:rtl/>
              </w:rPr>
              <w:t xml:space="preserve">של </w:t>
            </w:r>
            <w:r w:rsidRPr="00DE05FA">
              <w:rPr>
                <w:rFonts w:ascii="Tahoma" w:eastAsia="Calibri" w:hAnsi="Tahoma" w:cs="Tahoma"/>
                <w:sz w:val="19"/>
                <w:szCs w:val="19"/>
                <w:rtl/>
              </w:rPr>
              <w:t>הפקת לקחים סדור ומתועד בנוגע למתווים כלכליים לאוכלוסיות שונות באירועי חירום. תיע</w:t>
            </w:r>
            <w:r w:rsidRPr="00DE05FA">
              <w:rPr>
                <w:rFonts w:ascii="Tahoma" w:eastAsia="Calibri" w:hAnsi="Tahoma" w:cs="Tahoma" w:hint="cs"/>
                <w:sz w:val="19"/>
                <w:szCs w:val="19"/>
                <w:rtl/>
              </w:rPr>
              <w:t>ו</w:t>
            </w:r>
            <w:r w:rsidRPr="00DE05FA">
              <w:rPr>
                <w:rFonts w:ascii="Tahoma" w:eastAsia="Calibri" w:hAnsi="Tahoma" w:cs="Tahoma"/>
                <w:sz w:val="19"/>
                <w:szCs w:val="19"/>
                <w:rtl/>
              </w:rPr>
              <w:t>ד הפקת הלקחים חשוב לצורך שמירה על זיכרון ארגוני שיסייע לבנק ישראל לעשות שימוש בתובנות שהופקו מהמתווים במלחמה עבור אירועי חירום עתידיים. עוד מומלץ כי בנק ישראל ימשיך לבחון</w:t>
            </w:r>
            <w:r w:rsidRPr="00DE05FA">
              <w:rPr>
                <w:rFonts w:eastAsia="Calibri"/>
                <w:szCs w:val="24"/>
                <w:rtl/>
              </w:rPr>
              <w:t xml:space="preserve"> </w:t>
            </w:r>
            <w:r w:rsidRPr="00DE05FA">
              <w:rPr>
                <w:rFonts w:ascii="Tahoma" w:eastAsia="Calibri" w:hAnsi="Tahoma" w:cs="Tahoma"/>
                <w:sz w:val="19"/>
                <w:szCs w:val="19"/>
                <w:rtl/>
              </w:rPr>
              <w:t>את אפקטיביות המתווים לסיוע כלכלי וההתאמות הנדרשות בהם לאירועי חירום שונים כפי שעשה במלחמ</w:t>
            </w:r>
            <w:r w:rsidRPr="00DE05FA">
              <w:rPr>
                <w:rFonts w:ascii="Tahoma" w:eastAsia="Calibri" w:hAnsi="Tahoma" w:cs="Tahoma" w:hint="cs"/>
                <w:sz w:val="19"/>
                <w:szCs w:val="19"/>
                <w:rtl/>
              </w:rPr>
              <w:t>ת חרבות ברזל ובמהלך הביקורת</w:t>
            </w:r>
            <w:r w:rsidRPr="00DE05FA">
              <w:rPr>
                <w:rFonts w:ascii="Tahoma" w:eastAsia="Calibri" w:hAnsi="Tahoma" w:cs="Tahoma"/>
                <w:sz w:val="19"/>
                <w:szCs w:val="19"/>
                <w:rtl/>
              </w:rPr>
              <w:t>.</w:t>
            </w:r>
          </w:p>
          <w:p w:rsidR="00DE05FA" w:rsidP="002646BE">
            <w:pPr>
              <w:numPr>
                <w:ilvl w:val="0"/>
                <w:numId w:val="25"/>
              </w:numPr>
              <w:spacing w:before="240" w:line="288" w:lineRule="auto"/>
              <w:ind w:left="655" w:right="337" w:hanging="516"/>
              <w:jc w:val="both"/>
              <w:rPr>
                <w:rFonts w:ascii="Tahoma" w:eastAsia="Calibri" w:hAnsi="Tahoma" w:cs="Tahoma"/>
                <w:sz w:val="19"/>
                <w:szCs w:val="19"/>
              </w:rPr>
            </w:pPr>
            <w:r w:rsidRPr="00DE05FA">
              <w:rPr>
                <w:rFonts w:ascii="Tahoma" w:eastAsia="Calibri" w:hAnsi="Tahoma" w:cs="Tahoma" w:hint="eastAsia"/>
                <w:sz w:val="19"/>
                <w:szCs w:val="19"/>
                <w:rtl/>
              </w:rPr>
              <w:t>מומלץ</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כי</w:t>
            </w:r>
            <w:r w:rsidRPr="00DE05FA">
              <w:rPr>
                <w:rFonts w:ascii="Tahoma" w:eastAsia="Calibri" w:hAnsi="Tahoma" w:cs="Tahoma"/>
                <w:sz w:val="19"/>
                <w:szCs w:val="19"/>
                <w:rtl/>
              </w:rPr>
              <w:t xml:space="preserve"> בנק ישראל </w:t>
            </w:r>
            <w:r w:rsidRPr="00DE05FA">
              <w:rPr>
                <w:rFonts w:ascii="Tahoma" w:eastAsia="Calibri" w:hAnsi="Tahoma" w:cs="Tahoma" w:hint="cs"/>
                <w:sz w:val="19"/>
                <w:szCs w:val="19"/>
                <w:rtl/>
              </w:rPr>
              <w:t>יבחן את הצורך לבצע</w:t>
            </w:r>
            <w:r w:rsidRPr="00DE05FA">
              <w:rPr>
                <w:rFonts w:ascii="Tahoma" w:eastAsia="Calibri" w:hAnsi="Tahoma" w:cs="Tahoma"/>
                <w:sz w:val="19"/>
                <w:szCs w:val="19"/>
                <w:rtl/>
              </w:rPr>
              <w:t xml:space="preserve"> מחקר עתי בדבר אופן לקיחת המשכנתאות על ידי האוכלוסייה הערבית ויבצע בדיקת אפקטיביות של הצעדים שננקטו על ידי המדינה במהלך השנים להפחתת חסמים כאלה או אחרים.</w:t>
            </w:r>
          </w:p>
          <w:p w:rsidR="002646BE" w:rsidP="002646BE">
            <w:pPr>
              <w:spacing w:line="288" w:lineRule="auto"/>
              <w:ind w:left="655" w:right="337"/>
              <w:jc w:val="both"/>
              <w:rPr>
                <w:rFonts w:ascii="Tahoma" w:eastAsia="Calibri" w:hAnsi="Tahoma" w:cs="Tahoma"/>
                <w:sz w:val="19"/>
                <w:szCs w:val="19"/>
              </w:rPr>
            </w:pP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hint="eastAsia"/>
                <w:sz w:val="19"/>
                <w:szCs w:val="19"/>
                <w:rtl/>
              </w:rPr>
              <w:t>מומלץ</w:t>
            </w:r>
            <w:r w:rsidRPr="00DE05FA">
              <w:rPr>
                <w:rFonts w:ascii="Tahoma" w:eastAsia="Calibri" w:hAnsi="Tahoma" w:cs="Tahoma"/>
                <w:sz w:val="19"/>
                <w:szCs w:val="19"/>
                <w:rtl/>
              </w:rPr>
              <w:t xml:space="preserve"> כי רשות שוק ההון </w:t>
            </w:r>
            <w:r w:rsidRPr="00DE05FA">
              <w:rPr>
                <w:rFonts w:ascii="Tahoma" w:eastAsia="Calibri" w:hAnsi="Tahoma" w:cs="Tahoma" w:hint="eastAsia"/>
                <w:sz w:val="19"/>
                <w:szCs w:val="19"/>
                <w:rtl/>
              </w:rPr>
              <w:t>תרכז</w:t>
            </w:r>
            <w:r w:rsidRPr="00DE05FA">
              <w:rPr>
                <w:rFonts w:ascii="Tahoma" w:eastAsia="Calibri" w:hAnsi="Tahoma" w:cs="Tahoma"/>
                <w:sz w:val="19"/>
                <w:szCs w:val="19"/>
                <w:rtl/>
              </w:rPr>
              <w:t xml:space="preserve"> את המידע על הלוואת </w:t>
            </w:r>
            <w:r w:rsidRPr="00DE05FA">
              <w:rPr>
                <w:rFonts w:ascii="Tahoma" w:eastAsia="Calibri" w:hAnsi="Tahoma" w:cs="Tahoma" w:hint="eastAsia"/>
                <w:sz w:val="19"/>
                <w:szCs w:val="19"/>
                <w:rtl/>
              </w:rPr>
              <w:t>הגמ</w:t>
            </w:r>
            <w:r w:rsidRPr="00DE05FA">
              <w:rPr>
                <w:rFonts w:ascii="Tahoma" w:eastAsia="Calibri" w:hAnsi="Tahoma" w:cs="Tahoma"/>
                <w:sz w:val="19"/>
                <w:szCs w:val="19"/>
                <w:rtl/>
              </w:rPr>
              <w:t xml:space="preserve">"חים בין היתר לדיור, וזאת בין היתר </w:t>
            </w:r>
            <w:r w:rsidR="001C7141">
              <w:rPr>
                <w:rFonts w:ascii="Tahoma" w:eastAsia="Calibri" w:hAnsi="Tahoma" w:cs="Tahoma" w:hint="cs"/>
                <w:sz w:val="19"/>
                <w:szCs w:val="19"/>
                <w:rtl/>
              </w:rPr>
              <w:t>כדי</w:t>
            </w:r>
            <w:r w:rsidRPr="00DE05FA">
              <w:rPr>
                <w:rFonts w:ascii="Tahoma" w:eastAsia="Calibri" w:hAnsi="Tahoma" w:cs="Tahoma"/>
                <w:sz w:val="19"/>
                <w:szCs w:val="19"/>
                <w:rtl/>
              </w:rPr>
              <w:t xml:space="preserve"> לאפשר לבנק ישראל לבחון את רמת הסיכון במגזר החרדי בצורה מלאה.</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tl/>
              </w:rPr>
            </w:pPr>
            <w:r w:rsidRPr="00DE05FA">
              <w:rPr>
                <w:rFonts w:ascii="Tahoma" w:eastAsia="Calibri" w:hAnsi="Tahoma" w:cs="Tahoma"/>
                <w:sz w:val="19"/>
                <w:szCs w:val="19"/>
                <w:rtl/>
              </w:rPr>
              <w:t>מומלץ כי משרד הבינוי והשיכון ומשרד האוצר יקבעו במשותף את הסכום הבסיסי והסכום המרבי</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שניתן ללוות בהעמדת הלוואות לזכאים לנוכח הגידול המשמעותי במחירי הדירות הממוצעים וכדי לתמוך בהשגת יעדי מתן הסיוע.</w:t>
            </w:r>
          </w:p>
          <w:p w:rsidR="00DE05FA" w:rsidRPr="00DE05FA" w:rsidP="00DE05FA">
            <w:pPr>
              <w:spacing w:line="288" w:lineRule="auto"/>
              <w:ind w:right="176"/>
              <w:rPr>
                <w:rFonts w:ascii="Tahoma" w:eastAsia="Calibri" w:hAnsi="Tahoma" w:cs="Tahoma"/>
                <w:b/>
                <w:bCs/>
                <w:rtl/>
              </w:rPr>
            </w:pPr>
          </w:p>
          <w:p w:rsidR="00DE05FA" w:rsidRPr="00DE05FA" w:rsidP="002646BE">
            <w:pPr>
              <w:spacing w:line="288" w:lineRule="auto"/>
              <w:ind w:left="172" w:right="176"/>
              <w:rPr>
                <w:rFonts w:ascii="Tahoma" w:eastAsia="Calibri" w:hAnsi="Tahoma" w:cs="Tahoma"/>
                <w:b/>
                <w:bCs/>
              </w:rPr>
            </w:pPr>
            <w:r w:rsidRPr="00DE05FA">
              <w:rPr>
                <w:rFonts w:ascii="Tahoma" w:eastAsia="Calibri" w:hAnsi="Tahoma" w:cs="Tahoma" w:hint="cs"/>
                <w:b/>
                <w:bCs/>
                <w:rtl/>
              </w:rPr>
              <w:t xml:space="preserve">המלצות לשער השלישי - </w:t>
            </w:r>
            <w:r w:rsidRPr="00DE05FA">
              <w:rPr>
                <w:rFonts w:ascii="Tahoma" w:eastAsia="Calibri" w:hAnsi="Tahoma" w:cs="Tahoma"/>
                <w:b/>
                <w:bCs/>
                <w:rtl/>
              </w:rPr>
              <w:t xml:space="preserve">משכנתאות </w:t>
            </w:r>
            <w:r w:rsidR="002646BE">
              <w:rPr>
                <w:rFonts w:ascii="Tahoma" w:eastAsia="Calibri" w:hAnsi="Tahoma" w:cs="Tahoma"/>
                <w:b/>
                <w:bCs/>
                <w:rtl/>
              </w:rPr>
              <w:t>חוץ-בנק</w:t>
            </w:r>
            <w:r w:rsidRPr="00DE05FA">
              <w:rPr>
                <w:rFonts w:ascii="Tahoma" w:eastAsia="Calibri" w:hAnsi="Tahoma" w:cs="Tahoma"/>
                <w:b/>
                <w:bCs/>
                <w:rtl/>
              </w:rPr>
              <w:t>איות והפיקוח על יועצי המשכנתאות</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Pr>
            </w:pPr>
            <w:r w:rsidRPr="00DE05FA">
              <w:rPr>
                <w:rFonts w:ascii="Tahoma" w:eastAsia="Calibri" w:hAnsi="Tahoma" w:cs="Tahoma" w:hint="cs"/>
                <w:sz w:val="19"/>
                <w:szCs w:val="19"/>
                <w:rtl/>
              </w:rPr>
              <w:t>מומלץ כי</w:t>
            </w:r>
            <w:r w:rsidRPr="00DE05FA">
              <w:rPr>
                <w:rFonts w:ascii="Tahoma" w:eastAsia="Calibri" w:hAnsi="Tahoma" w:cs="Tahoma"/>
                <w:sz w:val="19"/>
                <w:szCs w:val="19"/>
                <w:rtl/>
              </w:rPr>
              <w:t xml:space="preserve"> רשות שוק ההון </w:t>
            </w:r>
            <w:r w:rsidRPr="00DE05FA">
              <w:rPr>
                <w:rFonts w:ascii="Tahoma" w:eastAsia="Calibri" w:hAnsi="Tahoma" w:cs="Tahoma" w:hint="cs"/>
                <w:sz w:val="19"/>
                <w:szCs w:val="19"/>
                <w:rtl/>
              </w:rPr>
              <w:t>תפעל</w:t>
            </w:r>
            <w:r w:rsidRPr="00DE05FA">
              <w:rPr>
                <w:rFonts w:ascii="Tahoma" w:eastAsia="Calibri" w:hAnsi="Tahoma" w:cs="Tahoma"/>
                <w:sz w:val="19"/>
                <w:szCs w:val="19"/>
                <w:rtl/>
              </w:rPr>
              <w:t xml:space="preserve"> לטיוב מסד הנתונים שברשותה, כך שיכלול הפרדה מובנית בין נתוני המשכנתאות החוץ-בנקאיות לבין כלל נתוני האשראי הצרכני. נוכח המהותיות של תחום המשכנתאות והשוני המהותי במאפייניו אל מול האשראי הצרכני, קיומם של נתונים נפרדים וייעודיים הינו הכרחי לצורך קיום פיקוח אפקטיבי וגיבוש תמונת מצב מדויקת של שוק האשראי.</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tl/>
              </w:rPr>
            </w:pPr>
            <w:r w:rsidRPr="00DE05FA">
              <w:rPr>
                <w:rFonts w:ascii="Tahoma" w:eastAsia="Calibri" w:hAnsi="Tahoma" w:cs="Tahoma"/>
                <w:sz w:val="19"/>
                <w:szCs w:val="19"/>
                <w:rtl/>
              </w:rPr>
              <w:t>לצורך הגברת התחרות בשוק המשכנתאות, על רשות שוק ההון, בנק ישראל ומשרד האוצר לבחון פעולות שיאפשרו לחזק את שחקני האשראי והשירותים הפיננסים ה</w:t>
            </w:r>
            <w:r w:rsidR="002646BE">
              <w:rPr>
                <w:rFonts w:ascii="Tahoma" w:eastAsia="Calibri" w:hAnsi="Tahoma" w:cs="Tahoma"/>
                <w:sz w:val="19"/>
                <w:szCs w:val="19"/>
                <w:rtl/>
              </w:rPr>
              <w:t>חוץ-בנק</w:t>
            </w:r>
            <w:r w:rsidRPr="00DE05FA">
              <w:rPr>
                <w:rFonts w:ascii="Tahoma" w:eastAsia="Calibri" w:hAnsi="Tahoma" w:cs="Tahoma"/>
                <w:sz w:val="19"/>
                <w:szCs w:val="19"/>
                <w:rtl/>
              </w:rPr>
              <w:t>איים כך שיוכלו לשמש אלטרנטיבה למערכת הבנקאית במתן משכנתאות, לצד שירותי</w:t>
            </w:r>
            <w:r w:rsidRPr="00DE05FA">
              <w:rPr>
                <w:rFonts w:ascii="Tahoma" w:eastAsia="Calibri" w:hAnsi="Tahoma" w:cs="Tahoma" w:hint="cs"/>
                <w:sz w:val="19"/>
                <w:szCs w:val="19"/>
                <w:rtl/>
              </w:rPr>
              <w:t>ם</w:t>
            </w:r>
            <w:r w:rsidRPr="00DE05FA">
              <w:rPr>
                <w:rFonts w:ascii="Tahoma" w:eastAsia="Calibri" w:hAnsi="Tahoma" w:cs="Tahoma"/>
                <w:sz w:val="19"/>
                <w:szCs w:val="19"/>
                <w:rtl/>
              </w:rPr>
              <w:t xml:space="preserve"> פיננסי</w:t>
            </w:r>
            <w:r w:rsidRPr="00DE05FA">
              <w:rPr>
                <w:rFonts w:ascii="Tahoma" w:eastAsia="Calibri" w:hAnsi="Tahoma" w:cs="Tahoma" w:hint="cs"/>
                <w:sz w:val="19"/>
                <w:szCs w:val="19"/>
                <w:rtl/>
              </w:rPr>
              <w:t>י</w:t>
            </w:r>
            <w:r w:rsidRPr="00DE05FA">
              <w:rPr>
                <w:rFonts w:ascii="Tahoma" w:eastAsia="Calibri" w:hAnsi="Tahoma" w:cs="Tahoma"/>
                <w:sz w:val="19"/>
                <w:szCs w:val="19"/>
                <w:rtl/>
              </w:rPr>
              <w:t xml:space="preserve">ם נוספים. </w:t>
            </w:r>
            <w:r w:rsidR="001C7141">
              <w:rPr>
                <w:rFonts w:ascii="Tahoma" w:eastAsia="Calibri" w:hAnsi="Tahoma" w:cs="Tahoma" w:hint="cs"/>
                <w:sz w:val="19"/>
                <w:szCs w:val="19"/>
                <w:rtl/>
              </w:rPr>
              <w:t>כדי</w:t>
            </w:r>
            <w:r w:rsidRPr="00DE05FA">
              <w:rPr>
                <w:rFonts w:ascii="Tahoma" w:eastAsia="Calibri" w:hAnsi="Tahoma" w:cs="Tahoma"/>
                <w:sz w:val="19"/>
                <w:szCs w:val="19"/>
                <w:rtl/>
              </w:rPr>
              <w:t xml:space="preserve"> לייצר תחרות מעמיקה, מומלץ לבחון, בין היתר, הוזלה של מקורות גיוס החוב של הגופים החוץ </w:t>
            </w:r>
            <w:r w:rsidRPr="00DE05FA">
              <w:rPr>
                <w:rFonts w:ascii="Tahoma" w:eastAsia="Calibri" w:hAnsi="Tahoma" w:cs="Tahoma" w:hint="cs"/>
                <w:sz w:val="19"/>
                <w:szCs w:val="19"/>
                <w:rtl/>
              </w:rPr>
              <w:t>-</w:t>
            </w:r>
            <w:r w:rsidRPr="00DE05FA">
              <w:rPr>
                <w:rFonts w:ascii="Tahoma" w:eastAsia="Calibri" w:hAnsi="Tahoma" w:cs="Tahoma"/>
                <w:sz w:val="19"/>
                <w:szCs w:val="19"/>
                <w:rtl/>
              </w:rPr>
              <w:t xml:space="preserve"> בנקאיים ולצמצם את הפער המבני הקיים בינם לבין התאגידים הבנקאיים.</w:t>
            </w:r>
          </w:p>
          <w:p w:rsidR="004A17E8" w:rsidP="002646BE">
            <w:pPr>
              <w:numPr>
                <w:ilvl w:val="0"/>
                <w:numId w:val="25"/>
              </w:numPr>
              <w:spacing w:line="288" w:lineRule="auto"/>
              <w:ind w:left="655" w:right="337" w:hanging="515"/>
              <w:jc w:val="both"/>
              <w:rPr>
                <w:rFonts w:ascii="Tahoma" w:eastAsia="Calibri" w:hAnsi="Tahoma" w:cs="Tahoma" w:hint="cs"/>
                <w:sz w:val="19"/>
                <w:szCs w:val="19"/>
                <w:rtl/>
              </w:rPr>
            </w:pPr>
            <w:r w:rsidRPr="00DE05FA">
              <w:rPr>
                <w:rFonts w:ascii="Tahoma" w:eastAsia="Calibri" w:hAnsi="Tahoma" w:cs="Tahoma"/>
                <w:sz w:val="19"/>
                <w:szCs w:val="19"/>
                <w:rtl/>
              </w:rPr>
              <w:t xml:space="preserve">על רשות שוק ההון, בתיאום עם בנק ישראל, לבצע בחינה תקופתית ומעקב שוטף אחר היקף המשכנתאות החוץ-בנקאיות המשמשות לעקיפת מגבלות המינוף הבנקאיות. על הרשות לבחון האם נדרשת התאמה של הרגולציה בשוק החוץ-בנקאי (כגון קביעת מגבלות </w:t>
            </w:r>
            <w:r w:rsidRPr="00DE05FA">
              <w:rPr>
                <w:rFonts w:ascii="Tahoma" w:eastAsia="Calibri" w:hAnsi="Tahoma" w:cs="Tahoma"/>
                <w:sz w:val="19"/>
                <w:szCs w:val="19"/>
              </w:rPr>
              <w:t>LTV</w:t>
            </w:r>
            <w:r w:rsidRPr="00DE05FA">
              <w:rPr>
                <w:rFonts w:ascii="Tahoma" w:eastAsia="Calibri" w:hAnsi="Tahoma" w:cs="Tahoma"/>
                <w:sz w:val="19"/>
                <w:szCs w:val="19"/>
                <w:rtl/>
              </w:rPr>
              <w:t xml:space="preserve"> דומות) כדי למנוע יצירת ארביטראז' רגולטורי המסכן את הלווים, וזאת לצד המשך הניסיונות להוזלת מקורות הגיוס עבור שחקנים תחרותיים.</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tl/>
              </w:rPr>
            </w:pPr>
            <w:r w:rsidRPr="00DE05FA">
              <w:rPr>
                <w:rFonts w:ascii="Tahoma" w:eastAsia="Calibri" w:hAnsi="Tahoma" w:cs="Tahoma" w:hint="eastAsia"/>
                <w:sz w:val="19"/>
                <w:szCs w:val="19"/>
                <w:rtl/>
              </w:rPr>
              <w:t>מומלץ</w:t>
            </w:r>
            <w:r w:rsidRPr="00DE05FA">
              <w:rPr>
                <w:rFonts w:ascii="Tahoma" w:eastAsia="Calibri" w:hAnsi="Tahoma" w:cs="Tahoma"/>
                <w:sz w:val="19"/>
                <w:szCs w:val="19"/>
                <w:rtl/>
              </w:rPr>
              <w:t xml:space="preserve"> לבנק ישראל, רשות שוק ההון ומשרד האוצר לפעול ליצירת מסד נתונים משותף אשר ירכז את כלל המידע על הלוואות לדיור מכלל נותני האשראי במשק (בנקאיים וחוץ-בנקאיים כאחד)</w:t>
            </w:r>
            <w:r w:rsidRPr="00DE05FA">
              <w:rPr>
                <w:rFonts w:ascii="Tahoma" w:eastAsia="Calibri" w:hAnsi="Tahoma" w:cs="Tahoma" w:hint="cs"/>
                <w:sz w:val="19"/>
                <w:szCs w:val="19"/>
                <w:rtl/>
              </w:rPr>
              <w:t xml:space="preserve"> והכול בהתאם לחוק ודין</w:t>
            </w:r>
            <w:r w:rsidRPr="00DE05FA">
              <w:rPr>
                <w:rFonts w:ascii="Tahoma" w:eastAsia="Calibri" w:hAnsi="Tahoma" w:cs="Tahoma"/>
                <w:sz w:val="19"/>
                <w:szCs w:val="19"/>
                <w:rtl/>
              </w:rPr>
              <w:t>. קבלת תמונה כוללת של חוב הדיור הכרחית לצורך פיקוח על יציבות המשקים הביתיים ומניעת מצבי מינוף יתר, שאינם ידועים לרגולטורים הפיננסיים.</w:t>
            </w:r>
          </w:p>
          <w:p w:rsidR="00DE05FA" w:rsidRPr="00DE05FA" w:rsidP="002646BE">
            <w:pPr>
              <w:numPr>
                <w:ilvl w:val="0"/>
                <w:numId w:val="25"/>
              </w:numPr>
              <w:spacing w:before="240" w:after="200" w:line="288" w:lineRule="auto"/>
              <w:ind w:left="655" w:right="337" w:hanging="516"/>
              <w:jc w:val="both"/>
              <w:rPr>
                <w:rFonts w:ascii="Tahoma" w:eastAsia="Calibri" w:hAnsi="Tahoma" w:cs="Tahoma"/>
                <w:sz w:val="19"/>
                <w:szCs w:val="19"/>
                <w:rtl/>
              </w:rPr>
            </w:pPr>
            <w:r w:rsidRPr="00DE05FA">
              <w:rPr>
                <w:rFonts w:ascii="Tahoma" w:eastAsia="Calibri" w:hAnsi="Tahoma" w:cs="Tahoma" w:hint="cs"/>
                <w:sz w:val="19"/>
                <w:szCs w:val="19"/>
                <w:rtl/>
              </w:rPr>
              <w:t xml:space="preserve">מומלץ לרשות שוק ההון לבחון גיבוש הדרגתי של עקרונות ואמות מידה עקביות ואחידות של הוגנות בכל הקשור למשכנתא </w:t>
            </w:r>
            <w:r w:rsidR="002646BE">
              <w:rPr>
                <w:rFonts w:ascii="Tahoma" w:eastAsia="Calibri" w:hAnsi="Tahoma" w:cs="Tahoma" w:hint="cs"/>
                <w:sz w:val="19"/>
                <w:szCs w:val="19"/>
                <w:rtl/>
              </w:rPr>
              <w:t>חוץ-בנק</w:t>
            </w:r>
            <w:r w:rsidRPr="00DE05FA">
              <w:rPr>
                <w:rFonts w:ascii="Tahoma" w:eastAsia="Calibri" w:hAnsi="Tahoma" w:cs="Tahoma" w:hint="cs"/>
                <w:sz w:val="19"/>
                <w:szCs w:val="19"/>
                <w:rtl/>
              </w:rPr>
              <w:t>אית, וזאת אף בהתחשב בקשיים ביצירת מנגנוני השוואה לנוכח המאפיינים השונים של הלווים.</w:t>
            </w:r>
          </w:p>
          <w:p w:rsidR="00DE05FA" w:rsidRPr="00DA551F" w:rsidP="002646BE">
            <w:pPr>
              <w:numPr>
                <w:ilvl w:val="0"/>
                <w:numId w:val="25"/>
              </w:numPr>
              <w:spacing w:before="240" w:after="200" w:line="288" w:lineRule="auto"/>
              <w:ind w:left="655" w:right="337" w:hanging="516"/>
              <w:jc w:val="both"/>
              <w:rPr>
                <w:rFonts w:ascii="Tahoma" w:eastAsia="Calibri" w:hAnsi="Tahoma" w:cs="Tahoma"/>
                <w:sz w:val="19"/>
                <w:szCs w:val="19"/>
                <w:rtl/>
              </w:rPr>
            </w:pPr>
            <w:r w:rsidRPr="00DE05FA">
              <w:rPr>
                <w:rFonts w:ascii="Tahoma" w:eastAsia="Calibri" w:hAnsi="Tahoma" w:cs="Tahoma" w:hint="cs"/>
                <w:sz w:val="19"/>
                <w:szCs w:val="19"/>
                <w:rtl/>
              </w:rPr>
              <w:t xml:space="preserve">נוכח ההסכמה הרחבה של משרדי </w:t>
            </w:r>
            <w:r w:rsidRPr="00DE05FA">
              <w:rPr>
                <w:rFonts w:ascii="Tahoma" w:eastAsia="Calibri" w:hAnsi="Tahoma" w:cs="Tahoma"/>
                <w:sz w:val="19"/>
                <w:szCs w:val="19"/>
                <w:rtl/>
              </w:rPr>
              <w:t>הממשלה השונים כגון משרד המשפטים ובנק ישראל בדבר הצורך באסדרת תחום ייעוץ המשכנתאות</w:t>
            </w:r>
            <w:bookmarkStart w:id="15" w:name="_Hlk232517793"/>
            <w:r w:rsidRPr="00DE05FA">
              <w:rPr>
                <w:rFonts w:ascii="Tahoma" w:eastAsia="Calibri" w:hAnsi="Tahoma" w:cs="Tahoma" w:hint="cs"/>
                <w:sz w:val="19"/>
                <w:szCs w:val="19"/>
                <w:rtl/>
              </w:rPr>
              <w:t xml:space="preserve"> מומלץ כי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הגורמים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הרלבנטיים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ובהם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משרד</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המשפטים</w:t>
            </w:r>
            <w:r w:rsidRPr="00DE05FA">
              <w:rPr>
                <w:rFonts w:ascii="Tahoma" w:eastAsia="Calibri" w:hAnsi="Tahoma" w:cs="Tahoma" w:hint="cs"/>
                <w:sz w:val="19"/>
                <w:szCs w:val="19"/>
                <w:rtl/>
              </w:rPr>
              <w:t>, בנק ישראל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ורשות</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שוק</w:t>
            </w:r>
            <w:r w:rsidRPr="00DE05FA">
              <w:rPr>
                <w:rFonts w:ascii="Tahoma" w:eastAsia="Calibri" w:hAnsi="Tahoma" w:cs="Tahoma" w:hint="cs"/>
                <w:sz w:val="19"/>
                <w:szCs w:val="19"/>
                <w:rtl/>
              </w:rPr>
              <w:t xml:space="preserve"> ההון</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ימשיכו לקדם</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את</w:t>
            </w:r>
            <w:r w:rsidRPr="00DE05FA">
              <w:rPr>
                <w:rFonts w:ascii="Tahoma" w:eastAsia="Calibri" w:hAnsi="Tahoma" w:cs="Tahoma"/>
                <w:sz w:val="19"/>
                <w:szCs w:val="19"/>
                <w:rtl/>
              </w:rPr>
              <w:t xml:space="preserve"> </w:t>
            </w:r>
            <w:r w:rsidRPr="00DE05FA">
              <w:rPr>
                <w:rFonts w:ascii="Tahoma" w:eastAsia="Calibri" w:hAnsi="Tahoma" w:cs="Tahoma" w:hint="cs"/>
                <w:sz w:val="19"/>
                <w:szCs w:val="19"/>
                <w:rtl/>
              </w:rPr>
              <w:t xml:space="preserve">הצעת החקיקה בדבר </w:t>
            </w:r>
            <w:r w:rsidRPr="00DE05FA">
              <w:rPr>
                <w:rFonts w:ascii="Tahoma" w:eastAsia="Calibri" w:hAnsi="Tahoma" w:cs="Tahoma" w:hint="eastAsia"/>
                <w:sz w:val="19"/>
                <w:szCs w:val="19"/>
                <w:rtl/>
              </w:rPr>
              <w:t>ההסדרה</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והפיקוח</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על</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יועצי</w:t>
            </w:r>
            <w:r w:rsidRPr="00DE05FA">
              <w:rPr>
                <w:rFonts w:ascii="Tahoma" w:eastAsia="Calibri" w:hAnsi="Tahoma" w:cs="Tahoma"/>
                <w:sz w:val="19"/>
                <w:szCs w:val="19"/>
                <w:rtl/>
              </w:rPr>
              <w:t xml:space="preserve"> </w:t>
            </w:r>
            <w:r w:rsidRPr="00DE05FA">
              <w:rPr>
                <w:rFonts w:ascii="Tahoma" w:eastAsia="Calibri" w:hAnsi="Tahoma" w:cs="Tahoma" w:hint="eastAsia"/>
                <w:sz w:val="19"/>
                <w:szCs w:val="19"/>
                <w:rtl/>
              </w:rPr>
              <w:t>משכנתאות</w:t>
            </w:r>
            <w:bookmarkEnd w:id="15"/>
            <w:r w:rsidRPr="00DE05FA">
              <w:rPr>
                <w:rFonts w:ascii="Tahoma" w:eastAsia="Calibri" w:hAnsi="Tahoma" w:cs="Tahoma" w:hint="cs"/>
                <w:sz w:val="19"/>
                <w:szCs w:val="19"/>
                <w:rtl/>
              </w:rPr>
              <w:t xml:space="preserve">. </w:t>
            </w:r>
            <w:r w:rsidRPr="00DE05FA">
              <w:rPr>
                <w:rFonts w:ascii="Tahoma" w:eastAsia="Calibri" w:hAnsi="Tahoma" w:cs="Tahoma"/>
                <w:sz w:val="19"/>
                <w:szCs w:val="19"/>
                <w:rtl/>
              </w:rPr>
              <w:t>הסדרת תחום ייעוץ המשכנתאות הכרחית להגנת רוכשי הדירות. החלת רגולציה אחידה, הכוללת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רישוי על בסיס הכשרה וסטנדרטים אתיים, תבטיח שירות מקצועי ומהימן. ללא מנגנוני אכיפה וסנקציות מרתיעות (כגון קנסות ושלילת רישיון), הציבור יוסיף להיות חשוף לתרמיות ולנזקים פיננסיים חוזרי</w:t>
            </w:r>
            <w:r w:rsidRPr="00DE05FA">
              <w:rPr>
                <w:rFonts w:ascii="Tahoma" w:eastAsia="Calibri" w:hAnsi="Tahoma" w:cs="Tahoma" w:hint="cs"/>
                <w:sz w:val="19"/>
                <w:szCs w:val="19"/>
                <w:rtl/>
              </w:rPr>
              <w:t>ם.</w:t>
            </w:r>
          </w:p>
        </w:tc>
      </w:tr>
    </w:tbl>
    <w:p w:rsidR="005405A6" w:rsidRPr="005405A6" w:rsidP="00DE05FA">
      <w:pPr>
        <w:spacing w:before="240" w:after="160" w:line="288" w:lineRule="auto"/>
        <w:ind w:left="-851"/>
        <w:rPr>
          <w:rFonts w:ascii="Tahoma" w:eastAsia="Calibri" w:hAnsi="Tahoma" w:cs="Tahoma"/>
          <w:noProof/>
          <w:sz w:val="2"/>
          <w:szCs w:val="2"/>
          <w:rtl/>
        </w:rPr>
      </w:pPr>
    </w:p>
    <w:p w:rsidR="002646BE">
      <w:pPr>
        <w:bidi w:val="0"/>
        <w:spacing w:after="200" w:line="276" w:lineRule="auto"/>
        <w:rPr>
          <w:rFonts w:ascii="Tahoma" w:eastAsia="Calibri" w:hAnsi="Tahoma" w:cs="Tahoma"/>
          <w:noProof/>
        </w:rPr>
      </w:pPr>
      <w:r>
        <w:rPr>
          <w:rFonts w:ascii="Tahoma" w:eastAsia="Calibri" w:hAnsi="Tahoma" w:cs="Tahoma"/>
          <w:noProof/>
        </w:rPr>
        <w:br w:type="page"/>
      </w:r>
    </w:p>
    <w:p w:rsidR="00DE05FA" w:rsidRPr="00DE05FA" w:rsidP="008C6B81">
      <w:pPr>
        <w:spacing w:before="240" w:after="160" w:line="360" w:lineRule="auto"/>
        <w:ind w:left="-851"/>
        <w:rPr>
          <w:rFonts w:ascii="Tahoma" w:eastAsia="Calibri" w:hAnsi="Tahoma" w:cs="Tahoma"/>
          <w:rtl/>
        </w:rPr>
      </w:pPr>
      <w:r w:rsidRPr="00DE05FA">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DE05FA" w:rsidRPr="00DE05FA" w:rsidP="00DE05FA">
      <w:pPr>
        <w:spacing w:after="120" w:line="288" w:lineRule="auto"/>
        <w:ind w:left="-851" w:right="-567"/>
        <w:rPr>
          <w:rFonts w:ascii="Tahoma" w:eastAsia="Calibri" w:hAnsi="Tahoma" w:cs="Tahoma"/>
          <w:sz w:val="19"/>
          <w:szCs w:val="19"/>
          <w:rtl/>
        </w:rPr>
      </w:pPr>
      <w:r w:rsidRPr="00DE05FA">
        <w:rPr>
          <w:rFonts w:ascii="Tahoma" w:eastAsia="Calibri" w:hAnsi="Tahoma" w:cs="Tahoma"/>
          <w:sz w:val="19"/>
          <w:szCs w:val="19"/>
          <w:rtl/>
        </w:rPr>
        <w:t>מוצר המשכנתא ניצב במוקד ההוויה הכלכלית של משקי הבית בישראל, ומהווה את ההתחייבות הפיננסית המשמעותית ביותר עבור הצרכן הישראלי. בשל היקפה הכספי הניכר ופריסתה על פני עשרות שנים, המשכנתא אינה רק כלי מימוני לרכישת דירה, אלא גורם המשפיע ישירות על תזרים המזומנים הפנוי של משק בית, על רמת החיים, ועל חוסנם הכלכלי של הלווים לאורך תקופת זמן ניכרת. מורכבותו המובנית של המוצר, לצד השלכות הרוחב ארוכות הטווח של תנאיו, מחייבות רמת מודעות צרכנית גבוהה ואסדרה מתאימה ועדכנית בהתאם לשינויים במשק מצד המאסדרים הרלוונטיים (בנק ישראל ורשות שוק ההון).</w:t>
      </w:r>
    </w:p>
    <w:p w:rsidR="004A17E8" w:rsidP="00DE05FA">
      <w:pPr>
        <w:spacing w:after="120" w:line="288" w:lineRule="auto"/>
        <w:ind w:left="-851" w:right="-567"/>
        <w:rPr>
          <w:rFonts w:ascii="Tahoma" w:eastAsia="Calibri" w:hAnsi="Tahoma" w:cs="Tahoma" w:hint="cs"/>
          <w:sz w:val="19"/>
          <w:szCs w:val="19"/>
          <w:rtl/>
        </w:rPr>
      </w:pPr>
      <w:r w:rsidRPr="00DE05FA">
        <w:rPr>
          <w:rFonts w:ascii="Tahoma" w:eastAsia="Calibri" w:hAnsi="Tahoma" w:cs="Tahoma"/>
          <w:sz w:val="19"/>
          <w:szCs w:val="19"/>
          <w:rtl/>
        </w:rPr>
        <w:t>יתרת חוב המשכנתאות של משקי הבית ע</w:t>
      </w:r>
      <w:r w:rsidRPr="00DE05FA">
        <w:rPr>
          <w:rFonts w:ascii="Tahoma" w:eastAsia="Calibri" w:hAnsi="Tahoma" w:cs="Tahoma" w:hint="cs"/>
          <w:sz w:val="19"/>
          <w:szCs w:val="19"/>
          <w:rtl/>
        </w:rPr>
        <w:t xml:space="preserve">מדה במהלך שנת 2025 </w:t>
      </w:r>
      <w:r w:rsidRPr="00DE05FA">
        <w:rPr>
          <w:rFonts w:ascii="Tahoma" w:eastAsia="Calibri" w:hAnsi="Tahoma" w:cs="Tahoma"/>
          <w:sz w:val="19"/>
          <w:szCs w:val="19"/>
          <w:rtl/>
        </w:rPr>
        <w:t>על כ-630 מיליארד ש"ח, כשרובה המוחלט (כ-96 אחוז) הוא למערכת הבנקאית. כל הטלת מגבלה, הרחבתה או הסרתה בתחום המשכנתאות, כגון שיעור המימון (</w:t>
      </w:r>
      <w:r w:rsidRPr="00DE05FA">
        <w:rPr>
          <w:rFonts w:ascii="Tahoma" w:eastAsia="Calibri" w:hAnsi="Tahoma" w:cs="Tahoma"/>
          <w:sz w:val="19"/>
          <w:szCs w:val="19"/>
        </w:rPr>
        <w:t>LTV</w:t>
      </w:r>
      <w:r w:rsidRPr="00DE05FA">
        <w:rPr>
          <w:rFonts w:ascii="Tahoma" w:eastAsia="Calibri" w:hAnsi="Tahoma" w:cs="Tahoma"/>
          <w:sz w:val="19"/>
          <w:szCs w:val="19"/>
          <w:rtl/>
        </w:rPr>
        <w:t>), שיעור ההחזר מההכנסה (</w:t>
      </w:r>
      <w:r w:rsidRPr="00DE05FA">
        <w:rPr>
          <w:rFonts w:ascii="Tahoma" w:eastAsia="Calibri" w:hAnsi="Tahoma" w:cs="Tahoma"/>
          <w:sz w:val="19"/>
          <w:szCs w:val="19"/>
        </w:rPr>
        <w:t>PTI</w:t>
      </w:r>
      <w:r w:rsidRPr="00DE05FA">
        <w:rPr>
          <w:rFonts w:ascii="Tahoma" w:eastAsia="Calibri" w:hAnsi="Tahoma" w:cs="Tahoma"/>
          <w:sz w:val="19"/>
          <w:szCs w:val="19"/>
          <w:rtl/>
        </w:rPr>
        <w:t>), תקופת פירעון ההלוואה, ושיעור ההלוואה בריבית משתנה, עשויה להשפיע על הצרכנים ועל יציבות המערכת הבנקאית.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לפיכך, על הפיקוח על הבנקים בבנק ישראל לבחון את המגבלות באופן עיתי, במיוחד בשינויי נסיבות מאקרו כלכליים, גלובליים ומקומיים.</w:t>
      </w:r>
    </w:p>
    <w:p w:rsidR="00DE05FA" w:rsidRPr="00DE05FA" w:rsidP="00DE05FA">
      <w:pPr>
        <w:spacing w:after="120" w:line="288" w:lineRule="auto"/>
        <w:ind w:left="-851" w:right="-567"/>
        <w:rPr>
          <w:rFonts w:ascii="Tahoma" w:eastAsia="Calibri" w:hAnsi="Tahoma" w:cs="Tahoma"/>
          <w:sz w:val="19"/>
          <w:szCs w:val="19"/>
          <w:rtl/>
        </w:rPr>
      </w:pPr>
      <w:bookmarkStart w:id="16" w:name="_Hlk224052066"/>
      <w:r w:rsidRPr="00DE05FA">
        <w:rPr>
          <w:rFonts w:ascii="Tahoma" w:eastAsia="Calibri" w:hAnsi="Tahoma" w:cs="Tahoma" w:hint="cs"/>
          <w:sz w:val="19"/>
          <w:szCs w:val="19"/>
          <w:rtl/>
        </w:rPr>
        <w:t xml:space="preserve">בביקורת לא נמצא תיעוד לכך שבשנים 2020 - 2024 </w:t>
      </w:r>
      <w:r w:rsidRPr="00DE05FA">
        <w:rPr>
          <w:rFonts w:ascii="Tahoma" w:eastAsia="Calibri" w:hAnsi="Tahoma" w:cs="Tahoma"/>
          <w:sz w:val="19"/>
          <w:szCs w:val="19"/>
          <w:rtl/>
        </w:rPr>
        <w:t xml:space="preserve">הפיקוח </w:t>
      </w:r>
      <w:r w:rsidRPr="00DE05FA">
        <w:rPr>
          <w:rFonts w:ascii="Tahoma" w:eastAsia="Calibri" w:hAnsi="Tahoma" w:cs="Tahoma" w:hint="cs"/>
          <w:sz w:val="19"/>
          <w:szCs w:val="19"/>
          <w:rtl/>
        </w:rPr>
        <w:t xml:space="preserve">על הבנקים </w:t>
      </w:r>
      <w:r w:rsidRPr="00DE05FA">
        <w:rPr>
          <w:rFonts w:ascii="Tahoma" w:eastAsia="Calibri" w:hAnsi="Tahoma" w:cs="Tahoma"/>
          <w:sz w:val="19"/>
          <w:szCs w:val="19"/>
          <w:rtl/>
        </w:rPr>
        <w:t>בחן באופן עיתי את המגבלות העיקריות למתן הלוואות לדיור</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(מגבלת שיעור המימון, מגבלת שיעור החזר מהכנסה, מגבלת חלק הלוואה בריבית משתנה ומגבלת התקופה)</w:t>
      </w:r>
      <w:r w:rsidRPr="00DE05FA">
        <w:rPr>
          <w:rFonts w:ascii="Tahoma" w:eastAsia="Calibri" w:hAnsi="Tahoma" w:cs="Tahoma" w:hint="cs"/>
          <w:sz w:val="19"/>
          <w:szCs w:val="19"/>
          <w:rtl/>
        </w:rPr>
        <w:t xml:space="preserve">. בנוסף, בביקורת נמצא כי הפיקוח על הבנקים משתמש במספר גדול יותר של כלים מגבילים על משכנתאות ומיישם את חלקן באופן שמרני ביחס למרבית המדינות בעולם. בכך, הפיקוח על הבנקים מצמצם את האפשרות להתפתחות סיכונים בתיק האשראי לדיור באופן ששומר על יציבות המערכת הבנקאית ומגן על לווים מלקיחת משכנתאות ממונפות אך עלול גם לחסום </w:t>
      </w:r>
      <w:r w:rsidRPr="00DE05FA">
        <w:rPr>
          <w:rFonts w:ascii="Tahoma" w:eastAsia="Calibri" w:hAnsi="Tahoma" w:cs="Tahoma"/>
          <w:sz w:val="19"/>
          <w:szCs w:val="19"/>
          <w:rtl/>
        </w:rPr>
        <w:t xml:space="preserve">אוכלוסיות מסוימות </w:t>
      </w:r>
      <w:r w:rsidRPr="00DE05FA">
        <w:rPr>
          <w:rFonts w:ascii="Tahoma" w:eastAsia="Calibri" w:hAnsi="Tahoma" w:cs="Tahoma" w:hint="cs"/>
          <w:sz w:val="19"/>
          <w:szCs w:val="19"/>
          <w:rtl/>
        </w:rPr>
        <w:t xml:space="preserve">מלקבל משכנתא </w:t>
      </w:r>
      <w:r w:rsidRPr="00DE05FA">
        <w:rPr>
          <w:rFonts w:ascii="Tahoma" w:eastAsia="Calibri" w:hAnsi="Tahoma" w:cs="Tahoma"/>
          <w:sz w:val="19"/>
          <w:szCs w:val="19"/>
          <w:rtl/>
        </w:rPr>
        <w:t>לרכישת דירה במערכת הבנקאית</w:t>
      </w:r>
      <w:r w:rsidRPr="00DE05FA">
        <w:rPr>
          <w:rFonts w:ascii="Tahoma" w:eastAsia="Calibri" w:hAnsi="Tahoma" w:cs="Tahoma" w:hint="cs"/>
          <w:sz w:val="19"/>
          <w:szCs w:val="19"/>
          <w:rtl/>
        </w:rPr>
        <w:t>.</w:t>
      </w:r>
      <w:r w:rsidRPr="00DE05FA">
        <w:rPr>
          <w:rFonts w:eastAsia="Calibri"/>
          <w:rtl/>
        </w:rPr>
        <w:t xml:space="preserve"> </w:t>
      </w:r>
      <w:bookmarkEnd w:id="16"/>
      <w:r w:rsidRPr="00DE05FA">
        <w:rPr>
          <w:rFonts w:ascii="Tahoma" w:eastAsia="Calibri" w:hAnsi="Tahoma" w:cs="Tahoma" w:hint="cs"/>
          <w:sz w:val="19"/>
          <w:szCs w:val="19"/>
          <w:rtl/>
        </w:rPr>
        <w:t xml:space="preserve">עוד נמצא בביקורת הליקויים והפערים המרכזיים האלו: </w:t>
      </w:r>
      <w:r w:rsidRPr="00DE05FA">
        <w:rPr>
          <w:rFonts w:ascii="Tahoma" w:eastAsia="Calibri" w:hAnsi="Tahoma" w:cs="Tahoma"/>
          <w:sz w:val="19"/>
          <w:szCs w:val="19"/>
          <w:rtl/>
        </w:rPr>
        <w:t>בשנים האחרונות חל גידול ב"מבצעי עידוד" שונים שניתנים על ידי הקבלנים לרוכשי הדירות</w:t>
      </w:r>
      <w:r w:rsidRPr="00DE05FA">
        <w:rPr>
          <w:rFonts w:ascii="Tahoma" w:eastAsia="Calibri" w:hAnsi="Tahoma" w:cs="Tahoma" w:hint="cs"/>
          <w:sz w:val="19"/>
          <w:szCs w:val="19"/>
          <w:rtl/>
        </w:rPr>
        <w:t xml:space="preserve"> כמו </w:t>
      </w:r>
      <w:r w:rsidRPr="00DE05FA">
        <w:rPr>
          <w:rFonts w:ascii="Tahoma" w:eastAsia="Calibri" w:hAnsi="Tahoma" w:cs="Tahoma"/>
          <w:sz w:val="19"/>
          <w:szCs w:val="19"/>
          <w:rtl/>
        </w:rPr>
        <w:t>דחייה משמעותית בתשלומים</w:t>
      </w:r>
      <w:r w:rsidRPr="00DE05FA">
        <w:rPr>
          <w:rFonts w:ascii="Tahoma" w:eastAsia="Calibri" w:hAnsi="Tahoma" w:cs="Tahoma" w:hint="cs"/>
          <w:sz w:val="19"/>
          <w:szCs w:val="19"/>
          <w:rtl/>
        </w:rPr>
        <w:t xml:space="preserve"> ו</w:t>
      </w:r>
      <w:r w:rsidRPr="00DE05FA">
        <w:rPr>
          <w:rFonts w:ascii="Tahoma" w:eastAsia="Calibri" w:hAnsi="Tahoma" w:cs="Tahoma"/>
          <w:sz w:val="19"/>
          <w:szCs w:val="19"/>
          <w:rtl/>
        </w:rPr>
        <w:t>הלוואות בסבסוד קבלנים</w:t>
      </w:r>
      <w:r w:rsidRPr="00DE05FA">
        <w:rPr>
          <w:rFonts w:ascii="Tahoma" w:eastAsia="Calibri" w:hAnsi="Tahoma" w:cs="Tahoma" w:hint="cs"/>
          <w:sz w:val="19"/>
          <w:szCs w:val="19"/>
          <w:rtl/>
        </w:rPr>
        <w:t xml:space="preserve"> המגדילים את הסיכון בתיק האשראי לדיור; קיימים </w:t>
      </w:r>
      <w:r w:rsidRPr="00DE05FA">
        <w:rPr>
          <w:rFonts w:ascii="Tahoma" w:eastAsia="Calibri" w:hAnsi="Tahoma" w:cs="Tahoma"/>
          <w:sz w:val="19"/>
          <w:szCs w:val="19"/>
          <w:rtl/>
        </w:rPr>
        <w:t>פערים בתחום המשכנתאות בין האוכלוסייה הערבית והחרדית לבין האוכלוסייה הכללית</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על אף רפורמת השקיפות של הפיקוח על הבנקים</w:t>
      </w:r>
      <w:r w:rsidRPr="00DE05FA">
        <w:rPr>
          <w:rFonts w:ascii="Tahoma" w:eastAsia="Calibri" w:hAnsi="Tahoma" w:cs="Tahoma" w:hint="cs"/>
          <w:sz w:val="19"/>
          <w:szCs w:val="19"/>
          <w:rtl/>
        </w:rPr>
        <w:t xml:space="preserve"> שיושמה החל מאוגוסט 2022</w:t>
      </w:r>
      <w:r w:rsidRPr="00DE05FA">
        <w:rPr>
          <w:rFonts w:ascii="Tahoma" w:eastAsia="Calibri" w:hAnsi="Tahoma" w:cs="Tahoma"/>
          <w:sz w:val="19"/>
          <w:szCs w:val="19"/>
          <w:rtl/>
        </w:rPr>
        <w:t>,</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שיעור התיחור של לווים בשנת 2024 הוא נמוך יחסית (37%), כך שמרבית הלווים (63%) קיבלו הצעה מבנק אחד בלבד.</w:t>
      </w:r>
      <w:r w:rsidRPr="00DE05FA">
        <w:rPr>
          <w:rFonts w:ascii="Tahoma" w:eastAsia="Calibri" w:hAnsi="Tahoma" w:cs="Tahoma" w:hint="cs"/>
          <w:sz w:val="19"/>
          <w:szCs w:val="19"/>
          <w:rtl/>
        </w:rPr>
        <w:t xml:space="preserve">; </w:t>
      </w:r>
      <w:r w:rsidRPr="00DE05FA">
        <w:rPr>
          <w:rFonts w:ascii="Tahoma" w:eastAsia="Calibri" w:hAnsi="Tahoma" w:cs="Tahoma"/>
          <w:sz w:val="19"/>
          <w:szCs w:val="19"/>
          <w:rtl/>
        </w:rPr>
        <w:t>בניגוד לתחומי ייעוץ פיננסיים אחרים (כגון ייעוץ פנסיוני או ייעוץ השקעות), תחום ייעוץ המשכנתאות אינו מוסדר בחוק, אין דרישות סף למקצוע (השכלה, ניסיון, גיל) ואין חובת רישוי</w:t>
      </w:r>
      <w:r w:rsidRPr="00DE05FA">
        <w:rPr>
          <w:rFonts w:ascii="Tahoma" w:eastAsia="Calibri" w:hAnsi="Tahoma" w:cs="Tahoma" w:hint="cs"/>
          <w:sz w:val="19"/>
          <w:szCs w:val="19"/>
          <w:rtl/>
        </w:rPr>
        <w:t>, כך ש</w:t>
      </w:r>
      <w:r w:rsidRPr="00DE05FA">
        <w:rPr>
          <w:rFonts w:ascii="Tahoma" w:eastAsia="Calibri" w:hAnsi="Tahoma" w:cs="Tahoma"/>
          <w:sz w:val="19"/>
          <w:szCs w:val="19"/>
          <w:rtl/>
        </w:rPr>
        <w:t>צרכנים חשופים לשיטות שיווק אגרסיביות, גביית שכר טרחה מופרז, וייעוץ שאינו בהכרח אובייקטיבי</w:t>
      </w:r>
      <w:r w:rsidRPr="00DE05FA">
        <w:rPr>
          <w:rFonts w:ascii="Tahoma" w:eastAsia="Calibri" w:hAnsi="Tahoma" w:cs="Tahoma" w:hint="cs"/>
          <w:sz w:val="19"/>
          <w:szCs w:val="19"/>
          <w:rtl/>
        </w:rPr>
        <w:t>; ו</w:t>
      </w:r>
      <w:r w:rsidRPr="00DE05FA">
        <w:rPr>
          <w:rFonts w:ascii="Tahoma" w:eastAsia="Calibri" w:hAnsi="Tahoma" w:cs="Tahoma"/>
          <w:sz w:val="19"/>
          <w:szCs w:val="19"/>
          <w:rtl/>
        </w:rPr>
        <w:t>חלקם של הגופים החוץ-בנקאיים</w:t>
      </w:r>
      <w:r w:rsidRPr="00DE05FA">
        <w:rPr>
          <w:rFonts w:ascii="Tahoma" w:eastAsia="Calibri" w:hAnsi="Tahoma" w:cs="Tahoma" w:hint="cs"/>
          <w:sz w:val="19"/>
          <w:szCs w:val="19"/>
          <w:rtl/>
        </w:rPr>
        <w:t xml:space="preserve"> באשראי לדיור</w:t>
      </w:r>
      <w:r w:rsidRPr="00DE05FA">
        <w:rPr>
          <w:rFonts w:ascii="Tahoma" w:eastAsia="Calibri" w:hAnsi="Tahoma" w:cs="Tahoma"/>
          <w:sz w:val="19"/>
          <w:szCs w:val="19"/>
          <w:rtl/>
        </w:rPr>
        <w:t xml:space="preserve"> נאמד בכ-5.7 מיליארד ש"ח</w:t>
      </w:r>
      <w:r>
        <w:rPr>
          <w:rFonts w:ascii="Tahoma" w:eastAsia="Calibri" w:hAnsi="Tahoma" w:cs="Tahoma"/>
          <w:sz w:val="19"/>
          <w:szCs w:val="19"/>
          <w:vertAlign w:val="superscript"/>
          <w:rtl/>
        </w:rPr>
        <w:footnoteReference w:id="23"/>
      </w:r>
      <w:r w:rsidRPr="00DE05FA">
        <w:rPr>
          <w:rFonts w:ascii="Tahoma" w:eastAsia="Calibri" w:hAnsi="Tahoma" w:cs="Tahoma"/>
          <w:sz w:val="19"/>
          <w:szCs w:val="19"/>
          <w:rtl/>
        </w:rPr>
        <w:t>, המהווים כ-1% בלבד מכלל השוק</w:t>
      </w:r>
      <w:r w:rsidRPr="00DE05FA">
        <w:rPr>
          <w:rFonts w:ascii="Tahoma" w:eastAsia="Calibri" w:hAnsi="Tahoma" w:cs="Tahoma" w:hint="cs"/>
          <w:sz w:val="19"/>
          <w:szCs w:val="19"/>
          <w:rtl/>
        </w:rPr>
        <w:t xml:space="preserve"> - נתון ה</w:t>
      </w:r>
      <w:r w:rsidRPr="00DE05FA">
        <w:rPr>
          <w:rFonts w:ascii="Tahoma" w:eastAsia="Calibri" w:hAnsi="Tahoma" w:cs="Tahoma"/>
          <w:sz w:val="19"/>
          <w:szCs w:val="19"/>
          <w:rtl/>
        </w:rPr>
        <w:t>משקף את הפער הקיים בין המערכת הבנקאית לבין שחקנים חדשים המבקשים להציע חלופות מימוניות לציבור</w:t>
      </w:r>
      <w:r w:rsidRPr="00DE05FA">
        <w:rPr>
          <w:rFonts w:ascii="Tahoma" w:eastAsia="Calibri" w:hAnsi="Tahoma" w:cs="Tahoma" w:hint="cs"/>
          <w:sz w:val="19"/>
          <w:szCs w:val="19"/>
          <w:rtl/>
        </w:rPr>
        <w:t>.</w:t>
      </w:r>
    </w:p>
    <w:p w:rsidR="00F954E4" w:rsidP="00DA551F">
      <w:pPr>
        <w:spacing w:line="288" w:lineRule="auto"/>
        <w:ind w:left="-851" w:right="-567"/>
        <w:rPr>
          <w:rFonts w:ascii="Calibri" w:hAnsi="Calibri" w:cs="Calibri"/>
          <w:b/>
          <w:bCs/>
          <w:color w:val="002060"/>
          <w:sz w:val="80"/>
          <w:szCs w:val="80"/>
        </w:rPr>
      </w:pPr>
      <w:r w:rsidRPr="00DE05FA">
        <w:rPr>
          <w:rFonts w:ascii="Tahoma" w:eastAsia="Calibri" w:hAnsi="Tahoma" w:cs="Tahoma"/>
          <w:sz w:val="19"/>
          <w:szCs w:val="19"/>
          <w:rtl/>
        </w:rPr>
        <w:t>המשכנתא אינה רק מוצר בנקאי, אלא תשתית קיומית ליציבותו הכלכלית של משק הבית בישראל. על בנק ישראל בשיתוף רשות שוק ההון להבטיח כי שוק זה יתנהל בשקיפות, בהגינות, ותחת פיקוח הולם, תוך עידוד התחרות מחד ושמירה על יציבות המערכת הפיננסית מאידך.</w:t>
      </w:r>
    </w:p>
    <w:sectPr w:rsidSect="006C2C6D">
      <w:headerReference w:type="first" r:id="rId2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D9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606D97"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606D97"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6D97" w:rsidP="00C23CC9">
      <w:pPr>
        <w:spacing w:line="240" w:lineRule="auto"/>
      </w:pPr>
      <w:r>
        <w:separator/>
      </w:r>
    </w:p>
  </w:footnote>
  <w:footnote w:type="continuationSeparator" w:id="1">
    <w:p w:rsidR="00606D97" w:rsidP="00C23CC9">
      <w:pPr>
        <w:spacing w:line="240" w:lineRule="auto"/>
      </w:pPr>
      <w:r>
        <w:continuationSeparator/>
      </w:r>
    </w:p>
  </w:footnote>
  <w:footnote w:id="2">
    <w:p w:rsidR="00606D97" w:rsidP="00DE05FA">
      <w:pPr>
        <w:pStyle w:val="FootnoteText"/>
        <w:ind w:left="-1" w:right="-709" w:hanging="709"/>
      </w:pPr>
      <w:r>
        <w:rPr>
          <w:rStyle w:val="FootnoteReference1"/>
        </w:rPr>
        <w:footnoteRef/>
      </w:r>
      <w:r>
        <w:rPr>
          <w:rtl/>
        </w:rPr>
        <w:t xml:space="preserve"> </w:t>
      </w:r>
      <w:r>
        <w:rPr>
          <w:rtl/>
        </w:rPr>
        <w:tab/>
      </w:r>
      <w:r w:rsidRPr="00C50548">
        <w:rPr>
          <w:rFonts w:ascii="Tahoma" w:hAnsi="Tahoma" w:cs="Tahoma"/>
          <w:sz w:val="16"/>
          <w:szCs w:val="16"/>
          <w:rtl/>
        </w:rPr>
        <w:t xml:space="preserve">משבר פיננסי-נדל"ני שפרץ בארה"ב בשנת 2007 והתגלגל לידי משבר כלל-עולמי בשנת 2008. המשבר מקורו בכך שבנקים בארה"ב נתנו משכנתאות מסוכנות (משכנתאות סאב-פריים) ללווים בעלי יכולות החזר נמוכות מאוד וברמות מינוף של כמעט 100%. כאשר לווים רבים לא עמדו בתשלומי המשכנתא, החלה האטה בשוק הנדל"ן ומחירי הדירות ירדו ירידה חדה, ואף היו נמוכים מערך המשכנתאות שנלקחו לצורך רכישתן. אירועים אלו הביאו לידי כך שבנקים אמריקניים פשטו את הרגל, קרנות גידור, פנסיה וגופי השקעה רבים ספגו הפסדים כבדים והבורסות בכל העולם נכנסו למיתון קשה ביותר. </w:t>
      </w:r>
      <w:r w:rsidR="001C7141">
        <w:rPr>
          <w:rFonts w:ascii="Tahoma" w:hAnsi="Tahoma" w:cs="Tahoma" w:hint="cs"/>
          <w:sz w:val="16"/>
          <w:szCs w:val="16"/>
          <w:rtl/>
        </w:rPr>
        <w:t>ה</w:t>
      </w:r>
      <w:r w:rsidRPr="00C50548">
        <w:rPr>
          <w:rFonts w:ascii="Tahoma" w:hAnsi="Tahoma" w:cs="Tahoma"/>
          <w:sz w:val="16"/>
          <w:szCs w:val="16"/>
          <w:rtl/>
        </w:rPr>
        <w:t xml:space="preserve">מקור: מבקר המדינה, </w:t>
      </w:r>
      <w:r w:rsidRPr="008C6B81">
        <w:rPr>
          <w:rFonts w:ascii="Tahoma" w:hAnsi="Tahoma" w:cs="Tahoma"/>
          <w:b/>
          <w:bCs/>
          <w:sz w:val="16"/>
          <w:szCs w:val="16"/>
          <w:rtl/>
        </w:rPr>
        <w:t>דוח ביקורת מיוחד - משבר הדיור</w:t>
      </w:r>
      <w:r w:rsidRPr="00861314">
        <w:rPr>
          <w:rFonts w:ascii="Tahoma" w:hAnsi="Tahoma" w:cs="Tahoma"/>
          <w:sz w:val="16"/>
          <w:szCs w:val="16"/>
          <w:rtl/>
        </w:rPr>
        <w:t xml:space="preserve"> (2015</w:t>
      </w:r>
      <w:r w:rsidRPr="00C50548">
        <w:rPr>
          <w:rFonts w:ascii="Tahoma" w:hAnsi="Tahoma" w:cs="Tahoma"/>
          <w:sz w:val="16"/>
          <w:szCs w:val="16"/>
          <w:rtl/>
        </w:rPr>
        <w:t>), עמ' 27.</w:t>
      </w:r>
    </w:p>
  </w:footnote>
  <w:footnote w:id="3">
    <w:p w:rsidR="00606D97" w:rsidP="00A411B9">
      <w:pPr>
        <w:pStyle w:val="FootnoteText"/>
        <w:ind w:left="-1" w:right="-709" w:hanging="709"/>
      </w:pPr>
      <w:r>
        <w:rPr>
          <w:rStyle w:val="FootnoteReference1"/>
        </w:rPr>
        <w:footnoteRef/>
      </w:r>
      <w:r>
        <w:rPr>
          <w:rtl/>
        </w:rPr>
        <w:t xml:space="preserve"> </w:t>
      </w:r>
      <w:r>
        <w:rPr>
          <w:rtl/>
        </w:rPr>
        <w:tab/>
      </w:r>
      <w:r w:rsidRPr="0054666C">
        <w:rPr>
          <w:rFonts w:ascii="Tahoma" w:hAnsi="Tahoma" w:cs="Tahoma"/>
          <w:sz w:val="16"/>
          <w:szCs w:val="16"/>
          <w:rtl/>
        </w:rPr>
        <w:t>דירה יחידה - כהגדרתה בסעיף 9(ג1א)(2)(ב) לחוק מיסוי מקרקעין (שבח ורכישה), התשכ"ג-1963</w:t>
      </w:r>
      <w:r w:rsidR="008C6B81">
        <w:rPr>
          <w:rFonts w:ascii="Tahoma" w:hAnsi="Tahoma" w:cs="Tahoma" w:hint="cs"/>
          <w:sz w:val="16"/>
          <w:szCs w:val="16"/>
          <w:rtl/>
        </w:rPr>
        <w:t>,</w:t>
      </w:r>
      <w:r w:rsidRPr="0054666C">
        <w:rPr>
          <w:rFonts w:ascii="Tahoma" w:hAnsi="Tahoma" w:cs="Tahoma"/>
          <w:sz w:val="16"/>
          <w:szCs w:val="16"/>
          <w:rtl/>
        </w:rPr>
        <w:t xml:space="preserve"> היא דירה הנרכשת על ידי אזרח ישראלי והיא דירתו היחידה של הרוכש בישראל.</w:t>
      </w:r>
    </w:p>
  </w:footnote>
  <w:footnote w:id="4">
    <w:p w:rsidR="00606D97" w:rsidP="00A411B9">
      <w:pPr>
        <w:pStyle w:val="FootnoteText"/>
        <w:ind w:left="-1" w:right="-709" w:hanging="709"/>
        <w:rPr>
          <w:rtl/>
        </w:rPr>
      </w:pPr>
      <w:r>
        <w:rPr>
          <w:rStyle w:val="FootnoteReference1"/>
        </w:rPr>
        <w:footnoteRef/>
      </w:r>
      <w:r>
        <w:rPr>
          <w:rtl/>
        </w:rPr>
        <w:t xml:space="preserve"> </w:t>
      </w:r>
      <w:r>
        <w:rPr>
          <w:rtl/>
        </w:rPr>
        <w:tab/>
      </w:r>
      <w:r w:rsidRPr="0054666C">
        <w:rPr>
          <w:rFonts w:ascii="Tahoma" w:hAnsi="Tahoma" w:cs="Tahoma"/>
          <w:sz w:val="16"/>
          <w:szCs w:val="16"/>
          <w:rtl/>
        </w:rPr>
        <w:t>משכנתאות בסיכון גבוה - משכנתאות ששיעור המימון שלהן הוא בטווח של 60% - 75% משווי הנכס, ושיעור ההחזר מההכנסה הוא בטווח 30% - 40%.</w:t>
      </w:r>
    </w:p>
  </w:footnote>
  <w:footnote w:id="5">
    <w:p w:rsidR="00606D97" w:rsidP="00DE05FA">
      <w:pPr>
        <w:pStyle w:val="FootnoteText"/>
      </w:pPr>
      <w:r>
        <w:rPr>
          <w:rStyle w:val="FootnoteReference1"/>
        </w:rPr>
        <w:footnoteRef/>
      </w:r>
      <w:r>
        <w:rPr>
          <w:rtl/>
        </w:rPr>
        <w:t xml:space="preserve"> </w:t>
      </w:r>
      <w:r>
        <w:rPr>
          <w:rtl/>
        </w:rPr>
        <w:tab/>
      </w:r>
      <w:bookmarkStart w:id="1" w:name="_Hlk225158965"/>
      <w:r w:rsidRPr="0054666C">
        <w:rPr>
          <w:rFonts w:ascii="Tahoma" w:hAnsi="Tahoma" w:cs="Tahoma"/>
          <w:sz w:val="16"/>
          <w:szCs w:val="16"/>
          <w:rtl/>
        </w:rPr>
        <w:t>ביצועים - הלוואות שנלקחו או בוצעו במהלך השנה, המתייחסים להיקף ההלוואות ו/או סכומי ההלוואות.</w:t>
      </w:r>
      <w:bookmarkEnd w:id="1"/>
    </w:p>
  </w:footnote>
  <w:footnote w:id="6">
    <w:p w:rsidR="00606D97" w:rsidRPr="00BE2120" w:rsidP="005405A6">
      <w:pPr>
        <w:pStyle w:val="FootnoteText"/>
        <w:ind w:left="708" w:right="-709" w:hanging="708"/>
        <w:rPr>
          <w:rFonts w:ascii="Tahoma" w:hAnsi="Tahoma" w:cs="Tahoma"/>
          <w:sz w:val="16"/>
          <w:szCs w:val="16"/>
          <w:rtl/>
        </w:rPr>
      </w:pPr>
      <w:r w:rsidRPr="00BE2120">
        <w:rPr>
          <w:rStyle w:val="FootnoteReference1"/>
          <w:rFonts w:ascii="Tahoma" w:hAnsi="Tahoma" w:cs="Tahoma"/>
          <w:sz w:val="16"/>
          <w:szCs w:val="16"/>
        </w:rPr>
        <w:footnoteRef/>
      </w:r>
      <w:r w:rsidRPr="00BE2120">
        <w:rPr>
          <w:rFonts w:ascii="Tahoma" w:hAnsi="Tahoma" w:cs="Tahoma"/>
          <w:sz w:val="16"/>
          <w:szCs w:val="16"/>
          <w:rtl/>
        </w:rPr>
        <w:t xml:space="preserve"> </w:t>
      </w:r>
      <w:r w:rsidRPr="00BE2120">
        <w:rPr>
          <w:rFonts w:ascii="Tahoma" w:hAnsi="Tahoma" w:cs="Tahoma"/>
          <w:sz w:val="16"/>
          <w:szCs w:val="16"/>
          <w:rtl/>
        </w:rPr>
        <w:tab/>
        <w:t>הלוואות בסבסוד קבלנים ("הלוואות קבלן") - הלוואות "בולט" ("בלון") של רוכשי דירות בסבסוד הקבלן על חלק ניכר מיתרת התשלום לרכישת דירה מקבלן. קרן ההלוואה שנוטלים הרוכשים נפרעת במלואה סמוך למועד סיום הבנייה, לרוב לאחר שנתיים או שלוש שנים. במועד זה יידרשו הרוכשים לפרוע את ההלוואה ממקורותיהם או להמירה בהלוואה לדיור חליפית ולשלם את יתרת התמורה.</w:t>
      </w:r>
    </w:p>
  </w:footnote>
  <w:footnote w:id="7">
    <w:p w:rsidR="00606D97" w:rsidRPr="00BE2120" w:rsidP="005405A6">
      <w:pPr>
        <w:pStyle w:val="FootnoteText"/>
        <w:ind w:left="708" w:right="-709" w:hanging="708"/>
        <w:rPr>
          <w:rFonts w:ascii="Tahoma" w:hAnsi="Tahoma" w:cs="Tahoma"/>
          <w:sz w:val="16"/>
          <w:szCs w:val="16"/>
          <w:rtl/>
        </w:rPr>
      </w:pPr>
      <w:r w:rsidRPr="00BE2120">
        <w:rPr>
          <w:rStyle w:val="FootnoteReference1"/>
          <w:rFonts w:ascii="Tahoma" w:hAnsi="Tahoma" w:cs="Tahoma"/>
          <w:sz w:val="16"/>
          <w:szCs w:val="16"/>
        </w:rPr>
        <w:footnoteRef/>
      </w:r>
      <w:r w:rsidRPr="00BE2120">
        <w:rPr>
          <w:rFonts w:ascii="Tahoma" w:hAnsi="Tahoma" w:cs="Tahoma"/>
          <w:sz w:val="16"/>
          <w:szCs w:val="16"/>
          <w:rtl/>
        </w:rPr>
        <w:t xml:space="preserve"> </w:t>
      </w:r>
      <w:r w:rsidRPr="00BE2120">
        <w:rPr>
          <w:rFonts w:ascii="Tahoma" w:hAnsi="Tahoma" w:cs="Tahoma"/>
          <w:sz w:val="16"/>
          <w:szCs w:val="16"/>
          <w:rtl/>
        </w:rPr>
        <w:tab/>
        <w:t>משכנתאות בסיכון גבוה מוגדרות כאלו ששיעור המימון שלהן הוא בטווח של 60% - 75% משווי הנכס ושיעור ההחזר מההכנסה הוא בטווח 30% - 40%.</w:t>
      </w:r>
    </w:p>
  </w:footnote>
  <w:footnote w:id="8">
    <w:p w:rsidR="00606D97" w:rsidP="005405A6">
      <w:pPr>
        <w:pStyle w:val="FootnoteText"/>
        <w:ind w:left="708" w:right="-567" w:hanging="708"/>
        <w:rPr>
          <w:rtl/>
        </w:rPr>
      </w:pPr>
      <w:r>
        <w:rPr>
          <w:rStyle w:val="FootnoteReference1"/>
        </w:rPr>
        <w:footnoteRef/>
      </w:r>
      <w:r>
        <w:rPr>
          <w:rtl/>
        </w:rPr>
        <w:t xml:space="preserve"> </w:t>
      </w:r>
      <w:r>
        <w:rPr>
          <w:rtl/>
        </w:rPr>
        <w:tab/>
      </w:r>
      <w:r w:rsidRPr="00861314">
        <w:rPr>
          <w:rFonts w:ascii="Tahoma" w:hAnsi="Tahoma" w:cs="Tahoma"/>
          <w:sz w:val="16"/>
          <w:szCs w:val="16"/>
          <w:rtl/>
        </w:rPr>
        <w:t xml:space="preserve">מחזור פנימי של משכנתא הוא הליך שבו מסולקת המשכנתא הקודמת ובמקביל נלקחת משכנתא חדשה באותו בנק </w:t>
      </w:r>
      <w:r>
        <w:rPr>
          <w:rFonts w:ascii="Tahoma" w:hAnsi="Tahoma" w:cs="Tahoma" w:hint="cs"/>
          <w:sz w:val="16"/>
          <w:szCs w:val="16"/>
          <w:rtl/>
        </w:rPr>
        <w:t>ש</w:t>
      </w:r>
      <w:r w:rsidRPr="00861314">
        <w:rPr>
          <w:rFonts w:ascii="Tahoma" w:hAnsi="Tahoma" w:cs="Tahoma"/>
          <w:sz w:val="16"/>
          <w:szCs w:val="16"/>
          <w:rtl/>
        </w:rPr>
        <w:t>בו נקלחה ההלוואה המקורית</w:t>
      </w:r>
      <w:r w:rsidRPr="00061C49">
        <w:rPr>
          <w:rtl/>
        </w:rPr>
        <w:t>.</w:t>
      </w:r>
    </w:p>
  </w:footnote>
  <w:footnote w:id="9">
    <w:p w:rsidR="00606D97" w:rsidP="005405A6">
      <w:pPr>
        <w:pStyle w:val="FootnoteText"/>
        <w:ind w:left="708" w:right="-567" w:hanging="708"/>
        <w:rPr>
          <w:rtl/>
        </w:rPr>
      </w:pPr>
      <w:r>
        <w:rPr>
          <w:rStyle w:val="FootnoteReference1"/>
        </w:rPr>
        <w:footnoteRef/>
      </w:r>
      <w:r>
        <w:rPr>
          <w:rtl/>
        </w:rPr>
        <w:t xml:space="preserve"> </w:t>
      </w:r>
      <w:r>
        <w:rPr>
          <w:rtl/>
        </w:rPr>
        <w:tab/>
      </w:r>
      <w:r w:rsidRPr="00861314">
        <w:rPr>
          <w:rFonts w:ascii="Tahoma" w:hAnsi="Tahoma" w:cs="Tahoma"/>
          <w:sz w:val="16"/>
          <w:szCs w:val="16"/>
          <w:rtl/>
        </w:rPr>
        <w:t>מדד שנקבע בידי הפיקוח על הבנקים כדי להעריך את הסיכון הכרוך בפעילות של בנק, במיוחד את הסיכון שנוצר מהעמדת אשראי. משקל הסיכון מחושב לפי הוראות הפיקוח ומשקף את החשיפה של הבנק לסיכונים שונים</w:t>
      </w:r>
      <w:r w:rsidRPr="005B56B2">
        <w:rPr>
          <w:rtl/>
        </w:rPr>
        <w:t>.</w:t>
      </w:r>
    </w:p>
  </w:footnote>
  <w:footnote w:id="10">
    <w:p w:rsidR="00606D97" w:rsidRPr="00DD20C4" w:rsidP="001B7D86">
      <w:pPr>
        <w:pStyle w:val="FootnoteText"/>
        <w:ind w:left="708" w:right="-426" w:hanging="708"/>
        <w:rPr>
          <w:rFonts w:ascii="Tahoma" w:hAnsi="Tahoma" w:cs="Tahoma"/>
          <w:sz w:val="16"/>
          <w:szCs w:val="16"/>
        </w:rPr>
      </w:pPr>
      <w:r w:rsidRPr="00DD20C4">
        <w:rPr>
          <w:rStyle w:val="FootnoteReference1"/>
          <w:rFonts w:ascii="Tahoma" w:hAnsi="Tahoma" w:cs="Tahoma"/>
          <w:sz w:val="16"/>
          <w:szCs w:val="16"/>
        </w:rPr>
        <w:footnoteRef/>
      </w:r>
      <w:r w:rsidRPr="00DD20C4">
        <w:rPr>
          <w:rFonts w:ascii="Tahoma" w:hAnsi="Tahoma" w:cs="Tahoma"/>
          <w:sz w:val="16"/>
          <w:szCs w:val="16"/>
          <w:rtl/>
        </w:rPr>
        <w:t xml:space="preserve"> </w:t>
      </w:r>
      <w:r w:rsidRPr="00DD20C4">
        <w:rPr>
          <w:rFonts w:ascii="Tahoma" w:hAnsi="Tahoma" w:cs="Tahoma"/>
          <w:sz w:val="16"/>
          <w:szCs w:val="16"/>
          <w:rtl/>
        </w:rPr>
        <w:tab/>
        <w:t>דירה במחיר מופחת היא דירה יחידה הנרכשת במחיר נמוך משווי שוק בפרויקט בסבסוד ממשלתי דוגמת "מחיר מטרה" ו"מחיר למשתכן".</w:t>
      </w:r>
    </w:p>
  </w:footnote>
  <w:footnote w:id="11">
    <w:p w:rsidR="00606D97" w:rsidRPr="00057540" w:rsidP="001B7D86">
      <w:pPr>
        <w:pStyle w:val="FootnoteText"/>
        <w:ind w:left="708" w:right="-426" w:hanging="708"/>
        <w:rPr>
          <w:rFonts w:ascii="Tahoma" w:hAnsi="Tahoma" w:cs="Tahoma"/>
          <w:sz w:val="16"/>
          <w:szCs w:val="16"/>
          <w:rtl/>
        </w:rPr>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חלופת הלוואה - חישוב המגבלה הוא ברמת ההלוואה באופן המאפשר גישה לאשראי נוסף עקב פערי עיתוי בלקיחת האשראי.</w:t>
      </w:r>
    </w:p>
  </w:footnote>
  <w:footnote w:id="12">
    <w:p w:rsidR="00606D97" w:rsidRPr="00057540" w:rsidP="00DE05FA">
      <w:pPr>
        <w:pStyle w:val="FootnoteText"/>
        <w:rPr>
          <w:rFonts w:ascii="Tahoma" w:hAnsi="Tahoma" w:cs="Tahoma"/>
          <w:sz w:val="16"/>
          <w:szCs w:val="16"/>
          <w:rtl/>
        </w:rPr>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חלופת הנכס</w:t>
      </w:r>
      <w:r>
        <w:rPr>
          <w:rFonts w:ascii="Tahoma" w:hAnsi="Tahoma" w:cs="Tahoma" w:hint="cs"/>
          <w:sz w:val="16"/>
          <w:szCs w:val="16"/>
        </w:rPr>
        <w:t xml:space="preserve"> </w:t>
      </w:r>
      <w:r w:rsidRPr="00057540">
        <w:rPr>
          <w:rFonts w:ascii="Tahoma" w:hAnsi="Tahoma" w:cs="Tahoma"/>
          <w:sz w:val="16"/>
          <w:szCs w:val="16"/>
          <w:rtl/>
        </w:rPr>
        <w:t>- המגבלה מחושבת לכל נכס בנפרד, באופן המשפיע על אשראי נוסף בלבד.</w:t>
      </w:r>
    </w:p>
  </w:footnote>
  <w:footnote w:id="13">
    <w:p w:rsidR="00606D97" w:rsidRPr="00057540" w:rsidP="001B7D86">
      <w:pPr>
        <w:pStyle w:val="FootnoteText"/>
        <w:ind w:left="708" w:right="-426" w:hanging="708"/>
        <w:rPr>
          <w:rFonts w:ascii="Tahoma" w:hAnsi="Tahoma" w:cs="Tahoma"/>
          <w:sz w:val="16"/>
          <w:szCs w:val="16"/>
        </w:rPr>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חלופת לווה - חישוב המגבלה המודד את עומס החוב (בגין אשראי לדיור) המוטל על הלווה, באופן שמשפיע על רוכשי דירה חליפית ומשקיעים בעלי משכנתא.</w:t>
      </w:r>
    </w:p>
  </w:footnote>
  <w:footnote w:id="14">
    <w:p w:rsidR="00606D97" w:rsidRPr="00057540" w:rsidP="000816B1">
      <w:pPr>
        <w:pStyle w:val="FootnoteText"/>
        <w:ind w:right="-709"/>
        <w:rPr>
          <w:rFonts w:ascii="Tahoma" w:hAnsi="Tahoma" w:cs="Tahoma"/>
          <w:sz w:val="16"/>
          <w:szCs w:val="16"/>
        </w:rPr>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ריבית משתנה נושאת ריבית שעשויה להשתנות במהלך תקופה הקצרה מחמש שנים ממועד אישור ההלוואה.</w:t>
      </w:r>
    </w:p>
  </w:footnote>
  <w:footnote w:id="15">
    <w:p w:rsidR="00606D97" w:rsidP="000816B1">
      <w:pPr>
        <w:pStyle w:val="FootnoteText"/>
        <w:ind w:left="708" w:right="-567" w:hanging="708"/>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מדד שנקבע בידי הפיקוח על הבנקים כדי להעריך את הסיכון הכרוך בפעילות של בנק, במיוחד את הסיכון שנוצר מהעמדת אשראי. משקל הסיכון מחושב לפי הוראות הפיקוח ומשקף את החשיפה של הבנק לסיכונים שונים.</w:t>
      </w:r>
    </w:p>
  </w:footnote>
  <w:footnote w:id="16">
    <w:p w:rsidR="00606D97" w:rsidRPr="00057540" w:rsidP="000816B1">
      <w:pPr>
        <w:pStyle w:val="FootnoteText"/>
        <w:ind w:left="708" w:right="-567" w:hanging="708"/>
        <w:rPr>
          <w:rFonts w:ascii="Tahoma" w:hAnsi="Tahoma" w:cs="Tahoma"/>
          <w:sz w:val="16"/>
          <w:szCs w:val="16"/>
        </w:rPr>
      </w:pPr>
      <w:r w:rsidRPr="00057540">
        <w:rPr>
          <w:rStyle w:val="FootnoteReference1"/>
          <w:rFonts w:ascii="Tahoma" w:hAnsi="Tahoma" w:cs="Tahoma"/>
          <w:sz w:val="16"/>
          <w:szCs w:val="16"/>
        </w:rPr>
        <w:footnoteRef/>
      </w:r>
      <w:r w:rsidRPr="00057540">
        <w:rPr>
          <w:rFonts w:ascii="Tahoma" w:hAnsi="Tahoma" w:cs="Tahoma"/>
          <w:sz w:val="16"/>
          <w:szCs w:val="16"/>
          <w:rtl/>
        </w:rPr>
        <w:t xml:space="preserve"> </w:t>
      </w:r>
      <w:r w:rsidRPr="00057540">
        <w:rPr>
          <w:rFonts w:ascii="Tahoma" w:hAnsi="Tahoma" w:cs="Tahoma"/>
          <w:sz w:val="16"/>
          <w:szCs w:val="16"/>
          <w:rtl/>
        </w:rPr>
        <w:tab/>
        <w:t>משכנתאות ממונפות הוגדרו אז כמשכנתאות בסכום שמעל 800</w:t>
      </w:r>
      <w:r>
        <w:rPr>
          <w:rFonts w:ascii="Tahoma" w:hAnsi="Tahoma" w:cs="Tahoma" w:hint="cs"/>
          <w:sz w:val="16"/>
          <w:szCs w:val="16"/>
          <w:rtl/>
        </w:rPr>
        <w:t>,000</w:t>
      </w:r>
      <w:r w:rsidRPr="00057540">
        <w:rPr>
          <w:rFonts w:ascii="Tahoma" w:hAnsi="Tahoma" w:cs="Tahoma"/>
          <w:sz w:val="16"/>
          <w:szCs w:val="16"/>
          <w:rtl/>
        </w:rPr>
        <w:t xml:space="preserve"> ש"ח בשיעור מימון גבוה (מעל 60%), ושחלק ההלוואה שלהן בריבית משתנה הוא 25% או יותר.</w:t>
      </w:r>
    </w:p>
  </w:footnote>
  <w:footnote w:id="17">
    <w:p w:rsidR="00606D97" w:rsidRPr="00A871E1" w:rsidP="00DE05FA">
      <w:pPr>
        <w:pStyle w:val="FootnoteText"/>
        <w:rPr>
          <w:rFonts w:ascii="Tahoma" w:hAnsi="Tahoma" w:cs="Tahoma"/>
          <w:sz w:val="16"/>
          <w:szCs w:val="16"/>
          <w:rtl/>
        </w:rPr>
      </w:pPr>
      <w:r w:rsidRPr="00A871E1">
        <w:rPr>
          <w:rStyle w:val="FootnoteReference1"/>
          <w:rFonts w:ascii="Tahoma" w:hAnsi="Tahoma" w:cs="Tahoma"/>
          <w:sz w:val="16"/>
          <w:szCs w:val="16"/>
        </w:rPr>
        <w:footnoteRef/>
      </w:r>
      <w:r w:rsidRPr="00A871E1">
        <w:rPr>
          <w:rFonts w:ascii="Tahoma" w:hAnsi="Tahoma" w:cs="Tahoma"/>
          <w:sz w:val="16"/>
          <w:szCs w:val="16"/>
          <w:rtl/>
        </w:rPr>
        <w:t xml:space="preserve"> </w:t>
      </w:r>
      <w:r w:rsidRPr="00A871E1">
        <w:rPr>
          <w:rFonts w:ascii="Tahoma" w:hAnsi="Tahoma" w:cs="Tahoma"/>
          <w:sz w:val="16"/>
          <w:szCs w:val="16"/>
          <w:rtl/>
        </w:rPr>
        <w:tab/>
        <w:t>יצוין כי ההחזר גדל באופן משמעותי לאחר עליית ריבית בנק ישראל החל מאפריל 2022, ראו פרק המבוא.</w:t>
      </w:r>
    </w:p>
  </w:footnote>
  <w:footnote w:id="18">
    <w:p w:rsidR="00606D97" w:rsidP="00DE05FA">
      <w:pPr>
        <w:pStyle w:val="FootnoteText"/>
        <w:ind w:left="850" w:right="-567" w:hanging="850"/>
        <w:rPr>
          <w:rtl/>
        </w:rPr>
      </w:pPr>
      <w:r w:rsidRPr="006A4E50">
        <w:rPr>
          <w:rStyle w:val="FootnoteReference1"/>
          <w:rFonts w:ascii="Tahoma" w:hAnsi="Tahoma" w:cs="Tahoma"/>
          <w:sz w:val="16"/>
          <w:szCs w:val="16"/>
        </w:rPr>
        <w:footnoteRef/>
      </w:r>
      <w:r w:rsidRPr="006A4E50">
        <w:rPr>
          <w:rFonts w:ascii="Tahoma" w:hAnsi="Tahoma" w:cs="Tahoma"/>
          <w:sz w:val="16"/>
          <w:szCs w:val="16"/>
          <w:rtl/>
        </w:rPr>
        <w:t xml:space="preserve"> </w:t>
      </w:r>
      <w:r>
        <w:rPr>
          <w:rtl/>
        </w:rPr>
        <w:tab/>
      </w:r>
      <w:r w:rsidRPr="006A4E50">
        <w:rPr>
          <w:rFonts w:ascii="Tahoma" w:hAnsi="Tahoma" w:cs="Tahoma"/>
          <w:sz w:val="16"/>
          <w:szCs w:val="16"/>
          <w:rtl/>
        </w:rPr>
        <w:t>יצוין כי רשות שוק ההון מסרה בתשובתה כי מדובר בהלוואות עסקיות שחוק אשראי הוגן אינו חל עליהן, ומדובר בהלוואות הניתנות לימים בודדים.</w:t>
      </w:r>
    </w:p>
  </w:footnote>
  <w:footnote w:id="19">
    <w:p w:rsidR="00606D97" w:rsidRPr="0070202C" w:rsidP="00DE05FA">
      <w:pPr>
        <w:pStyle w:val="FootnoteText"/>
        <w:ind w:left="708" w:right="-567" w:hanging="708"/>
        <w:rPr>
          <w:rFonts w:ascii="Tahoma" w:hAnsi="Tahoma" w:cs="Tahoma"/>
          <w:sz w:val="16"/>
          <w:szCs w:val="16"/>
          <w:rtl/>
        </w:rPr>
      </w:pPr>
      <w:r w:rsidRPr="0070202C">
        <w:rPr>
          <w:rStyle w:val="FootnoteReference1"/>
          <w:rFonts w:ascii="Tahoma" w:hAnsi="Tahoma" w:cs="Tahoma"/>
          <w:sz w:val="16"/>
          <w:szCs w:val="16"/>
        </w:rPr>
        <w:footnoteRef/>
      </w:r>
      <w:r w:rsidRPr="0070202C">
        <w:rPr>
          <w:rFonts w:ascii="Tahoma" w:hAnsi="Tahoma" w:cs="Tahoma"/>
          <w:sz w:val="16"/>
          <w:szCs w:val="16"/>
          <w:rtl/>
        </w:rPr>
        <w:t xml:space="preserve"> </w:t>
      </w:r>
      <w:r w:rsidRPr="0070202C">
        <w:rPr>
          <w:rFonts w:ascii="Tahoma" w:hAnsi="Tahoma" w:cs="Tahoma"/>
          <w:sz w:val="16"/>
          <w:szCs w:val="16"/>
          <w:rtl/>
        </w:rPr>
        <w:tab/>
        <w:t>גובה הלוואות לזכאים נקבע ככלל בהתאם לשיטת ניקוד, לפיה ניקוד גבוה מאפשר ליטול הלוואה בסכום גבוה מניקוד נמוך. הניקוד מורכב מכמה רכיבים המשתנים בין קבוצות אוכלוסייה שונות ומוגבל לניקוד מרבי המזכה בהעמדת הלוואה לזכאים בסך של כ-162</w:t>
      </w:r>
      <w:r>
        <w:rPr>
          <w:rFonts w:ascii="Tahoma" w:hAnsi="Tahoma" w:cs="Tahoma" w:hint="cs"/>
          <w:sz w:val="16"/>
          <w:szCs w:val="16"/>
          <w:rtl/>
        </w:rPr>
        <w:t>,000</w:t>
      </w:r>
      <w:r w:rsidRPr="0070202C">
        <w:rPr>
          <w:rFonts w:ascii="Tahoma" w:hAnsi="Tahoma" w:cs="Tahoma"/>
          <w:sz w:val="16"/>
          <w:szCs w:val="16"/>
          <w:rtl/>
        </w:rPr>
        <w:t xml:space="preserve"> ש"ח (הסכום הבסיסי) שיכולה להגיע בתנאים מסוימים עד לסכום מרבי של </w:t>
      </w:r>
      <w:r>
        <w:rPr>
          <w:rFonts w:ascii="Tahoma" w:hAnsi="Tahoma" w:cs="Tahoma"/>
          <w:sz w:val="16"/>
          <w:szCs w:val="16"/>
          <w:rtl/>
        </w:rPr>
        <w:br/>
      </w:r>
      <w:r w:rsidRPr="0070202C">
        <w:rPr>
          <w:rFonts w:ascii="Tahoma" w:hAnsi="Tahoma" w:cs="Tahoma"/>
          <w:sz w:val="16"/>
          <w:szCs w:val="16"/>
          <w:rtl/>
        </w:rPr>
        <w:t>כ-500</w:t>
      </w:r>
      <w:r>
        <w:rPr>
          <w:rFonts w:ascii="Tahoma" w:hAnsi="Tahoma" w:cs="Tahoma" w:hint="cs"/>
          <w:sz w:val="16"/>
          <w:szCs w:val="16"/>
          <w:rtl/>
        </w:rPr>
        <w:t>,000</w:t>
      </w:r>
      <w:r w:rsidRPr="0070202C">
        <w:rPr>
          <w:rFonts w:ascii="Tahoma" w:hAnsi="Tahoma" w:cs="Tahoma"/>
          <w:sz w:val="16"/>
          <w:szCs w:val="16"/>
          <w:rtl/>
        </w:rPr>
        <w:t xml:space="preserve"> ש"ח (הסכום המרבי).</w:t>
      </w:r>
    </w:p>
  </w:footnote>
  <w:footnote w:id="20">
    <w:p w:rsidR="00606D97" w:rsidP="00DE05FA">
      <w:pPr>
        <w:pStyle w:val="FootnoteText"/>
        <w:ind w:left="708" w:right="-567" w:hanging="708"/>
      </w:pPr>
      <w:r>
        <w:rPr>
          <w:rStyle w:val="FootnoteReference1"/>
        </w:rPr>
        <w:footnoteRef/>
      </w:r>
      <w:r>
        <w:rPr>
          <w:rtl/>
        </w:rPr>
        <w:t xml:space="preserve"> </w:t>
      </w:r>
      <w:r>
        <w:rPr>
          <w:rtl/>
        </w:rPr>
        <w:tab/>
      </w:r>
      <w:r w:rsidRPr="00935A6B">
        <w:rPr>
          <w:rFonts w:ascii="Tahoma" w:hAnsi="Tahoma" w:cs="Tahoma" w:hint="eastAsia"/>
          <w:sz w:val="16"/>
          <w:szCs w:val="16"/>
          <w:rtl/>
        </w:rPr>
        <w:t>יצוין</w:t>
      </w:r>
      <w:r w:rsidRPr="00935A6B">
        <w:rPr>
          <w:rFonts w:ascii="Tahoma" w:hAnsi="Tahoma" w:cs="Tahoma"/>
          <w:sz w:val="16"/>
          <w:szCs w:val="16"/>
          <w:rtl/>
        </w:rPr>
        <w:t xml:space="preserve"> כי </w:t>
      </w:r>
      <w:r w:rsidRPr="00935A6B">
        <w:rPr>
          <w:rFonts w:ascii="Tahoma" w:hAnsi="Tahoma" w:cs="Tahoma" w:hint="eastAsia"/>
          <w:sz w:val="16"/>
          <w:szCs w:val="16"/>
          <w:rtl/>
        </w:rPr>
        <w:t>רשות</w:t>
      </w:r>
      <w:r w:rsidRPr="00935A6B">
        <w:rPr>
          <w:rFonts w:ascii="Tahoma" w:hAnsi="Tahoma" w:cs="Tahoma"/>
          <w:sz w:val="16"/>
          <w:szCs w:val="16"/>
          <w:rtl/>
        </w:rPr>
        <w:t xml:space="preserve"> שוק ההון מסרה בתשובתה כי </w:t>
      </w:r>
      <w:r w:rsidRPr="00935A6B">
        <w:rPr>
          <w:rFonts w:ascii="Tahoma" w:hAnsi="Tahoma" w:cs="Tahoma" w:hint="eastAsia"/>
          <w:sz w:val="16"/>
          <w:szCs w:val="16"/>
          <w:rtl/>
        </w:rPr>
        <w:t>מדובר</w:t>
      </w:r>
      <w:r w:rsidRPr="00935A6B">
        <w:rPr>
          <w:rFonts w:ascii="Tahoma" w:hAnsi="Tahoma" w:cs="Tahoma"/>
          <w:sz w:val="16"/>
          <w:szCs w:val="16"/>
          <w:rtl/>
        </w:rPr>
        <w:t xml:space="preserve"> </w:t>
      </w:r>
      <w:r w:rsidRPr="00935A6B">
        <w:rPr>
          <w:rFonts w:ascii="Tahoma" w:hAnsi="Tahoma" w:cs="Tahoma" w:hint="eastAsia"/>
          <w:sz w:val="16"/>
          <w:szCs w:val="16"/>
          <w:rtl/>
        </w:rPr>
        <w:t>בהלוואות</w:t>
      </w:r>
      <w:r w:rsidRPr="00935A6B">
        <w:rPr>
          <w:rFonts w:ascii="Tahoma" w:hAnsi="Tahoma" w:cs="Tahoma"/>
          <w:sz w:val="16"/>
          <w:szCs w:val="16"/>
          <w:rtl/>
        </w:rPr>
        <w:t xml:space="preserve"> </w:t>
      </w:r>
      <w:r w:rsidRPr="00935A6B">
        <w:rPr>
          <w:rFonts w:ascii="Tahoma" w:hAnsi="Tahoma" w:cs="Tahoma" w:hint="eastAsia"/>
          <w:sz w:val="16"/>
          <w:szCs w:val="16"/>
          <w:rtl/>
        </w:rPr>
        <w:t>עסקיות</w:t>
      </w:r>
      <w:r w:rsidRPr="00935A6B">
        <w:rPr>
          <w:rFonts w:ascii="Tahoma" w:hAnsi="Tahoma" w:cs="Tahoma"/>
          <w:sz w:val="16"/>
          <w:szCs w:val="16"/>
          <w:rtl/>
        </w:rPr>
        <w:t xml:space="preserve"> </w:t>
      </w:r>
      <w:r w:rsidRPr="00935A6B">
        <w:rPr>
          <w:rFonts w:ascii="Tahoma" w:hAnsi="Tahoma" w:cs="Tahoma" w:hint="eastAsia"/>
          <w:sz w:val="16"/>
          <w:szCs w:val="16"/>
          <w:rtl/>
        </w:rPr>
        <w:t>שחוק</w:t>
      </w:r>
      <w:r w:rsidRPr="00935A6B">
        <w:rPr>
          <w:rFonts w:ascii="Tahoma" w:hAnsi="Tahoma" w:cs="Tahoma"/>
          <w:sz w:val="16"/>
          <w:szCs w:val="16"/>
          <w:rtl/>
        </w:rPr>
        <w:t xml:space="preserve"> </w:t>
      </w:r>
      <w:r w:rsidRPr="00935A6B">
        <w:rPr>
          <w:rFonts w:ascii="Tahoma" w:hAnsi="Tahoma" w:cs="Tahoma" w:hint="eastAsia"/>
          <w:sz w:val="16"/>
          <w:szCs w:val="16"/>
          <w:rtl/>
        </w:rPr>
        <w:t>אשראי</w:t>
      </w:r>
      <w:r w:rsidRPr="00935A6B">
        <w:rPr>
          <w:rFonts w:ascii="Tahoma" w:hAnsi="Tahoma" w:cs="Tahoma"/>
          <w:sz w:val="16"/>
          <w:szCs w:val="16"/>
          <w:rtl/>
        </w:rPr>
        <w:t xml:space="preserve"> </w:t>
      </w:r>
      <w:r w:rsidRPr="00935A6B">
        <w:rPr>
          <w:rFonts w:ascii="Tahoma" w:hAnsi="Tahoma" w:cs="Tahoma" w:hint="eastAsia"/>
          <w:sz w:val="16"/>
          <w:szCs w:val="16"/>
          <w:rtl/>
        </w:rPr>
        <w:t>הוגן</w:t>
      </w:r>
      <w:r w:rsidRPr="00935A6B">
        <w:rPr>
          <w:rFonts w:ascii="Tahoma" w:hAnsi="Tahoma" w:cs="Tahoma"/>
          <w:sz w:val="16"/>
          <w:szCs w:val="16"/>
          <w:rtl/>
        </w:rPr>
        <w:t xml:space="preserve"> </w:t>
      </w:r>
      <w:r w:rsidRPr="00935A6B">
        <w:rPr>
          <w:rFonts w:ascii="Tahoma" w:hAnsi="Tahoma" w:cs="Tahoma" w:hint="eastAsia"/>
          <w:sz w:val="16"/>
          <w:szCs w:val="16"/>
          <w:rtl/>
        </w:rPr>
        <w:t>אינו</w:t>
      </w:r>
      <w:r w:rsidRPr="00935A6B">
        <w:rPr>
          <w:rFonts w:ascii="Tahoma" w:hAnsi="Tahoma" w:cs="Tahoma"/>
          <w:sz w:val="16"/>
          <w:szCs w:val="16"/>
          <w:rtl/>
        </w:rPr>
        <w:t xml:space="preserve"> </w:t>
      </w:r>
      <w:r w:rsidRPr="00935A6B">
        <w:rPr>
          <w:rFonts w:ascii="Tahoma" w:hAnsi="Tahoma" w:cs="Tahoma" w:hint="eastAsia"/>
          <w:sz w:val="16"/>
          <w:szCs w:val="16"/>
          <w:rtl/>
        </w:rPr>
        <w:t>חל</w:t>
      </w:r>
      <w:r w:rsidRPr="00935A6B">
        <w:rPr>
          <w:rFonts w:ascii="Tahoma" w:hAnsi="Tahoma" w:cs="Tahoma"/>
          <w:sz w:val="16"/>
          <w:szCs w:val="16"/>
          <w:rtl/>
        </w:rPr>
        <w:t xml:space="preserve"> </w:t>
      </w:r>
      <w:r w:rsidRPr="00935A6B">
        <w:rPr>
          <w:rFonts w:ascii="Tahoma" w:hAnsi="Tahoma" w:cs="Tahoma" w:hint="eastAsia"/>
          <w:sz w:val="16"/>
          <w:szCs w:val="16"/>
          <w:rtl/>
        </w:rPr>
        <w:t>עליהן</w:t>
      </w:r>
      <w:r w:rsidRPr="00935A6B">
        <w:rPr>
          <w:rFonts w:ascii="Tahoma" w:hAnsi="Tahoma" w:cs="Tahoma" w:hint="cs"/>
          <w:sz w:val="16"/>
          <w:szCs w:val="16"/>
          <w:rtl/>
        </w:rPr>
        <w:t>, ומדובר בהלוואות הניתנות לימים בודדים.</w:t>
      </w:r>
    </w:p>
    <w:p w:rsidR="00606D97" w:rsidRPr="00935A6B" w:rsidP="00DE05FA">
      <w:pPr>
        <w:pStyle w:val="FootnoteText"/>
        <w:rPr>
          <w:rtl/>
        </w:rPr>
      </w:pPr>
    </w:p>
  </w:footnote>
  <w:footnote w:id="21">
    <w:p w:rsidR="00606D97" w:rsidP="00DE05FA">
      <w:pPr>
        <w:pStyle w:val="FootnoteText"/>
      </w:pPr>
      <w:r>
        <w:rPr>
          <w:rStyle w:val="FootnoteReference1"/>
        </w:rPr>
        <w:footnoteRef/>
      </w:r>
      <w:r>
        <w:rPr>
          <w:rtl/>
        </w:rPr>
        <w:t xml:space="preserve"> </w:t>
      </w:r>
      <w:r>
        <w:rPr>
          <w:rtl/>
        </w:rPr>
        <w:tab/>
      </w:r>
      <w:r w:rsidRPr="00861314">
        <w:rPr>
          <w:rFonts w:ascii="Tahoma" w:hAnsi="Tahoma" w:cs="Tahoma" w:hint="cs"/>
          <w:sz w:val="16"/>
          <w:szCs w:val="16"/>
          <w:rtl/>
        </w:rPr>
        <w:t>בהתאם לנתונים המתפרסמים בדוחות השנתיים של הממונה על רשות שוק ההון.</w:t>
      </w:r>
    </w:p>
  </w:footnote>
  <w:footnote w:id="22">
    <w:p w:rsidR="004A17E8" w:rsidP="00606D97">
      <w:pPr>
        <w:pStyle w:val="FootnoteText"/>
        <w:ind w:right="-567"/>
        <w:rPr>
          <w:rFonts w:ascii="Arial" w:hAnsi="Arial" w:cs="Arial"/>
        </w:rPr>
      </w:pPr>
      <w:r>
        <w:rPr>
          <w:rStyle w:val="FootnoteReference1"/>
        </w:rPr>
        <w:footnoteRef/>
      </w:r>
      <w:r>
        <w:rPr>
          <w:rtl/>
        </w:rPr>
        <w:t xml:space="preserve"> </w:t>
      </w:r>
      <w:r>
        <w:rPr>
          <w:rtl/>
        </w:rPr>
        <w:tab/>
      </w:r>
      <w:r w:rsidRPr="00EC08F0">
        <w:rPr>
          <w:rFonts w:ascii="Tahoma" w:hAnsi="Tahoma" w:cs="Tahoma"/>
          <w:sz w:val="16"/>
          <w:szCs w:val="16"/>
          <w:rtl/>
        </w:rPr>
        <w:t>משכנתא בדרגה שנייה היא הלוואה שניתנת ללווים כנגד הנכס שלהם, בנוסף למשכנתא קיימת. במקרה של מימוש השעבוד ומכירת הנכס, לבנק שנתן את המשכנתא הראשונה יש קדימות בקבלת הרווחי</w:t>
      </w:r>
      <w:r>
        <w:rPr>
          <w:rFonts w:ascii="Tahoma" w:hAnsi="Tahoma" w:cs="Tahoma" w:hint="cs"/>
          <w:sz w:val="16"/>
          <w:szCs w:val="16"/>
          <w:rtl/>
        </w:rPr>
        <w:t>ם.</w:t>
      </w:r>
    </w:p>
    <w:p w:rsidR="00606D97" w:rsidRPr="00586ABC" w:rsidP="00DE05FA">
      <w:pPr>
        <w:pStyle w:val="FootnoteText"/>
      </w:pPr>
    </w:p>
  </w:footnote>
  <w:footnote w:id="23">
    <w:p w:rsidR="004A17E8" w:rsidP="00DE05FA">
      <w:pPr>
        <w:pStyle w:val="FootnoteText"/>
        <w:ind w:left="850" w:right="-567" w:hanging="850"/>
        <w:rPr>
          <w:rFonts w:ascii="Tahoma" w:hAnsi="Tahoma" w:cs="Tahoma" w:hint="cs"/>
          <w:sz w:val="16"/>
          <w:szCs w:val="16"/>
          <w:rtl/>
        </w:rPr>
      </w:pPr>
      <w:r>
        <w:rPr>
          <w:rStyle w:val="FootnoteReference1"/>
        </w:rPr>
        <w:footnoteRef/>
      </w:r>
      <w:r>
        <w:rPr>
          <w:rtl/>
        </w:rPr>
        <w:t xml:space="preserve"> </w:t>
      </w:r>
      <w:r>
        <w:rPr>
          <w:rtl/>
        </w:rPr>
        <w:tab/>
      </w:r>
      <w:r w:rsidRPr="00562A6C">
        <w:rPr>
          <w:rFonts w:ascii="Tahoma" w:hAnsi="Tahoma" w:cs="Tahoma" w:hint="eastAsia"/>
          <w:sz w:val="16"/>
          <w:szCs w:val="16"/>
          <w:rtl/>
        </w:rPr>
        <w:t>יצוין</w:t>
      </w:r>
      <w:r w:rsidRPr="00562A6C">
        <w:rPr>
          <w:rFonts w:ascii="Tahoma" w:hAnsi="Tahoma" w:cs="Tahoma"/>
          <w:sz w:val="16"/>
          <w:szCs w:val="16"/>
          <w:rtl/>
        </w:rPr>
        <w:t xml:space="preserve"> כי על פי הנתונים שהועברו </w:t>
      </w:r>
      <w:r w:rsidRPr="00562A6C">
        <w:rPr>
          <w:rFonts w:ascii="Tahoma" w:hAnsi="Tahoma" w:cs="Tahoma" w:hint="eastAsia"/>
          <w:sz w:val="16"/>
          <w:szCs w:val="16"/>
          <w:rtl/>
        </w:rPr>
        <w:t>למשרד</w:t>
      </w:r>
      <w:r w:rsidRPr="00562A6C">
        <w:rPr>
          <w:rFonts w:ascii="Tahoma" w:hAnsi="Tahoma" w:cs="Tahoma"/>
          <w:sz w:val="16"/>
          <w:szCs w:val="16"/>
          <w:rtl/>
        </w:rPr>
        <w:t xml:space="preserve"> </w:t>
      </w:r>
      <w:r w:rsidRPr="00562A6C">
        <w:rPr>
          <w:rFonts w:ascii="Tahoma" w:hAnsi="Tahoma" w:cs="Tahoma" w:hint="eastAsia"/>
          <w:sz w:val="16"/>
          <w:szCs w:val="16"/>
          <w:rtl/>
        </w:rPr>
        <w:t>מבקר</w:t>
      </w:r>
      <w:r w:rsidRPr="00562A6C">
        <w:rPr>
          <w:rFonts w:ascii="Tahoma" w:hAnsi="Tahoma" w:cs="Tahoma"/>
          <w:sz w:val="16"/>
          <w:szCs w:val="16"/>
          <w:rtl/>
        </w:rPr>
        <w:t xml:space="preserve"> </w:t>
      </w:r>
      <w:r w:rsidRPr="00562A6C">
        <w:rPr>
          <w:rFonts w:ascii="Tahoma" w:hAnsi="Tahoma" w:cs="Tahoma" w:hint="eastAsia"/>
          <w:sz w:val="16"/>
          <w:szCs w:val="16"/>
          <w:rtl/>
        </w:rPr>
        <w:t>המדינה</w:t>
      </w:r>
      <w:r w:rsidRPr="00562A6C">
        <w:rPr>
          <w:rFonts w:ascii="Tahoma" w:hAnsi="Tahoma" w:cs="Tahoma"/>
          <w:sz w:val="16"/>
          <w:szCs w:val="16"/>
          <w:rtl/>
        </w:rPr>
        <w:t xml:space="preserve"> </w:t>
      </w:r>
      <w:r w:rsidRPr="00562A6C">
        <w:rPr>
          <w:rFonts w:ascii="Tahoma" w:hAnsi="Tahoma" w:cs="Tahoma" w:hint="eastAsia"/>
          <w:sz w:val="16"/>
          <w:szCs w:val="16"/>
          <w:rtl/>
        </w:rPr>
        <w:t>ביוני</w:t>
      </w:r>
      <w:r w:rsidRPr="00562A6C">
        <w:rPr>
          <w:rFonts w:ascii="Tahoma" w:hAnsi="Tahoma" w:cs="Tahoma"/>
          <w:sz w:val="16"/>
          <w:szCs w:val="16"/>
          <w:rtl/>
        </w:rPr>
        <w:t xml:space="preserve"> 2025 </w:t>
      </w:r>
      <w:r w:rsidRPr="00562A6C">
        <w:rPr>
          <w:rFonts w:ascii="Tahoma" w:hAnsi="Tahoma" w:cs="Tahoma" w:hint="eastAsia"/>
          <w:sz w:val="16"/>
          <w:szCs w:val="16"/>
          <w:rtl/>
        </w:rPr>
        <w:t>מרשות</w:t>
      </w:r>
      <w:r w:rsidRPr="00562A6C">
        <w:rPr>
          <w:rFonts w:ascii="Tahoma" w:hAnsi="Tahoma" w:cs="Tahoma"/>
          <w:sz w:val="16"/>
          <w:szCs w:val="16"/>
          <w:rtl/>
        </w:rPr>
        <w:t xml:space="preserve"> </w:t>
      </w:r>
      <w:r w:rsidRPr="00562A6C">
        <w:rPr>
          <w:rFonts w:ascii="Tahoma" w:hAnsi="Tahoma" w:cs="Tahoma" w:hint="eastAsia"/>
          <w:sz w:val="16"/>
          <w:szCs w:val="16"/>
          <w:rtl/>
        </w:rPr>
        <w:t>שוק</w:t>
      </w:r>
      <w:r w:rsidRPr="00562A6C">
        <w:rPr>
          <w:rFonts w:ascii="Tahoma" w:hAnsi="Tahoma" w:cs="Tahoma"/>
          <w:sz w:val="16"/>
          <w:szCs w:val="16"/>
          <w:rtl/>
        </w:rPr>
        <w:t xml:space="preserve"> </w:t>
      </w:r>
      <w:r w:rsidRPr="00562A6C">
        <w:rPr>
          <w:rFonts w:ascii="Tahoma" w:hAnsi="Tahoma" w:cs="Tahoma" w:hint="eastAsia"/>
          <w:sz w:val="16"/>
          <w:szCs w:val="16"/>
          <w:rtl/>
        </w:rPr>
        <w:t>ההון</w:t>
      </w:r>
      <w:r w:rsidRPr="00562A6C">
        <w:rPr>
          <w:rFonts w:ascii="Tahoma" w:hAnsi="Tahoma" w:cs="Tahoma"/>
          <w:sz w:val="16"/>
          <w:szCs w:val="16"/>
          <w:rtl/>
        </w:rPr>
        <w:t xml:space="preserve">, </w:t>
      </w:r>
      <w:r w:rsidRPr="00562A6C">
        <w:rPr>
          <w:rFonts w:ascii="Tahoma" w:hAnsi="Tahoma" w:cs="Tahoma" w:hint="eastAsia"/>
          <w:sz w:val="16"/>
          <w:szCs w:val="16"/>
          <w:rtl/>
        </w:rPr>
        <w:t>סך</w:t>
      </w:r>
      <w:r w:rsidRPr="00562A6C">
        <w:rPr>
          <w:rFonts w:ascii="Tahoma" w:hAnsi="Tahoma" w:cs="Tahoma"/>
          <w:sz w:val="16"/>
          <w:szCs w:val="16"/>
          <w:rtl/>
        </w:rPr>
        <w:t xml:space="preserve"> </w:t>
      </w:r>
      <w:r w:rsidRPr="00562A6C">
        <w:rPr>
          <w:rFonts w:ascii="Tahoma" w:hAnsi="Tahoma" w:cs="Tahoma" w:hint="eastAsia"/>
          <w:sz w:val="16"/>
          <w:szCs w:val="16"/>
          <w:rtl/>
        </w:rPr>
        <w:t>האשראי</w:t>
      </w:r>
      <w:r w:rsidRPr="00562A6C">
        <w:rPr>
          <w:rFonts w:ascii="Tahoma" w:hAnsi="Tahoma" w:cs="Tahoma"/>
          <w:sz w:val="16"/>
          <w:szCs w:val="16"/>
          <w:rtl/>
        </w:rPr>
        <w:t xml:space="preserve"> </w:t>
      </w:r>
      <w:r w:rsidRPr="00562A6C">
        <w:rPr>
          <w:rFonts w:ascii="Tahoma" w:hAnsi="Tahoma" w:cs="Tahoma" w:hint="eastAsia"/>
          <w:sz w:val="16"/>
          <w:szCs w:val="16"/>
          <w:rtl/>
        </w:rPr>
        <w:t>לדיור</w:t>
      </w:r>
      <w:r w:rsidRPr="00562A6C">
        <w:rPr>
          <w:rFonts w:ascii="Tahoma" w:hAnsi="Tahoma" w:cs="Tahoma"/>
          <w:sz w:val="16"/>
          <w:szCs w:val="16"/>
          <w:rtl/>
        </w:rPr>
        <w:t xml:space="preserve"> </w:t>
      </w:r>
      <w:r>
        <w:rPr>
          <w:rFonts w:ascii="Tahoma" w:hAnsi="Tahoma" w:cs="Tahoma" w:hint="cs"/>
          <w:sz w:val="16"/>
          <w:szCs w:val="16"/>
          <w:rtl/>
        </w:rPr>
        <w:t>עמד</w:t>
      </w:r>
      <w:r w:rsidRPr="00562A6C">
        <w:rPr>
          <w:rFonts w:ascii="Tahoma" w:hAnsi="Tahoma" w:cs="Tahoma"/>
          <w:sz w:val="16"/>
          <w:szCs w:val="16"/>
          <w:rtl/>
        </w:rPr>
        <w:t xml:space="preserve"> </w:t>
      </w:r>
      <w:r w:rsidRPr="00562A6C">
        <w:rPr>
          <w:rFonts w:ascii="Tahoma" w:hAnsi="Tahoma" w:cs="Tahoma" w:hint="eastAsia"/>
          <w:sz w:val="16"/>
          <w:szCs w:val="16"/>
          <w:rtl/>
        </w:rPr>
        <w:t>על</w:t>
      </w:r>
      <w:r w:rsidRPr="00562A6C">
        <w:rPr>
          <w:rFonts w:ascii="Tahoma" w:hAnsi="Tahoma" w:cs="Tahoma"/>
          <w:sz w:val="16"/>
          <w:szCs w:val="16"/>
          <w:rtl/>
        </w:rPr>
        <w:t xml:space="preserve"> 5.7 </w:t>
      </w:r>
      <w:r w:rsidRPr="00562A6C">
        <w:rPr>
          <w:rFonts w:ascii="Tahoma" w:hAnsi="Tahoma" w:cs="Tahoma" w:hint="eastAsia"/>
          <w:sz w:val="16"/>
          <w:szCs w:val="16"/>
          <w:rtl/>
        </w:rPr>
        <w:t>מיליארד</w:t>
      </w:r>
      <w:r w:rsidRPr="00562A6C">
        <w:rPr>
          <w:rFonts w:ascii="Tahoma" w:hAnsi="Tahoma" w:cs="Tahoma"/>
          <w:sz w:val="16"/>
          <w:szCs w:val="16"/>
          <w:rtl/>
        </w:rPr>
        <w:t xml:space="preserve"> </w:t>
      </w:r>
      <w:r w:rsidRPr="00562A6C">
        <w:rPr>
          <w:rFonts w:ascii="Tahoma" w:hAnsi="Tahoma" w:cs="Tahoma" w:hint="cs"/>
          <w:sz w:val="16"/>
          <w:szCs w:val="16"/>
          <w:rtl/>
        </w:rPr>
        <w:t>ש"ח לשנת 2024.</w:t>
      </w:r>
    </w:p>
    <w:p w:rsidR="00606D97" w:rsidP="00DE05FA">
      <w:pPr>
        <w:pStyle w:val="FootnoteText"/>
        <w:ind w:left="850" w:right="-567" w:hanging="85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7E8" w:rsidP="001F4412">
    <w:pPr>
      <w:pStyle w:val="Header"/>
      <w:tabs>
        <w:tab w:val="clear" w:pos="8306"/>
        <w:tab w:val="right" w:pos="8504"/>
      </w:tabs>
      <w:ind w:right="-709"/>
      <w:jc w:val="right"/>
      <w:rPr>
        <w:rFonts w:asciiTheme="minorHAnsi" w:hAnsiTheme="minorHAnsi" w:cstheme="minorHAnsi"/>
        <w:color w:val="002060"/>
        <w:szCs w:val="20"/>
        <w:rtl/>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606D97" w:rsidRPr="001E204F" w:rsidP="00354F9A">
                          <w:pPr>
                            <w:rPr>
                              <w:rFonts w:ascii="Calibri" w:hAnsi="Calibri" w:cs="Calibri"/>
                              <w:color w:val="002060"/>
                              <w:szCs w:val="20"/>
                              <w:rtl/>
                            </w:rPr>
                          </w:pPr>
                          <w:r w:rsidRPr="00A411B9">
                            <w:rPr>
                              <w:rFonts w:ascii="Calibri" w:hAnsi="Calibri" w:cs="Calibri"/>
                              <w:color w:val="002060"/>
                              <w:szCs w:val="20"/>
                              <w:rtl/>
                            </w:rPr>
                            <w:t>שוק המשכנתאות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606D97" w:rsidRPr="001E204F" w:rsidP="00354F9A">
                    <w:pPr>
                      <w:rPr>
                        <w:rFonts w:ascii="Calibri" w:hAnsi="Calibri" w:cs="Calibri"/>
                        <w:color w:val="002060"/>
                        <w:szCs w:val="20"/>
                        <w:rtl/>
                      </w:rPr>
                    </w:pPr>
                    <w:r w:rsidRPr="00A411B9">
                      <w:rPr>
                        <w:rFonts w:ascii="Calibri" w:hAnsi="Calibri" w:cs="Calibri"/>
                        <w:color w:val="002060"/>
                        <w:szCs w:val="20"/>
                        <w:rtl/>
                      </w:rPr>
                      <w:t>שוק המשכנתאות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4A17E8" w:rsidP="0062451B">
                          <w:pPr>
                            <w:jc w:val="right"/>
                            <w:rPr>
                              <w:rFonts w:ascii="Calibri" w:hAnsi="Calibri" w:cs="Calibri" w:hint="cs"/>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p>
                        <w:p w:rsidR="00606D97" w:rsidRPr="0062451B" w:rsidP="0062451B">
                          <w:pPr>
                            <w:jc w:val="right"/>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4A17E8" w:rsidP="0062451B">
                    <w:pPr>
                      <w:jc w:val="right"/>
                      <w:rPr>
                        <w:rFonts w:ascii="Calibri" w:hAnsi="Calibri" w:cs="Calibri" w:hint="cs"/>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p>
                  <w:p w:rsidR="00606D97" w:rsidRPr="0062451B" w:rsidP="0062451B">
                    <w:pPr>
                      <w:jc w:val="right"/>
                      <w:rPr>
                        <w:rFonts w:ascii="Calibri" w:hAnsi="Calibri" w:cs="Calibri"/>
                        <w:color w:val="002060"/>
                        <w:szCs w:val="20"/>
                        <w:rtl/>
                      </w:rPr>
                    </w:pP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06D9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06D9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p>
  <w:p w:rsidR="00606D97" w:rsidRPr="0062451B" w:rsidP="001F4412">
    <w:pPr>
      <w:pStyle w:val="Header"/>
      <w:tabs>
        <w:tab w:val="clear" w:pos="8306"/>
        <w:tab w:val="right" w:pos="8504"/>
      </w:tabs>
      <w:ind w:right="-709"/>
      <w:jc w:val="right"/>
      <w:rPr>
        <w:rFonts w:asciiTheme="minorHAnsi" w:hAnsiTheme="minorHAnsi" w:cstheme="minorHAnsi"/>
        <w:color w:val="00206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D97">
    <w:pPr>
      <w:pStyle w:val="Header"/>
    </w:pPr>
    <w:r>
      <w:rPr>
        <w:noProof/>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paragraph">
                <wp:posOffset>-450166</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06D97"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06D97"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5.45pt;margin-left:0;mso-position-horizontal:center;mso-position-horizontal-relative:page;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06D97"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06D97"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D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7E8" w:rsidP="00EF4539">
    <w:pPr>
      <w:pStyle w:val="Header"/>
      <w:tabs>
        <w:tab w:val="clear" w:pos="8306"/>
        <w:tab w:val="right" w:pos="8504"/>
      </w:tabs>
      <w:ind w:right="-709"/>
      <w:jc w:val="right"/>
      <w:rPr>
        <w:rFonts w:ascii="Calibri" w:hAnsi="Calibri" w:cs="Calibri"/>
        <w:color w:val="002060"/>
        <w:szCs w:val="20"/>
        <w:rtl/>
      </w:rPr>
    </w:pPr>
    <w:r w:rsidRPr="00DE05FA">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DE05FA">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4A17E8" w:rsidP="00EF4539">
                          <w:pPr>
                            <w:jc w:val="right"/>
                            <w:rPr>
                              <w:rFonts w:ascii="Calibri" w:hAnsi="Calibri" w:cs="Calibri" w:hint="cs"/>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E05FA">
                            <w:rPr>
                              <w:rFonts w:ascii="Calibri" w:hAnsi="Calibri" w:cs="Calibri"/>
                              <w:color w:val="002060"/>
                              <w:spacing w:val="20"/>
                              <w:sz w:val="22"/>
                              <w:szCs w:val="22"/>
                            </w:rPr>
                            <w:t xml:space="preserve"> </w:t>
                          </w:r>
                          <w:r w:rsidRPr="00DE05FA">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p>
                        <w:p w:rsidR="00606D97" w:rsidRPr="0062451B" w:rsidP="00EF4539">
                          <w:pPr>
                            <w:jc w:val="right"/>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4A17E8" w:rsidP="00EF4539">
                    <w:pPr>
                      <w:jc w:val="right"/>
                      <w:rPr>
                        <w:rFonts w:ascii="Calibri" w:hAnsi="Calibri" w:cs="Calibri" w:hint="cs"/>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E05FA">
                      <w:rPr>
                        <w:rFonts w:ascii="Calibri" w:hAnsi="Calibri" w:cs="Calibri"/>
                        <w:color w:val="002060"/>
                        <w:spacing w:val="20"/>
                        <w:sz w:val="22"/>
                        <w:szCs w:val="22"/>
                      </w:rPr>
                      <w:t xml:space="preserve"> </w:t>
                    </w:r>
                    <w:r w:rsidRPr="00DE05FA">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p>
                  <w:p w:rsidR="00606D97" w:rsidRPr="0062451B" w:rsidP="00EF4539">
                    <w:pPr>
                      <w:jc w:val="right"/>
                      <w:rPr>
                        <w:rFonts w:ascii="Calibri" w:hAnsi="Calibri" w:cs="Calibri"/>
                        <w:color w:val="002060"/>
                        <w:szCs w:val="20"/>
                        <w:rtl/>
                      </w:rPr>
                    </w:pPr>
                  </w:p>
                </w:txbxContent>
              </v:textbox>
              <w10:wrap type="tight"/>
            </v:shape>
          </w:pict>
        </mc:Fallback>
      </mc:AlternateContent>
    </w:r>
    <w:r w:rsidRPr="00DE05FA">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06D97"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606D97"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v:textbox>
              <w10:wrap type="square"/>
            </v:shape>
          </w:pict>
        </mc:Fallback>
      </mc:AlternateContent>
    </w:r>
    <w:r w:rsidRPr="00DE05FA">
      <w:rPr>
        <w:rFonts w:ascii="Calibri" w:hAnsi="Calibri" w:cs="Calibri"/>
        <w:color w:val="002060"/>
        <w:szCs w:val="20"/>
        <w:rtl/>
      </w:rPr>
      <w:fldChar w:fldCharType="begin"/>
    </w:r>
    <w:r w:rsidRPr="00DE05FA">
      <w:rPr>
        <w:rFonts w:ascii="Calibri" w:hAnsi="Calibri" w:cs="Calibri"/>
        <w:color w:val="002060"/>
        <w:szCs w:val="20"/>
        <w:rtl/>
      </w:rPr>
      <w:instrText xml:space="preserve"> </w:instrText>
    </w:r>
    <w:r w:rsidRPr="00DE05FA">
      <w:rPr>
        <w:rFonts w:ascii="Calibri" w:hAnsi="Calibri" w:cs="Calibri"/>
        <w:color w:val="002060"/>
        <w:szCs w:val="20"/>
      </w:rPr>
      <w:instrText>PAGE</w:instrText>
    </w:r>
    <w:r w:rsidRPr="00DE05FA">
      <w:rPr>
        <w:rFonts w:ascii="Calibri" w:hAnsi="Calibri" w:cs="Calibri"/>
        <w:color w:val="002060"/>
        <w:szCs w:val="20"/>
        <w:rtl/>
      </w:rPr>
      <w:instrText xml:space="preserve">  \* </w:instrText>
    </w:r>
    <w:r w:rsidRPr="00DE05FA">
      <w:rPr>
        <w:rFonts w:ascii="Calibri" w:hAnsi="Calibri" w:cs="Calibri"/>
        <w:color w:val="002060"/>
        <w:szCs w:val="20"/>
      </w:rPr>
      <w:instrText>MERGEFORMAT</w:instrText>
    </w:r>
    <w:r w:rsidRPr="00DE05FA">
      <w:rPr>
        <w:rFonts w:ascii="Calibri" w:hAnsi="Calibri" w:cs="Calibri"/>
        <w:color w:val="002060"/>
        <w:szCs w:val="20"/>
        <w:rtl/>
      </w:rPr>
      <w:instrText xml:space="preserve"> </w:instrText>
    </w:r>
    <w:r w:rsidRPr="00DE05FA">
      <w:rPr>
        <w:rFonts w:ascii="Calibri" w:hAnsi="Calibri" w:cs="Calibri"/>
        <w:color w:val="002060"/>
        <w:szCs w:val="20"/>
        <w:rtl/>
      </w:rPr>
      <w:fldChar w:fldCharType="separate"/>
    </w:r>
    <w:r w:rsidRPr="00DE05FA">
      <w:rPr>
        <w:rFonts w:ascii="Calibri" w:hAnsi="Calibri" w:cs="Calibri"/>
        <w:color w:val="002060"/>
        <w:szCs w:val="20"/>
        <w:rtl/>
      </w:rPr>
      <w:t>3</w:t>
    </w:r>
    <w:r w:rsidRPr="00DE05FA">
      <w:rPr>
        <w:rFonts w:ascii="Calibri" w:hAnsi="Calibri" w:cs="Calibri"/>
        <w:color w:val="002060"/>
        <w:szCs w:val="20"/>
        <w:rtl/>
      </w:rPr>
      <w:fldChar w:fldCharType="end"/>
    </w:r>
  </w:p>
  <w:p w:rsidR="00606D97"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5pt;height:384.35pt" o:bullet="t">
        <v:imagedata r:id="rId1" o:title="light-bulb"/>
      </v:shape>
    </w:pict>
  </w:numPicBullet>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4647FD5"/>
    <w:multiLevelType w:val="hybridMultilevel"/>
    <w:tmpl w:val="A5DC5920"/>
    <w:lvl w:ilvl="0">
      <w:start w:val="1"/>
      <w:numFmt w:val="bullet"/>
      <w:lvlText w:val=""/>
      <w:lvlJc w:val="left"/>
      <w:pPr>
        <w:ind w:left="10" w:hanging="360"/>
      </w:pPr>
      <w:rPr>
        <w:rFonts w:ascii="Symbol" w:hAnsi="Symbol" w:hint="default"/>
      </w:rPr>
    </w:lvl>
    <w:lvl w:ilvl="1" w:tentative="1">
      <w:start w:val="1"/>
      <w:numFmt w:val="bullet"/>
      <w:lvlText w:val="o"/>
      <w:lvlJc w:val="left"/>
      <w:pPr>
        <w:ind w:left="730" w:hanging="360"/>
      </w:pPr>
      <w:rPr>
        <w:rFonts w:ascii="Courier New" w:hAnsi="Courier New" w:cs="Courier New" w:hint="default"/>
      </w:rPr>
    </w:lvl>
    <w:lvl w:ilvl="2" w:tentative="1">
      <w:start w:val="1"/>
      <w:numFmt w:val="bullet"/>
      <w:lvlText w:val=""/>
      <w:lvlJc w:val="left"/>
      <w:pPr>
        <w:ind w:left="1450" w:hanging="360"/>
      </w:pPr>
      <w:rPr>
        <w:rFonts w:ascii="Wingdings" w:hAnsi="Wingdings" w:hint="default"/>
      </w:rPr>
    </w:lvl>
    <w:lvl w:ilvl="3" w:tentative="1">
      <w:start w:val="1"/>
      <w:numFmt w:val="bullet"/>
      <w:lvlText w:val=""/>
      <w:lvlJc w:val="left"/>
      <w:pPr>
        <w:ind w:left="2170" w:hanging="360"/>
      </w:pPr>
      <w:rPr>
        <w:rFonts w:ascii="Symbol" w:hAnsi="Symbol" w:hint="default"/>
      </w:rPr>
    </w:lvl>
    <w:lvl w:ilvl="4" w:tentative="1">
      <w:start w:val="1"/>
      <w:numFmt w:val="bullet"/>
      <w:lvlText w:val="o"/>
      <w:lvlJc w:val="left"/>
      <w:pPr>
        <w:ind w:left="2890" w:hanging="360"/>
      </w:pPr>
      <w:rPr>
        <w:rFonts w:ascii="Courier New" w:hAnsi="Courier New" w:cs="Courier New" w:hint="default"/>
      </w:rPr>
    </w:lvl>
    <w:lvl w:ilvl="5" w:tentative="1">
      <w:start w:val="1"/>
      <w:numFmt w:val="bullet"/>
      <w:lvlText w:val=""/>
      <w:lvlJc w:val="left"/>
      <w:pPr>
        <w:ind w:left="3610" w:hanging="360"/>
      </w:pPr>
      <w:rPr>
        <w:rFonts w:ascii="Wingdings" w:hAnsi="Wingdings" w:hint="default"/>
      </w:rPr>
    </w:lvl>
    <w:lvl w:ilvl="6" w:tentative="1">
      <w:start w:val="1"/>
      <w:numFmt w:val="bullet"/>
      <w:lvlText w:val=""/>
      <w:lvlJc w:val="left"/>
      <w:pPr>
        <w:ind w:left="4330" w:hanging="360"/>
      </w:pPr>
      <w:rPr>
        <w:rFonts w:ascii="Symbol" w:hAnsi="Symbol" w:hint="default"/>
      </w:rPr>
    </w:lvl>
    <w:lvl w:ilvl="7" w:tentative="1">
      <w:start w:val="1"/>
      <w:numFmt w:val="bullet"/>
      <w:lvlText w:val="o"/>
      <w:lvlJc w:val="left"/>
      <w:pPr>
        <w:ind w:left="5050" w:hanging="360"/>
      </w:pPr>
      <w:rPr>
        <w:rFonts w:ascii="Courier New" w:hAnsi="Courier New" w:cs="Courier New" w:hint="default"/>
      </w:rPr>
    </w:lvl>
    <w:lvl w:ilvl="8" w:tentative="1">
      <w:start w:val="1"/>
      <w:numFmt w:val="bullet"/>
      <w:lvlText w:val=""/>
      <w:lvlJc w:val="left"/>
      <w:pPr>
        <w:ind w:left="5770" w:hanging="360"/>
      </w:pPr>
      <w:rPr>
        <w:rFonts w:ascii="Wingdings" w:hAnsi="Wingdings" w:hint="default"/>
      </w:rPr>
    </w:lvl>
  </w:abstractNum>
  <w:abstractNum w:abstractNumId="5" w15:restartNumberingAfterBreak="0">
    <w:nsid w:val="217C46B4"/>
    <w:multiLevelType w:val="hybridMultilevel"/>
    <w:tmpl w:val="60C85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6D2501"/>
    <w:multiLevelType w:val="hybridMultilevel"/>
    <w:tmpl w:val="C2B42966"/>
    <w:lvl w:ilvl="0">
      <w:start w:val="0"/>
      <w:numFmt w:val="bullet"/>
      <w:lvlText w:val=""/>
      <w:lvlJc w:val="left"/>
      <w:pPr>
        <w:ind w:left="720" w:hanging="360"/>
      </w:pPr>
      <w:rPr>
        <w:rFonts w:ascii="Symbol" w:hAnsi="Symbol"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D596896"/>
    <w:multiLevelType w:val="hybridMultilevel"/>
    <w:tmpl w:val="800AA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E7158F1"/>
    <w:multiLevelType w:val="hybridMultilevel"/>
    <w:tmpl w:val="C19039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7" w15:restartNumberingAfterBreak="0">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15:restartNumberingAfterBreak="0">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1" w15:restartNumberingAfterBreak="0">
    <w:nsid w:val="48D43C81"/>
    <w:multiLevelType w:val="hybridMultilevel"/>
    <w:tmpl w:val="3B6AB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A5022B4"/>
    <w:multiLevelType w:val="hybridMultilevel"/>
    <w:tmpl w:val="F1C6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5"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15:restartNumberingAfterBreak="0">
    <w:nsid w:val="66191F08"/>
    <w:multiLevelType w:val="hybridMultilevel"/>
    <w:tmpl w:val="322E9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8"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30" w15:restartNumberingAfterBreak="0">
    <w:nsid w:val="6FFD048B"/>
    <w:multiLevelType w:val="hybridMultilevel"/>
    <w:tmpl w:val="94EA7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6E74A4B"/>
    <w:multiLevelType w:val="hybridMultilevel"/>
    <w:tmpl w:val="73C258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7EE56B23"/>
    <w:multiLevelType w:val="hybridMultilevel"/>
    <w:tmpl w:val="CF8A8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24"/>
  </w:num>
  <w:num w:numId="3">
    <w:abstractNumId w:val="18"/>
  </w:num>
  <w:num w:numId="4">
    <w:abstractNumId w:val="2"/>
  </w:num>
  <w:num w:numId="5">
    <w:abstractNumId w:val="20"/>
  </w:num>
  <w:num w:numId="6">
    <w:abstractNumId w:val="27"/>
  </w:num>
  <w:num w:numId="7">
    <w:abstractNumId w:val="16"/>
  </w:num>
  <w:num w:numId="8">
    <w:abstractNumId w:val="13"/>
  </w:num>
  <w:num w:numId="9">
    <w:abstractNumId w:val="12"/>
  </w:num>
  <w:num w:numId="10">
    <w:abstractNumId w:val="15"/>
  </w:num>
  <w:num w:numId="11">
    <w:abstractNumId w:val="34"/>
  </w:num>
  <w:num w:numId="12">
    <w:abstractNumId w:val="0"/>
  </w:num>
  <w:num w:numId="13">
    <w:abstractNumId w:val="1"/>
  </w:num>
  <w:num w:numId="14">
    <w:abstractNumId w:val="11"/>
  </w:num>
  <w:num w:numId="15">
    <w:abstractNumId w:val="8"/>
  </w:num>
  <w:num w:numId="16">
    <w:abstractNumId w:val="31"/>
  </w:num>
  <w:num w:numId="17">
    <w:abstractNumId w:val="29"/>
  </w:num>
  <w:num w:numId="18">
    <w:abstractNumId w:val="14"/>
  </w:num>
  <w:num w:numId="19">
    <w:abstractNumId w:val="6"/>
  </w:num>
  <w:num w:numId="20">
    <w:abstractNumId w:val="23"/>
  </w:num>
  <w:num w:numId="21">
    <w:abstractNumId w:val="19"/>
  </w:num>
  <w:num w:numId="22">
    <w:abstractNumId w:val="17"/>
  </w:num>
  <w:num w:numId="23">
    <w:abstractNumId w:val="28"/>
  </w:num>
  <w:num w:numId="24">
    <w:abstractNumId w:val="3"/>
  </w:num>
  <w:num w:numId="25">
    <w:abstractNumId w:val="25"/>
  </w:num>
  <w:num w:numId="26">
    <w:abstractNumId w:val="7"/>
  </w:num>
  <w:num w:numId="27">
    <w:abstractNumId w:val="26"/>
  </w:num>
  <w:num w:numId="28">
    <w:abstractNumId w:val="35"/>
  </w:num>
  <w:num w:numId="29">
    <w:abstractNumId w:val="10"/>
  </w:num>
  <w:num w:numId="30">
    <w:abstractNumId w:val="21"/>
  </w:num>
  <w:num w:numId="31">
    <w:abstractNumId w:val="22"/>
  </w:num>
  <w:num w:numId="32">
    <w:abstractNumId w:val="9"/>
  </w:num>
  <w:num w:numId="33">
    <w:abstractNumId w:val="5"/>
  </w:num>
  <w:num w:numId="34">
    <w:abstractNumId w:val="30"/>
  </w:num>
  <w:num w:numId="35">
    <w:abstractNumId w:val="4"/>
  </w:num>
  <w:num w:numId="3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57540"/>
    <w:rsid w:val="00061C49"/>
    <w:rsid w:val="000816B1"/>
    <w:rsid w:val="000B1102"/>
    <w:rsid w:val="000B2400"/>
    <w:rsid w:val="000C7459"/>
    <w:rsid w:val="000E013E"/>
    <w:rsid w:val="000F7725"/>
    <w:rsid w:val="00101D0F"/>
    <w:rsid w:val="00113E28"/>
    <w:rsid w:val="00114325"/>
    <w:rsid w:val="00166477"/>
    <w:rsid w:val="001730B0"/>
    <w:rsid w:val="001960B4"/>
    <w:rsid w:val="001A613C"/>
    <w:rsid w:val="001B2821"/>
    <w:rsid w:val="001B7D86"/>
    <w:rsid w:val="001C057E"/>
    <w:rsid w:val="001C6185"/>
    <w:rsid w:val="001C7141"/>
    <w:rsid w:val="001E204F"/>
    <w:rsid w:val="001F4412"/>
    <w:rsid w:val="00203604"/>
    <w:rsid w:val="002064F7"/>
    <w:rsid w:val="00240887"/>
    <w:rsid w:val="00263521"/>
    <w:rsid w:val="002646BE"/>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332C9"/>
    <w:rsid w:val="004779AA"/>
    <w:rsid w:val="0049522B"/>
    <w:rsid w:val="00496F3E"/>
    <w:rsid w:val="004A0385"/>
    <w:rsid w:val="004A17E8"/>
    <w:rsid w:val="004B227E"/>
    <w:rsid w:val="004C7D9F"/>
    <w:rsid w:val="005006C5"/>
    <w:rsid w:val="005405A6"/>
    <w:rsid w:val="0054666C"/>
    <w:rsid w:val="00551B42"/>
    <w:rsid w:val="00551FF7"/>
    <w:rsid w:val="00562A6C"/>
    <w:rsid w:val="00574579"/>
    <w:rsid w:val="00580C5C"/>
    <w:rsid w:val="00586ABC"/>
    <w:rsid w:val="005A021D"/>
    <w:rsid w:val="005A2731"/>
    <w:rsid w:val="005B56B2"/>
    <w:rsid w:val="00606D97"/>
    <w:rsid w:val="0062451B"/>
    <w:rsid w:val="00634DAD"/>
    <w:rsid w:val="00640B60"/>
    <w:rsid w:val="006457EB"/>
    <w:rsid w:val="006531CB"/>
    <w:rsid w:val="006A4E50"/>
    <w:rsid w:val="006C2C6D"/>
    <w:rsid w:val="006D4161"/>
    <w:rsid w:val="006D786C"/>
    <w:rsid w:val="006E1414"/>
    <w:rsid w:val="006F285F"/>
    <w:rsid w:val="0070202C"/>
    <w:rsid w:val="0072219B"/>
    <w:rsid w:val="007474F0"/>
    <w:rsid w:val="00753ADE"/>
    <w:rsid w:val="00773F61"/>
    <w:rsid w:val="00780728"/>
    <w:rsid w:val="007A4EBD"/>
    <w:rsid w:val="007B112B"/>
    <w:rsid w:val="007B5B26"/>
    <w:rsid w:val="007B691A"/>
    <w:rsid w:val="007C1FF6"/>
    <w:rsid w:val="007C3AF6"/>
    <w:rsid w:val="007D61B8"/>
    <w:rsid w:val="007F7FF2"/>
    <w:rsid w:val="00805B42"/>
    <w:rsid w:val="008102AD"/>
    <w:rsid w:val="008131AD"/>
    <w:rsid w:val="00837997"/>
    <w:rsid w:val="00861314"/>
    <w:rsid w:val="00867FC5"/>
    <w:rsid w:val="00892F80"/>
    <w:rsid w:val="008B4F41"/>
    <w:rsid w:val="008C6B81"/>
    <w:rsid w:val="008C6F75"/>
    <w:rsid w:val="008E3D8A"/>
    <w:rsid w:val="008E7355"/>
    <w:rsid w:val="009015B2"/>
    <w:rsid w:val="00906E90"/>
    <w:rsid w:val="00906FB1"/>
    <w:rsid w:val="0091051D"/>
    <w:rsid w:val="00933E1C"/>
    <w:rsid w:val="00935A6B"/>
    <w:rsid w:val="00936F84"/>
    <w:rsid w:val="00940851"/>
    <w:rsid w:val="009679D9"/>
    <w:rsid w:val="009802D2"/>
    <w:rsid w:val="009B757F"/>
    <w:rsid w:val="009C6066"/>
    <w:rsid w:val="009D73F5"/>
    <w:rsid w:val="009E1A3F"/>
    <w:rsid w:val="009E53CF"/>
    <w:rsid w:val="009F0BD3"/>
    <w:rsid w:val="00A222E2"/>
    <w:rsid w:val="00A411B9"/>
    <w:rsid w:val="00A61AD5"/>
    <w:rsid w:val="00A65E62"/>
    <w:rsid w:val="00A73038"/>
    <w:rsid w:val="00A76C99"/>
    <w:rsid w:val="00A81EBE"/>
    <w:rsid w:val="00A871E1"/>
    <w:rsid w:val="00AC6B95"/>
    <w:rsid w:val="00B00E5C"/>
    <w:rsid w:val="00B4321D"/>
    <w:rsid w:val="00B644C6"/>
    <w:rsid w:val="00B666B9"/>
    <w:rsid w:val="00B76DC1"/>
    <w:rsid w:val="00B862C0"/>
    <w:rsid w:val="00BE2120"/>
    <w:rsid w:val="00BE2DD8"/>
    <w:rsid w:val="00C2305A"/>
    <w:rsid w:val="00C23CC9"/>
    <w:rsid w:val="00C30B3D"/>
    <w:rsid w:val="00C33AE2"/>
    <w:rsid w:val="00C50548"/>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A551F"/>
    <w:rsid w:val="00DD20C4"/>
    <w:rsid w:val="00DE05FA"/>
    <w:rsid w:val="00DE1DAB"/>
    <w:rsid w:val="00DE20A2"/>
    <w:rsid w:val="00DF0B89"/>
    <w:rsid w:val="00E122EE"/>
    <w:rsid w:val="00E35682"/>
    <w:rsid w:val="00E46EA3"/>
    <w:rsid w:val="00E51C1B"/>
    <w:rsid w:val="00E53DA7"/>
    <w:rsid w:val="00EC08F0"/>
    <w:rsid w:val="00EC6B44"/>
    <w:rsid w:val="00EE37A3"/>
    <w:rsid w:val="00EE57E1"/>
    <w:rsid w:val="00EF4539"/>
    <w:rsid w:val="00F36CB4"/>
    <w:rsid w:val="00F4385E"/>
    <w:rsid w:val="00F52944"/>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FB61586"/>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110">
    <w:name w:val="ללא רשימה1"/>
    <w:next w:val="NoList"/>
    <w:uiPriority w:val="99"/>
    <w:semiHidden/>
    <w:unhideWhenUsed/>
    <w:rsid w:val="00DE05FA"/>
  </w:style>
  <w:style w:type="table" w:customStyle="1" w:styleId="26">
    <w:name w:val="רשת טבלה2"/>
    <w:basedOn w:val="TableNormal"/>
    <w:next w:val="TableGrid"/>
    <w:uiPriority w:val="59"/>
    <w:rsid w:val="00DE05FA"/>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טבלת רשת 4 - הדגשה 11"/>
    <w:basedOn w:val="TableNormal"/>
    <w:next w:val="GridTable4Accent1"/>
    <w:uiPriority w:val="49"/>
    <w:rsid w:val="00DE05FA"/>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itation-10">
    <w:name w:val="citation-10"/>
    <w:basedOn w:val="DefaultParagraphFont"/>
    <w:rsid w:val="00DE05FA"/>
  </w:style>
  <w:style w:type="paragraph" w:customStyle="1" w:styleId="a49">
    <w:name w:val="כותרת תרשים"/>
    <w:basedOn w:val="Normal"/>
    <w:next w:val="Normal"/>
    <w:link w:val="a50"/>
    <w:qFormat/>
    <w:rsid w:val="00DE05FA"/>
    <w:pPr>
      <w:keepNext/>
      <w:keepLines/>
      <w:ind w:left="717" w:hanging="360"/>
      <w:jc w:val="center"/>
      <w:outlineLvl w:val="4"/>
    </w:pPr>
    <w:rPr>
      <w:bCs/>
      <w:sz w:val="24"/>
    </w:rPr>
  </w:style>
  <w:style w:type="character" w:customStyle="1" w:styleId="a50">
    <w:name w:val="כותרת תרשים תו"/>
    <w:basedOn w:val="DefaultParagraphFont"/>
    <w:link w:val="a49"/>
    <w:rsid w:val="00DE05FA"/>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numbering" Target="numbering.xml"/><Relationship Id="rId8" Type="http://schemas.openxmlformats.org/officeDocument/2006/relationships/footer" Target="footer1.xml"/><Relationship Id="rId21" Type="http://schemas.openxmlformats.org/officeDocument/2006/relationships/image" Target="media/image15.pn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image" Target="media/image10.png"/><Relationship Id="rId2" Type="http://schemas.openxmlformats.org/officeDocument/2006/relationships/settings" Target="settings.xml"/><Relationship Id="rId20" Type="http://schemas.openxmlformats.org/officeDocument/2006/relationships/image" Target="media/image14.png"/><Relationship Id="rId29"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4.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image" Target="media/image17.jpeg"/><Relationship Id="rId5" Type="http://schemas.openxmlformats.org/officeDocument/2006/relationships/customXml" Target="../customXml/item1.xml"/><Relationship Id="rId28"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815320-BDD7-437B-AC80-5110587C5BE7}">
  <ds:schemaRefs>
    <ds:schemaRef ds:uri="http://schemas.openxmlformats.org/officeDocument/2006/bibliography"/>
  </ds:schemaRefs>
</ds:datastoreItem>
</file>

<file path=customXml/itemProps2.xml><?xml version="1.0" encoding="utf-8"?>
<ds:datastoreItem xmlns:ds="http://schemas.openxmlformats.org/officeDocument/2006/customXml" ds:itemID="{AFBD2059-0D4C-46F7-BC75-BB2926E4CD07}"/>
</file>

<file path=customXml/itemProps3.xml><?xml version="1.0" encoding="utf-8"?>
<ds:datastoreItem xmlns:ds="http://schemas.openxmlformats.org/officeDocument/2006/customXml" ds:itemID="{E010BAE7-0954-4BB2-A9C1-821F5F5510A2}"/>
</file>

<file path=customXml/itemProps4.xml><?xml version="1.0" encoding="utf-8"?>
<ds:datastoreItem xmlns:ds="http://schemas.openxmlformats.org/officeDocument/2006/customXml" ds:itemID="{B38E815A-4422-4F1C-938B-CD87CD86FF8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