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style1.xml" ContentType="application/vnd.ms-office.chartstyle+xml"/>
  <Override PartName="/word/charts/chart1.xml" ContentType="application/vnd.openxmlformats-officedocument.drawingml.chart+xml"/>
  <Override PartName="/word/embeddings/Microsoft_Excel_Worksheet1.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6E1414" w:rsidP="00127512">
      <w:pPr>
        <w:spacing w:line="269" w:lineRule="auto"/>
        <w:ind w:left="-285"/>
        <w:jc w:val="center"/>
        <w:rPr>
          <w:rFonts w:ascii="Calibri" w:hAnsi="Calibri" w:cs="Calibri"/>
          <w:b/>
          <w:bCs/>
          <w:color w:val="002060"/>
          <w:sz w:val="80"/>
          <w:szCs w:val="80"/>
          <w:rtl/>
        </w:rPr>
      </w:pPr>
      <w:r w:rsidRPr="001F2586">
        <w:rPr>
          <w:rFonts w:ascii="Calibri" w:hAnsi="Calibri" w:cs="Calibri"/>
          <w:b/>
          <w:bCs/>
          <w:color w:val="002060"/>
          <w:sz w:val="80"/>
          <w:szCs w:val="80"/>
          <w:rtl/>
        </w:rPr>
        <w:t>שוק המשכנתאות</w:t>
      </w:r>
    </w:p>
    <w:p w:rsidR="006E1414">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F954E4">
      <w:pPr>
        <w:bidi w:val="0"/>
        <w:spacing w:after="200" w:line="276"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1F2586" w:rsidRPr="001F2586" w:rsidP="001F2586">
      <w:pPr>
        <w:keepNext/>
        <w:keepLines/>
        <w:pageBreakBefore/>
        <w:tabs>
          <w:tab w:val="left" w:pos="3685"/>
        </w:tabs>
        <w:spacing w:line="269" w:lineRule="auto"/>
        <w:jc w:val="center"/>
        <w:outlineLvl w:val="0"/>
        <w:rPr>
          <w:rFonts w:eastAsia="Times New Roman"/>
          <w:bCs/>
          <w:szCs w:val="36"/>
          <w:u w:val="single"/>
          <w:rtl/>
        </w:rPr>
      </w:pPr>
      <w:bookmarkStart w:id="0" w:name="tempMark"/>
      <w:r w:rsidRPr="001F2586">
        <w:rPr>
          <w:rFonts w:eastAsia="Times New Roman" w:hint="cs"/>
          <w:bCs/>
          <w:szCs w:val="36"/>
          <w:u w:val="single"/>
          <w:rtl/>
        </w:rPr>
        <w:t>שוק המשכנתאות</w:t>
      </w:r>
    </w:p>
    <w:p w:rsidR="001F2586" w:rsidRPr="001F2586" w:rsidP="001F2586">
      <w:pPr>
        <w:keepNext/>
        <w:keepLines/>
        <w:spacing w:line="269" w:lineRule="auto"/>
        <w:outlineLvl w:val="2"/>
        <w:rPr>
          <w:rFonts w:eastAsia="Times New Roman"/>
          <w:bCs/>
          <w:szCs w:val="28"/>
          <w:u w:val="single"/>
          <w:rtl/>
        </w:rPr>
      </w:pPr>
      <w:bookmarkStart w:id="1" w:name="_Hlk221792829"/>
      <w:bookmarkStart w:id="2" w:name="_Hlk221792123"/>
    </w:p>
    <w:p w:rsidR="001F2586" w:rsidRPr="001F2586" w:rsidP="001F2586">
      <w:pPr>
        <w:keepNext/>
        <w:keepLines/>
        <w:spacing w:line="269" w:lineRule="auto"/>
        <w:outlineLvl w:val="2"/>
        <w:rPr>
          <w:rFonts w:eastAsia="Times New Roman"/>
          <w:bCs/>
          <w:szCs w:val="28"/>
          <w:u w:val="single"/>
          <w:rtl/>
        </w:rPr>
      </w:pPr>
      <w:r w:rsidRPr="001F2586">
        <w:rPr>
          <w:rFonts w:eastAsia="Times New Roman" w:hint="cs"/>
          <w:bCs/>
          <w:szCs w:val="28"/>
          <w:u w:val="single"/>
          <w:rtl/>
        </w:rPr>
        <w:t>מבוא</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rtl/>
        </w:rPr>
        <w:t xml:space="preserve">משכנתא היא הלוואה </w:t>
      </w:r>
      <w:r w:rsidRPr="001F2586">
        <w:rPr>
          <w:rFonts w:eastAsia="Calibri" w:hint="cs"/>
          <w:rtl/>
        </w:rPr>
        <w:t xml:space="preserve">ארוכת טווח </w:t>
      </w:r>
      <w:r w:rsidRPr="001F2586">
        <w:rPr>
          <w:rFonts w:eastAsia="Calibri"/>
          <w:rtl/>
        </w:rPr>
        <w:t xml:space="preserve">לדיור בשעבוד נכס מקרקעין </w:t>
      </w:r>
      <w:r w:rsidRPr="001F2586">
        <w:rPr>
          <w:rFonts w:eastAsia="Calibri" w:hint="cs"/>
          <w:rtl/>
        </w:rPr>
        <w:t xml:space="preserve">והיא ההתחייבות הפיננסית המשמעותית ביותר של משקי הבית. </w:t>
      </w:r>
      <w:r w:rsidRPr="001F2586">
        <w:rPr>
          <w:rFonts w:eastAsia="Calibri"/>
          <w:rtl/>
        </w:rPr>
        <w:t>מאז שנת 2008, העלייה החדה והמתמשכת במחירי הדיור הובילה לגידול ניכר בביקוש לאשראי. מגמה זו משתקפת היטב בנתוני השנים 2024</w:t>
      </w:r>
      <w:r w:rsidRPr="001F2586">
        <w:rPr>
          <w:rFonts w:eastAsia="Calibri" w:hint="cs"/>
          <w:rtl/>
        </w:rPr>
        <w:t xml:space="preserve"> - </w:t>
      </w:r>
      <w:r w:rsidRPr="001F2586">
        <w:rPr>
          <w:rFonts w:eastAsia="Calibri"/>
          <w:rtl/>
        </w:rPr>
        <w:t xml:space="preserve">2025: סכום המשכנתא הממוצע חצה את רף המיליון ש"ח, וההחזר החודשי הממוצע האמיר לכ-5,800 ש"ח. נכון </w:t>
      </w:r>
      <w:r w:rsidRPr="001F2586">
        <w:rPr>
          <w:rFonts w:eastAsia="Calibri" w:hint="cs"/>
          <w:rtl/>
        </w:rPr>
        <w:t>ליוני</w:t>
      </w:r>
      <w:r w:rsidRPr="001F2586">
        <w:rPr>
          <w:rFonts w:eastAsia="Calibri"/>
          <w:rtl/>
        </w:rPr>
        <w:t xml:space="preserve"> 2025, יתרת חוב המשכנתאות הכוללת של הציבור בישראל הגיעה להיקף חסר תקדים של כ-630 מיליארד ש"ח</w:t>
      </w:r>
      <w:r w:rsidRPr="001F2586">
        <w:rPr>
          <w:rFonts w:eastAsia="Calibri"/>
        </w:rPr>
        <w:t>.</w:t>
      </w:r>
    </w:p>
    <w:p w:rsidR="001F2586" w:rsidRPr="001F2586" w:rsidP="001F2586">
      <w:pPr>
        <w:tabs>
          <w:tab w:val="left" w:pos="3685"/>
        </w:tabs>
        <w:spacing w:line="269" w:lineRule="auto"/>
        <w:ind w:left="-567"/>
        <w:rPr>
          <w:rFonts w:eastAsia="Calibri"/>
          <w:szCs w:val="20"/>
          <w:rtl/>
        </w:rPr>
      </w:pPr>
    </w:p>
    <w:p w:rsidR="001F2586" w:rsidP="001F2586">
      <w:pPr>
        <w:tabs>
          <w:tab w:val="left" w:pos="3685"/>
        </w:tabs>
        <w:spacing w:line="269" w:lineRule="auto"/>
        <w:rPr>
          <w:rFonts w:eastAsia="Calibri"/>
          <w:rtl/>
        </w:rPr>
      </w:pPr>
      <w:bookmarkStart w:id="3" w:name="_Hlk224061411"/>
      <w:r w:rsidRPr="001F2586">
        <w:rPr>
          <w:rFonts w:eastAsia="Calibri" w:hint="cs"/>
          <w:rtl/>
        </w:rPr>
        <w:t>היקף</w:t>
      </w:r>
      <w:r w:rsidRPr="001F2586">
        <w:rPr>
          <w:rFonts w:eastAsia="Calibri"/>
          <w:rtl/>
        </w:rPr>
        <w:t xml:space="preserve"> </w:t>
      </w:r>
      <w:r w:rsidRPr="001F2586">
        <w:rPr>
          <w:rFonts w:eastAsia="Calibri" w:hint="cs"/>
          <w:rtl/>
        </w:rPr>
        <w:t>המשכנתאות</w:t>
      </w:r>
      <w:r w:rsidRPr="001F2586">
        <w:rPr>
          <w:rFonts w:eastAsia="Calibri"/>
          <w:rtl/>
        </w:rPr>
        <w:t xml:space="preserve"> בכלכלה הישראלית מלמד כי שוק המשכנתאות הוא בעל חשיבות מרכזית למשק ובעל השפעה משמעותית </w:t>
      </w:r>
      <w:r w:rsidRPr="001F2586">
        <w:rPr>
          <w:rFonts w:eastAsia="Calibri" w:hint="cs"/>
          <w:rtl/>
        </w:rPr>
        <w:t xml:space="preserve">על הציבור ועל הגופים המלווים. </w:t>
      </w:r>
      <w:r w:rsidRPr="001F2586">
        <w:rPr>
          <w:rFonts w:eastAsia="Calibri"/>
          <w:rtl/>
        </w:rPr>
        <w:t xml:space="preserve">העלייה </w:t>
      </w:r>
      <w:r w:rsidRPr="001F2586">
        <w:rPr>
          <w:rFonts w:eastAsia="Calibri" w:hint="cs"/>
          <w:rtl/>
        </w:rPr>
        <w:t>במשכנתאות</w:t>
      </w:r>
      <w:r w:rsidRPr="001F2586">
        <w:rPr>
          <w:rFonts w:eastAsia="Calibri"/>
          <w:rtl/>
        </w:rPr>
        <w:t xml:space="preserve"> מגדילה את היקף הנכסים של </w:t>
      </w:r>
      <w:r w:rsidRPr="001F2586">
        <w:rPr>
          <w:rFonts w:eastAsia="Calibri" w:hint="cs"/>
          <w:rtl/>
        </w:rPr>
        <w:t>המלווים ואת</w:t>
      </w:r>
      <w:r w:rsidRPr="001F2586">
        <w:rPr>
          <w:rFonts w:eastAsia="Calibri"/>
          <w:rtl/>
        </w:rPr>
        <w:t xml:space="preserve"> הכנסותיהם, אך גם מגדילה את היקף החשיפה שלהם לסיכונים פיננסיים שונים שעלולים לגרום </w:t>
      </w:r>
      <w:r w:rsidRPr="001F2586">
        <w:rPr>
          <w:rFonts w:eastAsia="Calibri" w:hint="cs"/>
          <w:rtl/>
        </w:rPr>
        <w:t xml:space="preserve">לפגיעה ביציבות המערכת הפיננסית, כפי שאירע במשבר </w:t>
      </w:r>
      <w:r w:rsidRPr="001F2586">
        <w:rPr>
          <w:rFonts w:eastAsia="Calibri" w:hint="cs"/>
          <w:rtl/>
        </w:rPr>
        <w:t>הסאב</w:t>
      </w:r>
      <w:r w:rsidRPr="001F2586">
        <w:rPr>
          <w:rFonts w:eastAsia="Calibri" w:hint="cs"/>
          <w:rtl/>
        </w:rPr>
        <w:t xml:space="preserve">-פריים בשנים 2009-2008 (להלן - משבר </w:t>
      </w:r>
      <w:r w:rsidRPr="001F2586">
        <w:rPr>
          <w:rFonts w:eastAsia="Calibri" w:hint="cs"/>
          <w:rtl/>
        </w:rPr>
        <w:t>הסאב</w:t>
      </w:r>
      <w:r w:rsidRPr="001F2586">
        <w:rPr>
          <w:rFonts w:eastAsia="Calibri" w:hint="cs"/>
          <w:rtl/>
        </w:rPr>
        <w:t xml:space="preserve"> פריים)</w:t>
      </w:r>
      <w:r>
        <w:rPr>
          <w:rFonts w:eastAsia="Calibri"/>
          <w:vertAlign w:val="superscript"/>
          <w:rtl/>
        </w:rPr>
        <w:footnoteReference w:id="2"/>
      </w:r>
      <w:r w:rsidRPr="001F2586">
        <w:rPr>
          <w:rFonts w:eastAsia="Calibri" w:hint="cs"/>
          <w:rtl/>
        </w:rPr>
        <w:t xml:space="preserve">. </w:t>
      </w:r>
      <w:r w:rsidRPr="001F2586">
        <w:rPr>
          <w:rFonts w:eastAsia="Calibri"/>
          <w:rtl/>
        </w:rPr>
        <w:t xml:space="preserve">עבור משקי הבית, העלייה בהיקפי </w:t>
      </w:r>
      <w:r w:rsidRPr="001F2586">
        <w:rPr>
          <w:rFonts w:eastAsia="Calibri" w:hint="cs"/>
          <w:rtl/>
        </w:rPr>
        <w:t>המשכנתאות</w:t>
      </w:r>
      <w:r w:rsidRPr="001F2586">
        <w:rPr>
          <w:rFonts w:eastAsia="Calibri"/>
          <w:rtl/>
        </w:rPr>
        <w:t xml:space="preserve"> עשויה </w:t>
      </w:r>
      <w:r w:rsidRPr="001F2586">
        <w:rPr>
          <w:rFonts w:eastAsia="Calibri" w:hint="cs"/>
          <w:rtl/>
        </w:rPr>
        <w:t>לגרום לכך שהם לא יעמדו בתשלומי המשכנתאות, וכפועל יוצא מכך, להוביל את המערכת הפיננסית לכשל מערכתי חמור</w:t>
      </w:r>
      <w:r w:rsidRPr="001F2586">
        <w:rPr>
          <w:rFonts w:eastAsia="Calibri"/>
          <w:rtl/>
        </w:rPr>
        <w:t xml:space="preserve">. לכן, קיימת חשיבות גבוהה </w:t>
      </w:r>
      <w:r w:rsidRPr="001F2586">
        <w:rPr>
          <w:rFonts w:eastAsia="Calibri" w:hint="cs"/>
          <w:rtl/>
        </w:rPr>
        <w:t>בפיקוח יעיל של</w:t>
      </w:r>
      <w:r w:rsidRPr="001F2586">
        <w:rPr>
          <w:rFonts w:eastAsia="Calibri"/>
          <w:rtl/>
        </w:rPr>
        <w:t xml:space="preserve"> </w:t>
      </w:r>
      <w:r w:rsidRPr="001F2586">
        <w:rPr>
          <w:rFonts w:eastAsia="Calibri" w:hint="cs"/>
          <w:rtl/>
        </w:rPr>
        <w:t>הגופים המאסדרים על שוק המשכנתאות,</w:t>
      </w:r>
      <w:r w:rsidRPr="001F2586">
        <w:rPr>
          <w:rFonts w:eastAsia="Calibri"/>
          <w:rtl/>
        </w:rPr>
        <w:t xml:space="preserve"> במטרה לשמור על יציבות המערכת הפיננסית</w:t>
      </w:r>
      <w:r w:rsidRPr="001F2586">
        <w:rPr>
          <w:rFonts w:eastAsia="Calibri" w:hint="cs"/>
          <w:rtl/>
        </w:rPr>
        <w:t xml:space="preserve"> ולהבטיח מתן שירות הוגן ומיטבי לציבור.</w:t>
      </w:r>
    </w:p>
    <w:p w:rsidR="001F2586" w:rsidRPr="001F2586" w:rsidP="001F2586">
      <w:pPr>
        <w:tabs>
          <w:tab w:val="left" w:pos="3685"/>
        </w:tabs>
        <w:spacing w:line="269" w:lineRule="auto"/>
        <w:rPr>
          <w:rFonts w:eastAsia="Calibri"/>
          <w:rtl/>
        </w:rPr>
      </w:pPr>
    </w:p>
    <w:bookmarkEnd w:id="1"/>
    <w:bookmarkEnd w:id="3"/>
    <w:p w:rsidR="001F2586" w:rsidRPr="001F2586" w:rsidP="001F2586">
      <w:pPr>
        <w:keepNext/>
        <w:keepLines/>
        <w:spacing w:line="269" w:lineRule="auto"/>
        <w:outlineLvl w:val="2"/>
        <w:rPr>
          <w:rFonts w:eastAsia="Times New Roman"/>
          <w:bCs/>
          <w:szCs w:val="28"/>
          <w:u w:val="single"/>
          <w:rtl/>
        </w:rPr>
      </w:pPr>
      <w:r w:rsidRPr="001F2586">
        <w:rPr>
          <w:rFonts w:eastAsia="Times New Roman" w:hint="cs"/>
          <w:bCs/>
          <w:szCs w:val="28"/>
          <w:u w:val="single"/>
          <w:rtl/>
        </w:rPr>
        <w:t>פעולות הביקורת</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 xml:space="preserve">בחודש יולי 2023 החל משרד מבקר המדינה לבדוק את הפיקוח של בנק ישראל ושל רשות שוק ההון על שוק המשכנתאות. הביקורת הופסקה בשל מלחמת חרבות ברזל שפרצה באוקטובר 2023. בחודש אפריל 2025 חודשה הביקורת ונמשכה עד פברואר 2026, והנושאים שנבדקו היו: מורכבות מוצר המשכנתא; שוק המשכנתאות במערכת הבנקאית והחוץ בנקאית והאסדרה בהן; ענף הבנייה והשפעתו על שוק המשכנתאות; רפורמות שביצע בנק ישראל בשנים האחרונות להגברת השקיפות והתחרות בשוק המשכנתאות ושיפור תהליך מחזור המשכנתא; משכנתאות לאוכלוסיות מגוונות; והפיקוח על יועצי משכנתאות. </w:t>
      </w:r>
    </w:p>
    <w:p w:rsidR="001F2586" w:rsidRPr="001F2586" w:rsidP="001F2586">
      <w:pPr>
        <w:tabs>
          <w:tab w:val="left" w:pos="3685"/>
        </w:tabs>
        <w:spacing w:line="269" w:lineRule="auto"/>
        <w:ind w:left="-567"/>
        <w:rPr>
          <w:rFonts w:eastAsia="Calibri"/>
          <w:szCs w:val="20"/>
          <w:rtl/>
        </w:rPr>
      </w:pPr>
    </w:p>
    <w:p w:rsidR="00260379" w:rsidP="001F2586">
      <w:pPr>
        <w:tabs>
          <w:tab w:val="left" w:pos="3685"/>
        </w:tabs>
        <w:spacing w:line="269" w:lineRule="auto"/>
        <w:rPr>
          <w:rFonts w:eastAsia="Calibri"/>
          <w:rtl/>
        </w:rPr>
      </w:pPr>
      <w:r w:rsidRPr="001F2586">
        <w:rPr>
          <w:rFonts w:eastAsia="Calibri" w:hint="cs"/>
          <w:rtl/>
        </w:rPr>
        <w:t xml:space="preserve">הביקורת נעשתה בעיקרה בחטיבת הפיקוח על הבנקים בבנק ישראל, בחטיבת נותני שירותים פיננסיים ברשות שוק ההון, ביטוח וחיסכון, </w:t>
      </w:r>
      <w:r w:rsidRPr="001F2586">
        <w:rPr>
          <w:rFonts w:eastAsia="Calibri" w:hint="cs"/>
          <w:rtl/>
        </w:rPr>
        <w:t>ובמינהל</w:t>
      </w:r>
      <w:r w:rsidRPr="001F2586">
        <w:rPr>
          <w:rFonts w:eastAsia="Calibri" w:hint="cs"/>
          <w:rtl/>
        </w:rPr>
        <w:t xml:space="preserve"> לסיוע בדיור במשרד הבינוי והשיכון. בדיקות השלמה נעשו במשרד האוצר, במועצה הלאומית לכלכלה שבמשרד ראש הממשלה, ברשות להגנת הצרכן שבמשרד הכלכלה, בלשכה המרכזית לסטטיסטיקה, באיגוד הבנקים, ברשות לפיתוח כלכלי של מגזר הערבים במשרד לשוויון חברתי וקידום מעמד האישה, בלשכת שמאי מקרקעין, בהתאחדות הקבלנים ובהתאחדות יועצי המשכנתאות. כמו כן, נערכו פגישות עם גורמים בכירים בתחום המשכנתאות בבנקים השונים ובגופים חוץ בנקאיים.</w:t>
      </w:r>
    </w:p>
    <w:p w:rsidR="00EB64F7" w:rsidP="001F2586">
      <w:pPr>
        <w:tabs>
          <w:tab w:val="left" w:pos="3685"/>
        </w:tabs>
        <w:spacing w:line="269" w:lineRule="auto"/>
        <w:rPr>
          <w:rFonts w:eastAsia="Calibri"/>
          <w:rtl/>
        </w:rPr>
      </w:pPr>
    </w:p>
    <w:p w:rsidR="00EB64F7">
      <w:pPr>
        <w:bidi w:val="0"/>
        <w:spacing w:after="200" w:line="276" w:lineRule="auto"/>
        <w:rPr>
          <w:rFonts w:eastAsia="Calibri"/>
          <w:rtl/>
        </w:rPr>
      </w:pPr>
      <w:r>
        <w:rPr>
          <w:rFonts w:eastAsia="Calibri"/>
          <w:rtl/>
        </w:rPr>
        <w:br w:type="page"/>
      </w:r>
    </w:p>
    <w:p w:rsidR="001F2586" w:rsidRPr="001F2586" w:rsidP="001F2586">
      <w:pPr>
        <w:keepNext/>
        <w:keepLines/>
        <w:tabs>
          <w:tab w:val="left" w:pos="3685"/>
        </w:tabs>
        <w:spacing w:line="269" w:lineRule="auto"/>
        <w:outlineLvl w:val="2"/>
        <w:rPr>
          <w:rFonts w:eastAsia="Times New Roman"/>
          <w:bCs/>
          <w:szCs w:val="28"/>
          <w:u w:val="single"/>
          <w:rtl/>
        </w:rPr>
      </w:pPr>
      <w:r w:rsidRPr="001F2586">
        <w:rPr>
          <w:rFonts w:eastAsia="Times New Roman" w:hint="cs"/>
          <w:bCs/>
          <w:szCs w:val="28"/>
          <w:u w:val="single"/>
          <w:rtl/>
        </w:rPr>
        <w:t>סקירת שוק המשכנתאות בישראל</w:t>
      </w:r>
    </w:p>
    <w:p w:rsidR="001F2586" w:rsidRPr="001F2586" w:rsidP="001F2586">
      <w:pPr>
        <w:keepNext/>
        <w:keepLines/>
        <w:spacing w:line="269" w:lineRule="auto"/>
        <w:outlineLvl w:val="3"/>
        <w:rPr>
          <w:rFonts w:eastAsia="Times New Roman"/>
          <w:bCs/>
          <w:szCs w:val="26"/>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רקע כללי</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rtl/>
        </w:rPr>
        <w:t>משכנתא</w:t>
      </w:r>
      <w:r w:rsidRPr="001F2586">
        <w:rPr>
          <w:rFonts w:eastAsia="Calibri" w:hint="cs"/>
          <w:rtl/>
        </w:rPr>
        <w:t xml:space="preserve"> היא </w:t>
      </w:r>
      <w:r w:rsidRPr="001F2586">
        <w:rPr>
          <w:rFonts w:eastAsia="Calibri"/>
          <w:rtl/>
        </w:rPr>
        <w:t xml:space="preserve">הלוואה </w:t>
      </w:r>
      <w:r w:rsidRPr="001F2586">
        <w:rPr>
          <w:rFonts w:eastAsia="Calibri" w:hint="cs"/>
          <w:rtl/>
        </w:rPr>
        <w:t xml:space="preserve">לדיור (להלן - משכנתא או הלוואה לדיור או הלוואה למטרת מגורים) בשעבוד </w:t>
      </w:r>
      <w:r w:rsidRPr="001F2586">
        <w:rPr>
          <w:rFonts w:eastAsia="Calibri"/>
          <w:rtl/>
        </w:rPr>
        <w:t>נכס</w:t>
      </w:r>
      <w:r w:rsidRPr="001F2586">
        <w:rPr>
          <w:rFonts w:eastAsia="Calibri" w:hint="cs"/>
          <w:rtl/>
        </w:rPr>
        <w:t xml:space="preserve"> מקרקעין המשמש</w:t>
      </w:r>
      <w:r w:rsidRPr="001F2586">
        <w:rPr>
          <w:rFonts w:eastAsia="Calibri"/>
          <w:rtl/>
        </w:rPr>
        <w:t xml:space="preserve"> </w:t>
      </w:r>
      <w:r w:rsidRPr="001F2586">
        <w:rPr>
          <w:rFonts w:eastAsia="Calibri" w:hint="cs"/>
          <w:rtl/>
        </w:rPr>
        <w:t>כ</w:t>
      </w:r>
      <w:r w:rsidRPr="001F2586">
        <w:rPr>
          <w:rFonts w:eastAsia="Calibri"/>
          <w:rtl/>
        </w:rPr>
        <w:t>בטוחה להחזר ההלוואה</w:t>
      </w:r>
      <w:r w:rsidRPr="001F2586">
        <w:rPr>
          <w:rFonts w:eastAsia="Calibri" w:hint="cs"/>
          <w:rtl/>
        </w:rPr>
        <w:t>. שעבוד הנכס</w:t>
      </w:r>
      <w:r w:rsidRPr="001F2586">
        <w:rPr>
          <w:rFonts w:eastAsia="Calibri"/>
          <w:rtl/>
        </w:rPr>
        <w:t xml:space="preserve"> נועד להבטיח כי </w:t>
      </w:r>
      <w:r w:rsidRPr="001F2586">
        <w:rPr>
          <w:rFonts w:eastAsia="Calibri" w:hint="cs"/>
          <w:rtl/>
        </w:rPr>
        <w:t xml:space="preserve">אם </w:t>
      </w:r>
      <w:r w:rsidRPr="001F2586">
        <w:rPr>
          <w:rFonts w:eastAsia="Calibri"/>
          <w:rtl/>
        </w:rPr>
        <w:t xml:space="preserve">הלווה לא יעמוד בהחזרי </w:t>
      </w:r>
      <w:r w:rsidRPr="001F2586">
        <w:rPr>
          <w:rFonts w:eastAsia="Calibri" w:hint="cs"/>
          <w:rtl/>
        </w:rPr>
        <w:t>ההלוואה,</w:t>
      </w:r>
      <w:r w:rsidRPr="001F2586">
        <w:rPr>
          <w:rFonts w:eastAsia="Calibri"/>
          <w:rtl/>
        </w:rPr>
        <w:t xml:space="preserve"> המלווה יוכל לממש את ה</w:t>
      </w:r>
      <w:r w:rsidRPr="001F2586">
        <w:rPr>
          <w:rFonts w:eastAsia="Calibri" w:hint="cs"/>
          <w:rtl/>
        </w:rPr>
        <w:t xml:space="preserve">משכון </w:t>
      </w:r>
      <w:r w:rsidRPr="001F2586">
        <w:rPr>
          <w:rFonts w:eastAsia="Calibri"/>
          <w:rtl/>
        </w:rPr>
        <w:t xml:space="preserve">ולמכור </w:t>
      </w:r>
      <w:r w:rsidRPr="001F2586">
        <w:rPr>
          <w:rFonts w:eastAsia="Calibri" w:hint="cs"/>
          <w:rtl/>
        </w:rPr>
        <w:t>את הנכס</w:t>
      </w:r>
      <w:r w:rsidRPr="001F2586">
        <w:rPr>
          <w:rFonts w:eastAsia="Calibri"/>
          <w:rtl/>
        </w:rPr>
        <w:t xml:space="preserve"> כדי לכסות</w:t>
      </w:r>
      <w:r w:rsidRPr="001F2586">
        <w:rPr>
          <w:rFonts w:eastAsia="Calibri" w:hint="cs"/>
          <w:rtl/>
        </w:rPr>
        <w:t xml:space="preserve"> את</w:t>
      </w:r>
      <w:r w:rsidRPr="001F2586">
        <w:rPr>
          <w:rFonts w:eastAsia="Calibri"/>
          <w:rtl/>
        </w:rPr>
        <w:t xml:space="preserve"> יתרת </w:t>
      </w:r>
      <w:r w:rsidRPr="001F2586">
        <w:rPr>
          <w:rFonts w:eastAsia="Calibri" w:hint="cs"/>
          <w:rtl/>
        </w:rPr>
        <w:t>ההלוואה</w:t>
      </w:r>
      <w:r w:rsidRPr="001F2586">
        <w:rPr>
          <w:rFonts w:eastAsia="Calibri"/>
          <w:rtl/>
        </w:rPr>
        <w:t xml:space="preserve"> ש</w:t>
      </w:r>
      <w:r w:rsidRPr="001F2586">
        <w:rPr>
          <w:rFonts w:eastAsia="Calibri" w:hint="cs"/>
          <w:rtl/>
        </w:rPr>
        <w:t xml:space="preserve">הלווה </w:t>
      </w:r>
      <w:r w:rsidRPr="001F2586">
        <w:rPr>
          <w:rFonts w:eastAsia="Calibri"/>
          <w:rtl/>
        </w:rPr>
        <w:t xml:space="preserve">לא </w:t>
      </w:r>
      <w:r w:rsidRPr="001F2586">
        <w:rPr>
          <w:rFonts w:eastAsia="Calibri" w:hint="cs"/>
          <w:rtl/>
        </w:rPr>
        <w:t>שילם</w:t>
      </w:r>
      <w:r>
        <w:rPr>
          <w:rFonts w:eastAsia="Calibri"/>
          <w:vertAlign w:val="superscript"/>
          <w:rtl/>
        </w:rPr>
        <w:footnoteReference w:id="3"/>
      </w:r>
      <w:r w:rsidRPr="001F2586">
        <w:rPr>
          <w:rFonts w:eastAsia="Calibri"/>
          <w:rtl/>
        </w:rPr>
        <w:t>.</w:t>
      </w:r>
      <w:r w:rsidRPr="001F2586">
        <w:rPr>
          <w:rFonts w:eastAsia="Calibri" w:hint="cs"/>
          <w:rtl/>
        </w:rPr>
        <w:t xml:space="preserve"> הלוואה לדיור ניתנת לרוב עבור רכישה של דירת מגורים</w:t>
      </w:r>
      <w:r>
        <w:rPr>
          <w:rFonts w:eastAsia="Calibri"/>
          <w:vertAlign w:val="superscript"/>
          <w:rtl/>
        </w:rPr>
        <w:footnoteReference w:id="4"/>
      </w:r>
      <w:r w:rsidRPr="001F2586">
        <w:rPr>
          <w:rFonts w:eastAsia="Calibri" w:hint="cs"/>
          <w:rtl/>
        </w:rPr>
        <w:t xml:space="preserve"> (להלן - דירה), והיא משלימה לרוכש חלק ניכר מהסכום הכספי הנדרש לרכישת הדירה. המשכנתא ניתנת גם למטרות נוספות כמו </w:t>
      </w:r>
      <w:r w:rsidRPr="001F2586">
        <w:rPr>
          <w:rFonts w:eastAsia="Calibri"/>
          <w:rtl/>
        </w:rPr>
        <w:t xml:space="preserve">רכישת קרקע </w:t>
      </w:r>
      <w:r w:rsidRPr="001F2586">
        <w:rPr>
          <w:rFonts w:eastAsia="Calibri" w:hint="cs"/>
          <w:rtl/>
        </w:rPr>
        <w:t>לבניית דירה ושיפוצים או הרחבה של דירה</w:t>
      </w:r>
      <w:r>
        <w:rPr>
          <w:rFonts w:eastAsia="Calibri"/>
          <w:vertAlign w:val="superscript"/>
          <w:rtl/>
        </w:rPr>
        <w:footnoteReference w:id="5"/>
      </w:r>
      <w:r w:rsidRPr="001F2586">
        <w:rPr>
          <w:rFonts w:eastAsia="Calibri" w:hint="cs"/>
          <w:rtl/>
        </w:rPr>
        <w:t>.</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משכנתא היא ההתחייבות הפיננסית המשמעותית ביותר של משקי הבית. היא נלקחת לתקופה ארוכה ומשפיעה על תזרים המזומנים ועל יכולות הצריכה והחיסכון של משק הבית. לכן משקי הבית נדרשים לתכנן אותה, להתאים אותה לצורכיהם ולשינויים הצפויים בהכנסות ובהוצאות העתידיות שלהם, ולקבל החלטה כלכלית מושכלת בעת לקיחתה, כך שיתאפשר להם לשלם את המשכנתא כסדרה</w:t>
      </w:r>
      <w:r>
        <w:rPr>
          <w:rFonts w:eastAsia="Calibri"/>
          <w:vertAlign w:val="superscript"/>
          <w:rtl/>
        </w:rPr>
        <w:footnoteReference w:id="6"/>
      </w:r>
      <w:r w:rsidRPr="001F2586">
        <w:rPr>
          <w:rFonts w:eastAsia="Calibri" w:hint="cs"/>
          <w:rtl/>
        </w:rPr>
        <w:t>.</w:t>
      </w:r>
    </w:p>
    <w:p w:rsidR="001F2586" w:rsidRPr="001F2586" w:rsidP="001F2586">
      <w:pPr>
        <w:spacing w:line="269" w:lineRule="auto"/>
        <w:ind w:left="-567"/>
        <w:rPr>
          <w:rFonts w:eastAsia="Calibri"/>
          <w:color w:val="FF0000"/>
          <w:szCs w:val="20"/>
          <w:rtl/>
        </w:rPr>
      </w:pPr>
    </w:p>
    <w:p w:rsidR="001F2586" w:rsidRPr="001F2586" w:rsidP="001F2586">
      <w:pPr>
        <w:keepNext/>
        <w:keepLines/>
        <w:tabs>
          <w:tab w:val="left" w:pos="3685"/>
        </w:tabs>
        <w:spacing w:line="269" w:lineRule="auto"/>
        <w:outlineLvl w:val="3"/>
        <w:rPr>
          <w:rFonts w:eastAsia="Times New Roman"/>
          <w:bCs/>
          <w:szCs w:val="26"/>
          <w:rtl/>
        </w:rPr>
      </w:pPr>
      <w:r w:rsidRPr="001F2586">
        <w:rPr>
          <w:rFonts w:eastAsia="Times New Roman" w:hint="cs"/>
          <w:bCs/>
          <w:szCs w:val="26"/>
          <w:rtl/>
        </w:rPr>
        <w:t>הגופים המלווים בשוק המשכנתאות בישראל</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משכנתאות בישראל ניתנות בעיקר מבנקים למשכנתאות (להלן - בנקים או תאגידים בנקאיים או גופים בנקאיים) הנתונים לפיקוחה של חטיבת הפיקוח על הבנקים בבנק ישראל</w:t>
      </w:r>
      <w:r w:rsidRPr="001F2586">
        <w:rPr>
          <w:rFonts w:eastAsia="Calibri" w:hint="cs"/>
        </w:rPr>
        <w:t xml:space="preserve"> </w:t>
      </w:r>
      <w:r w:rsidRPr="001F2586">
        <w:rPr>
          <w:rFonts w:eastAsia="Calibri" w:hint="cs"/>
          <w:rtl/>
        </w:rPr>
        <w:t>(להלן - הפיקוח או הפיקוח על הבנקים), ומגופים מוסדיים</w:t>
      </w:r>
      <w:r>
        <w:rPr>
          <w:rFonts w:eastAsia="Calibri"/>
          <w:vertAlign w:val="superscript"/>
          <w:rtl/>
        </w:rPr>
        <w:footnoteReference w:id="7"/>
      </w:r>
      <w:r w:rsidRPr="001F2586">
        <w:rPr>
          <w:rFonts w:eastAsia="Calibri" w:hint="cs"/>
          <w:rtl/>
        </w:rPr>
        <w:t xml:space="preserve"> וחברות אשראי חוץ בנקאיות</w:t>
      </w:r>
      <w:r>
        <w:rPr>
          <w:rFonts w:eastAsia="Calibri"/>
          <w:vertAlign w:val="superscript"/>
          <w:rtl/>
        </w:rPr>
        <w:footnoteReference w:id="8"/>
      </w:r>
      <w:r w:rsidRPr="001F2586">
        <w:rPr>
          <w:rFonts w:eastAsia="Calibri" w:hint="cs"/>
          <w:rtl/>
        </w:rPr>
        <w:t xml:space="preserve"> (להלן - גופים שאינם בנקאיים) הנתונים לפיקוחה של רשות שוק ההון, ביטוח וחיסכון (להלן - רשות שוק ההון). כמו כן הלוואות לדיור מתקציב המדינה או בסיוע של המדינה ניתנות מן הממשלה כמשכנתאות לזכאים חסרי דירה</w:t>
      </w:r>
      <w:r>
        <w:rPr>
          <w:rFonts w:eastAsia="Calibri"/>
          <w:vertAlign w:val="superscript"/>
          <w:rtl/>
        </w:rPr>
        <w:footnoteReference w:id="9"/>
      </w:r>
      <w:r w:rsidRPr="001F2586">
        <w:rPr>
          <w:rFonts w:eastAsia="Calibri" w:hint="cs"/>
          <w:rtl/>
        </w:rPr>
        <w:t>.</w:t>
      </w:r>
      <w:r w:rsidRPr="001F2586">
        <w:rPr>
          <w:rFonts w:eastAsia="Calibri" w:hint="cs"/>
          <w:color w:val="FF0000"/>
          <w:rtl/>
        </w:rPr>
        <w:t xml:space="preserve"> </w:t>
      </w:r>
      <w:r w:rsidRPr="001F2586">
        <w:rPr>
          <w:rFonts w:eastAsia="Calibri" w:hint="cs"/>
          <w:rtl/>
        </w:rPr>
        <w:t>להלן תרשים המציג את יתרת חוב המשכנתאות של משקי הבית לפי מלווים שונים (בנקים, גופים מוסדיים וממשלה) בשנים 2015 - 2025:</w:t>
      </w:r>
    </w:p>
    <w:p w:rsidR="001F2586" w:rsidRPr="001F2586" w:rsidP="001F2586">
      <w:pPr>
        <w:tabs>
          <w:tab w:val="left" w:pos="3685"/>
        </w:tabs>
        <w:spacing w:line="269" w:lineRule="auto"/>
        <w:ind w:left="-567"/>
        <w:rPr>
          <w:rFonts w:eastAsia="Calibri"/>
          <w:szCs w:val="20"/>
          <w:rtl/>
        </w:rPr>
      </w:pPr>
    </w:p>
    <w:p w:rsidR="001F2586" w:rsidRPr="001F2586" w:rsidP="001F2586">
      <w:pPr>
        <w:keepNext/>
        <w:keepLines/>
        <w:tabs>
          <w:tab w:val="left" w:pos="3685"/>
        </w:tabs>
        <w:spacing w:line="269" w:lineRule="auto"/>
        <w:ind w:left="717" w:hanging="360"/>
        <w:jc w:val="center"/>
        <w:outlineLvl w:val="4"/>
        <w:rPr>
          <w:rFonts w:eastAsia="Calibri"/>
          <w:bCs/>
          <w:sz w:val="24"/>
          <w:rtl/>
        </w:rPr>
      </w:pPr>
      <w:r w:rsidRPr="001F2586">
        <w:rPr>
          <w:rFonts w:eastAsia="Calibri" w:hint="cs"/>
          <w:b/>
          <w:sz w:val="24"/>
          <w:rtl/>
        </w:rPr>
        <w:t>תרשים 1:</w:t>
      </w:r>
      <w:r w:rsidRPr="001F2586">
        <w:rPr>
          <w:rFonts w:eastAsia="Calibri" w:hint="cs"/>
          <w:bCs/>
          <w:sz w:val="24"/>
          <w:rtl/>
        </w:rPr>
        <w:t xml:space="preserve"> יתרות חוב המשכנתאות של משקי הבית* בשנים 2015 - 2025**, לפי מלווים (בנקים, גופים מוסדיים וממשלה)</w:t>
      </w:r>
      <w:r w:rsidRPr="001F2586">
        <w:rPr>
          <w:rFonts w:eastAsia="Calibri" w:hint="cs"/>
          <w:bCs/>
          <w:sz w:val="24"/>
        </w:rPr>
        <w:t xml:space="preserve"> </w:t>
      </w:r>
      <w:r w:rsidRPr="001F2586">
        <w:rPr>
          <w:rFonts w:eastAsia="Calibri" w:hint="cs"/>
          <w:bCs/>
          <w:sz w:val="24"/>
          <w:rtl/>
        </w:rPr>
        <w:t>(במיליארדי ש"ח)</w:t>
      </w:r>
    </w:p>
    <w:p w:rsidR="001F2586" w:rsidRPr="001F2586" w:rsidP="001F2586">
      <w:pPr>
        <w:tabs>
          <w:tab w:val="left" w:pos="3685"/>
        </w:tabs>
        <w:spacing w:line="269" w:lineRule="auto"/>
        <w:jc w:val="center"/>
        <w:rPr>
          <w:rFonts w:eastAsia="Calibri"/>
          <w:rtl/>
        </w:rPr>
      </w:pPr>
      <w:r w:rsidRPr="001F2586">
        <w:rPr>
          <w:rFonts w:eastAsia="Calibri"/>
          <w:noProof/>
        </w:rPr>
        <w:drawing>
          <wp:inline distT="0" distB="0" distL="0" distR="0">
            <wp:extent cx="5334635" cy="3064771"/>
            <wp:effectExtent l="0" t="0" r="0" b="2540"/>
            <wp:docPr id="15" name="תמונה 15" descr="יתרות חוב המשכנתאות של משקי הבית השתנו כך בשנים 2015- 2025 (לפי מלווים): בבנקים היתרות עלו מכ-300 מיליארד מכ-285 מיליארד ש&quot;ח לכ-606 מיליארד ש&quot;ח; בגופים מוסדיים גדלו היתרות מ3 מיליארד ש&quot;ח לכ-18 מיליארד ש&quot;ח; ובממשלה ירדו היתרות מכ-12 מיליארד ש&quot;ח לכ-6 מיליארד ש&quot;ח.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9"/>
                    <a:stretch>
                      <a:fillRect/>
                    </a:stretch>
                  </pic:blipFill>
                  <pic:spPr>
                    <a:xfrm>
                      <a:off x="0" y="0"/>
                      <a:ext cx="5336694" cy="3065954"/>
                    </a:xfrm>
                    <a:prstGeom prst="rect">
                      <a:avLst/>
                    </a:prstGeom>
                  </pic:spPr>
                </pic:pic>
              </a:graphicData>
            </a:graphic>
          </wp:inline>
        </w:drawing>
      </w:r>
    </w:p>
    <w:p w:rsidR="001F2586" w:rsidRPr="001F2586" w:rsidP="001F2586">
      <w:pPr>
        <w:tabs>
          <w:tab w:val="left" w:pos="3685"/>
        </w:tabs>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tabs>
          <w:tab w:val="left" w:pos="3685"/>
        </w:tabs>
        <w:spacing w:line="269" w:lineRule="auto"/>
        <w:rPr>
          <w:rFonts w:eastAsia="Calibri"/>
          <w:sz w:val="16"/>
          <w:szCs w:val="20"/>
          <w:rtl/>
        </w:rPr>
      </w:pPr>
      <w:r w:rsidRPr="001F2586">
        <w:rPr>
          <w:rFonts w:eastAsia="Calibri" w:hint="cs"/>
          <w:sz w:val="16"/>
          <w:szCs w:val="20"/>
          <w:rtl/>
        </w:rPr>
        <w:t xml:space="preserve">* ההלוואות למטרות דיור או מגורים. </w:t>
      </w:r>
      <w:r w:rsidRPr="001F2586">
        <w:rPr>
          <w:rFonts w:eastAsia="Calibri"/>
          <w:sz w:val="16"/>
          <w:szCs w:val="20"/>
          <w:rtl/>
        </w:rPr>
        <w:t xml:space="preserve">היתרות </w:t>
      </w:r>
      <w:r w:rsidRPr="001F2586">
        <w:rPr>
          <w:rFonts w:eastAsia="Calibri" w:hint="cs"/>
          <w:sz w:val="16"/>
          <w:szCs w:val="20"/>
          <w:rtl/>
        </w:rPr>
        <w:t xml:space="preserve">בבנקים </w:t>
      </w:r>
      <w:r w:rsidRPr="001F2586">
        <w:rPr>
          <w:rFonts w:eastAsia="Calibri"/>
          <w:sz w:val="16"/>
          <w:szCs w:val="20"/>
          <w:rtl/>
        </w:rPr>
        <w:t>כוללות הפרשות להפסדי אשראי.</w:t>
      </w:r>
    </w:p>
    <w:p w:rsidR="001F2586" w:rsidRPr="001F2586" w:rsidP="001F2586">
      <w:pPr>
        <w:tabs>
          <w:tab w:val="left" w:pos="3685"/>
        </w:tabs>
        <w:spacing w:line="269" w:lineRule="auto"/>
        <w:rPr>
          <w:rFonts w:eastAsia="Calibri"/>
          <w:sz w:val="16"/>
          <w:szCs w:val="20"/>
          <w:rtl/>
        </w:rPr>
      </w:pPr>
      <w:r w:rsidRPr="001F2586">
        <w:rPr>
          <w:rFonts w:eastAsia="Calibri" w:hint="cs"/>
          <w:sz w:val="16"/>
          <w:szCs w:val="20"/>
          <w:rtl/>
        </w:rPr>
        <w:t>** נתונים עד יוני 2025.</w:t>
      </w:r>
    </w:p>
    <w:p w:rsidR="001F2586" w:rsidRPr="001F2586" w:rsidP="001F2586">
      <w:pPr>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 xml:space="preserve">מהתרשים עולה כי יתרת חוב המשכנתאות של הציבור הגיעה כאמור לסך של כ-630 מיליארד </w:t>
      </w:r>
      <w:r w:rsidR="00480481">
        <w:rPr>
          <w:rFonts w:eastAsia="Calibri" w:hint="cs"/>
          <w:rtl/>
        </w:rPr>
        <w:t>ש</w:t>
      </w:r>
      <w:r w:rsidR="00480481">
        <w:rPr>
          <w:rFonts w:eastAsia="Calibri"/>
          <w:rtl/>
        </w:rPr>
        <w:t>"</w:t>
      </w:r>
      <w:r w:rsidR="00480481">
        <w:rPr>
          <w:rFonts w:eastAsia="Calibri" w:hint="cs"/>
          <w:rtl/>
        </w:rPr>
        <w:t>ח</w:t>
      </w:r>
      <w:r w:rsidRPr="001F2586">
        <w:rPr>
          <w:rFonts w:eastAsia="Calibri" w:hint="cs"/>
          <w:rtl/>
        </w:rPr>
        <w:t xml:space="preserve"> ביוני 2025, והיא מתפלגת כך: כ-606</w:t>
      </w:r>
      <w:r w:rsidRPr="001F2586">
        <w:rPr>
          <w:rFonts w:eastAsia="Calibri" w:hint="cs"/>
        </w:rPr>
        <w:t xml:space="preserve"> </w:t>
      </w:r>
      <w:r w:rsidRPr="001F2586">
        <w:rPr>
          <w:rFonts w:eastAsia="Calibri" w:hint="cs"/>
          <w:rtl/>
        </w:rPr>
        <w:t xml:space="preserve">מיליארד ש"ח (כ-96% מהחוב) הוא לבנקים, כ-18 מיליארד ש"ח (כ-3% מהחוב) הוא לגופים מוסדיים, וכ-6 מיליארד ש"ח (כ-1% מהחוב) הוא לממשלה. עוד עולה כי יתרת חוב המשכנתאות של משקי הבית לכל המלווים גדלה בעשור הנסקר בסך כ-330 מיליארד ש"ח וכי יתרת החוב לבנקים הכפילה את עצמה וגדלה בסך כ-321 מיליארד ש"ח בשנים 2015 - 2025. לעומת זאת, יתרת החוב לגופים המוסדיים גדלה בכ-15 מיליארד ש"ח ויתרת החוב לממשלה קטנה בכ-6 מיליארד </w:t>
      </w:r>
      <w:r w:rsidR="00480481">
        <w:rPr>
          <w:rFonts w:eastAsia="Calibri" w:hint="cs"/>
          <w:rtl/>
        </w:rPr>
        <w:t>ש</w:t>
      </w:r>
      <w:r w:rsidR="00480481">
        <w:rPr>
          <w:rFonts w:eastAsia="Calibri"/>
          <w:rtl/>
        </w:rPr>
        <w:t>"</w:t>
      </w:r>
      <w:r w:rsidR="00480481">
        <w:rPr>
          <w:rFonts w:eastAsia="Calibri" w:hint="cs"/>
          <w:rtl/>
        </w:rPr>
        <w:t>ח</w:t>
      </w:r>
      <w:r w:rsidRPr="001F2586">
        <w:rPr>
          <w:rFonts w:eastAsia="Calibri" w:hint="cs"/>
          <w:rtl/>
        </w:rPr>
        <w:t xml:space="preserve"> בשנים אלו. יצוין </w:t>
      </w:r>
      <w:r w:rsidRPr="001F2586">
        <w:rPr>
          <w:rFonts w:eastAsia="Calibri"/>
          <w:rtl/>
        </w:rPr>
        <w:t>כי</w:t>
      </w:r>
      <w:r w:rsidRPr="001F2586">
        <w:rPr>
          <w:rFonts w:eastAsia="Calibri" w:hint="cs"/>
          <w:rtl/>
        </w:rPr>
        <w:t xml:space="preserve"> </w:t>
      </w:r>
      <w:r w:rsidRPr="001F2586">
        <w:rPr>
          <w:rFonts w:eastAsia="Calibri"/>
          <w:rtl/>
        </w:rPr>
        <w:t>לפי נתוני</w:t>
      </w:r>
      <w:r w:rsidRPr="001F2586">
        <w:rPr>
          <w:rFonts w:eastAsia="Calibri" w:hint="cs"/>
          <w:rtl/>
        </w:rPr>
        <w:t>ם</w:t>
      </w:r>
      <w:r w:rsidRPr="001F2586">
        <w:rPr>
          <w:rFonts w:eastAsia="Calibri"/>
          <w:rtl/>
        </w:rPr>
        <w:t xml:space="preserve"> של רשות שוק ההון</w:t>
      </w:r>
      <w:r w:rsidRPr="001F2586">
        <w:rPr>
          <w:rFonts w:eastAsia="Calibri" w:hint="cs"/>
          <w:rtl/>
        </w:rPr>
        <w:t xml:space="preserve"> שנמסרו למשרד מבקר המדינה ב-29.6.25</w:t>
      </w:r>
      <w:r w:rsidRPr="001F2586">
        <w:rPr>
          <w:rFonts w:eastAsia="Calibri"/>
          <w:rtl/>
        </w:rPr>
        <w:t xml:space="preserve"> חלקן של חברות אשראי חוץ בנקאיות </w:t>
      </w:r>
      <w:r w:rsidRPr="001F2586">
        <w:rPr>
          <w:rFonts w:eastAsia="Calibri" w:hint="cs"/>
          <w:rtl/>
        </w:rPr>
        <w:t>באשראי לדיור</w:t>
      </w:r>
      <w:r w:rsidRPr="001F2586">
        <w:rPr>
          <w:rFonts w:eastAsia="Calibri"/>
          <w:rtl/>
        </w:rPr>
        <w:t xml:space="preserve"> </w:t>
      </w:r>
      <w:r w:rsidRPr="001F2586">
        <w:rPr>
          <w:rFonts w:eastAsia="Calibri" w:hint="cs"/>
          <w:rtl/>
        </w:rPr>
        <w:t>מוערך</w:t>
      </w:r>
      <w:r w:rsidRPr="001F2586">
        <w:rPr>
          <w:rFonts w:eastAsia="Calibri"/>
          <w:rtl/>
        </w:rPr>
        <w:t xml:space="preserve"> בכ-5.7 מיליארד ש"ח</w:t>
      </w:r>
      <w:r w:rsidRPr="001F2586">
        <w:rPr>
          <w:rFonts w:eastAsia="Calibri" w:hint="cs"/>
          <w:rtl/>
        </w:rPr>
        <w:t>, שהוא כ-1% מיתרת האשראי לדיור</w:t>
      </w:r>
      <w:r>
        <w:rPr>
          <w:rFonts w:eastAsia="Calibri"/>
          <w:vertAlign w:val="superscript"/>
          <w:rtl/>
        </w:rPr>
        <w:footnoteReference w:id="10"/>
      </w:r>
      <w:r w:rsidRPr="001F2586">
        <w:rPr>
          <w:rFonts w:eastAsia="Calibri" w:hint="cs"/>
          <w:rtl/>
        </w:rPr>
        <w:t>.</w:t>
      </w:r>
      <w:r w:rsidRPr="001F2586">
        <w:rPr>
          <w:rFonts w:eastAsia="Calibri"/>
          <w:rtl/>
        </w:rPr>
        <w:t xml:space="preserve"> </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b/>
          <w:bCs/>
          <w:rtl/>
        </w:rPr>
      </w:pPr>
      <w:bookmarkStart w:id="4" w:name="_Hlk221792984"/>
      <w:bookmarkStart w:id="5" w:name="_Hlk221792972"/>
      <w:r w:rsidRPr="001F2586">
        <w:rPr>
          <w:rFonts w:eastAsia="Calibri" w:hint="cs"/>
          <w:b/>
          <w:bCs/>
          <w:rtl/>
        </w:rPr>
        <w:t>בשנים 2015 - 2025 עלו יתרות החוב של משקי הבית למשכנתאות מכ-300 מיליארד ש"ח לכ-630 מיליארד ש"ח (גידול של כ-</w:t>
      </w:r>
      <w:bookmarkStart w:id="6" w:name="_Hlk221793015"/>
      <w:bookmarkEnd w:id="4"/>
      <w:r w:rsidRPr="001F2586">
        <w:rPr>
          <w:rFonts w:eastAsia="Calibri" w:hint="cs"/>
          <w:b/>
          <w:bCs/>
          <w:rtl/>
        </w:rPr>
        <w:t>110%</w:t>
      </w:r>
      <w:bookmarkStart w:id="7" w:name="_Hlk221792998"/>
      <w:bookmarkEnd w:id="6"/>
      <w:r w:rsidRPr="001F2586">
        <w:rPr>
          <w:rFonts w:eastAsia="Calibri" w:hint="cs"/>
          <w:b/>
          <w:bCs/>
          <w:rtl/>
        </w:rPr>
        <w:t xml:space="preserve">). </w:t>
      </w:r>
      <w:bookmarkEnd w:id="7"/>
      <w:r w:rsidRPr="001F2586">
        <w:rPr>
          <w:rFonts w:eastAsia="Calibri" w:hint="cs"/>
          <w:b/>
          <w:bCs/>
          <w:rtl/>
        </w:rPr>
        <w:t>נוסף על כך, הבנקים הם המקור הכמעט בלעדי של משכנתאות והם שומרים על חלקם במשכנתאות המתקרב לכ-100%.</w:t>
      </w:r>
    </w:p>
    <w:p w:rsidR="001F2586" w:rsidRPr="001F2586" w:rsidP="001F2586">
      <w:pPr>
        <w:spacing w:line="269" w:lineRule="auto"/>
        <w:ind w:left="-567"/>
        <w:rPr>
          <w:rFonts w:eastAsia="Calibri"/>
          <w:szCs w:val="20"/>
          <w:rtl/>
        </w:rPr>
      </w:pPr>
    </w:p>
    <w:p w:rsidR="001F2586" w:rsidRPr="001F2586" w:rsidP="001F2586">
      <w:pPr>
        <w:tabs>
          <w:tab w:val="left" w:pos="3685"/>
        </w:tabs>
        <w:spacing w:line="269" w:lineRule="auto"/>
        <w:rPr>
          <w:rFonts w:eastAsia="Calibri"/>
          <w:b/>
          <w:bCs/>
          <w:rtl/>
        </w:rPr>
      </w:pPr>
      <w:r w:rsidRPr="001F2586">
        <w:rPr>
          <w:rFonts w:eastAsia="Calibri" w:hint="cs"/>
          <w:b/>
          <w:bCs/>
          <w:rtl/>
        </w:rPr>
        <w:t>כפי שכבר המליץ מבקר המדינה בדוח קודם משנת 2024</w:t>
      </w:r>
      <w:r>
        <w:rPr>
          <w:rFonts w:eastAsia="Calibri"/>
          <w:b/>
          <w:bCs/>
          <w:vertAlign w:val="superscript"/>
          <w:rtl/>
        </w:rPr>
        <w:footnoteReference w:id="11"/>
      </w:r>
      <w:r w:rsidRPr="001F2586">
        <w:rPr>
          <w:rFonts w:eastAsia="Calibri" w:hint="cs"/>
          <w:b/>
          <w:bCs/>
          <w:rtl/>
        </w:rPr>
        <w:t xml:space="preserve">, </w:t>
      </w:r>
      <w:r w:rsidRPr="001F2586">
        <w:rPr>
          <w:rFonts w:eastAsia="Calibri" w:hint="eastAsia"/>
          <w:b/>
          <w:bCs/>
          <w:rtl/>
        </w:rPr>
        <w:t>מומלץ</w:t>
      </w:r>
      <w:r w:rsidRPr="001F2586">
        <w:rPr>
          <w:rFonts w:eastAsia="Calibri" w:hint="cs"/>
          <w:b/>
          <w:bCs/>
          <w:rtl/>
        </w:rPr>
        <w:t xml:space="preserve"> לבנק ישראל ולמשרד האוצר לבחון את הסיבות והחסמים </w:t>
      </w:r>
      <w:r w:rsidRPr="001F2586">
        <w:rPr>
          <w:rFonts w:eastAsia="Calibri"/>
          <w:b/>
          <w:bCs/>
          <w:rtl/>
        </w:rPr>
        <w:t xml:space="preserve">לכך ששוק </w:t>
      </w:r>
      <w:r w:rsidRPr="001F2586">
        <w:rPr>
          <w:rFonts w:eastAsia="Calibri" w:hint="cs"/>
          <w:b/>
          <w:bCs/>
          <w:rtl/>
        </w:rPr>
        <w:t>המשכנתאות</w:t>
      </w:r>
      <w:r w:rsidRPr="001F2586">
        <w:rPr>
          <w:rFonts w:eastAsia="Calibri"/>
          <w:b/>
          <w:bCs/>
          <w:rtl/>
        </w:rPr>
        <w:t xml:space="preserve"> מתנהל ללא תחרות בין </w:t>
      </w:r>
      <w:r w:rsidRPr="001F2586">
        <w:rPr>
          <w:rFonts w:eastAsia="Calibri" w:hint="cs"/>
          <w:b/>
          <w:bCs/>
          <w:rtl/>
        </w:rPr>
        <w:t>גופים בנקאיים</w:t>
      </w:r>
      <w:r w:rsidRPr="001F2586">
        <w:rPr>
          <w:rFonts w:eastAsia="Calibri"/>
          <w:b/>
          <w:bCs/>
          <w:rtl/>
        </w:rPr>
        <w:t xml:space="preserve"> לבין גופים שאינם בנקאיים, ולכך</w:t>
      </w:r>
      <w:r w:rsidRPr="001F2586">
        <w:rPr>
          <w:rFonts w:eastAsia="Calibri" w:hint="cs"/>
          <w:b/>
          <w:bCs/>
          <w:rtl/>
        </w:rPr>
        <w:t xml:space="preserve"> </w:t>
      </w:r>
      <w:r w:rsidRPr="001F2586">
        <w:rPr>
          <w:rFonts w:eastAsia="Calibri"/>
          <w:b/>
          <w:bCs/>
          <w:rtl/>
        </w:rPr>
        <w:t>שהתאגידים הבנקאיים הם המקור הכמעט בלעדי להלוואות לדיור, וכיצד ניתן להסיר</w:t>
      </w:r>
      <w:r w:rsidRPr="001F2586">
        <w:rPr>
          <w:rFonts w:eastAsia="Calibri" w:hint="cs"/>
          <w:b/>
          <w:bCs/>
          <w:rtl/>
        </w:rPr>
        <w:t xml:space="preserve"> </w:t>
      </w:r>
      <w:r w:rsidRPr="001F2586">
        <w:rPr>
          <w:rFonts w:eastAsia="Calibri"/>
          <w:b/>
          <w:bCs/>
          <w:rtl/>
        </w:rPr>
        <w:t>חסמים אלה</w:t>
      </w:r>
      <w:r>
        <w:rPr>
          <w:rFonts w:eastAsia="Calibri"/>
          <w:b/>
          <w:bCs/>
          <w:vertAlign w:val="superscript"/>
          <w:rtl/>
        </w:rPr>
        <w:footnoteReference w:id="12"/>
      </w:r>
      <w:r w:rsidRPr="001F2586">
        <w:rPr>
          <w:rFonts w:eastAsia="Calibri" w:hint="cs"/>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בתשובת אגף תקציבים במשרד האוצר מיוני 2026 (להלן - תשובת אגף תקציבים) צוין כי "</w:t>
      </w:r>
      <w:r w:rsidRPr="001F2586">
        <w:rPr>
          <w:rFonts w:eastAsia="Calibri"/>
          <w:rtl/>
        </w:rPr>
        <w:t>משרד האוצר עמל מזה מספר שנים להגברת התחרות בשוק מתן האשראי</w:t>
      </w:r>
      <w:r w:rsidRPr="001F2586">
        <w:rPr>
          <w:rFonts w:eastAsia="Calibri" w:hint="cs"/>
          <w:rtl/>
        </w:rPr>
        <w:t xml:space="preserve"> </w:t>
      </w:r>
      <w:r w:rsidRPr="001F2586">
        <w:rPr>
          <w:rFonts w:eastAsia="Calibri"/>
          <w:rtl/>
        </w:rPr>
        <w:t>בישראל, ולשבירת המונופול של הבנקים על סקטורים רבים בשוק המימון. בתוך כך נכללות</w:t>
      </w:r>
      <w:r w:rsidRPr="001F2586">
        <w:rPr>
          <w:rFonts w:eastAsia="Calibri" w:hint="cs"/>
          <w:rtl/>
        </w:rPr>
        <w:t xml:space="preserve"> </w:t>
      </w:r>
      <w:r w:rsidRPr="001F2586">
        <w:rPr>
          <w:rFonts w:eastAsia="Calibri"/>
          <w:rtl/>
        </w:rPr>
        <w:t xml:space="preserve">מספר רפורמות דגל </w:t>
      </w:r>
      <w:r w:rsidRPr="001F2586">
        <w:rPr>
          <w:rFonts w:eastAsia="Calibri" w:hint="cs"/>
          <w:rtl/>
        </w:rPr>
        <w:t>-</w:t>
      </w:r>
      <w:r w:rsidRPr="001F2586">
        <w:rPr>
          <w:rFonts w:eastAsia="Calibri"/>
          <w:rtl/>
        </w:rPr>
        <w:t xml:space="preserve"> למשל, רפורמת בנקים קטנים, מאגר נתוני אשראי צרכני ופתיחת שוק</w:t>
      </w:r>
      <w:r w:rsidRPr="001F2586">
        <w:rPr>
          <w:rFonts w:eastAsia="Calibri" w:hint="cs"/>
          <w:rtl/>
        </w:rPr>
        <w:t xml:space="preserve"> </w:t>
      </w:r>
      <w:r w:rsidRPr="001F2586">
        <w:rPr>
          <w:rFonts w:eastAsia="Calibri"/>
          <w:rtl/>
        </w:rPr>
        <w:t>הערבויות</w:t>
      </w:r>
      <w:r w:rsidRPr="001F2586">
        <w:rPr>
          <w:rFonts w:eastAsia="Calibri" w:hint="cs"/>
          <w:rtl/>
        </w:rPr>
        <w:t>".</w:t>
      </w:r>
    </w:p>
    <w:bookmarkEnd w:id="5"/>
    <w:p w:rsidR="001F2586" w:rsidRPr="001F2586" w:rsidP="00AA728F">
      <w:pPr>
        <w:tabs>
          <w:tab w:val="left" w:pos="3685"/>
        </w:tabs>
        <w:spacing w:line="269" w:lineRule="auto"/>
        <w:rPr>
          <w:rFonts w:eastAsia="Calibri"/>
          <w:rtl/>
        </w:rPr>
      </w:pPr>
      <w:r w:rsidRPr="001F2586">
        <w:rPr>
          <w:rFonts w:eastAsia="Calibri" w:hint="cs"/>
          <w:rtl/>
        </w:rPr>
        <w:t xml:space="preserve">קיימים שני </w:t>
      </w:r>
      <w:r w:rsidRPr="001F2586">
        <w:rPr>
          <w:rFonts w:eastAsia="Calibri"/>
          <w:rtl/>
        </w:rPr>
        <w:t>מדדים מקובלים</w:t>
      </w:r>
      <w:r w:rsidRPr="001F2586">
        <w:rPr>
          <w:rFonts w:eastAsia="Calibri" w:hint="cs"/>
          <w:rtl/>
        </w:rPr>
        <w:t xml:space="preserve"> </w:t>
      </w:r>
      <w:r w:rsidRPr="001F2586">
        <w:rPr>
          <w:rFonts w:eastAsia="Calibri"/>
          <w:rtl/>
        </w:rPr>
        <w:t>לבדיקת ריכוזיות</w:t>
      </w:r>
      <w:r w:rsidRPr="001F2586">
        <w:rPr>
          <w:rFonts w:eastAsia="Calibri" w:hint="cs"/>
          <w:rtl/>
        </w:rPr>
        <w:t xml:space="preserve"> ענפית: מדד יחס הריכוזיות (</w:t>
      </w:r>
      <w:r w:rsidRPr="001F2586">
        <w:rPr>
          <w:rFonts w:eastAsia="Calibri"/>
        </w:rPr>
        <w:t>CR</w:t>
      </w:r>
      <w:r w:rsidRPr="001F2586">
        <w:rPr>
          <w:rFonts w:eastAsia="Calibri"/>
          <w:vertAlign w:val="subscript"/>
        </w:rPr>
        <w:t>n</w:t>
      </w:r>
      <w:r w:rsidRPr="001F2586">
        <w:rPr>
          <w:rFonts w:eastAsia="Calibri"/>
        </w:rPr>
        <w:t xml:space="preserve"> - Concentration Ratio</w:t>
      </w:r>
      <w:r w:rsidRPr="001F2586">
        <w:rPr>
          <w:rFonts w:eastAsia="Calibri" w:hint="cs"/>
          <w:rtl/>
        </w:rPr>
        <w:t>)</w:t>
      </w:r>
      <w:r w:rsidRPr="001F2586">
        <w:rPr>
          <w:rFonts w:eastAsia="Calibri" w:hint="cs"/>
        </w:rPr>
        <w:t xml:space="preserve"> </w:t>
      </w:r>
      <w:r w:rsidRPr="001F2586">
        <w:rPr>
          <w:rFonts w:eastAsia="Calibri" w:hint="cs"/>
          <w:rtl/>
        </w:rPr>
        <w:t xml:space="preserve">המחשב את המשקל באחוזים של מספר הספקים הגדולים בשוק; ומדד </w:t>
      </w:r>
      <w:r w:rsidRPr="001F2586">
        <w:rPr>
          <w:rFonts w:eastAsia="Calibri" w:hint="cs"/>
          <w:rtl/>
        </w:rPr>
        <w:t>הרפינדל</w:t>
      </w:r>
      <w:r w:rsidRPr="001F2586">
        <w:rPr>
          <w:rFonts w:eastAsia="Calibri" w:hint="cs"/>
          <w:rtl/>
        </w:rPr>
        <w:t xml:space="preserve"> </w:t>
      </w:r>
      <w:r w:rsidRPr="001F2586">
        <w:rPr>
          <w:rFonts w:eastAsia="Calibri" w:hint="cs"/>
          <w:rtl/>
        </w:rPr>
        <w:t>הירשמן</w:t>
      </w:r>
      <w:r w:rsidRPr="001F2586">
        <w:rPr>
          <w:rFonts w:eastAsia="Calibri" w:hint="cs"/>
          <w:rtl/>
        </w:rPr>
        <w:t xml:space="preserve"> (</w:t>
      </w:r>
      <w:r w:rsidRPr="001F2586">
        <w:rPr>
          <w:rFonts w:eastAsia="Calibri"/>
        </w:rPr>
        <w:t>Hirschman</w:t>
      </w:r>
      <w:r w:rsidR="00AA728F">
        <w:rPr>
          <w:rFonts w:eastAsia="Calibri"/>
        </w:rPr>
        <w:t xml:space="preserve"> </w:t>
      </w:r>
      <w:r w:rsidRPr="00AA728F" w:rsidR="00AA728F">
        <w:rPr>
          <w:rFonts w:eastAsia="Calibri"/>
        </w:rPr>
        <w:t>Index</w:t>
      </w:r>
      <w:r w:rsidRPr="001F2586">
        <w:rPr>
          <w:rFonts w:eastAsia="Calibri" w:hint="cs"/>
          <w:rtl/>
        </w:rPr>
        <w:t xml:space="preserve"> </w:t>
      </w:r>
      <w:r w:rsidRPr="001F2586">
        <w:rPr>
          <w:rFonts w:eastAsia="Calibri"/>
        </w:rPr>
        <w:t>Herfindahl</w:t>
      </w:r>
      <w:r w:rsidRPr="001F2586">
        <w:rPr>
          <w:rFonts w:eastAsia="Calibri" w:hint="cs"/>
          <w:rtl/>
        </w:rPr>
        <w:t xml:space="preserve"> - </w:t>
      </w:r>
      <w:r w:rsidRPr="001F2586">
        <w:rPr>
          <w:rFonts w:eastAsia="Calibri" w:hint="cs"/>
        </w:rPr>
        <w:t>HHI</w:t>
      </w:r>
      <w:r w:rsidRPr="001F2586">
        <w:rPr>
          <w:rFonts w:eastAsia="Calibri" w:hint="cs"/>
          <w:rtl/>
        </w:rPr>
        <w:t>) המחשב את סכום הריבועים של נתחי השוק של כל ספק ומשמש כהשוואה לענפים אחרים. ככל שהמדדים גבוהים יותר כך רמת הריכוזיות גבוהה יותר. להלן תרשים המנתח את שני המדדים באשראי לדיור במערכת הבנקאית בשנים 2019 - 2024:</w:t>
      </w:r>
    </w:p>
    <w:p w:rsidR="001F2586" w:rsidRPr="001F2586" w:rsidP="001F2586">
      <w:pPr>
        <w:tabs>
          <w:tab w:val="left" w:pos="3685"/>
        </w:tabs>
        <w:spacing w:line="269" w:lineRule="auto"/>
        <w:ind w:left="-567"/>
        <w:rPr>
          <w:rFonts w:eastAsia="Calibri"/>
          <w:szCs w:val="20"/>
          <w:rtl/>
        </w:rPr>
      </w:pPr>
    </w:p>
    <w:p w:rsidR="001F2586" w:rsidRPr="001F2586" w:rsidP="001F2586">
      <w:pPr>
        <w:keepNext/>
        <w:keepLines/>
        <w:tabs>
          <w:tab w:val="left" w:pos="3685"/>
        </w:tabs>
        <w:spacing w:line="269" w:lineRule="auto"/>
        <w:ind w:left="717" w:hanging="360"/>
        <w:jc w:val="center"/>
        <w:outlineLvl w:val="4"/>
        <w:rPr>
          <w:rFonts w:eastAsia="Calibri"/>
          <w:bCs/>
          <w:sz w:val="24"/>
          <w:rtl/>
        </w:rPr>
      </w:pPr>
      <w:r w:rsidRPr="001F2586">
        <w:rPr>
          <w:rFonts w:eastAsia="Calibri" w:hint="cs"/>
          <w:sz w:val="24"/>
          <w:rtl/>
        </w:rPr>
        <w:t>תרשים 2:</w:t>
      </w:r>
      <w:r w:rsidRPr="001F2586">
        <w:rPr>
          <w:rFonts w:eastAsia="Calibri" w:hint="cs"/>
          <w:bCs/>
          <w:sz w:val="24"/>
          <w:rtl/>
        </w:rPr>
        <w:t xml:space="preserve"> מדד יחס הריכוזיות ומדד </w:t>
      </w:r>
      <w:r w:rsidRPr="001F2586">
        <w:rPr>
          <w:rFonts w:eastAsia="Calibri" w:hint="cs"/>
          <w:bCs/>
          <w:sz w:val="24"/>
          <w:rtl/>
        </w:rPr>
        <w:t>הרפינדל</w:t>
      </w:r>
      <w:r w:rsidRPr="001F2586">
        <w:rPr>
          <w:rFonts w:eastAsia="Calibri" w:hint="cs"/>
          <w:bCs/>
          <w:sz w:val="24"/>
          <w:rtl/>
        </w:rPr>
        <w:t xml:space="preserve"> </w:t>
      </w:r>
      <w:r w:rsidRPr="001F2586">
        <w:rPr>
          <w:rFonts w:eastAsia="Calibri" w:hint="cs"/>
          <w:bCs/>
          <w:sz w:val="24"/>
          <w:rtl/>
        </w:rPr>
        <w:t>הירשמן</w:t>
      </w:r>
      <w:r w:rsidRPr="001F2586">
        <w:rPr>
          <w:rFonts w:eastAsia="Calibri" w:hint="cs"/>
          <w:bCs/>
          <w:sz w:val="24"/>
          <w:rtl/>
        </w:rPr>
        <w:t xml:space="preserve"> באשראי לדיור במערכת הבנקאית, 2019 - 2024</w:t>
      </w:r>
    </w:p>
    <w:p w:rsidR="001F2586" w:rsidRPr="001F2586" w:rsidP="001F2586">
      <w:pPr>
        <w:tabs>
          <w:tab w:val="left" w:pos="3685"/>
        </w:tabs>
        <w:spacing w:line="269" w:lineRule="auto"/>
        <w:jc w:val="center"/>
        <w:rPr>
          <w:rFonts w:eastAsia="Calibri"/>
          <w:rtl/>
        </w:rPr>
      </w:pPr>
      <w:r w:rsidRPr="001F2586">
        <w:rPr>
          <w:rFonts w:eastAsia="Calibri"/>
          <w:noProof/>
        </w:rPr>
        <w:drawing>
          <wp:inline distT="0" distB="0" distL="0" distR="0">
            <wp:extent cx="5221811" cy="2762250"/>
            <wp:effectExtent l="0" t="0" r="0" b="0"/>
            <wp:docPr id="28" name="תמונה 28" descr="חלקן של 3 הבנקים הגדולים במשכנתאות היה בטווח של כ-79% -81% בשנים 2019 -2024 (ממוצע-81%).&#10;חלקן של 4 הבנקים הגדולים היה בטווח של כ-89% -93% בשנים אלו (ממוצע 91%).&#10;מדד הרפינדל הרשמן נע בטווח של 0.24- 0.25 בשנים א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0728" cy="2772257"/>
                    </a:xfrm>
                    <a:prstGeom prst="rect">
                      <a:avLst/>
                    </a:prstGeom>
                    <a:noFill/>
                  </pic:spPr>
                </pic:pic>
              </a:graphicData>
            </a:graphic>
          </wp:inline>
        </w:drawing>
      </w:r>
    </w:p>
    <w:p w:rsidR="001F2586" w:rsidRPr="001F2586" w:rsidP="001F2586">
      <w:pPr>
        <w:tabs>
          <w:tab w:val="left" w:pos="3685"/>
        </w:tabs>
        <w:spacing w:line="269" w:lineRule="auto"/>
        <w:rPr>
          <w:rFonts w:eastAsia="Calibri"/>
          <w:szCs w:val="20"/>
          <w:rtl/>
        </w:rPr>
      </w:pPr>
      <w:r w:rsidRPr="001F2586">
        <w:rPr>
          <w:rFonts w:eastAsia="Calibri" w:hint="cs"/>
          <w:szCs w:val="20"/>
          <w:rtl/>
        </w:rPr>
        <w:t>על פי נתוני בנק ישראל, בעיבוד משרד מבקר המדינה.</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מהתרשים עולה כי בתקופה הנסקרת חלה עלייה בריכוזיות באשראי לדיור, שחלקם של שלושת הבנקים הגדולים</w:t>
      </w:r>
      <w:r>
        <w:rPr>
          <w:rFonts w:eastAsia="Calibri"/>
          <w:vertAlign w:val="superscript"/>
          <w:rtl/>
        </w:rPr>
        <w:footnoteReference w:id="13"/>
      </w:r>
      <w:r w:rsidRPr="001F2586">
        <w:rPr>
          <w:rFonts w:eastAsia="Calibri" w:hint="cs"/>
          <w:rtl/>
        </w:rPr>
        <w:t xml:space="preserve"> (</w:t>
      </w:r>
      <w:r w:rsidRPr="001F2586">
        <w:rPr>
          <w:rFonts w:eastAsia="Calibri" w:hint="cs"/>
        </w:rPr>
        <w:t>CR</w:t>
      </w:r>
      <w:r w:rsidRPr="001F2586">
        <w:rPr>
          <w:rFonts w:eastAsia="Calibri"/>
          <w:vertAlign w:val="subscript"/>
        </w:rPr>
        <w:t>3</w:t>
      </w:r>
      <w:r w:rsidRPr="001F2586">
        <w:rPr>
          <w:rFonts w:eastAsia="Calibri" w:hint="cs"/>
          <w:rtl/>
        </w:rPr>
        <w:t>) עלה מכ-79% לכ-81% וחלקם של ארבעת הבנקים הגדולים</w:t>
      </w:r>
      <w:r>
        <w:rPr>
          <w:rFonts w:eastAsia="Calibri"/>
          <w:vertAlign w:val="superscript"/>
          <w:rtl/>
        </w:rPr>
        <w:footnoteReference w:id="14"/>
      </w:r>
      <w:r w:rsidRPr="001F2586">
        <w:rPr>
          <w:rFonts w:eastAsia="Calibri" w:hint="cs"/>
          <w:rtl/>
        </w:rPr>
        <w:t xml:space="preserve"> (</w:t>
      </w:r>
      <w:r w:rsidRPr="001F2586">
        <w:rPr>
          <w:rFonts w:eastAsia="Calibri" w:hint="cs"/>
        </w:rPr>
        <w:t>CR</w:t>
      </w:r>
      <w:r w:rsidRPr="001F2586">
        <w:rPr>
          <w:rFonts w:eastAsia="Calibri"/>
          <w:vertAlign w:val="subscript"/>
        </w:rPr>
        <w:t>4</w:t>
      </w:r>
      <w:r w:rsidRPr="001F2586">
        <w:rPr>
          <w:rFonts w:eastAsia="Calibri" w:hint="cs"/>
          <w:rtl/>
        </w:rPr>
        <w:t xml:space="preserve">) עלה מכ-89% לכ-93% מהאשראי. בנוסף, מדד </w:t>
      </w:r>
      <w:r w:rsidRPr="001F2586">
        <w:rPr>
          <w:rFonts w:eastAsia="Calibri" w:hint="cs"/>
          <w:rtl/>
        </w:rPr>
        <w:t>הרפינדל</w:t>
      </w:r>
      <w:r w:rsidRPr="001F2586">
        <w:rPr>
          <w:rFonts w:eastAsia="Calibri" w:hint="cs"/>
          <w:rtl/>
        </w:rPr>
        <w:t xml:space="preserve"> </w:t>
      </w:r>
      <w:r w:rsidRPr="001F2586">
        <w:rPr>
          <w:rFonts w:eastAsia="Calibri" w:hint="cs"/>
          <w:rtl/>
        </w:rPr>
        <w:t>הירשמן</w:t>
      </w:r>
      <w:r w:rsidRPr="001F2586">
        <w:rPr>
          <w:rFonts w:eastAsia="Calibri" w:hint="cs"/>
          <w:rtl/>
        </w:rPr>
        <w:t xml:space="preserve"> (</w:t>
      </w:r>
      <w:r w:rsidRPr="001F2586">
        <w:rPr>
          <w:rFonts w:eastAsia="Calibri" w:hint="cs"/>
        </w:rPr>
        <w:t>HHI</w:t>
      </w:r>
      <w:r w:rsidRPr="001F2586">
        <w:rPr>
          <w:rFonts w:eastAsia="Calibri" w:hint="cs"/>
          <w:rtl/>
        </w:rPr>
        <w:t>) בשנים אלו נע בין 0.24 ל-0.25, כך שריכוזיות האשראי לדיור היא בינונית על סף גבוהה</w:t>
      </w:r>
      <w:r>
        <w:rPr>
          <w:rFonts w:eastAsia="Calibri"/>
          <w:vertAlign w:val="superscript"/>
          <w:rtl/>
        </w:rPr>
        <w:footnoteReference w:id="15"/>
      </w:r>
      <w:r w:rsidRPr="001F2586">
        <w:rPr>
          <w:rFonts w:eastAsia="Calibri" w:hint="cs"/>
          <w:rtl/>
        </w:rPr>
        <w:t xml:space="preserve">. לפי מדדים אלו רוב האשראי לדיור מרוכז בידי שלושה - ארבעה בנקים. ריכוזיות האשראי עשויה להשפיע על מחירי האשראי ועל רמת התחרות במחירים. </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b/>
          <w:bCs/>
          <w:rtl/>
        </w:rPr>
      </w:pPr>
      <w:r w:rsidRPr="001F2586">
        <w:rPr>
          <w:rFonts w:eastAsia="Calibri" w:hint="cs"/>
          <w:b/>
          <w:bCs/>
          <w:rtl/>
        </w:rPr>
        <w:t>שוק המשכנתאות נשלט ברובו בידי המערכת הבנקאית ובעיקר בידי שלושה בנקים. נמצא כי בעוד שיתרת המשכנתאות במערכת הבנקאית והחוץ בנקאית גדלה באופן ניכר, יתרת הלוואות הזכאות הצטמצמה מאוד בשנים 2025-2015 - מכ-12 מיליארד ש"ח לכ-6 מיליארד ש"ח.</w:t>
      </w:r>
      <w:r w:rsidRPr="001F2586">
        <w:rPr>
          <w:rFonts w:eastAsia="Calibri" w:hint="cs"/>
          <w:b/>
          <w:bCs/>
        </w:rPr>
        <w:t xml:space="preserve"> </w:t>
      </w:r>
      <w:r w:rsidRPr="001F2586">
        <w:rPr>
          <w:rFonts w:eastAsia="Calibri" w:hint="cs"/>
          <w:b/>
          <w:bCs/>
          <w:rtl/>
        </w:rPr>
        <w:t>העלייה החדה ביתרת חוב המשכנתאות של הציבור במערכת הבנקאית והחוץ בנקאית מגבירה את החשיבות לכך שרשויות פיקוח פיננסיות, כמו בנק ישראל ורשות שוק ההון</w:t>
      </w:r>
      <w:r>
        <w:rPr>
          <w:rFonts w:eastAsia="Calibri"/>
          <w:b/>
          <w:bCs/>
          <w:vertAlign w:val="superscript"/>
          <w:rtl/>
        </w:rPr>
        <w:footnoteReference w:id="16"/>
      </w:r>
      <w:r w:rsidRPr="001F2586">
        <w:rPr>
          <w:rFonts w:eastAsia="Calibri" w:hint="cs"/>
          <w:b/>
          <w:bCs/>
          <w:rtl/>
        </w:rPr>
        <w:t>, יקיימו אסדרה מיטבית על הגופים המלווים ועל שוק המשכנתאות בכללותו.</w:t>
      </w:r>
    </w:p>
    <w:p w:rsidR="001F2586" w:rsidRPr="001F2586" w:rsidP="00720120">
      <w:pPr>
        <w:keepNext/>
        <w:keepLines/>
        <w:tabs>
          <w:tab w:val="left" w:pos="3685"/>
        </w:tabs>
        <w:spacing w:before="240" w:line="269" w:lineRule="auto"/>
        <w:outlineLvl w:val="3"/>
        <w:rPr>
          <w:rFonts w:eastAsia="Times New Roman"/>
          <w:bCs/>
          <w:szCs w:val="26"/>
          <w:rtl/>
        </w:rPr>
      </w:pPr>
      <w:r w:rsidRPr="001F2586">
        <w:rPr>
          <w:rFonts w:eastAsia="Times New Roman" w:hint="cs"/>
          <w:bCs/>
          <w:szCs w:val="26"/>
          <w:rtl/>
        </w:rPr>
        <w:t xml:space="preserve">תיק אשראי לדיור בישראל </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rtl/>
        </w:rPr>
        <w:t xml:space="preserve">האשראי למשקי בית </w:t>
      </w:r>
      <w:r w:rsidRPr="001F2586">
        <w:rPr>
          <w:rFonts w:eastAsia="Calibri" w:hint="cs"/>
          <w:rtl/>
        </w:rPr>
        <w:t>כולל את</w:t>
      </w:r>
      <w:r w:rsidRPr="001F2586">
        <w:rPr>
          <w:rFonts w:eastAsia="Calibri"/>
          <w:rtl/>
        </w:rPr>
        <w:t xml:space="preserve"> </w:t>
      </w:r>
      <w:r w:rsidRPr="001F2586">
        <w:rPr>
          <w:rFonts w:eastAsia="Calibri" w:hint="cs"/>
          <w:rtl/>
        </w:rPr>
        <w:t>ה</w:t>
      </w:r>
      <w:r w:rsidRPr="001F2586">
        <w:rPr>
          <w:rFonts w:eastAsia="Calibri"/>
          <w:rtl/>
        </w:rPr>
        <w:t xml:space="preserve">אשראי </w:t>
      </w:r>
      <w:r w:rsidRPr="001F2586">
        <w:rPr>
          <w:rFonts w:eastAsia="Calibri" w:hint="cs"/>
          <w:rtl/>
        </w:rPr>
        <w:t xml:space="preserve">למשכנתאות (להלן - אשראי </w:t>
      </w:r>
      <w:r w:rsidRPr="001F2586">
        <w:rPr>
          <w:rFonts w:eastAsia="Calibri"/>
          <w:rtl/>
        </w:rPr>
        <w:t>לדיור) ואשראי צרכני הנועד למטרות אחרות, מלבד דיור</w:t>
      </w:r>
      <w:r w:rsidRPr="001F2586">
        <w:rPr>
          <w:rFonts w:eastAsia="Calibri" w:hint="cs"/>
          <w:rtl/>
        </w:rPr>
        <w:t xml:space="preserve"> (להלן - אשראי צרכני או אשראי לא לדיור). להלן תרשים המציג את שיעור </w:t>
      </w:r>
      <w:r w:rsidRPr="001F2586">
        <w:rPr>
          <w:rFonts w:eastAsia="Calibri"/>
          <w:rtl/>
        </w:rPr>
        <w:t xml:space="preserve">האשראי למשקי בית במשק (לדיור </w:t>
      </w:r>
      <w:r w:rsidRPr="001F2586">
        <w:rPr>
          <w:rFonts w:eastAsia="Calibri" w:hint="cs"/>
          <w:rtl/>
        </w:rPr>
        <w:t>וצרכני</w:t>
      </w:r>
      <w:r w:rsidRPr="001F2586">
        <w:rPr>
          <w:rFonts w:eastAsia="Calibri"/>
          <w:rtl/>
        </w:rPr>
        <w:t>)</w:t>
      </w:r>
      <w:r w:rsidRPr="001F2586">
        <w:rPr>
          <w:rFonts w:eastAsia="Calibri" w:hint="cs"/>
          <w:rtl/>
        </w:rPr>
        <w:t xml:space="preserve"> בשנים </w:t>
      </w:r>
      <w:r w:rsidRPr="001F2586">
        <w:rPr>
          <w:rFonts w:eastAsia="Calibri"/>
          <w:rtl/>
        </w:rPr>
        <w:t>2019 - 2024</w:t>
      </w:r>
      <w:r w:rsidRPr="001F2586">
        <w:rPr>
          <w:rFonts w:eastAsia="Calibri" w:hint="cs"/>
          <w:rtl/>
        </w:rPr>
        <w:t>:</w:t>
      </w:r>
    </w:p>
    <w:p w:rsidR="001F2586" w:rsidRPr="001F2586" w:rsidP="001F2586">
      <w:pPr>
        <w:tabs>
          <w:tab w:val="left" w:pos="3685"/>
        </w:tabs>
        <w:spacing w:line="269" w:lineRule="auto"/>
        <w:ind w:left="-567"/>
        <w:rPr>
          <w:rFonts w:eastAsia="Calibri"/>
          <w:szCs w:val="20"/>
          <w:rtl/>
        </w:rPr>
      </w:pPr>
    </w:p>
    <w:p w:rsidR="001F2586" w:rsidRPr="001F2586" w:rsidP="001F2586">
      <w:pPr>
        <w:keepNext/>
        <w:keepLines/>
        <w:tabs>
          <w:tab w:val="left" w:pos="3685"/>
        </w:tabs>
        <w:spacing w:line="269" w:lineRule="auto"/>
        <w:ind w:left="717" w:hanging="360"/>
        <w:jc w:val="center"/>
        <w:outlineLvl w:val="4"/>
        <w:rPr>
          <w:rFonts w:eastAsia="Calibri"/>
          <w:b/>
          <w:bCs/>
          <w:sz w:val="24"/>
          <w:rtl/>
        </w:rPr>
      </w:pPr>
      <w:r w:rsidRPr="001F2586">
        <w:rPr>
          <w:rFonts w:eastAsia="Calibri" w:hint="eastAsia"/>
          <w:b/>
          <w:sz w:val="24"/>
          <w:rtl/>
        </w:rPr>
        <w:t>תרשים</w:t>
      </w:r>
      <w:r w:rsidRPr="001F2586">
        <w:rPr>
          <w:rFonts w:eastAsia="Calibri"/>
          <w:b/>
          <w:sz w:val="24"/>
          <w:rtl/>
        </w:rPr>
        <w:t xml:space="preserve"> </w:t>
      </w:r>
      <w:r w:rsidRPr="001F2586">
        <w:rPr>
          <w:rFonts w:eastAsia="Calibri" w:hint="cs"/>
          <w:b/>
          <w:sz w:val="24"/>
          <w:rtl/>
        </w:rPr>
        <w:t>3</w:t>
      </w:r>
      <w:r w:rsidRPr="001F2586">
        <w:rPr>
          <w:rFonts w:eastAsia="Calibri"/>
          <w:b/>
          <w:sz w:val="24"/>
          <w:rtl/>
        </w:rPr>
        <w:t xml:space="preserve">: </w:t>
      </w:r>
      <w:r w:rsidRPr="001F2586">
        <w:rPr>
          <w:rFonts w:eastAsia="Calibri" w:hint="eastAsia"/>
          <w:bCs/>
          <w:sz w:val="24"/>
          <w:rtl/>
        </w:rPr>
        <w:t>שיעור</w:t>
      </w:r>
      <w:r w:rsidRPr="001F2586">
        <w:rPr>
          <w:rFonts w:eastAsia="Calibri"/>
          <w:b/>
          <w:bCs/>
          <w:sz w:val="24"/>
          <w:rtl/>
        </w:rPr>
        <w:t xml:space="preserve"> האשראי (לדיור, </w:t>
      </w:r>
      <w:r w:rsidRPr="001F2586">
        <w:rPr>
          <w:rFonts w:eastAsia="Calibri" w:hint="eastAsia"/>
          <w:bCs/>
          <w:sz w:val="24"/>
          <w:rtl/>
        </w:rPr>
        <w:t>וצרכני</w:t>
      </w:r>
      <w:r w:rsidRPr="001F2586">
        <w:rPr>
          <w:rFonts w:eastAsia="Calibri"/>
          <w:b/>
          <w:bCs/>
          <w:sz w:val="24"/>
          <w:rtl/>
        </w:rPr>
        <w:t xml:space="preserve">) </w:t>
      </w:r>
      <w:r w:rsidRPr="001F2586">
        <w:rPr>
          <w:rFonts w:eastAsia="Calibri" w:hint="eastAsia"/>
          <w:bCs/>
          <w:sz w:val="24"/>
          <w:rtl/>
        </w:rPr>
        <w:t>מסך</w:t>
      </w:r>
      <w:r w:rsidRPr="001F2586">
        <w:rPr>
          <w:rFonts w:eastAsia="Calibri"/>
          <w:bCs/>
          <w:sz w:val="24"/>
          <w:rtl/>
        </w:rPr>
        <w:t xml:space="preserve"> האשראי </w:t>
      </w:r>
      <w:r w:rsidRPr="001F2586">
        <w:rPr>
          <w:rFonts w:eastAsia="Calibri"/>
          <w:b/>
          <w:bCs/>
          <w:sz w:val="24"/>
          <w:rtl/>
        </w:rPr>
        <w:t>למשקי בית במשק</w:t>
      </w:r>
      <w:r w:rsidRPr="001F2586">
        <w:rPr>
          <w:rFonts w:eastAsia="Calibri" w:hint="cs"/>
          <w:b/>
          <w:bCs/>
          <w:sz w:val="24"/>
          <w:rtl/>
        </w:rPr>
        <w:t>,</w:t>
      </w:r>
      <w:r w:rsidRPr="001F2586">
        <w:rPr>
          <w:rFonts w:eastAsia="Calibri"/>
          <w:b/>
          <w:bCs/>
          <w:sz w:val="24"/>
          <w:rtl/>
        </w:rPr>
        <w:t xml:space="preserve"> 2019 - </w:t>
      </w:r>
      <w:r w:rsidRPr="001F2586">
        <w:rPr>
          <w:rFonts w:eastAsia="Calibri"/>
          <w:bCs/>
          <w:sz w:val="24"/>
          <w:rtl/>
        </w:rPr>
        <w:t>2025*</w:t>
      </w:r>
      <w:r w:rsidRPr="001F2586">
        <w:rPr>
          <w:rFonts w:eastAsia="Calibri"/>
          <w:b/>
          <w:bCs/>
          <w:sz w:val="24"/>
          <w:rtl/>
        </w:rPr>
        <w:t xml:space="preserve"> </w:t>
      </w:r>
    </w:p>
    <w:p w:rsidR="001F2586" w:rsidRPr="001F2586" w:rsidP="001F2586">
      <w:pPr>
        <w:tabs>
          <w:tab w:val="left" w:pos="3685"/>
        </w:tabs>
        <w:spacing w:line="269" w:lineRule="auto"/>
        <w:jc w:val="center"/>
        <w:rPr>
          <w:rFonts w:eastAsia="Calibri"/>
          <w:rtl/>
        </w:rPr>
      </w:pPr>
      <w:r w:rsidRPr="001F2586">
        <w:rPr>
          <w:rFonts w:eastAsia="Calibri"/>
          <w:noProof/>
        </w:rPr>
        <w:drawing>
          <wp:inline distT="0" distB="0" distL="0" distR="0">
            <wp:extent cx="5353685" cy="3437794"/>
            <wp:effectExtent l="0" t="0" r="0" b="0"/>
            <wp:docPr id="33" name="תמונה 33" descr="שיעור אשראי לדיור מסך אשראי למשקי בית עלה בשנים 2019 - 2025 (עד אוגוסט 2025) מכ-66% לכ-73%, ושיעור אשראי צרכני מסך אשראי למשקי בית ירד מכ-34% לכ-27% בשנים א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xmlns:r="http://schemas.openxmlformats.org/officeDocument/2006/relationships" r:embed="rId11"/>
                    <a:stretch>
                      <a:fillRect/>
                    </a:stretch>
                  </pic:blipFill>
                  <pic:spPr>
                    <a:xfrm>
                      <a:off x="0" y="0"/>
                      <a:ext cx="5356228" cy="3439427"/>
                    </a:xfrm>
                    <a:prstGeom prst="rect">
                      <a:avLst/>
                    </a:prstGeom>
                  </pic:spPr>
                </pic:pic>
              </a:graphicData>
            </a:graphic>
          </wp:inline>
        </w:drawing>
      </w:r>
    </w:p>
    <w:p w:rsidR="001F2586" w:rsidRPr="001F2586" w:rsidP="001F2586">
      <w:pPr>
        <w:tabs>
          <w:tab w:val="left" w:pos="3685"/>
        </w:tabs>
        <w:spacing w:line="269" w:lineRule="auto"/>
        <w:rPr>
          <w:rFonts w:eastAsia="Calibri"/>
          <w:sz w:val="16"/>
          <w:szCs w:val="20"/>
          <w:rtl/>
        </w:rPr>
      </w:pPr>
      <w:r w:rsidRPr="001F2586">
        <w:rPr>
          <w:rFonts w:eastAsia="Calibri" w:hint="eastAsia"/>
          <w:sz w:val="16"/>
          <w:szCs w:val="20"/>
          <w:rtl/>
        </w:rPr>
        <w:t>על</w:t>
      </w:r>
      <w:r w:rsidRPr="001F2586">
        <w:rPr>
          <w:rFonts w:eastAsia="Calibri"/>
          <w:sz w:val="16"/>
          <w:szCs w:val="20"/>
          <w:rtl/>
        </w:rPr>
        <w:t xml:space="preserve"> פי נתוני בנק ישראל, בעיבוד משרד מבקר המדינה.</w:t>
      </w:r>
    </w:p>
    <w:p w:rsidR="001F2586" w:rsidRPr="001F2586" w:rsidP="001F2586">
      <w:pPr>
        <w:tabs>
          <w:tab w:val="left" w:pos="3685"/>
        </w:tabs>
        <w:spacing w:line="269" w:lineRule="auto"/>
        <w:rPr>
          <w:rFonts w:eastAsia="Calibri"/>
          <w:sz w:val="16"/>
          <w:szCs w:val="20"/>
          <w:rtl/>
        </w:rPr>
      </w:pPr>
      <w:r w:rsidRPr="001F2586">
        <w:rPr>
          <w:rFonts w:eastAsia="Calibri" w:hint="cs"/>
          <w:sz w:val="16"/>
          <w:szCs w:val="20"/>
          <w:rtl/>
        </w:rPr>
        <w:t>*</w:t>
      </w:r>
      <w:r w:rsidRPr="001F2586">
        <w:rPr>
          <w:rFonts w:eastAsia="Calibri"/>
          <w:sz w:val="18"/>
          <w:szCs w:val="22"/>
          <w:rtl/>
        </w:rPr>
        <w:t xml:space="preserve"> </w:t>
      </w:r>
      <w:r w:rsidRPr="001F2586">
        <w:rPr>
          <w:rFonts w:eastAsia="Calibri"/>
          <w:sz w:val="16"/>
          <w:szCs w:val="20"/>
          <w:rtl/>
        </w:rPr>
        <w:t xml:space="preserve">נתונים עד </w:t>
      </w:r>
      <w:r w:rsidRPr="001F2586">
        <w:rPr>
          <w:rFonts w:eastAsia="Calibri" w:hint="cs"/>
          <w:sz w:val="16"/>
          <w:szCs w:val="20"/>
          <w:rtl/>
        </w:rPr>
        <w:t>אוגוסט</w:t>
      </w:r>
      <w:r w:rsidRPr="001F2586">
        <w:rPr>
          <w:rFonts w:eastAsia="Calibri"/>
          <w:sz w:val="16"/>
          <w:szCs w:val="20"/>
          <w:rtl/>
        </w:rPr>
        <w:t xml:space="preserve"> 2025</w:t>
      </w:r>
      <w:r w:rsidRPr="001F2586">
        <w:rPr>
          <w:rFonts w:eastAsia="Calibri" w:hint="cs"/>
          <w:sz w:val="16"/>
          <w:szCs w:val="20"/>
          <w:rtl/>
        </w:rPr>
        <w:t>.</w:t>
      </w:r>
    </w:p>
    <w:p w:rsidR="001F2586" w:rsidRPr="001F2586" w:rsidP="001F2586">
      <w:pPr>
        <w:tabs>
          <w:tab w:val="left" w:pos="3685"/>
        </w:tabs>
        <w:spacing w:line="269" w:lineRule="auto"/>
        <w:rPr>
          <w:rFonts w:eastAsia="Calibri"/>
          <w:sz w:val="18"/>
          <w:szCs w:val="22"/>
          <w:rtl/>
        </w:rPr>
      </w:pPr>
    </w:p>
    <w:p w:rsidR="001F2586" w:rsidRPr="001F2586" w:rsidP="001F2586">
      <w:pPr>
        <w:tabs>
          <w:tab w:val="left" w:pos="3685"/>
        </w:tabs>
        <w:spacing w:line="269" w:lineRule="auto"/>
        <w:rPr>
          <w:rFonts w:eastAsia="Calibri"/>
          <w:rtl/>
        </w:rPr>
      </w:pPr>
      <w:r w:rsidRPr="001F2586">
        <w:rPr>
          <w:rFonts w:eastAsia="Calibri" w:hint="cs"/>
          <w:rtl/>
        </w:rPr>
        <w:t xml:space="preserve">מהתרשים עולה כי בין שנת 2019 לשנת 2025 גדל שיעור האשראי לדיור מסך </w:t>
      </w:r>
      <w:r w:rsidR="00FF56A9">
        <w:rPr>
          <w:rFonts w:eastAsia="Calibri" w:hint="cs"/>
          <w:rtl/>
        </w:rPr>
        <w:t>ה</w:t>
      </w:r>
      <w:r w:rsidRPr="001F2586">
        <w:rPr>
          <w:rFonts w:eastAsia="Calibri" w:hint="cs"/>
          <w:rtl/>
        </w:rPr>
        <w:t xml:space="preserve">אשראי למשקי בית מכ-66% לכ-73%, ושיעור האשראי הצרכני מסך האשראי למשקי הבית קטן מכ-34% לכ-27%. כלומר האשראי לדיור הוא האשראי הנרחב ביותר למשקי הבית וחלקו באשראי גדל על חשבון האשראי הצרכני. </w:t>
      </w:r>
      <w:r w:rsidRPr="001F2586">
        <w:rPr>
          <w:rFonts w:ascii="David" w:eastAsia="Calibri" w:hAnsi="David"/>
          <w:sz w:val="24"/>
          <w:rtl/>
        </w:rPr>
        <w:t>לפי נתוני בנק ישראל</w:t>
      </w:r>
      <w:r w:rsidRPr="001F2586">
        <w:rPr>
          <w:rFonts w:ascii="David" w:eastAsia="Calibri" w:hAnsi="David" w:hint="cs"/>
          <w:sz w:val="24"/>
          <w:rtl/>
        </w:rPr>
        <w:t>, בשנים אלו גדל שיעור האשראי לדיור של משקי הבית מסך האשראי במשק מכ-15% לכ-17%</w:t>
      </w:r>
      <w:r>
        <w:rPr>
          <w:rFonts w:eastAsia="Calibri"/>
          <w:vertAlign w:val="superscript"/>
          <w:rtl/>
        </w:rPr>
        <w:footnoteReference w:id="17"/>
      </w:r>
      <w:r w:rsidRPr="001F2586">
        <w:rPr>
          <w:rFonts w:eastAsia="Calibri" w:hint="cs"/>
          <w:rtl/>
        </w:rPr>
        <w:t xml:space="preserve">. </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 xml:space="preserve">שיעור האשראי לדיור מהתוצר במשק מבטא את היקף המשכנתאות </w:t>
      </w:r>
      <w:r w:rsidRPr="001F2586">
        <w:rPr>
          <w:rFonts w:eastAsia="Calibri"/>
          <w:rtl/>
        </w:rPr>
        <w:t>ביחס להיקף הפעילות הכלכלית במשק</w:t>
      </w:r>
      <w:r w:rsidRPr="001F2586">
        <w:rPr>
          <w:rFonts w:eastAsia="Calibri" w:hint="cs"/>
          <w:rtl/>
        </w:rPr>
        <w:t>. שיעור גבוה של אשראי לדיור מהתוצר עלול לשקף פגיעות גבוהה של מלווים ולווים לזעזועים חיצוניים כמו עלייה בריבית ובתשלומים החודשיים או ירידה בהכנסת הלווים או במחירי הדיור. לעומת זאת שיעור נמוך של אשראי לדיור מהתוצר</w:t>
      </w:r>
      <w:r w:rsidRPr="001F2586">
        <w:rPr>
          <w:rFonts w:eastAsia="Calibri"/>
          <w:rtl/>
        </w:rPr>
        <w:t xml:space="preserve"> עשוי </w:t>
      </w:r>
      <w:r w:rsidRPr="001F2586">
        <w:rPr>
          <w:rFonts w:eastAsia="Calibri" w:hint="cs"/>
          <w:rtl/>
        </w:rPr>
        <w:t>ללמד</w:t>
      </w:r>
      <w:r w:rsidRPr="001F2586">
        <w:rPr>
          <w:rFonts w:eastAsia="Calibri"/>
          <w:rtl/>
        </w:rPr>
        <w:t xml:space="preserve"> על </w:t>
      </w:r>
      <w:r w:rsidRPr="001F2586">
        <w:rPr>
          <w:rFonts w:eastAsia="Calibri" w:hint="cs"/>
          <w:rtl/>
        </w:rPr>
        <w:t>חוסן כלכלי של המלווים ועל רגולציה הדוקה של הרגולטור על מתן אשראי. ואולם שיעור נמוך יכול אף לשקף כלכלה שמרנית שבה יש הגבלות לקבוצות לווים מסוימות המתקשות לקבל אשראי. להלן תרשים המציג את יתרת האשראי לדיור כשיעור מהתוצר במדינות מפותחות לשנת 2023 לפי ניתוח של מרכז המחקר והמידע בכנסת:</w:t>
      </w:r>
    </w:p>
    <w:p w:rsidR="001F2586" w:rsidRPr="001F2586" w:rsidP="001F2586">
      <w:pPr>
        <w:tabs>
          <w:tab w:val="left" w:pos="3685"/>
        </w:tabs>
        <w:spacing w:line="269" w:lineRule="auto"/>
        <w:ind w:left="-567"/>
        <w:rPr>
          <w:rFonts w:eastAsia="Calibri"/>
          <w:szCs w:val="20"/>
          <w:rtl/>
        </w:rPr>
      </w:pPr>
    </w:p>
    <w:p w:rsidR="001F2586" w:rsidRPr="001F2586" w:rsidP="001F2586">
      <w:pPr>
        <w:keepNext/>
        <w:keepLines/>
        <w:tabs>
          <w:tab w:val="left" w:pos="3685"/>
        </w:tabs>
        <w:spacing w:line="269" w:lineRule="auto"/>
        <w:ind w:left="717" w:hanging="360"/>
        <w:jc w:val="center"/>
        <w:outlineLvl w:val="4"/>
        <w:rPr>
          <w:rFonts w:eastAsia="Calibri"/>
          <w:b/>
          <w:bCs/>
          <w:sz w:val="24"/>
          <w:rtl/>
        </w:rPr>
      </w:pPr>
      <w:r w:rsidRPr="001F2586">
        <w:rPr>
          <w:rFonts w:eastAsia="Calibri" w:hint="eastAsia"/>
          <w:b/>
          <w:sz w:val="24"/>
          <w:rtl/>
        </w:rPr>
        <w:t>תרשים</w:t>
      </w:r>
      <w:r w:rsidRPr="001F2586">
        <w:rPr>
          <w:rFonts w:eastAsia="Calibri" w:hint="cs"/>
          <w:b/>
          <w:sz w:val="24"/>
          <w:rtl/>
        </w:rPr>
        <w:t xml:space="preserve"> 4:</w:t>
      </w:r>
      <w:r w:rsidRPr="001F2586">
        <w:rPr>
          <w:rFonts w:eastAsia="Calibri" w:hint="cs"/>
          <w:b/>
          <w:bCs/>
          <w:sz w:val="24"/>
          <w:rtl/>
        </w:rPr>
        <w:t xml:space="preserve"> </w:t>
      </w:r>
      <w:r w:rsidRPr="001F2586">
        <w:rPr>
          <w:rFonts w:eastAsia="Calibri" w:hint="eastAsia"/>
          <w:b/>
          <w:bCs/>
          <w:sz w:val="24"/>
          <w:rtl/>
        </w:rPr>
        <w:t>יתרת</w:t>
      </w:r>
      <w:r w:rsidRPr="001F2586">
        <w:rPr>
          <w:rFonts w:eastAsia="Calibri"/>
          <w:b/>
          <w:bCs/>
          <w:sz w:val="24"/>
          <w:rtl/>
        </w:rPr>
        <w:t xml:space="preserve"> </w:t>
      </w:r>
      <w:r w:rsidRPr="001F2586">
        <w:rPr>
          <w:rFonts w:eastAsia="Calibri" w:hint="eastAsia"/>
          <w:b/>
          <w:bCs/>
          <w:sz w:val="24"/>
          <w:rtl/>
        </w:rPr>
        <w:t>האשראי</w:t>
      </w:r>
      <w:r w:rsidRPr="001F2586">
        <w:rPr>
          <w:rFonts w:eastAsia="Calibri"/>
          <w:b/>
          <w:bCs/>
          <w:sz w:val="24"/>
          <w:rtl/>
        </w:rPr>
        <w:t xml:space="preserve"> </w:t>
      </w:r>
      <w:r w:rsidRPr="001F2586">
        <w:rPr>
          <w:rFonts w:eastAsia="Calibri" w:hint="eastAsia"/>
          <w:b/>
          <w:bCs/>
          <w:sz w:val="24"/>
          <w:rtl/>
        </w:rPr>
        <w:t>לדיור</w:t>
      </w:r>
      <w:r w:rsidRPr="001F2586">
        <w:rPr>
          <w:rFonts w:eastAsia="Calibri"/>
          <w:b/>
          <w:bCs/>
          <w:sz w:val="24"/>
          <w:rtl/>
        </w:rPr>
        <w:t xml:space="preserve"> </w:t>
      </w:r>
      <w:r w:rsidRPr="001F2586">
        <w:rPr>
          <w:rFonts w:eastAsia="Calibri" w:hint="eastAsia"/>
          <w:b/>
          <w:bCs/>
          <w:sz w:val="24"/>
          <w:rtl/>
        </w:rPr>
        <w:t>כשיע</w:t>
      </w:r>
      <w:r w:rsidRPr="001F2586">
        <w:rPr>
          <w:rFonts w:eastAsia="Calibri" w:hint="eastAsia"/>
          <w:bCs/>
          <w:sz w:val="24"/>
          <w:rtl/>
        </w:rPr>
        <w:t>ו</w:t>
      </w:r>
      <w:r w:rsidRPr="001F2586">
        <w:rPr>
          <w:rFonts w:eastAsia="Calibri" w:hint="eastAsia"/>
          <w:b/>
          <w:bCs/>
          <w:sz w:val="24"/>
          <w:rtl/>
        </w:rPr>
        <w:t>ר</w:t>
      </w:r>
      <w:r w:rsidRPr="001F2586">
        <w:rPr>
          <w:rFonts w:eastAsia="Calibri"/>
          <w:b/>
          <w:bCs/>
          <w:sz w:val="24"/>
          <w:rtl/>
        </w:rPr>
        <w:t xml:space="preserve"> </w:t>
      </w:r>
      <w:r w:rsidRPr="001F2586">
        <w:rPr>
          <w:rFonts w:eastAsia="Calibri" w:hint="eastAsia"/>
          <w:b/>
          <w:bCs/>
          <w:sz w:val="24"/>
          <w:rtl/>
        </w:rPr>
        <w:t>מהתוצר</w:t>
      </w:r>
      <w:r w:rsidRPr="001F2586">
        <w:rPr>
          <w:rFonts w:eastAsia="Calibri"/>
          <w:b/>
          <w:bCs/>
          <w:sz w:val="24"/>
          <w:rtl/>
        </w:rPr>
        <w:t xml:space="preserve"> </w:t>
      </w:r>
      <w:r w:rsidRPr="001F2586">
        <w:rPr>
          <w:rFonts w:eastAsia="Calibri" w:hint="eastAsia"/>
          <w:b/>
          <w:bCs/>
          <w:sz w:val="24"/>
          <w:rtl/>
        </w:rPr>
        <w:t>במדינות</w:t>
      </w:r>
      <w:r w:rsidRPr="001F2586">
        <w:rPr>
          <w:rFonts w:eastAsia="Calibri"/>
          <w:b/>
          <w:bCs/>
          <w:sz w:val="24"/>
          <w:rtl/>
        </w:rPr>
        <w:t xml:space="preserve"> </w:t>
      </w:r>
      <w:r w:rsidRPr="001F2586">
        <w:rPr>
          <w:rFonts w:eastAsia="Calibri" w:hint="eastAsia"/>
          <w:b/>
          <w:bCs/>
          <w:sz w:val="24"/>
          <w:rtl/>
        </w:rPr>
        <w:t>מפותחות</w:t>
      </w:r>
      <w:r w:rsidRPr="001F2586">
        <w:rPr>
          <w:rFonts w:eastAsia="Calibri"/>
          <w:b/>
          <w:bCs/>
          <w:sz w:val="24"/>
          <w:rtl/>
        </w:rPr>
        <w:t xml:space="preserve"> </w:t>
      </w:r>
      <w:r w:rsidRPr="001F2586">
        <w:rPr>
          <w:rFonts w:eastAsia="Calibri" w:hint="eastAsia"/>
          <w:b/>
          <w:bCs/>
          <w:sz w:val="24"/>
          <w:rtl/>
        </w:rPr>
        <w:t>לשנת</w:t>
      </w:r>
      <w:r w:rsidRPr="001F2586">
        <w:rPr>
          <w:rFonts w:eastAsia="Calibri"/>
          <w:b/>
          <w:bCs/>
          <w:sz w:val="24"/>
          <w:rtl/>
        </w:rPr>
        <w:t xml:space="preserve"> 2023</w:t>
      </w:r>
    </w:p>
    <w:p w:rsidR="001F2586" w:rsidRPr="001F2586" w:rsidP="001F2586">
      <w:pPr>
        <w:tabs>
          <w:tab w:val="left" w:pos="3685"/>
        </w:tabs>
        <w:spacing w:line="269" w:lineRule="auto"/>
        <w:jc w:val="center"/>
        <w:rPr>
          <w:rFonts w:eastAsia="Calibri"/>
          <w:rtl/>
        </w:rPr>
      </w:pPr>
      <w:r w:rsidRPr="001F2586">
        <w:rPr>
          <w:rFonts w:eastAsia="Calibri"/>
          <w:noProof/>
        </w:rPr>
        <w:drawing>
          <wp:inline distT="0" distB="0" distL="0" distR="0">
            <wp:extent cx="5294175" cy="2024380"/>
            <wp:effectExtent l="0" t="0" r="1905" b="0"/>
            <wp:docPr id="35" name="תמונה 35" descr="יתרת האשראי לדיור בישראל בשנת 2023 הייתה כ-31% מהתוצר , בדומה לחציון שיעור האשראי מהתוצר במדינות המפותחות.   שיעור זה הוא גבוה ביחס למדינות כמו צ'כיה (24.4%), ארה&quot;ב (14.3%), הונגריה (11.8%), ליטא (11.8%) ופולין (11.2%).&#10;שיעור זה הוא  נמוך ביחס למדינות אחרות כמו איסלנד (42.2%), שבדיה (45.4%) נורבגיה (63.%) ודנמרק (84.3%). השיעור הגבוה ביותר של יתרת אשראי לדיור מהתוצר הוא בשוויץ (127.7%) והנמוך ביותר הוא בטורקי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5046" cy="2032361"/>
                    </a:xfrm>
                    <a:prstGeom prst="rect">
                      <a:avLst/>
                    </a:prstGeom>
                    <a:noFill/>
                  </pic:spPr>
                </pic:pic>
              </a:graphicData>
            </a:graphic>
          </wp:inline>
        </w:drawing>
      </w:r>
    </w:p>
    <w:p w:rsidR="001F2586" w:rsidRPr="001F2586" w:rsidP="001F2586">
      <w:pPr>
        <w:tabs>
          <w:tab w:val="left" w:pos="3685"/>
        </w:tabs>
        <w:spacing w:line="269" w:lineRule="auto"/>
        <w:rPr>
          <w:rFonts w:ascii="David" w:eastAsia="Calibri" w:hAnsi="David"/>
          <w:szCs w:val="20"/>
          <w:rtl/>
        </w:rPr>
      </w:pPr>
      <w:r w:rsidRPr="001F2586">
        <w:rPr>
          <w:rFonts w:ascii="David" w:eastAsia="Calibri" w:hAnsi="David"/>
          <w:szCs w:val="20"/>
          <w:rtl/>
        </w:rPr>
        <w:t>תרשים של מרכז המחקר והמידע של הכנסת, ניתוח סיכונים מקרו-</w:t>
      </w:r>
      <w:r w:rsidRPr="001F2586">
        <w:rPr>
          <w:rFonts w:ascii="David" w:eastAsia="Calibri" w:hAnsi="David"/>
          <w:szCs w:val="20"/>
          <w:rtl/>
        </w:rPr>
        <w:t>יציבותיים</w:t>
      </w:r>
      <w:r w:rsidRPr="001F2586">
        <w:rPr>
          <w:rFonts w:ascii="David" w:eastAsia="Calibri" w:hAnsi="David"/>
          <w:szCs w:val="20"/>
          <w:rtl/>
        </w:rPr>
        <w:t xml:space="preserve"> הנובעים מאשראי לדיור ומאשראי לענף הבנייה (מרץ 2025), עמ' 9.</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Pr>
      </w:pPr>
      <w:r w:rsidRPr="001F2586">
        <w:rPr>
          <w:rFonts w:eastAsia="Calibri" w:hint="cs"/>
          <w:rtl/>
        </w:rPr>
        <w:t>מהניתוח של מרכז המחקר והמידע בכנסת עולה כי יתרת האשראי לדיור בישראל בשנת 2023 הייתה כ-31% מהתוצר</w:t>
      </w:r>
      <w:r>
        <w:rPr>
          <w:rFonts w:eastAsia="Calibri"/>
          <w:vertAlign w:val="superscript"/>
          <w:rtl/>
        </w:rPr>
        <w:footnoteReference w:id="18"/>
      </w:r>
      <w:r w:rsidRPr="001F2586">
        <w:rPr>
          <w:rFonts w:eastAsia="Calibri" w:hint="cs"/>
          <w:rtl/>
        </w:rPr>
        <w:t>, בדומה לחציון שיעור האשראי מהתוצר במדינות המפותחות,</w:t>
      </w:r>
      <w:r w:rsidRPr="001F2586">
        <w:rPr>
          <w:rFonts w:eastAsia="Calibri" w:hint="cs"/>
          <w:rtl/>
        </w:rPr>
        <w:t xml:space="preserve"> </w:t>
      </w:r>
      <w:r w:rsidRPr="001F2586">
        <w:rPr>
          <w:rFonts w:eastAsia="Calibri" w:hint="cs"/>
          <w:rtl/>
        </w:rPr>
        <w:t xml:space="preserve">שהוא שיעור </w:t>
      </w:r>
      <w:r w:rsidRPr="001F2586">
        <w:rPr>
          <w:rFonts w:eastAsia="Calibri" w:hint="cs"/>
          <w:rtl/>
        </w:rPr>
        <w:t>גבוה ביחס למדינות כמו צ'כיה, ארה"ב, הונגריה, ליטא ופולין ונמוך ביחס למדינות אחרות כמו איסלנד, שבדיה נורבגיה ודנמרק</w:t>
      </w:r>
      <w:r w:rsidRPr="001F2586">
        <w:rPr>
          <w:rFonts w:eastAsia="Calibri"/>
          <w:vertAlign w:val="superscript"/>
          <w:rtl/>
        </w:rPr>
        <w:t xml:space="preserve"> </w:t>
      </w:r>
      <w:r>
        <w:rPr>
          <w:rFonts w:eastAsia="Calibri"/>
          <w:vertAlign w:val="superscript"/>
          <w:rtl/>
        </w:rPr>
        <w:footnoteReference w:id="19"/>
      </w:r>
      <w:r w:rsidRPr="001F2586">
        <w:rPr>
          <w:rFonts w:eastAsia="Calibri" w:hint="cs"/>
          <w:rtl/>
        </w:rPr>
        <w:t xml:space="preserve">. יצוין כי </w:t>
      </w:r>
      <w:r w:rsidRPr="001F2586">
        <w:rPr>
          <w:rFonts w:eastAsia="Calibri"/>
          <w:rtl/>
        </w:rPr>
        <w:t xml:space="preserve">על פי </w:t>
      </w:r>
      <w:r w:rsidRPr="001F2586">
        <w:rPr>
          <w:rFonts w:eastAsia="Calibri" w:hint="cs"/>
          <w:rtl/>
        </w:rPr>
        <w:t>ניתוח של משרד מבקר המדינה לנתוני</w:t>
      </w:r>
      <w:r w:rsidRPr="001F2586">
        <w:rPr>
          <w:rFonts w:eastAsia="Calibri"/>
          <w:rtl/>
        </w:rPr>
        <w:t xml:space="preserve"> בנק ישראל עמד שיעור האשראי </w:t>
      </w:r>
      <w:r w:rsidRPr="001F2586">
        <w:rPr>
          <w:rFonts w:eastAsia="Calibri" w:hint="eastAsia"/>
          <w:rtl/>
        </w:rPr>
        <w:t>לדיור</w:t>
      </w:r>
      <w:r w:rsidRPr="001F2586">
        <w:rPr>
          <w:rFonts w:eastAsia="Calibri"/>
          <w:rtl/>
        </w:rPr>
        <w:t xml:space="preserve"> </w:t>
      </w:r>
      <w:r w:rsidRPr="001F2586">
        <w:rPr>
          <w:rFonts w:eastAsia="Calibri" w:hint="cs"/>
          <w:rtl/>
        </w:rPr>
        <w:t xml:space="preserve">מהתוצר בישראל </w:t>
      </w:r>
      <w:r w:rsidRPr="001F2586">
        <w:rPr>
          <w:rFonts w:eastAsia="Calibri" w:hint="eastAsia"/>
          <w:rtl/>
        </w:rPr>
        <w:t>בשנת</w:t>
      </w:r>
      <w:r w:rsidRPr="001F2586">
        <w:rPr>
          <w:rFonts w:eastAsia="Calibri"/>
          <w:rtl/>
        </w:rPr>
        <w:t xml:space="preserve"> 2023 </w:t>
      </w:r>
      <w:r w:rsidRPr="001F2586">
        <w:rPr>
          <w:rFonts w:eastAsia="Calibri" w:hint="eastAsia"/>
          <w:rtl/>
        </w:rPr>
        <w:t>על</w:t>
      </w:r>
      <w:r w:rsidRPr="001F2586">
        <w:rPr>
          <w:rFonts w:eastAsia="Calibri"/>
          <w:rtl/>
        </w:rPr>
        <w:t xml:space="preserve"> </w:t>
      </w:r>
      <w:r w:rsidRPr="001F2586">
        <w:rPr>
          <w:rFonts w:eastAsia="Calibri" w:hint="cs"/>
          <w:rtl/>
        </w:rPr>
        <w:t xml:space="preserve">שיעור גבוה יותר של </w:t>
      </w:r>
      <w:r w:rsidRPr="001F2586">
        <w:rPr>
          <w:rFonts w:eastAsia="Calibri" w:hint="eastAsia"/>
          <w:rtl/>
        </w:rPr>
        <w:t>כ</w:t>
      </w:r>
      <w:r w:rsidRPr="001F2586">
        <w:rPr>
          <w:rFonts w:eastAsia="Calibri"/>
          <w:rtl/>
        </w:rPr>
        <w:t>-34%</w:t>
      </w:r>
      <w:r w:rsidRPr="001F2586">
        <w:rPr>
          <w:rFonts w:eastAsia="Calibri" w:hint="cs"/>
          <w:rtl/>
        </w:rPr>
        <w:t xml:space="preserve"> (לאחר שיעור של כ-25% בשנת 2016), ובשנת 2024 עמד על </w:t>
      </w:r>
      <w:r w:rsidRPr="001F2586">
        <w:rPr>
          <w:rFonts w:ascii="David" w:eastAsia="Calibri" w:hAnsi="David"/>
          <w:sz w:val="24"/>
          <w:rtl/>
        </w:rPr>
        <w:t>כ-36%</w:t>
      </w:r>
      <w:r w:rsidRPr="001F2586">
        <w:rPr>
          <w:rFonts w:ascii="David" w:eastAsia="Calibri" w:hAnsi="David" w:hint="cs"/>
          <w:sz w:val="24"/>
          <w:rtl/>
        </w:rPr>
        <w:t>.</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b/>
          <w:bCs/>
          <w:rtl/>
        </w:rPr>
      </w:pPr>
      <w:r w:rsidRPr="001F2586">
        <w:rPr>
          <w:rFonts w:eastAsia="Calibri" w:hint="cs"/>
          <w:b/>
          <w:bCs/>
          <w:rtl/>
        </w:rPr>
        <w:t xml:space="preserve">הגידול בחלקו של האשראי לדיור בסך האשראי למשקי הבית (מכ-66% לכ-73% בשנים 2019 - 2025) לצד עליית משקלו מהתוצר בכלכלה הישראלית בעשור האחרון (מכ-25% בשנת 2016 </w:t>
      </w:r>
      <w:r w:rsidR="00B8210F">
        <w:rPr>
          <w:rFonts w:eastAsia="Calibri"/>
          <w:b/>
          <w:bCs/>
          <w:rtl/>
        </w:rPr>
        <w:br/>
      </w:r>
      <w:r w:rsidRPr="001F2586">
        <w:rPr>
          <w:rFonts w:eastAsia="Calibri" w:hint="cs"/>
          <w:b/>
          <w:bCs/>
          <w:rtl/>
        </w:rPr>
        <w:t xml:space="preserve">לכ-36% בשנת 2024) מלמדים כי </w:t>
      </w:r>
      <w:r w:rsidRPr="001F2586">
        <w:rPr>
          <w:rFonts w:eastAsia="Calibri"/>
          <w:b/>
          <w:bCs/>
          <w:rtl/>
        </w:rPr>
        <w:t>שוק המשכנתאות הוא בעל חשיבות מרכזית למשק ובעל השפעה משמעותית על התוצר ועל שוק האשראי</w:t>
      </w:r>
      <w:r w:rsidRPr="001F2586">
        <w:rPr>
          <w:rFonts w:eastAsia="Calibri" w:hint="cs"/>
          <w:b/>
          <w:bCs/>
          <w:rtl/>
        </w:rPr>
        <w:t>. העלייה באשראי לדיור מגדילה את היקף הנכסים של הבנקים ואת הכנסותיהם, אך גם מגדילה את היקף החשיפה שלהם לסיכונים פיננסיים שונים שעלולים לגרום להשפעות שליליות משמעותיות למשק. עבור משקי הבית, העלייה בהיקפי האשראי לדיור עשויה בתנאים מסוימים להגדיל את הסיכונים עבורם.</w:t>
      </w:r>
      <w:r w:rsidRPr="001F2586">
        <w:rPr>
          <w:rFonts w:eastAsia="Calibri" w:hint="cs"/>
          <w:rtl/>
        </w:rPr>
        <w:t xml:space="preserve"> </w:t>
      </w:r>
      <w:r w:rsidRPr="001F2586">
        <w:rPr>
          <w:rFonts w:eastAsia="Calibri" w:hint="cs"/>
          <w:b/>
          <w:bCs/>
          <w:rtl/>
        </w:rPr>
        <w:t>לכן, קיימת חשיבות גבוהה בניטור ומעקב של סיכונים מערכתיים בפעילות מגזר האשראי לדיור על ידי הפיקוח על הבנקים במטרה לאפשר לו לשמור על יציבות המערכת הפיננסית.</w:t>
      </w:r>
    </w:p>
    <w:p w:rsidR="001F2586" w:rsidRPr="001F2586" w:rsidP="001F2586">
      <w:pPr>
        <w:spacing w:line="269" w:lineRule="auto"/>
        <w:ind w:left="-567"/>
        <w:rPr>
          <w:rFonts w:eastAsia="Calibri"/>
          <w:szCs w:val="20"/>
          <w:rtl/>
        </w:rPr>
      </w:pPr>
    </w:p>
    <w:p w:rsidR="001F2586" w:rsidRPr="001F2586" w:rsidP="001F2586">
      <w:pPr>
        <w:keepNext/>
        <w:keepLines/>
        <w:tabs>
          <w:tab w:val="left" w:pos="3685"/>
        </w:tabs>
        <w:spacing w:line="269" w:lineRule="auto"/>
        <w:outlineLvl w:val="3"/>
        <w:rPr>
          <w:rFonts w:eastAsia="Times New Roman"/>
          <w:bCs/>
          <w:szCs w:val="26"/>
          <w:rtl/>
        </w:rPr>
      </w:pPr>
      <w:r w:rsidRPr="001F2586">
        <w:rPr>
          <w:rFonts w:eastAsia="Times New Roman" w:hint="cs"/>
          <w:bCs/>
          <w:szCs w:val="26"/>
          <w:rtl/>
        </w:rPr>
        <w:t xml:space="preserve">הגורמים המשפיעים על המשכנתא </w:t>
      </w:r>
    </w:p>
    <w:p w:rsidR="001F2586" w:rsidRPr="001F2586" w:rsidP="001F2586">
      <w:pPr>
        <w:tabs>
          <w:tab w:val="left" w:pos="3685"/>
        </w:tabs>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הריביות על משכנתאות</w:t>
      </w:r>
    </w:p>
    <w:p w:rsidR="001F2586" w:rsidRPr="001F2586" w:rsidP="001F2586">
      <w:pPr>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rtl/>
        </w:rPr>
        <w:t>משכנתא</w:t>
      </w:r>
      <w:r w:rsidRPr="001F2586">
        <w:rPr>
          <w:rFonts w:eastAsia="Calibri" w:hint="cs"/>
          <w:rtl/>
        </w:rPr>
        <w:t xml:space="preserve"> מורכבת לרוב ממספר מסלולי הלוואה המשפיעים על גובה ההחזר החודשי של הלווה במהלך חיי ההלוואה. מסלולי ההלוואה נבדלים זה מזה בסוג הריבית - ריבית קבועה או ריבית משתנה, בהצמדה של קרן ההלוואה</w:t>
      </w:r>
      <w:r>
        <w:rPr>
          <w:rFonts w:eastAsia="Calibri"/>
          <w:vertAlign w:val="superscript"/>
          <w:rtl/>
        </w:rPr>
        <w:footnoteReference w:id="20"/>
      </w:r>
      <w:r w:rsidRPr="001F2586">
        <w:rPr>
          <w:rFonts w:eastAsia="Calibri" w:hint="cs"/>
          <w:rtl/>
        </w:rPr>
        <w:t xml:space="preserve"> למדד המחירים לצרכן (להלן - המדד או האינפלציה) ובתקופת התשלום. מסלולי המשכנתא העיקריים הם</w:t>
      </w:r>
      <w:r>
        <w:rPr>
          <w:rFonts w:eastAsia="Calibri"/>
          <w:vertAlign w:val="superscript"/>
          <w:rtl/>
        </w:rPr>
        <w:footnoteReference w:id="21"/>
      </w:r>
      <w:r w:rsidRPr="001F2586">
        <w:rPr>
          <w:rFonts w:eastAsia="Calibri" w:hint="cs"/>
          <w:rtl/>
        </w:rPr>
        <w:t>:</w:t>
      </w:r>
    </w:p>
    <w:p w:rsidR="001F2586" w:rsidRPr="001F2586" w:rsidP="001F2586">
      <w:pPr>
        <w:tabs>
          <w:tab w:val="left" w:pos="3685"/>
        </w:tabs>
        <w:spacing w:line="269" w:lineRule="auto"/>
        <w:ind w:left="-567"/>
        <w:rPr>
          <w:rFonts w:eastAsia="Calibri"/>
          <w:szCs w:val="20"/>
          <w:rtl/>
        </w:rPr>
      </w:pPr>
    </w:p>
    <w:p w:rsidR="001F2586" w:rsidRPr="001F2586" w:rsidP="001F2586">
      <w:pPr>
        <w:numPr>
          <w:ilvl w:val="0"/>
          <w:numId w:val="14"/>
        </w:numPr>
        <w:tabs>
          <w:tab w:val="left" w:pos="3685"/>
        </w:tabs>
        <w:spacing w:line="269" w:lineRule="auto"/>
        <w:contextualSpacing/>
        <w:rPr>
          <w:rFonts w:eastAsia="Calibri"/>
        </w:rPr>
      </w:pPr>
      <w:r w:rsidRPr="001F2586">
        <w:rPr>
          <w:rFonts w:eastAsia="Calibri" w:hint="cs"/>
          <w:rtl/>
        </w:rPr>
        <w:t>משכנתא לא צמודה למדד בריבית קבועה (להלן - ריבית קבועה לא צמודה) - הריבית נשארת קבועה לכל אורך תקופת ההלוואה והקרן אינה צמודה למדד. בהתאם לכך, ההחזר החודשי נשאר קבוע, והתשלום הכולל (קרן +ריבית) ידוע מראש.</w:t>
      </w:r>
    </w:p>
    <w:p w:rsidR="001F2586" w:rsidRPr="001F2586" w:rsidP="001F2586">
      <w:pPr>
        <w:numPr>
          <w:ilvl w:val="0"/>
          <w:numId w:val="14"/>
        </w:numPr>
        <w:tabs>
          <w:tab w:val="left" w:pos="3685"/>
        </w:tabs>
        <w:spacing w:line="269" w:lineRule="auto"/>
        <w:contextualSpacing/>
        <w:rPr>
          <w:rFonts w:eastAsia="Calibri"/>
        </w:rPr>
      </w:pPr>
      <w:r w:rsidRPr="001F2586">
        <w:rPr>
          <w:rFonts w:eastAsia="Calibri" w:hint="cs"/>
          <w:rtl/>
        </w:rPr>
        <w:t>משכנתא צמודה למדד בריבית קבועה (להלן - ריבית קבועה צמודה) - ה</w:t>
      </w:r>
      <w:r w:rsidRPr="001F2586">
        <w:rPr>
          <w:rFonts w:eastAsia="Calibri"/>
          <w:rtl/>
        </w:rPr>
        <w:t xml:space="preserve">ריבית נשארת קבועה לאורך כל תקופת ההלוואה, </w:t>
      </w:r>
      <w:r w:rsidRPr="001F2586">
        <w:rPr>
          <w:rFonts w:eastAsia="Calibri" w:hint="cs"/>
          <w:rtl/>
        </w:rPr>
        <w:t xml:space="preserve">אך </w:t>
      </w:r>
      <w:r w:rsidRPr="001F2586">
        <w:rPr>
          <w:rFonts w:eastAsia="Calibri"/>
          <w:rtl/>
        </w:rPr>
        <w:t>קרן ההלוואה צמודה למדד</w:t>
      </w:r>
      <w:r w:rsidRPr="001F2586">
        <w:rPr>
          <w:rFonts w:eastAsia="Calibri" w:hint="cs"/>
          <w:rtl/>
        </w:rPr>
        <w:t xml:space="preserve">. </w:t>
      </w:r>
      <w:r w:rsidRPr="001F2586">
        <w:rPr>
          <w:rFonts w:eastAsia="Calibri"/>
          <w:rtl/>
        </w:rPr>
        <w:t xml:space="preserve">בהתאם לכך, ההחזר החודשי משתנה בהתאם לקרן ההלוואה המעודכנת. </w:t>
      </w:r>
    </w:p>
    <w:p w:rsidR="001F2586" w:rsidRPr="001F2586" w:rsidP="001F2586">
      <w:pPr>
        <w:tabs>
          <w:tab w:val="left" w:pos="3685"/>
        </w:tabs>
        <w:spacing w:line="269" w:lineRule="auto"/>
        <w:rPr>
          <w:rFonts w:eastAsia="Calibri"/>
        </w:rPr>
      </w:pPr>
    </w:p>
    <w:p w:rsidR="001F2586" w:rsidRPr="001F2586" w:rsidP="001F2586">
      <w:pPr>
        <w:numPr>
          <w:ilvl w:val="0"/>
          <w:numId w:val="14"/>
        </w:numPr>
        <w:tabs>
          <w:tab w:val="left" w:pos="3685"/>
        </w:tabs>
        <w:spacing w:line="269" w:lineRule="auto"/>
        <w:contextualSpacing/>
        <w:rPr>
          <w:rFonts w:eastAsia="Calibri"/>
        </w:rPr>
      </w:pPr>
      <w:r w:rsidRPr="001F2586">
        <w:rPr>
          <w:rFonts w:eastAsia="Calibri" w:hint="cs"/>
          <w:rtl/>
        </w:rPr>
        <w:t>משכנתא לא צמודה למדד בריבית משתנה (להלן - ריבית משתנה לא צמודה) - ה</w:t>
      </w:r>
      <w:r w:rsidRPr="001F2586">
        <w:rPr>
          <w:rFonts w:eastAsia="Calibri"/>
          <w:rtl/>
        </w:rPr>
        <w:t>ריבית</w:t>
      </w:r>
      <w:r w:rsidRPr="001F2586">
        <w:rPr>
          <w:rFonts w:eastAsia="Calibri" w:hint="cs"/>
          <w:rtl/>
        </w:rPr>
        <w:t xml:space="preserve"> נקבעת לפי עוגן הנקבע בהתאם לתשואות אגרות חוב (להלן - אג"ח) ממשלתיות לא צמודות למדד, ובתוספת או הפחתה של מרווח</w:t>
      </w:r>
      <w:r>
        <w:rPr>
          <w:rFonts w:eastAsia="Calibri"/>
          <w:vertAlign w:val="superscript"/>
          <w:rtl/>
        </w:rPr>
        <w:footnoteReference w:id="22"/>
      </w:r>
      <w:r w:rsidRPr="001F2586">
        <w:rPr>
          <w:rFonts w:eastAsia="Calibri" w:hint="cs"/>
          <w:rtl/>
        </w:rPr>
        <w:t xml:space="preserve">. </w:t>
      </w:r>
      <w:r w:rsidRPr="001F2586">
        <w:rPr>
          <w:rFonts w:eastAsia="Calibri"/>
          <w:rtl/>
        </w:rPr>
        <w:t>מועד שינוי העוגן יהיה כעבור תקופה מוגדרת מראש</w:t>
      </w:r>
      <w:r w:rsidRPr="001F2586">
        <w:rPr>
          <w:rFonts w:eastAsia="Calibri" w:hint="cs"/>
          <w:rtl/>
        </w:rPr>
        <w:t>, לרוב של חמש שנים</w:t>
      </w:r>
      <w:r>
        <w:rPr>
          <w:rFonts w:eastAsia="Calibri"/>
          <w:vertAlign w:val="superscript"/>
          <w:rtl/>
        </w:rPr>
        <w:footnoteReference w:id="23"/>
      </w:r>
      <w:r w:rsidRPr="001F2586">
        <w:rPr>
          <w:rFonts w:eastAsia="Calibri" w:hint="cs"/>
          <w:rtl/>
        </w:rPr>
        <w:t>, ו</w:t>
      </w:r>
      <w:r w:rsidRPr="001F2586">
        <w:rPr>
          <w:rFonts w:eastAsia="Calibri"/>
          <w:rtl/>
        </w:rPr>
        <w:t>קרן ההלוואה אינה צמודה למדד.</w:t>
      </w:r>
      <w:r w:rsidRPr="001F2586">
        <w:rPr>
          <w:rFonts w:eastAsia="Calibri" w:hint="cs"/>
          <w:rtl/>
        </w:rPr>
        <w:t xml:space="preserve"> בהתאם לכך, ההחזר החודשי מושפע מהשינוי בריבית העוגן.</w:t>
      </w:r>
    </w:p>
    <w:p w:rsidR="001F2586" w:rsidRPr="001F2586" w:rsidP="001F2586">
      <w:pPr>
        <w:tabs>
          <w:tab w:val="left" w:pos="3685"/>
        </w:tabs>
        <w:spacing w:line="269" w:lineRule="auto"/>
        <w:rPr>
          <w:rFonts w:eastAsia="Calibri"/>
        </w:rPr>
      </w:pPr>
    </w:p>
    <w:p w:rsidR="001F2586" w:rsidRPr="001F2586" w:rsidP="001F2586">
      <w:pPr>
        <w:numPr>
          <w:ilvl w:val="0"/>
          <w:numId w:val="14"/>
        </w:numPr>
        <w:tabs>
          <w:tab w:val="left" w:pos="3685"/>
        </w:tabs>
        <w:spacing w:line="269" w:lineRule="auto"/>
        <w:contextualSpacing/>
        <w:rPr>
          <w:rFonts w:eastAsia="Calibri"/>
        </w:rPr>
      </w:pPr>
      <w:r w:rsidRPr="001F2586">
        <w:rPr>
          <w:rFonts w:eastAsia="Calibri" w:hint="cs"/>
          <w:rtl/>
        </w:rPr>
        <w:t>משכנתא צמודה למדד בריבית משתנה (להלן - ריבית משתנה צמודה) - ה</w:t>
      </w:r>
      <w:r w:rsidRPr="001F2586">
        <w:rPr>
          <w:rFonts w:eastAsia="Calibri"/>
          <w:rtl/>
        </w:rPr>
        <w:t>ריבית</w:t>
      </w:r>
      <w:r w:rsidRPr="001F2586">
        <w:rPr>
          <w:rFonts w:eastAsia="Calibri" w:hint="cs"/>
          <w:rtl/>
        </w:rPr>
        <w:t xml:space="preserve"> נקבעת לפי עוגן הנקבע בהתאם לתשואות אגרות חוב ממשלתיות צמודות למדד, ובתוספת או הפחתה של מרווח. </w:t>
      </w:r>
      <w:r w:rsidRPr="001F2586">
        <w:rPr>
          <w:rFonts w:eastAsia="Calibri"/>
          <w:rtl/>
        </w:rPr>
        <w:t>מועד שינוי העוגן יהיה כעבור תקופה מוגדרת מראש</w:t>
      </w:r>
      <w:r w:rsidRPr="001F2586">
        <w:rPr>
          <w:rFonts w:eastAsia="Calibri" w:hint="cs"/>
          <w:rtl/>
        </w:rPr>
        <w:t>, לרוב של חמש שנים, ו</w:t>
      </w:r>
      <w:r w:rsidRPr="001F2586">
        <w:rPr>
          <w:rFonts w:eastAsia="Calibri"/>
          <w:rtl/>
        </w:rPr>
        <w:t>קרן ההלוואה צמודה למדד.</w:t>
      </w:r>
      <w:r w:rsidRPr="001F2586">
        <w:rPr>
          <w:rFonts w:eastAsia="Calibri" w:hint="cs"/>
          <w:rtl/>
        </w:rPr>
        <w:t xml:space="preserve"> בהתאם לכך, ההחזר החודשי מושפע מהשינויים באינפלציה ובריבית העוגן.</w:t>
      </w:r>
      <w:r w:rsidRPr="001F2586">
        <w:rPr>
          <w:rFonts w:eastAsia="Calibri" w:hint="cs"/>
          <w:color w:val="FF0000"/>
          <w:rtl/>
        </w:rPr>
        <w:t xml:space="preserve"> </w:t>
      </w:r>
    </w:p>
    <w:p w:rsidR="001F2586" w:rsidRPr="001F2586" w:rsidP="001F2586">
      <w:pPr>
        <w:tabs>
          <w:tab w:val="left" w:pos="3685"/>
        </w:tabs>
        <w:spacing w:line="269" w:lineRule="auto"/>
        <w:rPr>
          <w:rFonts w:eastAsia="Calibri"/>
        </w:rPr>
      </w:pPr>
    </w:p>
    <w:p w:rsidR="001F2586" w:rsidRPr="001F2586" w:rsidP="001F2586">
      <w:pPr>
        <w:numPr>
          <w:ilvl w:val="0"/>
          <w:numId w:val="14"/>
        </w:numPr>
        <w:tabs>
          <w:tab w:val="left" w:pos="3685"/>
        </w:tabs>
        <w:spacing w:line="269" w:lineRule="auto"/>
        <w:contextualSpacing/>
        <w:rPr>
          <w:rFonts w:eastAsia="Calibri"/>
          <w:color w:val="FF0000"/>
        </w:rPr>
      </w:pPr>
      <w:r w:rsidRPr="001F2586">
        <w:rPr>
          <w:rFonts w:eastAsia="Calibri" w:hint="cs"/>
          <w:rtl/>
        </w:rPr>
        <w:t>משכנתא לא צמודה למדד על בסיס ריבית הפריים (להלן - ריבית הפריים) - הריבית נקבעת לפי עוגן שהוא ריבית הפריים</w:t>
      </w:r>
      <w:r>
        <w:rPr>
          <w:rFonts w:eastAsia="Calibri"/>
          <w:vertAlign w:val="superscript"/>
          <w:rtl/>
        </w:rPr>
        <w:footnoteReference w:id="24"/>
      </w:r>
      <w:r w:rsidRPr="001F2586">
        <w:rPr>
          <w:rFonts w:eastAsia="Calibri" w:hint="cs"/>
          <w:rtl/>
        </w:rPr>
        <w:t xml:space="preserve">, </w:t>
      </w:r>
      <w:r w:rsidRPr="001F2586">
        <w:rPr>
          <w:rFonts w:eastAsia="Calibri"/>
          <w:rtl/>
        </w:rPr>
        <w:t xml:space="preserve">ובתוספת או הפחתה של </w:t>
      </w:r>
      <w:r w:rsidRPr="001F2586">
        <w:rPr>
          <w:rFonts w:eastAsia="Calibri" w:hint="cs"/>
          <w:rtl/>
        </w:rPr>
        <w:t>מרווח</w:t>
      </w:r>
      <w:r w:rsidRPr="001F2586">
        <w:rPr>
          <w:rFonts w:eastAsia="Calibri"/>
          <w:rtl/>
        </w:rPr>
        <w:t xml:space="preserve"> </w:t>
      </w:r>
      <w:r w:rsidRPr="001F2586">
        <w:rPr>
          <w:rFonts w:eastAsia="Calibri" w:hint="cs"/>
          <w:rtl/>
        </w:rPr>
        <w:t xml:space="preserve">ששיעורו אינו משתנה במהלך חיי ההלוואה. </w:t>
      </w:r>
      <w:r w:rsidRPr="001F2586">
        <w:rPr>
          <w:rFonts w:eastAsia="Calibri"/>
          <w:rtl/>
        </w:rPr>
        <w:t>הקרן במסלול זה אינה</w:t>
      </w:r>
      <w:r w:rsidRPr="001F2586">
        <w:rPr>
          <w:rFonts w:eastAsia="Calibri" w:hint="cs"/>
          <w:rtl/>
        </w:rPr>
        <w:t xml:space="preserve"> </w:t>
      </w:r>
      <w:r w:rsidRPr="001F2586">
        <w:rPr>
          <w:rFonts w:eastAsia="Calibri"/>
          <w:rtl/>
        </w:rPr>
        <w:t>צמודה למדד</w:t>
      </w:r>
      <w:r w:rsidRPr="001F2586">
        <w:rPr>
          <w:rFonts w:eastAsia="Calibri" w:hint="cs"/>
          <w:rtl/>
        </w:rPr>
        <w:t>. בהתאם לכך, ההחזר החודשי משתנה בהתאם לשינוי בריבית הפריים.</w:t>
      </w:r>
    </w:p>
    <w:p w:rsidR="001F2586" w:rsidRPr="001F2586" w:rsidP="001F2586">
      <w:pPr>
        <w:tabs>
          <w:tab w:val="left" w:pos="3685"/>
        </w:tabs>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שיעורי הריביות על משכנתאות, מנקודת המבט של הבנקים, מורכבות משני גורמים: עלויות הגיוס של הבנקים על הכספים שהם מעמידים כאשראי - שיעור הריבית שהם משלמים על פיקדונות הציבור או על אג"ח המגויס מהציבור; ומרווח - שיעור ריבית שנקבע עבור כל הלוואה בהתאם למאפייני הסיכון האישיים של הלווה והעסקה ומעלויות של הבנק בגין רגולציה, למשל עלויות הקצאת ההון.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ריבית הבנק המרכזי</w:t>
      </w:r>
      <w:r>
        <w:rPr>
          <w:rFonts w:eastAsia="Calibri"/>
          <w:vertAlign w:val="superscript"/>
          <w:rtl/>
        </w:rPr>
        <w:footnoteReference w:id="25"/>
      </w:r>
      <w:r w:rsidRPr="001F2586">
        <w:rPr>
          <w:rFonts w:eastAsia="Calibri" w:hint="cs"/>
          <w:rtl/>
        </w:rPr>
        <w:t xml:space="preserve"> ואינפלציה</w:t>
      </w:r>
      <w:r>
        <w:rPr>
          <w:rFonts w:eastAsia="Calibri"/>
          <w:vertAlign w:val="superscript"/>
          <w:rtl/>
        </w:rPr>
        <w:footnoteReference w:id="26"/>
      </w:r>
      <w:r w:rsidRPr="001F2586">
        <w:rPr>
          <w:rFonts w:eastAsia="Calibri" w:hint="cs"/>
          <w:rtl/>
        </w:rPr>
        <w:t xml:space="preserve"> הם שני משתנים כלכליים הקשורים זה בזה ו</w:t>
      </w:r>
      <w:r w:rsidRPr="001F2586">
        <w:rPr>
          <w:rFonts w:eastAsia="Calibri"/>
          <w:rtl/>
        </w:rPr>
        <w:t>יש</w:t>
      </w:r>
      <w:r w:rsidRPr="001F2586">
        <w:rPr>
          <w:rFonts w:eastAsia="Calibri" w:hint="cs"/>
          <w:rtl/>
        </w:rPr>
        <w:t xml:space="preserve"> להם</w:t>
      </w:r>
      <w:r w:rsidRPr="001F2586">
        <w:rPr>
          <w:rFonts w:eastAsia="Calibri"/>
          <w:rtl/>
        </w:rPr>
        <w:t xml:space="preserve"> השפעה </w:t>
      </w:r>
      <w:r w:rsidRPr="001F2586">
        <w:rPr>
          <w:rFonts w:eastAsia="Calibri" w:hint="cs"/>
          <w:rtl/>
        </w:rPr>
        <w:t xml:space="preserve">על שיעורי הריביות של המשכנתאות ועל </w:t>
      </w:r>
      <w:r w:rsidRPr="001F2586">
        <w:rPr>
          <w:rFonts w:eastAsia="Calibri"/>
          <w:rtl/>
        </w:rPr>
        <w:t>ההחזרים</w:t>
      </w:r>
      <w:r w:rsidRPr="001F2586">
        <w:rPr>
          <w:rFonts w:eastAsia="Calibri" w:hint="cs"/>
          <w:rtl/>
        </w:rPr>
        <w:t xml:space="preserve"> </w:t>
      </w:r>
      <w:r w:rsidRPr="001F2586">
        <w:rPr>
          <w:rFonts w:eastAsia="Calibri"/>
          <w:rtl/>
        </w:rPr>
        <w:t xml:space="preserve">החודשיים </w:t>
      </w:r>
      <w:r w:rsidRPr="001F2586">
        <w:rPr>
          <w:rFonts w:eastAsia="Calibri" w:hint="cs"/>
          <w:rtl/>
        </w:rPr>
        <w:t>שמשקי הבית משלמים. אינפלציה גורמת לעלייה בהחזרי הלוואות, ובין היתר בהלוואות לדיור שנלקחו במסלולים צמודים למדד או צמודים למסלול ריבית הפריים, במקרה בו ריבית הבנק המרכזי תעלה בשל האינפלציה. השפעה נוספת של אינפלציה היא שבמסלולים של ריבית צמודה למדד שיעור הריבית יהיה נמוך יותר בהשוואה למסלולים של ריבית לא צמודה למדד שבהן הבנקים מגלמים מראש את הציפיות לאינפלציה. עלייה של ריבית בנק ישראל גורמת לרוב לעלייה בריבית חסרת הסיכון במשק המשתקפת בתשואות אג"ח ממשלתיות, וכשהן עולות בדרך כלל גם עולות התשואות שנדרשים הבנקים לתת על אג"ח שהם מנפיקים לציבור ועל ריביות שהם משלמים על פיקדונות הציבור, כך שעלויות גיוס ההון של הבנקים עולות, ומשכך שיעורי הריביות על משכנתאות עולים.</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rtl/>
        </w:rPr>
        <w:t xml:space="preserve">האינפלציה בישראל </w:t>
      </w:r>
      <w:r w:rsidRPr="001F2586">
        <w:rPr>
          <w:rFonts w:eastAsia="Calibri" w:hint="cs"/>
          <w:rtl/>
        </w:rPr>
        <w:t xml:space="preserve">נמדדת </w:t>
      </w:r>
      <w:r w:rsidRPr="001F2586">
        <w:rPr>
          <w:rFonts w:eastAsia="Calibri"/>
          <w:rtl/>
        </w:rPr>
        <w:t>באמצעות מדד המחירים לצרכן</w:t>
      </w:r>
      <w:r>
        <w:rPr>
          <w:rFonts w:eastAsia="Calibri"/>
          <w:vertAlign w:val="superscript"/>
          <w:rtl/>
        </w:rPr>
        <w:footnoteReference w:id="27"/>
      </w:r>
      <w:r w:rsidRPr="001F2586">
        <w:rPr>
          <w:rFonts w:eastAsia="Calibri" w:hint="cs"/>
          <w:rtl/>
        </w:rPr>
        <w:t xml:space="preserve"> </w:t>
      </w:r>
      <w:r w:rsidRPr="001F2586">
        <w:rPr>
          <w:rFonts w:eastAsia="Calibri"/>
          <w:rtl/>
        </w:rPr>
        <w:t xml:space="preserve">שהלשכה המרכזית לסטטיסטיקה (להלן - </w:t>
      </w:r>
      <w:r w:rsidRPr="001F2586">
        <w:rPr>
          <w:rFonts w:eastAsia="Calibri"/>
          <w:rtl/>
        </w:rPr>
        <w:t>הלמ"ס</w:t>
      </w:r>
      <w:r w:rsidRPr="001F2586">
        <w:rPr>
          <w:rFonts w:eastAsia="Calibri"/>
          <w:rtl/>
        </w:rPr>
        <w:t xml:space="preserve">) מפרסמת בכל 15 בחודש. </w:t>
      </w:r>
      <w:r w:rsidRPr="001F2586">
        <w:rPr>
          <w:rFonts w:eastAsia="Calibri" w:hint="cs"/>
          <w:rtl/>
        </w:rPr>
        <w:t xml:space="preserve">להלן תרשים המציג את ריבית בנק ישראל ואת שיעור השינוי השנתי במדד המחירים לצרכן בשנים 2021 - </w:t>
      </w:r>
      <w:r w:rsidR="00FF56A9">
        <w:rPr>
          <w:rFonts w:eastAsia="Calibri" w:hint="cs"/>
          <w:rtl/>
        </w:rPr>
        <w:t>2026</w:t>
      </w:r>
      <w:r w:rsidRPr="001F2586">
        <w:rPr>
          <w:rFonts w:eastAsia="Calibri" w:hint="cs"/>
          <w:rtl/>
        </w:rPr>
        <w:t>:</w:t>
      </w:r>
    </w:p>
    <w:p w:rsidR="001F2586" w:rsidRPr="001F2586" w:rsidP="001F2586">
      <w:pPr>
        <w:tabs>
          <w:tab w:val="left" w:pos="3685"/>
        </w:tabs>
        <w:spacing w:line="269" w:lineRule="auto"/>
        <w:ind w:left="-567"/>
        <w:rPr>
          <w:rFonts w:eastAsia="Calibri"/>
          <w:szCs w:val="20"/>
          <w:rtl/>
        </w:rPr>
      </w:pPr>
    </w:p>
    <w:p w:rsidR="001F2586" w:rsidRPr="001F2586" w:rsidP="001F2586">
      <w:pPr>
        <w:keepNext/>
        <w:keepLines/>
        <w:tabs>
          <w:tab w:val="left" w:pos="3685"/>
        </w:tabs>
        <w:spacing w:line="269" w:lineRule="auto"/>
        <w:ind w:left="717" w:hanging="360"/>
        <w:jc w:val="center"/>
        <w:outlineLvl w:val="4"/>
        <w:rPr>
          <w:rFonts w:eastAsia="Calibri"/>
          <w:bCs/>
          <w:sz w:val="24"/>
          <w:rtl/>
        </w:rPr>
      </w:pPr>
      <w:r w:rsidRPr="001F2586">
        <w:rPr>
          <w:rFonts w:eastAsia="Calibri" w:hint="eastAsia"/>
          <w:b/>
          <w:sz w:val="24"/>
          <w:rtl/>
        </w:rPr>
        <w:t>תרשים</w:t>
      </w:r>
      <w:r w:rsidRPr="001F2586">
        <w:rPr>
          <w:rFonts w:eastAsia="Calibri"/>
          <w:b/>
          <w:sz w:val="24"/>
          <w:rtl/>
        </w:rPr>
        <w:t xml:space="preserve"> </w:t>
      </w:r>
      <w:r w:rsidRPr="001F2586">
        <w:rPr>
          <w:rFonts w:eastAsia="Calibri" w:hint="cs"/>
          <w:b/>
          <w:sz w:val="24"/>
          <w:rtl/>
        </w:rPr>
        <w:t>5</w:t>
      </w:r>
      <w:r w:rsidRPr="001F2586">
        <w:rPr>
          <w:rFonts w:eastAsia="Calibri"/>
          <w:b/>
          <w:sz w:val="24"/>
          <w:rtl/>
        </w:rPr>
        <w:t>:</w:t>
      </w:r>
      <w:r w:rsidRPr="001F2586">
        <w:rPr>
          <w:rFonts w:eastAsia="Calibri"/>
          <w:bCs/>
          <w:sz w:val="24"/>
          <w:rtl/>
        </w:rPr>
        <w:t xml:space="preserve"> </w:t>
      </w:r>
      <w:r w:rsidRPr="001F2586">
        <w:rPr>
          <w:rFonts w:eastAsia="Calibri" w:hint="eastAsia"/>
          <w:bCs/>
          <w:sz w:val="24"/>
          <w:rtl/>
        </w:rPr>
        <w:t>שיעור</w:t>
      </w:r>
      <w:r w:rsidRPr="001F2586">
        <w:rPr>
          <w:rFonts w:eastAsia="Calibri"/>
          <w:bCs/>
          <w:sz w:val="24"/>
          <w:rtl/>
        </w:rPr>
        <w:t xml:space="preserve"> השינוי השנתי במדד המחירים </w:t>
      </w:r>
      <w:r w:rsidRPr="001F2586">
        <w:rPr>
          <w:rFonts w:eastAsia="Calibri" w:hint="eastAsia"/>
          <w:bCs/>
          <w:sz w:val="24"/>
          <w:rtl/>
        </w:rPr>
        <w:t>לצרכן</w:t>
      </w:r>
      <w:r w:rsidRPr="001F2586">
        <w:rPr>
          <w:rFonts w:eastAsia="Calibri"/>
          <w:bCs/>
          <w:sz w:val="24"/>
          <w:rtl/>
        </w:rPr>
        <w:t xml:space="preserve"> </w:t>
      </w:r>
      <w:r w:rsidRPr="001F2586">
        <w:rPr>
          <w:rFonts w:eastAsia="Calibri" w:hint="eastAsia"/>
          <w:bCs/>
          <w:sz w:val="24"/>
          <w:rtl/>
        </w:rPr>
        <w:t>ובריבית</w:t>
      </w:r>
      <w:r w:rsidRPr="001F2586">
        <w:rPr>
          <w:rFonts w:eastAsia="Calibri"/>
          <w:bCs/>
          <w:sz w:val="24"/>
          <w:rtl/>
        </w:rPr>
        <w:t xml:space="preserve"> </w:t>
      </w:r>
      <w:r w:rsidRPr="001F2586">
        <w:rPr>
          <w:rFonts w:eastAsia="Calibri" w:hint="eastAsia"/>
          <w:bCs/>
          <w:sz w:val="24"/>
          <w:rtl/>
        </w:rPr>
        <w:t>בנק</w:t>
      </w:r>
      <w:r w:rsidRPr="001F2586">
        <w:rPr>
          <w:rFonts w:eastAsia="Calibri"/>
          <w:bCs/>
          <w:sz w:val="24"/>
          <w:rtl/>
        </w:rPr>
        <w:t xml:space="preserve"> </w:t>
      </w:r>
      <w:r w:rsidRPr="001F2586">
        <w:rPr>
          <w:rFonts w:eastAsia="Calibri" w:hint="eastAsia"/>
          <w:bCs/>
          <w:sz w:val="24"/>
          <w:rtl/>
        </w:rPr>
        <w:t>ישראל</w:t>
      </w:r>
      <w:r w:rsidRPr="001F2586">
        <w:rPr>
          <w:rFonts w:eastAsia="Calibri" w:hint="cs"/>
          <w:bCs/>
          <w:sz w:val="24"/>
          <w:rtl/>
        </w:rPr>
        <w:t>,</w:t>
      </w:r>
      <w:r w:rsidRPr="001F2586">
        <w:rPr>
          <w:rFonts w:eastAsia="Calibri"/>
          <w:bCs/>
          <w:sz w:val="24"/>
          <w:rtl/>
        </w:rPr>
        <w:t xml:space="preserve"> 2021 - </w:t>
      </w:r>
      <w:r w:rsidR="00FF56A9">
        <w:rPr>
          <w:rFonts w:eastAsia="Calibri" w:hint="cs"/>
          <w:bCs/>
          <w:sz w:val="24"/>
          <w:rtl/>
        </w:rPr>
        <w:t>2026</w:t>
      </w:r>
    </w:p>
    <w:p w:rsidR="001F2586" w:rsidRPr="001F2586" w:rsidP="001F2586">
      <w:pPr>
        <w:tabs>
          <w:tab w:val="left" w:pos="3685"/>
        </w:tabs>
        <w:spacing w:line="269" w:lineRule="auto"/>
        <w:jc w:val="center"/>
        <w:rPr>
          <w:rFonts w:eastAsia="Calibri"/>
          <w:rtl/>
        </w:rPr>
      </w:pPr>
      <w:r w:rsidRPr="001F2586">
        <w:rPr>
          <w:rFonts w:eastAsia="Calibri"/>
          <w:noProof/>
          <w:rtl/>
          <w:lang w:val="he-IL"/>
        </w:rPr>
        <w:drawing>
          <wp:inline distT="0" distB="0" distL="0" distR="0">
            <wp:extent cx="5220335" cy="2310765"/>
            <wp:effectExtent l="0" t="0" r="0" b="0"/>
            <wp:docPr id="1" name="תמונה 1" descr="ריבית בנק ישראל בשנים  2021 עד מאי 2026 עלתה מ-0.1% ל-3.75. האינפלציה בשנים 2021 - 2023 עלתה והגיעה לשיא של כ-5.4% בינואר 2023, ובשנים 2025- 2026 חזר קצב האינפלציה לרדת והוא עומד במאי 2026 על כ-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רשים 5.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t="8083"/>
                    <a:stretch>
                      <a:fillRect/>
                    </a:stretch>
                  </pic:blipFill>
                  <pic:spPr bwMode="auto">
                    <a:xfrm>
                      <a:off x="0" y="0"/>
                      <a:ext cx="5220335" cy="231076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tabs>
          <w:tab w:val="left" w:pos="3685"/>
        </w:tabs>
        <w:spacing w:line="269" w:lineRule="auto"/>
        <w:rPr>
          <w:rFonts w:eastAsia="Calibri"/>
          <w:szCs w:val="20"/>
          <w:rtl/>
        </w:rPr>
      </w:pPr>
      <w:r w:rsidRPr="001F2586">
        <w:rPr>
          <w:rFonts w:eastAsia="Calibri" w:hint="cs"/>
          <w:szCs w:val="20"/>
          <w:rtl/>
        </w:rPr>
        <w:t xml:space="preserve">על פי נתוני </w:t>
      </w:r>
      <w:r w:rsidRPr="001F2586">
        <w:rPr>
          <w:rFonts w:eastAsia="Calibri" w:hint="cs"/>
          <w:szCs w:val="20"/>
          <w:rtl/>
        </w:rPr>
        <w:t>הלמ"ס</w:t>
      </w:r>
      <w:r w:rsidRPr="001F2586">
        <w:rPr>
          <w:rFonts w:eastAsia="Calibri" w:hint="cs"/>
          <w:szCs w:val="20"/>
          <w:rtl/>
        </w:rPr>
        <w:t xml:space="preserve"> ובנק ישראל, בעיבוד משרד מבקר המדינה.</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מהתרשים עולה כי מדד המחירים החל לעלות בשנת 2021 וכי בשנת 2022 חלה עלייה חדה בקצב עליית מדד המחירים</w:t>
      </w:r>
      <w:r>
        <w:rPr>
          <w:rFonts w:eastAsia="Calibri"/>
          <w:vertAlign w:val="superscript"/>
          <w:rtl/>
        </w:rPr>
        <w:footnoteReference w:id="28"/>
      </w:r>
      <w:r w:rsidRPr="001F2586">
        <w:rPr>
          <w:rFonts w:eastAsia="Calibri" w:hint="cs"/>
          <w:rtl/>
        </w:rPr>
        <w:t xml:space="preserve"> ובה בעת החל בנק ישראל להעלות את שיעור הריבית באפריל 2022 מ-0.1% בהדרגה עד 4.75% במאי 2023. עוד עולה מהתרשים כי בינואר 2023 הגיעה האינפלציה לשיא של 5.4% וכי בשנים 2025- 2026 חזר קצב האינפלציה לרדת והוא עומד במאי 2026 על כ-1.9%. עוד עולה כי בינואר 2024 הפחית בנק ישראל את הריבית ל-4.5%, והיא נשארה ברמה זו עד אוקטובר 2025, וכי בנובמבר 2025 - מאי 2026, על רקע התמתנות האינפלציה, החליטה הועדה המוניטרית על שלוש הורדות של ריבית בנק ישראל בשיעור כולל של 0.75% (0.25% בכל הורדה), כך שהריבית הופחתה מ-4.5% ל-3.75% החל מ-25.5.26. </w:t>
      </w:r>
    </w:p>
    <w:p w:rsidR="00260379"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sz w:val="24"/>
          <w:rtl/>
        </w:rPr>
        <w:t xml:space="preserve">לפי נתוני בנק ישראל, עבור כמיליון בעלי משכנתאות </w:t>
      </w:r>
      <w:r w:rsidRPr="001F2586">
        <w:rPr>
          <w:rFonts w:eastAsia="Calibri" w:hint="cs"/>
          <w:sz w:val="24"/>
          <w:rtl/>
        </w:rPr>
        <w:t>גדל ההחזר החודשי בכ-600 ש"ח בממוצע</w:t>
      </w:r>
      <w:r w:rsidRPr="001F2586">
        <w:rPr>
          <w:rFonts w:eastAsia="Calibri" w:hint="cs"/>
          <w:sz w:val="24"/>
          <w:rtl/>
        </w:rPr>
        <w:t xml:space="preserve"> </w:t>
      </w:r>
      <w:r w:rsidRPr="001F2586">
        <w:rPr>
          <w:rFonts w:eastAsia="Calibri"/>
          <w:sz w:val="24"/>
          <w:rtl/>
        </w:rPr>
        <w:t xml:space="preserve">בתקופה </w:t>
      </w:r>
      <w:r w:rsidRPr="001F2586">
        <w:rPr>
          <w:rFonts w:eastAsia="Calibri" w:hint="cs"/>
          <w:sz w:val="24"/>
          <w:rtl/>
        </w:rPr>
        <w:t>מ</w:t>
      </w:r>
      <w:r w:rsidRPr="001F2586">
        <w:rPr>
          <w:rFonts w:eastAsia="Calibri"/>
          <w:sz w:val="24"/>
          <w:rtl/>
        </w:rPr>
        <w:t>אפריל 2022 - אפריל 2023</w:t>
      </w:r>
      <w:r w:rsidRPr="001F2586">
        <w:rPr>
          <w:rFonts w:eastAsia="Calibri" w:hint="cs"/>
          <w:sz w:val="24"/>
          <w:rtl/>
        </w:rPr>
        <w:t xml:space="preserve"> שבה עלתה ריבית בנק ישראל בכ-4.65%. כמו כן,</w:t>
      </w:r>
      <w:r w:rsidRPr="001F2586">
        <w:rPr>
          <w:rFonts w:eastAsia="Calibri" w:hint="cs"/>
          <w:sz w:val="24"/>
          <w:rtl/>
        </w:rPr>
        <w:t xml:space="preserve"> </w:t>
      </w:r>
      <w:r w:rsidRPr="001F2586">
        <w:rPr>
          <w:rFonts w:eastAsia="Calibri" w:hint="cs"/>
          <w:rtl/>
        </w:rPr>
        <w:t xml:space="preserve">עבור </w:t>
      </w:r>
      <w:r w:rsidRPr="001F2586">
        <w:rPr>
          <w:rFonts w:eastAsia="Calibri"/>
          <w:rtl/>
        </w:rPr>
        <w:t xml:space="preserve">בעלי משכנתאות </w:t>
      </w:r>
      <w:r w:rsidRPr="001F2586">
        <w:rPr>
          <w:rFonts w:eastAsia="Calibri" w:hint="cs"/>
          <w:rtl/>
        </w:rPr>
        <w:t>שנטלו את ההלוואות בשנים 2018 -</w:t>
      </w:r>
      <w:r w:rsidRPr="001F2586">
        <w:rPr>
          <w:rFonts w:eastAsia="Calibri" w:hint="cs"/>
          <w:rtl/>
        </w:rPr>
        <w:t xml:space="preserve"> </w:t>
      </w:r>
      <w:r w:rsidRPr="001F2586">
        <w:rPr>
          <w:rFonts w:eastAsia="Calibri" w:hint="cs"/>
          <w:rtl/>
        </w:rPr>
        <w:t>2021</w:t>
      </w:r>
      <w:r w:rsidRPr="001F2586">
        <w:rPr>
          <w:rFonts w:eastAsia="Calibri" w:hint="cs"/>
          <w:rtl/>
        </w:rPr>
        <w:t xml:space="preserve"> גדל ההחזר החודשי בסכומים אלו: בהלוואות שנלקחו בשנת 2018 גדל ההחזר החודשי הממוצע בכ-737 ש"ח, בשנת 2019 בכ-764 ש"ח, בשנת 2020 בכ-830 ש"ח ובשנת 2021 בכ-1,047 ש"ח בממוצע.</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 xml:space="preserve">להלן תרשים המציג את השינויים בריביות הממוצעות על הלוואות למטרת מגורים בשנים 2022 - 2025 בהתאם למסלולי ההלוואה השונים: </w:t>
      </w:r>
    </w:p>
    <w:p w:rsidR="001F2586" w:rsidRPr="001F2586" w:rsidP="001F2586">
      <w:pPr>
        <w:tabs>
          <w:tab w:val="left" w:pos="3685"/>
        </w:tabs>
        <w:spacing w:line="269" w:lineRule="auto"/>
        <w:ind w:left="-567"/>
        <w:rPr>
          <w:rFonts w:eastAsia="Calibri"/>
          <w:szCs w:val="20"/>
          <w:rtl/>
        </w:rPr>
      </w:pPr>
    </w:p>
    <w:p w:rsidR="001F2586" w:rsidRPr="001F2586" w:rsidP="00A4018D">
      <w:pPr>
        <w:keepNext/>
        <w:keepLines/>
        <w:tabs>
          <w:tab w:val="left" w:pos="3685"/>
        </w:tabs>
        <w:spacing w:line="269" w:lineRule="auto"/>
        <w:jc w:val="center"/>
        <w:rPr>
          <w:rFonts w:eastAsia="Calibri"/>
          <w:b/>
          <w:bCs/>
          <w:sz w:val="24"/>
          <w:rtl/>
        </w:rPr>
      </w:pPr>
      <w:r w:rsidRPr="001F2586">
        <w:rPr>
          <w:rFonts w:eastAsia="Calibri" w:hint="eastAsia"/>
          <w:b/>
          <w:sz w:val="24"/>
          <w:rtl/>
        </w:rPr>
        <w:t>תרשים</w:t>
      </w:r>
      <w:r w:rsidRPr="001F2586">
        <w:rPr>
          <w:rFonts w:eastAsia="Calibri"/>
          <w:b/>
          <w:sz w:val="24"/>
          <w:rtl/>
        </w:rPr>
        <w:t xml:space="preserve"> </w:t>
      </w:r>
      <w:r w:rsidRPr="001F2586">
        <w:rPr>
          <w:rFonts w:eastAsia="Calibri" w:hint="cs"/>
          <w:b/>
          <w:sz w:val="24"/>
          <w:rtl/>
        </w:rPr>
        <w:t>6:</w:t>
      </w:r>
      <w:r w:rsidRPr="001F2586">
        <w:rPr>
          <w:rFonts w:eastAsia="Calibri" w:hint="cs"/>
          <w:b/>
          <w:bCs/>
          <w:sz w:val="24"/>
          <w:rtl/>
        </w:rPr>
        <w:t xml:space="preserve"> </w:t>
      </w:r>
      <w:r w:rsidRPr="001F2586">
        <w:rPr>
          <w:rFonts w:eastAsia="Calibri" w:hint="eastAsia"/>
          <w:bCs/>
          <w:sz w:val="24"/>
          <w:rtl/>
        </w:rPr>
        <w:t>הריבית</w:t>
      </w:r>
      <w:r w:rsidRPr="001F2586">
        <w:rPr>
          <w:rFonts w:eastAsia="Calibri"/>
          <w:bCs/>
          <w:sz w:val="24"/>
          <w:rtl/>
        </w:rPr>
        <w:t xml:space="preserve"> הממוצעת על הלוואות למטרת מגורים לפי מסלולי </w:t>
      </w:r>
      <w:r w:rsidRPr="001F2586">
        <w:rPr>
          <w:rFonts w:eastAsia="Calibri" w:hint="cs"/>
          <w:b/>
          <w:bCs/>
          <w:sz w:val="24"/>
          <w:rtl/>
        </w:rPr>
        <w:t xml:space="preserve">ההלוואות </w:t>
      </w:r>
      <w:r w:rsidRPr="001F2586">
        <w:rPr>
          <w:rFonts w:eastAsia="Calibri" w:hint="eastAsia"/>
          <w:bCs/>
          <w:sz w:val="24"/>
          <w:rtl/>
        </w:rPr>
        <w:t>ומגזרי</w:t>
      </w:r>
      <w:r w:rsidRPr="001F2586">
        <w:rPr>
          <w:rFonts w:eastAsia="Calibri"/>
          <w:bCs/>
          <w:sz w:val="24"/>
          <w:rtl/>
        </w:rPr>
        <w:t xml:space="preserve"> הצמדה במערכת הבנקאות</w:t>
      </w:r>
      <w:r w:rsidRPr="001F2586">
        <w:rPr>
          <w:rFonts w:eastAsia="Calibri" w:hint="cs"/>
          <w:bCs/>
          <w:sz w:val="24"/>
          <w:rtl/>
        </w:rPr>
        <w:t>,</w:t>
      </w:r>
      <w:r w:rsidRPr="001F2586">
        <w:rPr>
          <w:rFonts w:eastAsia="Calibri"/>
          <w:bCs/>
          <w:sz w:val="24"/>
          <w:rtl/>
        </w:rPr>
        <w:t xml:space="preserve"> </w:t>
      </w:r>
      <w:r w:rsidRPr="001F2586">
        <w:rPr>
          <w:rFonts w:eastAsia="Calibri"/>
          <w:b/>
          <w:bCs/>
          <w:sz w:val="24"/>
          <w:rtl/>
        </w:rPr>
        <w:t>2022 - 2025</w:t>
      </w:r>
      <w:r w:rsidRPr="001F2586">
        <w:rPr>
          <w:rFonts w:eastAsia="Calibri"/>
          <w:bCs/>
          <w:sz w:val="24"/>
          <w:rtl/>
        </w:rPr>
        <w:t>* (באחוזים)</w:t>
      </w:r>
    </w:p>
    <w:p w:rsidR="001F2586" w:rsidRPr="001F2586" w:rsidP="00A4018D">
      <w:pPr>
        <w:tabs>
          <w:tab w:val="left" w:pos="3685"/>
        </w:tabs>
        <w:spacing w:line="269" w:lineRule="auto"/>
        <w:jc w:val="center"/>
        <w:rPr>
          <w:rFonts w:eastAsia="Calibri"/>
          <w:rtl/>
        </w:rPr>
      </w:pPr>
      <w:r w:rsidRPr="001F2586">
        <w:rPr>
          <w:rFonts w:eastAsia="Calibri"/>
          <w:noProof/>
        </w:rPr>
        <w:drawing>
          <wp:inline distT="0" distB="0" distL="0" distR="0">
            <wp:extent cx="5218430" cy="3517900"/>
            <wp:effectExtent l="0" t="0" r="1270" b="6350"/>
            <wp:docPr id="107" name="תמונה 107" descr="בשנים 2022 - 2025 עלתה ריבית בנק ישראל מ-0.1% ל-4.5%. כמו כן  עלו גם הריביות במסלולי הלוואות כך: ריבית הפריים עלתה מ-1.39% ל-5.3%; ריבית קבועה לא צמודה עלתה מ-3% ל-4.9%; ריבית קבועה צמודה עלתה מ-2.17% ל-3.4%; ריבית משתנה לא צמודה עלתה מ-3.1% ל-4.83%; וריבית משתנה צמודה עלתה מ-1.79% ל-3.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3517900"/>
                    </a:xfrm>
                    <a:prstGeom prst="rect">
                      <a:avLst/>
                    </a:prstGeom>
                    <a:noFill/>
                  </pic:spPr>
                </pic:pic>
              </a:graphicData>
            </a:graphic>
          </wp:inline>
        </w:drawing>
      </w:r>
    </w:p>
    <w:p w:rsidR="00260379" w:rsidP="001F2586">
      <w:pPr>
        <w:tabs>
          <w:tab w:val="left" w:pos="3685"/>
        </w:tabs>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tabs>
          <w:tab w:val="left" w:pos="3685"/>
        </w:tabs>
        <w:spacing w:line="269" w:lineRule="auto"/>
        <w:rPr>
          <w:rFonts w:eastAsia="Calibri"/>
          <w:sz w:val="16"/>
          <w:szCs w:val="20"/>
          <w:rtl/>
        </w:rPr>
      </w:pPr>
      <w:r w:rsidRPr="001F2586">
        <w:rPr>
          <w:rFonts w:eastAsia="Calibri" w:hint="cs"/>
          <w:sz w:val="16"/>
          <w:szCs w:val="20"/>
          <w:rtl/>
        </w:rPr>
        <w:t>* נתונים עד אוגוסט 2025.</w:t>
      </w:r>
    </w:p>
    <w:p w:rsidR="001F2586" w:rsidRPr="001F2586" w:rsidP="001F2586">
      <w:pPr>
        <w:tabs>
          <w:tab w:val="left" w:pos="3685"/>
          <w:tab w:val="center" w:pos="3827"/>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מהתרשים עולה כי עם עליית ריבית בנק ישראל בשנים 2022 - 2025 מ-0.1% ל-4.5%</w:t>
      </w:r>
      <w:r>
        <w:rPr>
          <w:rFonts w:eastAsia="Calibri"/>
          <w:vertAlign w:val="superscript"/>
          <w:rtl/>
        </w:rPr>
        <w:footnoteReference w:id="29"/>
      </w:r>
      <w:r w:rsidRPr="001F2586">
        <w:rPr>
          <w:rFonts w:eastAsia="Calibri" w:hint="cs"/>
          <w:rtl/>
        </w:rPr>
        <w:t xml:space="preserve"> עלו גם הריביות במסלולי הלוואות למטרת מגורים באופן הזה: ריבית הפריים עלתה מ-1.39% ל-5.3%; ריבית קבועה לא צמודה עלתה מ-3% ל-4.9%; ריבית קבועה צמודה עלתה מ-2.17% ל-3.4%; ריבית משתנה לא צמודה עלתה מ-3.1% ל-4.83%; וריבית משתנה צמודה עלתה מ-1.79% </w:t>
      </w:r>
      <w:r w:rsidRPr="001F2586">
        <w:rPr>
          <w:rFonts w:eastAsia="Calibri"/>
          <w:rtl/>
        </w:rPr>
        <w:br/>
      </w:r>
      <w:r w:rsidRPr="001F2586">
        <w:rPr>
          <w:rFonts w:eastAsia="Calibri" w:hint="cs"/>
          <w:rtl/>
        </w:rPr>
        <w:t xml:space="preserve">ל-3.61%. עוד עולה כי העלאת ריבית בנק ישראל הפכה את מסלול ריבית הפריים מהריבית הנמוכה ביותר לריבית הגבוהה ביותר, והיא עלתה ב-3.9 נקודות אחוז במהלך התקופה. מנגד ריבית קבועה צמודה הפכה לשיעור הריבית הנמוך ביותר לאחר שעלתה בשיעור הנמוך ביותר </w:t>
      </w:r>
      <w:r w:rsidRPr="001F2586">
        <w:rPr>
          <w:rFonts w:eastAsia="Calibri"/>
          <w:rtl/>
        </w:rPr>
        <w:br/>
      </w:r>
      <w:r w:rsidRPr="001F2586">
        <w:rPr>
          <w:rFonts w:eastAsia="Calibri" w:hint="cs"/>
          <w:rtl/>
        </w:rPr>
        <w:t>(כ-1.23 נקודות אחוז) מבין הריביות האחרות, שעלו בטווח של כ-1.74 - 1.84 נקודות אחוז בשנים 2022 - 2025.</w:t>
      </w:r>
      <w:r w:rsidRPr="001F2586">
        <w:rPr>
          <w:rFonts w:eastAsia="Calibri"/>
          <w:rtl/>
        </w:rPr>
        <w:t xml:space="preserve"> </w:t>
      </w:r>
      <w:r w:rsidRPr="001F2586">
        <w:rPr>
          <w:rFonts w:eastAsia="Calibri" w:hint="cs"/>
          <w:rtl/>
        </w:rPr>
        <w:t>עוד עולה כי שיעורי הריביות התמתנו בשנים 2024 - 2025.</w:t>
      </w:r>
    </w:p>
    <w:p w:rsidR="001F2586" w:rsidRPr="001F2586" w:rsidP="001F2586">
      <w:pPr>
        <w:tabs>
          <w:tab w:val="left" w:pos="3685"/>
        </w:tabs>
        <w:spacing w:line="269" w:lineRule="auto"/>
        <w:ind w:left="-567"/>
        <w:rPr>
          <w:rFonts w:eastAsia="Calibri"/>
          <w:szCs w:val="20"/>
          <w:rtl/>
        </w:rPr>
      </w:pPr>
    </w:p>
    <w:p w:rsidR="001F2586" w:rsidRPr="001F2586" w:rsidP="001F2586">
      <w:pPr>
        <w:keepNext/>
        <w:keepLines/>
        <w:tabs>
          <w:tab w:val="left" w:pos="3685"/>
        </w:tabs>
        <w:spacing w:line="269" w:lineRule="auto"/>
        <w:ind w:left="717" w:hanging="360"/>
        <w:jc w:val="center"/>
        <w:outlineLvl w:val="4"/>
        <w:rPr>
          <w:rFonts w:eastAsia="Calibri"/>
          <w:b/>
          <w:bCs/>
          <w:sz w:val="24"/>
          <w:rtl/>
        </w:rPr>
      </w:pPr>
      <w:r w:rsidRPr="001F2586">
        <w:rPr>
          <w:rFonts w:eastAsia="Calibri" w:hint="eastAsia"/>
          <w:b/>
          <w:sz w:val="24"/>
          <w:rtl/>
        </w:rPr>
        <w:t>תרשים</w:t>
      </w:r>
      <w:r w:rsidRPr="001F2586">
        <w:rPr>
          <w:rFonts w:eastAsia="Calibri"/>
          <w:b/>
          <w:sz w:val="24"/>
          <w:rtl/>
        </w:rPr>
        <w:t xml:space="preserve"> </w:t>
      </w:r>
      <w:r w:rsidRPr="001F2586">
        <w:rPr>
          <w:rFonts w:eastAsia="Calibri" w:hint="cs"/>
          <w:b/>
          <w:sz w:val="24"/>
          <w:rtl/>
        </w:rPr>
        <w:t xml:space="preserve">7: </w:t>
      </w:r>
      <w:r w:rsidRPr="001F2586">
        <w:rPr>
          <w:rFonts w:eastAsia="Calibri" w:hint="eastAsia"/>
          <w:bCs/>
          <w:sz w:val="24"/>
          <w:rtl/>
        </w:rPr>
        <w:t>השינויים</w:t>
      </w:r>
      <w:r w:rsidRPr="001F2586">
        <w:rPr>
          <w:rFonts w:eastAsia="Calibri"/>
          <w:bCs/>
          <w:sz w:val="24"/>
          <w:rtl/>
        </w:rPr>
        <w:t xml:space="preserve"> </w:t>
      </w:r>
      <w:r w:rsidRPr="001F2586">
        <w:rPr>
          <w:rFonts w:eastAsia="Calibri" w:hint="eastAsia"/>
          <w:bCs/>
          <w:sz w:val="24"/>
          <w:rtl/>
        </w:rPr>
        <w:t>בהתפלגות</w:t>
      </w:r>
      <w:r w:rsidRPr="001F2586">
        <w:rPr>
          <w:rFonts w:eastAsia="Calibri"/>
          <w:bCs/>
          <w:sz w:val="24"/>
          <w:rtl/>
        </w:rPr>
        <w:t xml:space="preserve"> </w:t>
      </w:r>
      <w:r w:rsidRPr="001F2586">
        <w:rPr>
          <w:rFonts w:eastAsia="Calibri" w:hint="eastAsia"/>
          <w:bCs/>
          <w:sz w:val="24"/>
          <w:rtl/>
        </w:rPr>
        <w:t>של</w:t>
      </w:r>
      <w:r w:rsidRPr="001F2586">
        <w:rPr>
          <w:rFonts w:eastAsia="Calibri"/>
          <w:bCs/>
          <w:sz w:val="24"/>
          <w:rtl/>
        </w:rPr>
        <w:t xml:space="preserve"> </w:t>
      </w:r>
      <w:r w:rsidRPr="001F2586">
        <w:rPr>
          <w:rFonts w:eastAsia="Calibri" w:hint="eastAsia"/>
          <w:bCs/>
          <w:sz w:val="24"/>
          <w:rtl/>
        </w:rPr>
        <w:t>מסלולי</w:t>
      </w:r>
      <w:r w:rsidRPr="001F2586">
        <w:rPr>
          <w:rFonts w:eastAsia="Calibri"/>
          <w:bCs/>
          <w:sz w:val="24"/>
          <w:rtl/>
        </w:rPr>
        <w:t xml:space="preserve"> </w:t>
      </w:r>
      <w:r w:rsidRPr="001F2586">
        <w:rPr>
          <w:rFonts w:eastAsia="Calibri" w:hint="eastAsia"/>
          <w:bCs/>
          <w:sz w:val="24"/>
          <w:rtl/>
        </w:rPr>
        <w:t>הריביות</w:t>
      </w:r>
      <w:r w:rsidRPr="001F2586">
        <w:rPr>
          <w:rFonts w:eastAsia="Calibri"/>
          <w:bCs/>
          <w:sz w:val="24"/>
          <w:rtl/>
        </w:rPr>
        <w:t xml:space="preserve"> </w:t>
      </w:r>
      <w:r w:rsidRPr="001F2586">
        <w:rPr>
          <w:rFonts w:eastAsia="Calibri" w:hint="eastAsia"/>
          <w:bCs/>
          <w:sz w:val="24"/>
          <w:rtl/>
        </w:rPr>
        <w:t>מסך</w:t>
      </w:r>
      <w:r w:rsidRPr="001F2586">
        <w:rPr>
          <w:rFonts w:eastAsia="Calibri"/>
          <w:bCs/>
          <w:sz w:val="24"/>
          <w:rtl/>
        </w:rPr>
        <w:t xml:space="preserve"> </w:t>
      </w:r>
      <w:r w:rsidRPr="001F2586">
        <w:rPr>
          <w:rFonts w:eastAsia="Calibri" w:hint="eastAsia"/>
          <w:bCs/>
          <w:sz w:val="24"/>
          <w:rtl/>
        </w:rPr>
        <w:t>הביצועים</w:t>
      </w:r>
      <w:r w:rsidRPr="001F2586">
        <w:rPr>
          <w:rFonts w:eastAsia="Calibri"/>
          <w:bCs/>
          <w:sz w:val="24"/>
          <w:rtl/>
        </w:rPr>
        <w:t xml:space="preserve"> </w:t>
      </w:r>
      <w:r w:rsidRPr="001F2586">
        <w:rPr>
          <w:rFonts w:eastAsia="Calibri" w:hint="eastAsia"/>
          <w:bCs/>
          <w:sz w:val="24"/>
          <w:rtl/>
        </w:rPr>
        <w:t>של</w:t>
      </w:r>
      <w:r w:rsidRPr="001F2586">
        <w:rPr>
          <w:rFonts w:eastAsia="Calibri"/>
          <w:bCs/>
          <w:sz w:val="24"/>
          <w:rtl/>
        </w:rPr>
        <w:t xml:space="preserve"> </w:t>
      </w:r>
      <w:r w:rsidRPr="001F2586">
        <w:rPr>
          <w:rFonts w:eastAsia="Calibri" w:hint="eastAsia"/>
          <w:bCs/>
          <w:sz w:val="24"/>
          <w:rtl/>
        </w:rPr>
        <w:t>הלוואות</w:t>
      </w:r>
      <w:r w:rsidRPr="001F2586">
        <w:rPr>
          <w:rFonts w:eastAsia="Calibri"/>
          <w:bCs/>
          <w:sz w:val="24"/>
          <w:rtl/>
        </w:rPr>
        <w:t xml:space="preserve"> </w:t>
      </w:r>
      <w:r w:rsidRPr="001F2586">
        <w:rPr>
          <w:rFonts w:eastAsia="Calibri" w:hint="eastAsia"/>
          <w:bCs/>
          <w:sz w:val="24"/>
          <w:rtl/>
        </w:rPr>
        <w:t>למטרת</w:t>
      </w:r>
      <w:r w:rsidRPr="001F2586">
        <w:rPr>
          <w:rFonts w:eastAsia="Calibri"/>
          <w:bCs/>
          <w:sz w:val="24"/>
          <w:rtl/>
        </w:rPr>
        <w:t xml:space="preserve"> </w:t>
      </w:r>
      <w:r w:rsidRPr="001F2586">
        <w:rPr>
          <w:rFonts w:eastAsia="Calibri" w:hint="eastAsia"/>
          <w:bCs/>
          <w:sz w:val="24"/>
          <w:rtl/>
        </w:rPr>
        <w:t>מגורים</w:t>
      </w:r>
      <w:r w:rsidRPr="001F2586">
        <w:rPr>
          <w:rFonts w:eastAsia="Calibri" w:hint="cs"/>
          <w:b/>
          <w:bCs/>
          <w:sz w:val="24"/>
          <w:rtl/>
        </w:rPr>
        <w:t>,</w:t>
      </w:r>
      <w:r w:rsidRPr="001F2586">
        <w:rPr>
          <w:rFonts w:eastAsia="Calibri"/>
          <w:b/>
          <w:bCs/>
          <w:sz w:val="24"/>
          <w:rtl/>
        </w:rPr>
        <w:t xml:space="preserve"> </w:t>
      </w:r>
      <w:r w:rsidRPr="001F2586">
        <w:rPr>
          <w:rFonts w:eastAsia="Calibri"/>
          <w:bCs/>
          <w:sz w:val="24"/>
          <w:rtl/>
        </w:rPr>
        <w:t>2022 - 2025* (באחוזים)</w:t>
      </w:r>
    </w:p>
    <w:p w:rsidR="001F2586" w:rsidRPr="001F2586" w:rsidP="001F2586">
      <w:pPr>
        <w:tabs>
          <w:tab w:val="left" w:pos="3685"/>
        </w:tabs>
        <w:spacing w:line="269" w:lineRule="auto"/>
        <w:jc w:val="center"/>
        <w:rPr>
          <w:rFonts w:eastAsia="Calibri"/>
          <w:b/>
          <w:bCs/>
          <w:rtl/>
        </w:rPr>
      </w:pPr>
      <w:r w:rsidRPr="001F2586">
        <w:rPr>
          <w:rFonts w:eastAsia="Calibri"/>
          <w:b/>
          <w:bCs/>
          <w:noProof/>
        </w:rPr>
        <w:drawing>
          <wp:inline distT="0" distB="0" distL="0" distR="0">
            <wp:extent cx="5300061" cy="2443255"/>
            <wp:effectExtent l="0" t="0" r="0" b="0"/>
            <wp:docPr id="108" name="תמונה 108" descr="התפלגות הביצועים במסלולים של הלוואות למטרת מגורים שבוצעו בשנים 2022 - 2025 השתנתה כך: משקל ריבית משתנה לא צמודה (שאינה פריים) עלה מכ-2% לכ-39%; משקל ריבית הפריים ירד מכ-39% לכ-9%; משקל ריבית קבועה לא צמודה עלה מכ-34% לכ-36%; משקל ריבית קבועה צמודה עלה מכ-9% ל-10%; ומשקל ריבית משתנה צמודה בהלוואות שבוצעו ירד מכ-17% לכ-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3"/>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305444" cy="2445736"/>
                    </a:xfrm>
                    <a:prstGeom prst="rect">
                      <a:avLst/>
                    </a:prstGeom>
                    <a:noFill/>
                  </pic:spPr>
                </pic:pic>
              </a:graphicData>
            </a:graphic>
          </wp:inline>
        </w:drawing>
      </w:r>
    </w:p>
    <w:p w:rsidR="001F2586" w:rsidRPr="001F2586" w:rsidP="001F2586">
      <w:pPr>
        <w:tabs>
          <w:tab w:val="left" w:pos="3685"/>
        </w:tabs>
        <w:spacing w:line="269" w:lineRule="auto"/>
        <w:rPr>
          <w:rFonts w:eastAsia="Calibri"/>
          <w:sz w:val="16"/>
          <w:szCs w:val="20"/>
          <w:rtl/>
        </w:rPr>
      </w:pPr>
      <w:r w:rsidRPr="001F2586">
        <w:rPr>
          <w:rFonts w:eastAsia="Calibri" w:hint="cs"/>
          <w:sz w:val="16"/>
          <w:szCs w:val="20"/>
          <w:rtl/>
        </w:rPr>
        <w:t>* הנתונים עד אוגוסט 2025.</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מהתרשים עולה כי התפלגות הביצועים במסלולים של הלוואות למטרת מגורים שבוצעו בשנים 2022 - 2025 השתנתה כך: משקל ריבית משתנה לא צמודה (שאינה פריים) עלה מכ-2% לכ-39%; משקל ריבית הפריים ירד מכ-39% לכ-9%; משקל ריבית קבועה לא צמודה עלה מכ-34% לכ-36%; משקל ריבית קבועה צמודה עלה מכ-9% ל-10%; ומשקל ריבית משתנה צמודה בהלוואות שבוצעו ירד מכ-17% לכ-6%. מכאן ניתן להסיק כי עליית ריבית הפריים והאינפלציה בשנים 2022 -2023 גרמה לביצועי הלוואות עם משקל גבוה יותר של מסלול הריבית המשתנה הלא צמודה שאינה פריים, וזאת על חשבון מסלולי ריבית הפריים וריבית משתנה צמודה, שמשקלן בביצועים ירד משמעותית, כאשר משקלן של הריביות הקבועות לא השתנה באופן משמעותי</w:t>
      </w:r>
      <w:r>
        <w:rPr>
          <w:rFonts w:eastAsia="Calibri"/>
          <w:vertAlign w:val="superscript"/>
          <w:rtl/>
        </w:rPr>
        <w:footnoteReference w:id="30"/>
      </w:r>
      <w:r w:rsidRPr="001F2586">
        <w:rPr>
          <w:rFonts w:eastAsia="Calibri" w:hint="cs"/>
          <w:rtl/>
        </w:rPr>
        <w:t xml:space="preserve">. </w:t>
      </w:r>
      <w:r w:rsidRPr="001F2586">
        <w:rPr>
          <w:rFonts w:eastAsia="Calibri"/>
          <w:rtl/>
        </w:rPr>
        <w:t>ייתכן כי העלייה במשקל</w:t>
      </w:r>
      <w:r w:rsidRPr="001F2586">
        <w:rPr>
          <w:rFonts w:eastAsia="Calibri" w:hint="cs"/>
        </w:rPr>
        <w:t xml:space="preserve"> </w:t>
      </w:r>
      <w:r w:rsidRPr="001F2586">
        <w:rPr>
          <w:rFonts w:eastAsia="Calibri" w:hint="cs"/>
          <w:rtl/>
        </w:rPr>
        <w:t xml:space="preserve">של </w:t>
      </w:r>
      <w:r w:rsidRPr="001F2586">
        <w:rPr>
          <w:rFonts w:eastAsia="Calibri"/>
          <w:rtl/>
        </w:rPr>
        <w:t xml:space="preserve">מסלול ריבית משתנה לא-צמודה </w:t>
      </w:r>
      <w:r w:rsidRPr="001F2586">
        <w:rPr>
          <w:rFonts w:eastAsia="Calibri" w:hint="cs"/>
          <w:rtl/>
        </w:rPr>
        <w:t xml:space="preserve">בתקופה של סביבת ריבית עולה </w:t>
      </w:r>
      <w:r w:rsidRPr="001F2586">
        <w:rPr>
          <w:rFonts w:eastAsia="Calibri"/>
          <w:rtl/>
        </w:rPr>
        <w:t xml:space="preserve">הוא </w:t>
      </w:r>
      <w:r w:rsidRPr="001F2586">
        <w:rPr>
          <w:rFonts w:eastAsia="Calibri" w:hint="cs"/>
          <w:rtl/>
        </w:rPr>
        <w:t>בשל</w:t>
      </w:r>
      <w:r w:rsidRPr="001F2586">
        <w:rPr>
          <w:rFonts w:eastAsia="Calibri"/>
          <w:rtl/>
        </w:rPr>
        <w:t xml:space="preserve"> </w:t>
      </w:r>
      <w:r w:rsidRPr="001F2586">
        <w:rPr>
          <w:rFonts w:eastAsia="Calibri" w:hint="cs"/>
          <w:rtl/>
        </w:rPr>
        <w:t>כך שהיא לא חשופה לשינויים בריבית לתקופה מסוימת</w:t>
      </w:r>
      <w:r w:rsidRPr="001F2586">
        <w:rPr>
          <w:rFonts w:eastAsia="Calibri"/>
          <w:rtl/>
        </w:rPr>
        <w:t xml:space="preserve">. </w:t>
      </w:r>
      <w:r w:rsidRPr="001F2586">
        <w:rPr>
          <w:rFonts w:eastAsia="Calibri" w:hint="cs"/>
          <w:rtl/>
        </w:rPr>
        <w:t xml:space="preserve">בנק ישראל ציין בסקירת מערכת הבנקאות לשנת 2023 כי </w:t>
      </w:r>
      <w:r w:rsidRPr="001F2586">
        <w:rPr>
          <w:rFonts w:eastAsia="Calibri"/>
          <w:rtl/>
        </w:rPr>
        <w:t>השינוי</w:t>
      </w:r>
      <w:r w:rsidRPr="001F2586">
        <w:rPr>
          <w:rFonts w:eastAsia="Calibri" w:hint="cs"/>
          <w:rtl/>
        </w:rPr>
        <w:t xml:space="preserve"> בהתפלגות ההלוואות, שהוסטו ממסלול ריבית הפריים למסלול ריבית משתנה לא צמודה, </w:t>
      </w:r>
      <w:r w:rsidRPr="001F2586">
        <w:rPr>
          <w:rFonts w:eastAsia="Calibri"/>
          <w:rtl/>
        </w:rPr>
        <w:t xml:space="preserve">מיתן את העלייה בריבית המשוקללת של </w:t>
      </w:r>
      <w:r w:rsidRPr="001F2586">
        <w:rPr>
          <w:rFonts w:eastAsia="Calibri" w:hint="cs"/>
          <w:rtl/>
        </w:rPr>
        <w:t>ההלוואות במועד לקיחתן</w:t>
      </w:r>
      <w:r>
        <w:rPr>
          <w:rFonts w:eastAsia="Calibri"/>
          <w:vertAlign w:val="superscript"/>
          <w:rtl/>
        </w:rPr>
        <w:footnoteReference w:id="31"/>
      </w:r>
      <w:r w:rsidRPr="001F2586">
        <w:rPr>
          <w:rFonts w:eastAsia="Calibri" w:hint="cs"/>
          <w:rtl/>
        </w:rPr>
        <w:t xml:space="preserve">. </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 xml:space="preserve">יצוין כי מניתוח נתונים של בנק ישראל עולה כי בשנים 2022 - 2025, בהלוואות למטרת מגורים, ירד שיעור ההלוואות עם מסלולים </w:t>
      </w:r>
      <w:r w:rsidRPr="001F2586">
        <w:rPr>
          <w:rFonts w:eastAsia="Calibri" w:hint="cs"/>
          <w:rtl/>
        </w:rPr>
        <w:t>צמודי</w:t>
      </w:r>
      <w:r w:rsidRPr="001F2586">
        <w:rPr>
          <w:rFonts w:eastAsia="Calibri" w:hint="cs"/>
          <w:rtl/>
        </w:rPr>
        <w:t xml:space="preserve"> מדד</w:t>
      </w:r>
      <w:r>
        <w:rPr>
          <w:rFonts w:eastAsia="Calibri"/>
          <w:vertAlign w:val="superscript"/>
          <w:rtl/>
        </w:rPr>
        <w:footnoteReference w:id="32"/>
      </w:r>
      <w:r w:rsidRPr="001F2586">
        <w:rPr>
          <w:rFonts w:eastAsia="Calibri" w:hint="cs"/>
          <w:rtl/>
        </w:rPr>
        <w:t xml:space="preserve"> לפי מטרת הרכישה: בהלוואות לרכישת דירה יחידה ירד השיעור מ-84% לכ-42%; בהלוואות לרכישת דירה חליפית מכ-74% לכ-34%; ובהלוואות לרכישת דירה להשקעה מכ-70% לכ-21%.</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b/>
          <w:bCs/>
          <w:rtl/>
        </w:rPr>
      </w:pPr>
      <w:r w:rsidRPr="001F2586">
        <w:rPr>
          <w:rFonts w:eastAsia="Calibri" w:hint="cs"/>
          <w:b/>
          <w:bCs/>
          <w:rtl/>
        </w:rPr>
        <w:t>נמצא כי חל שינוי בהתפלגות מסלולי ההלוואות למטרת מגורים, תוך ירידה בשיעור מסלולי ההלוואות צמודות המדד, עלייה בריבית המשתנה הלא צמודה (שאינה פריים) מכ-2% לכ-39%, וירידה בריבית הפריים מכ-39% לכ-9%.</w:t>
      </w:r>
      <w:bookmarkStart w:id="8" w:name="_Hlk222743955"/>
      <w:r w:rsidRPr="001F2586">
        <w:rPr>
          <w:rFonts w:eastAsia="Calibri" w:hint="cs"/>
          <w:b/>
          <w:bCs/>
          <w:rtl/>
        </w:rPr>
        <w:t xml:space="preserve"> </w:t>
      </w:r>
      <w:bookmarkEnd w:id="8"/>
      <w:r w:rsidRPr="001F2586">
        <w:rPr>
          <w:rFonts w:eastAsia="Calibri" w:hint="cs"/>
          <w:b/>
          <w:bCs/>
          <w:rtl/>
        </w:rPr>
        <w:t xml:space="preserve">שינויים אלו מעידים כי חל שינוי בתמהיל המשכנתאות - מהלוואות שניתנו עם משקל גבוה במסלול ריבית הפריים ומסלולים </w:t>
      </w:r>
      <w:r w:rsidRPr="001F2586">
        <w:rPr>
          <w:rFonts w:eastAsia="Calibri" w:hint="cs"/>
          <w:b/>
          <w:bCs/>
          <w:rtl/>
        </w:rPr>
        <w:t>צמודי</w:t>
      </w:r>
      <w:r w:rsidRPr="001F2586">
        <w:rPr>
          <w:rFonts w:eastAsia="Calibri" w:hint="cs"/>
          <w:b/>
          <w:bCs/>
          <w:rtl/>
        </w:rPr>
        <w:t xml:space="preserve"> מדד, להלוואות במסלול של ריבית משתנה לא צמודה. שינויים אלו נדרשו מבחינת הלווים כדי להפחית את מחירי המשכנתא לנוכח העלייה בריבית בנק ישראל, באינפלציה ובשיעורי הריביות על משכנתאות שהתרחשו בשנים האחרונות. </w:t>
      </w:r>
    </w:p>
    <w:p w:rsidR="001F2586" w:rsidRPr="001F2586" w:rsidP="001F2586">
      <w:pPr>
        <w:spacing w:line="269" w:lineRule="auto"/>
        <w:rPr>
          <w:rFonts w:eastAsia="Calibri"/>
          <w:rtl/>
        </w:rPr>
      </w:pPr>
    </w:p>
    <w:p w:rsidR="00EB64F7">
      <w:pPr>
        <w:bidi w:val="0"/>
        <w:spacing w:after="200" w:line="276" w:lineRule="auto"/>
        <w:rPr>
          <w:rFonts w:eastAsia="Times New Roman"/>
          <w:bCs/>
          <w:spacing w:val="40"/>
          <w:rtl/>
        </w:rPr>
      </w:pPr>
      <w:r>
        <w:rPr>
          <w:rFonts w:eastAsia="Times New Roman"/>
          <w:bCs/>
          <w:spacing w:val="40"/>
          <w:rtl/>
        </w:rPr>
        <w:br w:type="page"/>
      </w: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מחירי הדירות והביקוש למשכנתאות במערכת הבנקאית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מחירי הדירות משפיעים על סכומי ההון עצמי שהציבור מעמיד לרכישת דירות ועל המשכנתאות שהוא נדרש לקחת כדי לגייס את מלוא הסכום לרכישת הדירות. העלייה בהכנסות של משקי הבית, בפני עצמה וביחס לעליית מחירי הדירות, משפיעה על היכולת של </w:t>
      </w:r>
      <w:r w:rsidRPr="001F2586">
        <w:rPr>
          <w:rFonts w:eastAsia="Calibri" w:hint="cs"/>
          <w:rtl/>
        </w:rPr>
        <w:t>רוכשי</w:t>
      </w:r>
      <w:r w:rsidRPr="001F2586">
        <w:rPr>
          <w:rFonts w:eastAsia="Calibri" w:hint="cs"/>
          <w:rtl/>
        </w:rPr>
        <w:t xml:space="preserve"> הדירות לקבל משכנתא ולממן את התשלומים שלה. כמו כן, שיעורי הריביות על משכנתאות משפיעים, לצד האינפלציה, על ההחזרים החודשיים, ומשכך הם משפיעים על סכומי המשכנתאות שמשקי הבית מקבלים מגופי האשראי.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מחירי הדירות מושפעים מהיחס שבין היצע הדירות לבין הביקוש לדירות. </w:t>
      </w:r>
      <w:r w:rsidRPr="001F2586">
        <w:rPr>
          <w:rFonts w:eastAsia="Calibri" w:hint="cs"/>
          <w:rtl/>
        </w:rPr>
        <w:t>הלמ"ס</w:t>
      </w:r>
      <w:r w:rsidRPr="001F2586">
        <w:rPr>
          <w:rFonts w:eastAsia="Calibri" w:hint="cs"/>
          <w:rtl/>
        </w:rPr>
        <w:t xml:space="preserve"> </w:t>
      </w:r>
      <w:r w:rsidRPr="001F2586">
        <w:rPr>
          <w:rFonts w:eastAsia="Calibri"/>
          <w:rtl/>
        </w:rPr>
        <w:t>מפרסמת את מדד מחירי הדירות</w:t>
      </w:r>
      <w:r w:rsidRPr="001F2586">
        <w:rPr>
          <w:rFonts w:eastAsia="Calibri" w:hint="cs"/>
          <w:rtl/>
        </w:rPr>
        <w:t xml:space="preserve">, המתאר </w:t>
      </w:r>
      <w:r w:rsidRPr="001F2586">
        <w:rPr>
          <w:rFonts w:eastAsia="Calibri"/>
          <w:rtl/>
        </w:rPr>
        <w:t>את השינוי</w:t>
      </w:r>
      <w:r w:rsidRPr="001F2586">
        <w:rPr>
          <w:rFonts w:eastAsia="Calibri" w:hint="cs"/>
          <w:rtl/>
        </w:rPr>
        <w:t xml:space="preserve">ים </w:t>
      </w:r>
      <w:r w:rsidRPr="001F2586">
        <w:rPr>
          <w:rFonts w:eastAsia="Calibri"/>
          <w:rtl/>
        </w:rPr>
        <w:t>במחירי הדירות</w:t>
      </w:r>
      <w:r>
        <w:rPr>
          <w:rFonts w:eastAsia="Calibri"/>
          <w:vertAlign w:val="superscript"/>
          <w:rtl/>
        </w:rPr>
        <w:footnoteReference w:id="33"/>
      </w:r>
      <w:r w:rsidRPr="001F2586">
        <w:rPr>
          <w:rFonts w:eastAsia="Calibri"/>
          <w:rtl/>
        </w:rPr>
        <w:t xml:space="preserve"> בישראל</w:t>
      </w:r>
      <w:r w:rsidRPr="001F2586">
        <w:rPr>
          <w:rFonts w:eastAsia="Calibri" w:hint="cs"/>
          <w:rtl/>
        </w:rPr>
        <w:t>. להלן תרשים המציג את השינויים במדד מחירי הדירות בשנים 2020 - 2025:</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ind w:left="717" w:hanging="360"/>
        <w:jc w:val="center"/>
        <w:outlineLvl w:val="4"/>
        <w:rPr>
          <w:rFonts w:eastAsia="Calibri"/>
          <w:b/>
          <w:bCs/>
          <w:sz w:val="24"/>
          <w:rtl/>
        </w:rPr>
      </w:pPr>
      <w:bookmarkStart w:id="9" w:name="_Hlk233030932"/>
      <w:r w:rsidRPr="001F2586">
        <w:rPr>
          <w:rFonts w:eastAsia="Calibri" w:hint="cs"/>
          <w:sz w:val="24"/>
          <w:rtl/>
        </w:rPr>
        <w:t>תרשים 8:</w:t>
      </w:r>
      <w:r w:rsidRPr="001F2586">
        <w:rPr>
          <w:rFonts w:eastAsia="Calibri" w:hint="cs"/>
          <w:b/>
          <w:bCs/>
          <w:sz w:val="24"/>
          <w:rtl/>
        </w:rPr>
        <w:t xml:space="preserve"> </w:t>
      </w:r>
      <w:r w:rsidRPr="001F2586">
        <w:rPr>
          <w:rFonts w:eastAsia="Calibri" w:hint="eastAsia"/>
          <w:bCs/>
          <w:sz w:val="24"/>
          <w:rtl/>
        </w:rPr>
        <w:t>השינוי</w:t>
      </w:r>
      <w:r w:rsidRPr="001F2586">
        <w:rPr>
          <w:rFonts w:eastAsia="Calibri"/>
          <w:b/>
          <w:bCs/>
          <w:sz w:val="24"/>
          <w:rtl/>
        </w:rPr>
        <w:t xml:space="preserve"> במדד מחירי הדירות</w:t>
      </w:r>
      <w:r w:rsidRPr="001F2586">
        <w:rPr>
          <w:rFonts w:eastAsia="Calibri" w:hint="cs"/>
          <w:b/>
          <w:bCs/>
          <w:sz w:val="24"/>
          <w:rtl/>
        </w:rPr>
        <w:t>,</w:t>
      </w:r>
      <w:r w:rsidRPr="001F2586">
        <w:rPr>
          <w:rFonts w:eastAsia="Calibri"/>
          <w:b/>
          <w:bCs/>
          <w:sz w:val="24"/>
          <w:rtl/>
        </w:rPr>
        <w:t xml:space="preserve"> </w:t>
      </w:r>
      <w:r w:rsidRPr="001F2586">
        <w:rPr>
          <w:rFonts w:eastAsia="Calibri"/>
          <w:bCs/>
          <w:sz w:val="24"/>
          <w:rtl/>
        </w:rPr>
        <w:t>2020 - 2025*</w:t>
      </w:r>
    </w:p>
    <w:bookmarkEnd w:id="9"/>
    <w:p w:rsidR="001F2586" w:rsidRPr="001F2586" w:rsidP="001F2586">
      <w:pPr>
        <w:spacing w:line="269" w:lineRule="auto"/>
        <w:jc w:val="center"/>
        <w:rPr>
          <w:rFonts w:eastAsia="Calibri"/>
          <w:rtl/>
        </w:rPr>
      </w:pPr>
      <w:r w:rsidRPr="001F2586">
        <w:rPr>
          <w:rFonts w:eastAsia="Calibri"/>
          <w:noProof/>
        </w:rPr>
        <w:drawing>
          <wp:inline distT="0" distB="0" distL="0" distR="0">
            <wp:extent cx="5193653" cy="2622062"/>
            <wp:effectExtent l="0" t="0" r="7620" b="6985"/>
            <wp:docPr id="47" name="תמונה 47" descr="מדד מחירי הדירות עלה מ144.3 בינואר 2020 ל-207.7 באוגוסט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7955" cy="2629282"/>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 xml:space="preserve">על פי נתוני </w:t>
      </w:r>
      <w:r w:rsidRPr="001F2586">
        <w:rPr>
          <w:rFonts w:eastAsia="Calibri" w:hint="cs"/>
          <w:sz w:val="16"/>
          <w:szCs w:val="20"/>
          <w:rtl/>
        </w:rPr>
        <w:t>הלמ"ס</w:t>
      </w:r>
      <w:r w:rsidRPr="001F2586">
        <w:rPr>
          <w:rFonts w:eastAsia="Calibri" w:hint="cs"/>
          <w:sz w:val="16"/>
          <w:szCs w:val="20"/>
          <w:rtl/>
        </w:rPr>
        <w:t>, בעיבוד משרד מבקר המדינה.</w:t>
      </w:r>
    </w:p>
    <w:p w:rsidR="001F2586" w:rsidRPr="001F2586" w:rsidP="001F2586">
      <w:pPr>
        <w:spacing w:line="269" w:lineRule="auto"/>
        <w:rPr>
          <w:rFonts w:eastAsia="Calibri"/>
          <w:sz w:val="16"/>
          <w:szCs w:val="20"/>
          <w:rtl/>
        </w:rPr>
      </w:pPr>
      <w:r w:rsidRPr="001F2586">
        <w:rPr>
          <w:rFonts w:eastAsia="Calibri" w:hint="cs"/>
          <w:sz w:val="16"/>
          <w:szCs w:val="20"/>
          <w:rtl/>
        </w:rPr>
        <w:t>*הנתונים עד אוגוסט 2025.</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color w:val="FF0000"/>
          <w:rtl/>
        </w:rPr>
      </w:pPr>
      <w:r w:rsidRPr="001F2586">
        <w:rPr>
          <w:rFonts w:eastAsia="Calibri" w:hint="cs"/>
          <w:rtl/>
        </w:rPr>
        <w:t>מהתרשים עולה כי מדד מחירי הדירות עלה בכ-44% בשנים 2020 - 2025. העלייה החדה במדד מחירי הדירות חלה בין יולי 2020 לאפריל 2023, אז עלה המדד בכ-35%. בהמשך שנת 2023 ועד תחילת שנת 2024 המדד התמתן מעט</w:t>
      </w:r>
      <w:r>
        <w:rPr>
          <w:rFonts w:eastAsia="Calibri"/>
          <w:vertAlign w:val="superscript"/>
          <w:rtl/>
        </w:rPr>
        <w:footnoteReference w:id="34"/>
      </w:r>
      <w:r w:rsidRPr="001F2586">
        <w:rPr>
          <w:rFonts w:eastAsia="Calibri" w:hint="cs"/>
          <w:rtl/>
        </w:rPr>
        <w:t xml:space="preserve">, ובשנים 2024 - 2025 עלה המדד בכ-10% עד לחודשים האחרונים, שבהם ירד המדד בכ-1%. עליית מחירי הדירות מביאה את משקי בית לקחת משכנתאות גבוהות יותר </w:t>
      </w:r>
      <w:r w:rsidRPr="001F2586">
        <w:rPr>
          <w:rFonts w:eastAsia="Calibri" w:hint="cs"/>
          <w:rtl/>
        </w:rPr>
        <w:t>מבעבר</w:t>
      </w:r>
      <w:r w:rsidRPr="001F2586">
        <w:rPr>
          <w:rFonts w:eastAsia="Calibri" w:hint="cs"/>
          <w:rtl/>
        </w:rPr>
        <w:t>, כפי שיוצג בהמשך.</w:t>
      </w:r>
      <w:r w:rsidRPr="001F2586">
        <w:rPr>
          <w:rFonts w:eastAsia="Calibri" w:hint="cs"/>
          <w:color w:val="FF0000"/>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הביקוש למשכנתאות תלוי בכמה גורמים, בהם מחירי הדירות, הכנסות משקי הבית, הריבית על המשכנתאות והאינפלציה. הביקוש השנתי למשכנתאות נמדד לפי היקפי ההלוואות ומספרי ההלוואות שלווים לוקחים במשך השנה. היחס בין סכומי ההלוואות למספרן הוא סכום המשכנתא הממוצעת שלוקחים הלווים בשנה מסוימת. להלן תרשים המציג את סכומי הביצועים של הלוואות למטרת מגורים, מספר ההלוואות, וסכום המשכנתא הממוצעת במערכת הבנקאית בשנים 2020 - 2025:</w:t>
      </w:r>
    </w:p>
    <w:p w:rsidR="001F2586" w:rsidRPr="001F2586" w:rsidP="001F2586">
      <w:pPr>
        <w:spacing w:line="269" w:lineRule="auto"/>
        <w:ind w:left="-567"/>
        <w:rPr>
          <w:rFonts w:eastAsia="Calibri"/>
          <w:szCs w:val="20"/>
          <w:rtl/>
        </w:rPr>
      </w:pPr>
    </w:p>
    <w:p w:rsidR="001F2586" w:rsidRPr="001F2586" w:rsidP="00A4018D">
      <w:pPr>
        <w:keepNext/>
        <w:keepLines/>
        <w:spacing w:line="269" w:lineRule="auto"/>
        <w:ind w:left="-2"/>
        <w:jc w:val="center"/>
        <w:outlineLvl w:val="4"/>
        <w:rPr>
          <w:rFonts w:eastAsia="Calibri"/>
          <w:bCs/>
          <w:sz w:val="24"/>
          <w:rtl/>
        </w:rPr>
      </w:pPr>
      <w:bookmarkStart w:id="10" w:name="_Hlk233031063"/>
      <w:r w:rsidRPr="001F2586">
        <w:rPr>
          <w:rFonts w:eastAsia="Calibri" w:hint="eastAsia"/>
          <w:b/>
          <w:sz w:val="24"/>
          <w:rtl/>
        </w:rPr>
        <w:t>תרשים</w:t>
      </w:r>
      <w:r w:rsidRPr="001F2586">
        <w:rPr>
          <w:rFonts w:eastAsia="Calibri" w:hint="cs"/>
          <w:b/>
          <w:sz w:val="24"/>
          <w:rtl/>
        </w:rPr>
        <w:t xml:space="preserve"> 9</w:t>
      </w:r>
      <w:r w:rsidRPr="001F2586">
        <w:rPr>
          <w:rFonts w:eastAsia="Calibri"/>
          <w:b/>
          <w:sz w:val="24"/>
          <w:rtl/>
        </w:rPr>
        <w:t xml:space="preserve">: </w:t>
      </w:r>
      <w:r w:rsidRPr="001F2586">
        <w:rPr>
          <w:rFonts w:eastAsia="Calibri"/>
          <w:b/>
          <w:bCs/>
          <w:sz w:val="24"/>
          <w:rtl/>
        </w:rPr>
        <w:t xml:space="preserve">ביצועים </w:t>
      </w:r>
      <w:r w:rsidRPr="001F2586">
        <w:rPr>
          <w:rFonts w:eastAsia="Calibri"/>
          <w:bCs/>
          <w:sz w:val="24"/>
          <w:rtl/>
        </w:rPr>
        <w:t xml:space="preserve">(במיליארדי </w:t>
      </w:r>
      <w:r w:rsidRPr="001F2586">
        <w:rPr>
          <w:rFonts w:eastAsia="Calibri" w:hint="eastAsia"/>
          <w:bCs/>
          <w:sz w:val="24"/>
          <w:rtl/>
        </w:rPr>
        <w:t>ש</w:t>
      </w:r>
      <w:r w:rsidRPr="001F2586">
        <w:rPr>
          <w:rFonts w:eastAsia="Calibri"/>
          <w:bCs/>
          <w:sz w:val="24"/>
          <w:rtl/>
        </w:rPr>
        <w:t xml:space="preserve">"ח) </w:t>
      </w:r>
      <w:r w:rsidRPr="001F2586">
        <w:rPr>
          <w:rFonts w:eastAsia="Calibri" w:hint="eastAsia"/>
          <w:bCs/>
          <w:sz w:val="24"/>
          <w:rtl/>
        </w:rPr>
        <w:t>של</w:t>
      </w:r>
      <w:r w:rsidRPr="001F2586">
        <w:rPr>
          <w:rFonts w:eastAsia="Calibri"/>
          <w:b/>
          <w:bCs/>
          <w:sz w:val="24"/>
          <w:rtl/>
        </w:rPr>
        <w:t xml:space="preserve"> הלוואות למטרת מגורים</w:t>
      </w:r>
      <w:r w:rsidRPr="001F2586">
        <w:rPr>
          <w:rFonts w:eastAsia="Calibri"/>
          <w:bCs/>
          <w:sz w:val="24"/>
          <w:rtl/>
        </w:rPr>
        <w:t xml:space="preserve">, </w:t>
      </w:r>
      <w:r w:rsidRPr="001F2586">
        <w:rPr>
          <w:rFonts w:eastAsia="Calibri" w:hint="eastAsia"/>
          <w:bCs/>
          <w:sz w:val="24"/>
          <w:rtl/>
        </w:rPr>
        <w:t>מספרם</w:t>
      </w:r>
      <w:r w:rsidRPr="001F2586">
        <w:rPr>
          <w:rFonts w:eastAsia="Calibri"/>
          <w:bCs/>
          <w:sz w:val="24"/>
          <w:rtl/>
        </w:rPr>
        <w:t xml:space="preserve"> (באלפים) </w:t>
      </w:r>
      <w:r w:rsidRPr="001F2586">
        <w:rPr>
          <w:rFonts w:eastAsia="Calibri" w:hint="eastAsia"/>
          <w:bCs/>
          <w:sz w:val="24"/>
          <w:rtl/>
        </w:rPr>
        <w:t>וסכום</w:t>
      </w:r>
      <w:r w:rsidRPr="001F2586">
        <w:rPr>
          <w:rFonts w:eastAsia="Calibri"/>
          <w:bCs/>
          <w:sz w:val="24"/>
          <w:rtl/>
        </w:rPr>
        <w:t xml:space="preserve"> </w:t>
      </w:r>
      <w:r w:rsidRPr="001F2586">
        <w:rPr>
          <w:rFonts w:eastAsia="Calibri" w:hint="eastAsia"/>
          <w:bCs/>
          <w:sz w:val="24"/>
          <w:rtl/>
        </w:rPr>
        <w:t>המשכנתא</w:t>
      </w:r>
      <w:r w:rsidRPr="001F2586">
        <w:rPr>
          <w:rFonts w:eastAsia="Calibri"/>
          <w:bCs/>
          <w:sz w:val="24"/>
          <w:rtl/>
        </w:rPr>
        <w:t xml:space="preserve"> </w:t>
      </w:r>
      <w:r w:rsidRPr="001F2586">
        <w:rPr>
          <w:rFonts w:eastAsia="Calibri" w:hint="cs"/>
          <w:bCs/>
          <w:sz w:val="24"/>
          <w:rtl/>
        </w:rPr>
        <w:t xml:space="preserve">(באלפי ש"ח) </w:t>
      </w:r>
      <w:r w:rsidRPr="001F2586">
        <w:rPr>
          <w:rFonts w:eastAsia="Calibri" w:hint="eastAsia"/>
          <w:bCs/>
          <w:sz w:val="24"/>
          <w:rtl/>
        </w:rPr>
        <w:t>הממוצעת</w:t>
      </w:r>
      <w:r w:rsidRPr="001F2586">
        <w:rPr>
          <w:rFonts w:eastAsia="Calibri"/>
          <w:bCs/>
          <w:sz w:val="24"/>
          <w:rtl/>
        </w:rPr>
        <w:t xml:space="preserve"> במערכת הבנקאית</w:t>
      </w:r>
      <w:r w:rsidRPr="001F2586">
        <w:rPr>
          <w:rFonts w:eastAsia="Calibri" w:hint="cs"/>
          <w:bCs/>
          <w:sz w:val="24"/>
          <w:rtl/>
        </w:rPr>
        <w:t>,</w:t>
      </w:r>
      <w:r w:rsidRPr="001F2586">
        <w:rPr>
          <w:rFonts w:eastAsia="Calibri"/>
          <w:bCs/>
          <w:sz w:val="24"/>
          <w:rtl/>
        </w:rPr>
        <w:t xml:space="preserve"> </w:t>
      </w:r>
      <w:r w:rsidRPr="001F2586">
        <w:rPr>
          <w:rFonts w:eastAsia="Calibri"/>
          <w:b/>
          <w:bCs/>
          <w:sz w:val="24"/>
          <w:rtl/>
        </w:rPr>
        <w:t>2020 - 2025</w:t>
      </w:r>
      <w:r w:rsidRPr="001F2586">
        <w:rPr>
          <w:rFonts w:eastAsia="Calibri"/>
          <w:bCs/>
          <w:sz w:val="24"/>
          <w:rtl/>
        </w:rPr>
        <w:t>*</w:t>
      </w:r>
    </w:p>
    <w:bookmarkEnd w:id="10"/>
    <w:p w:rsidR="001F2586" w:rsidRPr="001F2586" w:rsidP="001F2586">
      <w:pPr>
        <w:spacing w:line="269" w:lineRule="auto"/>
        <w:jc w:val="center"/>
        <w:rPr>
          <w:rFonts w:eastAsia="Calibri"/>
        </w:rPr>
      </w:pPr>
      <w:r w:rsidRPr="001F2586">
        <w:rPr>
          <w:rFonts w:eastAsia="Calibri"/>
          <w:noProof/>
        </w:rPr>
        <w:drawing>
          <wp:inline distT="0" distB="0" distL="0" distR="0">
            <wp:extent cx="5065822" cy="3657600"/>
            <wp:effectExtent l="0" t="0" r="1905" b="0"/>
            <wp:docPr id="49" name="תמונה 49" descr="בשנים 2020 - 2025 (עד אוגוסט 2025) מספר ההלוואות היה בטווח של כ-68 - 130 אלף הלוואות, הביצועים התפלגו בין 65 מיליארד ש&quot;ח לכ-118 מיליארד ש&quot;ח, וגובה הלוואה ממוצע עלה מכ-779 אלף ש&quot;ח לכ-1.025 מ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8"/>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116844" cy="3694439"/>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rPr>
          <w:rFonts w:eastAsia="Calibri"/>
          <w:sz w:val="16"/>
          <w:szCs w:val="20"/>
          <w:rtl/>
        </w:rPr>
      </w:pPr>
      <w:r w:rsidRPr="001F2586">
        <w:rPr>
          <w:rFonts w:eastAsia="Calibri" w:hint="cs"/>
          <w:sz w:val="16"/>
          <w:szCs w:val="20"/>
          <w:rtl/>
        </w:rPr>
        <w:t>* הנתונים בשנת 2025 הם נתונים מצטברים עד חודש אוגוסט 2025.</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מהתרשים עולה כי ביצועי המשכנתאות</w:t>
      </w:r>
      <w:r>
        <w:rPr>
          <w:rFonts w:eastAsia="Calibri"/>
          <w:vertAlign w:val="superscript"/>
          <w:rtl/>
        </w:rPr>
        <w:footnoteReference w:id="35"/>
      </w:r>
      <w:r w:rsidRPr="001F2586">
        <w:rPr>
          <w:rFonts w:eastAsia="Calibri" w:hint="cs"/>
          <w:rtl/>
        </w:rPr>
        <w:t xml:space="preserve"> היו הגבוהים ביותר בשנת 2022 וכמות ההלוואות הגבוהה ביותר הייתה בשנת 2021. הביצועים של משכנתאות בשנים 2020 - 2025 השתנו באופן הבא: עלו בשנת 2021 בשיעור של כ-49% לעומת שנת 2020; נשארו בהיקף דומה בשנת 2022 לעומת שנת 2021 - עלו בשיעור של כ-1%; ירדו בשנת 2023 בשיעור של כ-45% לעומת שנת 2022; ועלו בשנת 2024 בכ-43% לעומת שנת 2023. עוד עולה מהתרשים כי הביצועים של משכנתאות עד חודש אוגוסט 2025 ממשיכים את מגמת ההתאוששות שהייתה בשנת 2024 וצפויים לגדול לעומת שנת 2024 (כ-9 מיליארד ש"ח בממוצע לחודש). עוד עולה כי כמות ההלוואות הגיעה לשיאה בשנת 2021 (כ-130,000 הלוואות), ירדה לכ-68,000 הלוואות בשנת 2023, ועלתה לכ-93,000 הלוואות בשנת 2024. סכום המשכנתא הממוצע עלה מסך של כ-779,000 ש"ח בשנת 2020 לסך של כ-1 מיליון ש"ח בשנת 2025, עלייה של כ-32% בחמש שנים. </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sz w:val="24"/>
          <w:rtl/>
        </w:rPr>
      </w:pPr>
      <w:r w:rsidRPr="001F2586">
        <w:rPr>
          <w:rFonts w:ascii="David" w:eastAsia="Calibri" w:hAnsi="David" w:hint="cs"/>
          <w:sz w:val="24"/>
          <w:rtl/>
        </w:rPr>
        <w:t>ה</w:t>
      </w:r>
      <w:r w:rsidRPr="001F2586">
        <w:rPr>
          <w:rFonts w:ascii="David" w:eastAsia="Calibri" w:hAnsi="David"/>
          <w:sz w:val="24"/>
          <w:rtl/>
        </w:rPr>
        <w:t xml:space="preserve">שינויים </w:t>
      </w:r>
      <w:r w:rsidRPr="001F2586">
        <w:rPr>
          <w:rFonts w:ascii="David" w:eastAsia="Calibri" w:hAnsi="David" w:hint="cs"/>
          <w:sz w:val="24"/>
          <w:rtl/>
        </w:rPr>
        <w:t>בביצועים ובגובה הלוואה ממוצעת</w:t>
      </w:r>
      <w:r w:rsidRPr="001F2586">
        <w:rPr>
          <w:rFonts w:ascii="David" w:eastAsia="Calibri" w:hAnsi="David"/>
          <w:sz w:val="24"/>
          <w:rtl/>
        </w:rPr>
        <w:t xml:space="preserve"> </w:t>
      </w:r>
      <w:r w:rsidRPr="001F2586">
        <w:rPr>
          <w:rFonts w:ascii="David" w:eastAsia="Calibri" w:hAnsi="David" w:hint="cs"/>
          <w:sz w:val="24"/>
          <w:rtl/>
        </w:rPr>
        <w:t xml:space="preserve">בשנים 2020 - 2025 </w:t>
      </w:r>
      <w:r w:rsidRPr="001F2586">
        <w:rPr>
          <w:rFonts w:ascii="David" w:eastAsia="Calibri" w:hAnsi="David"/>
          <w:sz w:val="24"/>
          <w:rtl/>
        </w:rPr>
        <w:t xml:space="preserve">מוסברים </w:t>
      </w:r>
      <w:r w:rsidRPr="001F2586">
        <w:rPr>
          <w:rFonts w:ascii="David" w:eastAsia="Calibri" w:hAnsi="David" w:hint="cs"/>
          <w:sz w:val="24"/>
          <w:rtl/>
        </w:rPr>
        <w:t>ב</w:t>
      </w:r>
      <w:r w:rsidRPr="001F2586">
        <w:rPr>
          <w:rFonts w:ascii="David" w:eastAsia="Calibri" w:hAnsi="David"/>
          <w:sz w:val="24"/>
          <w:rtl/>
        </w:rPr>
        <w:t xml:space="preserve">גורמים </w:t>
      </w:r>
      <w:r w:rsidRPr="001F2586">
        <w:rPr>
          <w:rFonts w:ascii="David" w:eastAsia="Calibri" w:hAnsi="David" w:hint="cs"/>
          <w:sz w:val="24"/>
          <w:rtl/>
        </w:rPr>
        <w:t>כמו</w:t>
      </w:r>
      <w:r w:rsidRPr="001F2586">
        <w:rPr>
          <w:rFonts w:ascii="David" w:eastAsia="Calibri" w:hAnsi="David"/>
          <w:sz w:val="24"/>
          <w:rtl/>
        </w:rPr>
        <w:t xml:space="preserve"> הריבית </w:t>
      </w:r>
      <w:r w:rsidRPr="001F2586">
        <w:rPr>
          <w:rFonts w:ascii="David" w:eastAsia="Calibri" w:hAnsi="David" w:hint="cs"/>
          <w:sz w:val="24"/>
          <w:rtl/>
        </w:rPr>
        <w:t xml:space="preserve">המוניטרית </w:t>
      </w:r>
      <w:r w:rsidRPr="001F2586">
        <w:rPr>
          <w:rFonts w:ascii="David" w:eastAsia="Calibri" w:hAnsi="David"/>
          <w:sz w:val="24"/>
          <w:rtl/>
        </w:rPr>
        <w:t>והיחס בין ההכנסה</w:t>
      </w:r>
      <w:r w:rsidRPr="001F2586">
        <w:rPr>
          <w:rFonts w:ascii="David" w:eastAsia="Calibri" w:hAnsi="David" w:hint="cs"/>
          <w:sz w:val="24"/>
          <w:rtl/>
        </w:rPr>
        <w:t xml:space="preserve"> </w:t>
      </w:r>
      <w:r w:rsidRPr="001F2586">
        <w:rPr>
          <w:rFonts w:ascii="David" w:eastAsia="Calibri" w:hAnsi="David"/>
          <w:sz w:val="24"/>
          <w:rtl/>
        </w:rPr>
        <w:t xml:space="preserve">של משקי הבית למחירי הדירות. </w:t>
      </w:r>
      <w:r w:rsidRPr="001F2586">
        <w:rPr>
          <w:rFonts w:ascii="David" w:eastAsia="Calibri" w:hAnsi="David" w:hint="cs"/>
          <w:sz w:val="24"/>
          <w:rtl/>
        </w:rPr>
        <w:t>בדוח היציבות הפיננסית למחצית השנייה בשנת 2023 ציין בנק ישראל כי בשנת 2023</w:t>
      </w:r>
      <w:r w:rsidRPr="001F2586">
        <w:rPr>
          <w:rFonts w:eastAsia="Calibri" w:hint="cs"/>
          <w:sz w:val="22"/>
          <w:szCs w:val="28"/>
          <w:rtl/>
        </w:rPr>
        <w:t xml:space="preserve"> "</w:t>
      </w:r>
      <w:r w:rsidRPr="001F2586">
        <w:rPr>
          <w:rFonts w:ascii="David" w:eastAsia="Calibri" w:hAnsi="David" w:hint="cs"/>
          <w:sz w:val="24"/>
          <w:rtl/>
        </w:rPr>
        <w:t>נ</w:t>
      </w:r>
      <w:r w:rsidRPr="001F2586">
        <w:rPr>
          <w:rFonts w:ascii="David" w:eastAsia="Calibri" w:hAnsi="David"/>
          <w:sz w:val="24"/>
          <w:rtl/>
        </w:rPr>
        <w:t xml:space="preserve">רשמה ירידה </w:t>
      </w:r>
      <w:r w:rsidRPr="001F2586">
        <w:rPr>
          <w:rFonts w:ascii="David" w:eastAsia="Calibri" w:hAnsi="David" w:hint="cs"/>
          <w:sz w:val="24"/>
          <w:rtl/>
        </w:rPr>
        <w:t>ב</w:t>
      </w:r>
      <w:r w:rsidRPr="001F2586">
        <w:rPr>
          <w:rFonts w:ascii="David" w:eastAsia="Calibri" w:hAnsi="David"/>
          <w:sz w:val="24"/>
          <w:rtl/>
        </w:rPr>
        <w:t>מספר העסקאות</w:t>
      </w:r>
      <w:r w:rsidRPr="001F2586">
        <w:rPr>
          <w:rFonts w:ascii="David" w:eastAsia="Calibri" w:hAnsi="David" w:hint="cs"/>
          <w:sz w:val="24"/>
          <w:rtl/>
        </w:rPr>
        <w:t xml:space="preserve"> </w:t>
      </w:r>
      <w:r w:rsidRPr="001F2586">
        <w:rPr>
          <w:rFonts w:ascii="David" w:eastAsia="Calibri" w:hAnsi="David"/>
          <w:sz w:val="24"/>
          <w:rtl/>
        </w:rPr>
        <w:t xml:space="preserve">והיקפי </w:t>
      </w:r>
      <w:r w:rsidRPr="001F2586">
        <w:rPr>
          <w:rFonts w:ascii="David" w:eastAsia="Calibri" w:hAnsi="David" w:hint="cs"/>
          <w:sz w:val="24"/>
          <w:rtl/>
        </w:rPr>
        <w:t>המשכנתאות</w:t>
      </w:r>
      <w:r w:rsidRPr="001F2586">
        <w:rPr>
          <w:rFonts w:ascii="David" w:eastAsia="Calibri" w:hAnsi="David"/>
          <w:sz w:val="24"/>
          <w:rtl/>
        </w:rPr>
        <w:t xml:space="preserve"> החדשות, מה שמצביע על ירידה בביקוש</w:t>
      </w:r>
      <w:r w:rsidRPr="001F2586">
        <w:rPr>
          <w:rFonts w:ascii="David" w:eastAsia="Calibri" w:hAnsi="David" w:hint="cs"/>
          <w:sz w:val="24"/>
          <w:rtl/>
        </w:rPr>
        <w:t>", וזאת לנוכח גידול בעלויות המימון בשל עליית ריבית בנק ישראל. בנק ישראל חזה כי התמשכות מלחמת חרבות ברזל תקטין</w:t>
      </w:r>
      <w:r w:rsidRPr="001F2586">
        <w:rPr>
          <w:rFonts w:ascii="David" w:eastAsia="Calibri" w:hAnsi="David"/>
          <w:sz w:val="24"/>
          <w:rtl/>
        </w:rPr>
        <w:t xml:space="preserve"> </w:t>
      </w:r>
      <w:r w:rsidRPr="001F2586">
        <w:rPr>
          <w:rFonts w:ascii="David" w:eastAsia="Calibri" w:hAnsi="David" w:hint="cs"/>
          <w:sz w:val="24"/>
          <w:rtl/>
        </w:rPr>
        <w:t xml:space="preserve">את </w:t>
      </w:r>
      <w:r w:rsidRPr="001F2586">
        <w:rPr>
          <w:rFonts w:ascii="David" w:eastAsia="Calibri" w:hAnsi="David"/>
          <w:sz w:val="24"/>
          <w:rtl/>
        </w:rPr>
        <w:t xml:space="preserve">הביקוש לדירות </w:t>
      </w:r>
      <w:r w:rsidRPr="001F2586">
        <w:rPr>
          <w:rFonts w:ascii="David" w:eastAsia="Calibri" w:hAnsi="David" w:hint="cs"/>
          <w:sz w:val="24"/>
          <w:rtl/>
        </w:rPr>
        <w:t xml:space="preserve">לנוכח </w:t>
      </w:r>
      <w:r w:rsidRPr="001F2586">
        <w:rPr>
          <w:rFonts w:ascii="David" w:eastAsia="Calibri" w:hAnsi="David"/>
          <w:sz w:val="24"/>
          <w:rtl/>
        </w:rPr>
        <w:t xml:space="preserve">הפגיעה בפעילות הכלכלית </w:t>
      </w:r>
      <w:r w:rsidRPr="001F2586">
        <w:rPr>
          <w:rFonts w:ascii="David" w:eastAsia="Calibri" w:hAnsi="David" w:hint="cs"/>
          <w:sz w:val="24"/>
          <w:rtl/>
        </w:rPr>
        <w:t xml:space="preserve">ולאי-הוודאות של משקי הבית לגבי הכנסותיהם העתידיות. בדוח היציבות הפיננסית למחצית השנייה בשנת 2024 ציין בנק ישראל כי </w:t>
      </w:r>
      <w:r w:rsidRPr="001F2586">
        <w:rPr>
          <w:rFonts w:ascii="David" w:eastAsia="Calibri" w:hAnsi="David"/>
          <w:sz w:val="24"/>
          <w:rtl/>
        </w:rPr>
        <w:t xml:space="preserve">משקי הבית הגדילו </w:t>
      </w:r>
      <w:r w:rsidRPr="001F2586">
        <w:rPr>
          <w:rFonts w:ascii="David" w:eastAsia="Calibri" w:hAnsi="David" w:hint="cs"/>
          <w:sz w:val="24"/>
          <w:rtl/>
        </w:rPr>
        <w:t xml:space="preserve">בפועל </w:t>
      </w:r>
      <w:r w:rsidRPr="001F2586">
        <w:rPr>
          <w:rFonts w:ascii="David" w:eastAsia="Calibri" w:hAnsi="David"/>
          <w:sz w:val="24"/>
          <w:rtl/>
        </w:rPr>
        <w:t xml:space="preserve">את החוב לדיור </w:t>
      </w:r>
      <w:r w:rsidRPr="001F2586">
        <w:rPr>
          <w:rFonts w:ascii="David" w:eastAsia="Calibri" w:hAnsi="David" w:hint="cs"/>
          <w:sz w:val="24"/>
          <w:rtl/>
        </w:rPr>
        <w:t xml:space="preserve">וכי </w:t>
      </w:r>
      <w:r w:rsidRPr="001F2586">
        <w:rPr>
          <w:rFonts w:ascii="David" w:eastAsia="Calibri" w:hAnsi="David"/>
          <w:sz w:val="24"/>
          <w:rtl/>
        </w:rPr>
        <w:t>קצב נטילת משכנתאות חדשות עמד על</w:t>
      </w:r>
      <w:r w:rsidRPr="001F2586">
        <w:rPr>
          <w:rFonts w:ascii="David" w:eastAsia="Calibri" w:hAnsi="David" w:hint="cs"/>
          <w:sz w:val="24"/>
          <w:rtl/>
        </w:rPr>
        <w:t xml:space="preserve"> </w:t>
      </w:r>
      <w:r w:rsidRPr="001F2586">
        <w:rPr>
          <w:rFonts w:ascii="David" w:eastAsia="Calibri" w:hAnsi="David"/>
          <w:sz w:val="24"/>
          <w:rtl/>
        </w:rPr>
        <w:t xml:space="preserve">כמעט </w:t>
      </w:r>
      <w:r w:rsidRPr="001F2586">
        <w:rPr>
          <w:rFonts w:ascii="David" w:eastAsia="Calibri" w:hAnsi="David" w:hint="cs"/>
          <w:sz w:val="24"/>
          <w:rtl/>
        </w:rPr>
        <w:t>9</w:t>
      </w:r>
      <w:r w:rsidRPr="001F2586">
        <w:rPr>
          <w:rFonts w:ascii="David" w:eastAsia="Calibri" w:hAnsi="David"/>
          <w:sz w:val="24"/>
          <w:rtl/>
        </w:rPr>
        <w:t xml:space="preserve"> מיליארד שקל בחודש </w:t>
      </w:r>
      <w:r w:rsidRPr="001F2586">
        <w:rPr>
          <w:rFonts w:ascii="David" w:eastAsia="Calibri" w:hAnsi="David" w:hint="cs"/>
          <w:sz w:val="24"/>
          <w:rtl/>
        </w:rPr>
        <w:t xml:space="preserve">בממוצע בחודשים יוני 2024 - דצמבר 2024. העלייה בכמות ההלוואות ובהיקפן בשנת 2024 מעידים על כך </w:t>
      </w:r>
      <w:r w:rsidRPr="001F2586">
        <w:rPr>
          <w:rFonts w:ascii="David" w:eastAsia="Calibri" w:hAnsi="David" w:hint="cs"/>
          <w:sz w:val="24"/>
          <w:rtl/>
        </w:rPr>
        <w:t>שהביקושים</w:t>
      </w:r>
      <w:r w:rsidRPr="001F2586">
        <w:rPr>
          <w:rFonts w:ascii="David" w:eastAsia="Calibri" w:hAnsi="David" w:hint="cs"/>
          <w:sz w:val="24"/>
          <w:rtl/>
        </w:rPr>
        <w:t xml:space="preserve"> למשכנתאות נותרו חזקים, וזאת למרות חוסר הוודאות במשק מהתמשכות מלחמת חרבות ברזל וסביבה מקרו-כלכלית מאתגרת, בפרט סביבת הריביות ורמת מחירי הדירות.</w:t>
      </w:r>
    </w:p>
    <w:p w:rsidR="001F2586" w:rsidRPr="001F2586" w:rsidP="001F2586">
      <w:pPr>
        <w:spacing w:line="269" w:lineRule="auto"/>
        <w:rPr>
          <w:rFonts w:eastAsia="Calibri"/>
          <w:rtl/>
        </w:rPr>
      </w:pPr>
      <w:r w:rsidRPr="001F2586">
        <w:rPr>
          <w:rFonts w:eastAsia="Calibri" w:hint="cs"/>
          <w:rtl/>
        </w:rPr>
        <w:t>להלן תרשים המציג את שיעורי המימון לפי סוג הדירה הנרכשת:</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ind w:left="717" w:hanging="360"/>
        <w:jc w:val="center"/>
        <w:outlineLvl w:val="4"/>
        <w:rPr>
          <w:rFonts w:eastAsia="Calibri"/>
          <w:b/>
          <w:sz w:val="24"/>
          <w:rtl/>
        </w:rPr>
      </w:pPr>
      <w:r w:rsidRPr="001F2586">
        <w:rPr>
          <w:rFonts w:eastAsia="Calibri" w:hint="cs"/>
          <w:b/>
          <w:sz w:val="24"/>
          <w:rtl/>
        </w:rPr>
        <w:t xml:space="preserve">תרשים 10: </w:t>
      </w:r>
      <w:r w:rsidRPr="001F2586">
        <w:rPr>
          <w:rFonts w:eastAsia="Calibri" w:hint="cs"/>
          <w:bCs/>
          <w:sz w:val="24"/>
          <w:rtl/>
        </w:rPr>
        <w:t>השינוי בשיעורי המימון לפי סוג הדירה הנרכשת, 2020 - 2025*</w:t>
      </w:r>
    </w:p>
    <w:p w:rsidR="001F2586" w:rsidRPr="001F2586" w:rsidP="001F2586">
      <w:pPr>
        <w:spacing w:line="269" w:lineRule="auto"/>
        <w:jc w:val="center"/>
        <w:rPr>
          <w:rFonts w:eastAsia="Calibri"/>
          <w:b/>
          <w:bCs/>
          <w:rtl/>
        </w:rPr>
      </w:pPr>
      <w:r w:rsidRPr="001F2586">
        <w:rPr>
          <w:rFonts w:eastAsia="Calibri"/>
          <w:b/>
          <w:bCs/>
          <w:noProof/>
        </w:rPr>
        <w:drawing>
          <wp:inline distT="0" distB="0" distL="0" distR="0">
            <wp:extent cx="5041900" cy="2853672"/>
            <wp:effectExtent l="0" t="0" r="6350" b="4445"/>
            <wp:docPr id="1912070963" name="תמונה 55" descr="השינוי בשיעורי מימון לפי סוג דירה נרכשת בשנים 2020 - 2025 (נתוני ביניים לשנת 2025) הם כאלו: דירה יחידה- ירד מ-52% בשנת 2020 ל-45% בשנת 2023 ועלה לכ-50% בשנת 2025, דירה חליפית - עלה מ-45% בשנת 2020 ל-46% בשנת 2022 ולאחר מכן ירד לכ-43% בשנת 2025, דירה להשקעה- שיעור המימון עלה מ-38% בשנת 2020 לכ-39% בשנת 2022 וירד לכ-37% בשנת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70963" name="Picture 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062224" cy="2865175"/>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rPr>
          <w:rFonts w:eastAsia="Calibri"/>
          <w:sz w:val="16"/>
          <w:szCs w:val="20"/>
          <w:rtl/>
        </w:rPr>
      </w:pPr>
      <w:r w:rsidRPr="001F2586">
        <w:rPr>
          <w:rFonts w:eastAsia="Calibri" w:hint="cs"/>
          <w:sz w:val="16"/>
          <w:szCs w:val="20"/>
          <w:rtl/>
        </w:rPr>
        <w:t xml:space="preserve">* נתוני שנת 2025 הם נתוני ביניים.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מהתרשים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שיעורי</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דירה</w:t>
      </w:r>
      <w:r w:rsidRPr="001F2586">
        <w:rPr>
          <w:rFonts w:eastAsia="Calibri"/>
          <w:b/>
          <w:bCs/>
          <w:rtl/>
        </w:rPr>
        <w:t xml:space="preserve"> </w:t>
      </w:r>
      <w:r w:rsidRPr="001F2586">
        <w:rPr>
          <w:rFonts w:eastAsia="Calibri" w:hint="eastAsia"/>
          <w:b/>
          <w:bCs/>
          <w:rtl/>
        </w:rPr>
        <w:t>יחידה</w:t>
      </w:r>
      <w:r w:rsidRPr="001F2586">
        <w:rPr>
          <w:rFonts w:eastAsia="Calibri"/>
          <w:b/>
          <w:bCs/>
          <w:rtl/>
        </w:rPr>
        <w:t xml:space="preserve"> </w:t>
      </w:r>
      <w:r w:rsidRPr="001F2586">
        <w:rPr>
          <w:rFonts w:eastAsia="Calibri" w:hint="eastAsia"/>
          <w:b/>
          <w:bCs/>
          <w:rtl/>
        </w:rPr>
        <w:t>הם</w:t>
      </w:r>
      <w:r w:rsidRPr="001F2586">
        <w:rPr>
          <w:rFonts w:eastAsia="Calibri"/>
          <w:b/>
          <w:bCs/>
          <w:rtl/>
        </w:rPr>
        <w:t xml:space="preserve"> </w:t>
      </w:r>
      <w:r w:rsidRPr="001F2586">
        <w:rPr>
          <w:rFonts w:eastAsia="Calibri" w:hint="eastAsia"/>
          <w:b/>
          <w:bCs/>
          <w:rtl/>
        </w:rPr>
        <w:t>הגבוהים</w:t>
      </w:r>
      <w:r w:rsidRPr="001F2586">
        <w:rPr>
          <w:rFonts w:eastAsia="Calibri"/>
          <w:b/>
          <w:bCs/>
          <w:rtl/>
        </w:rPr>
        <w:t xml:space="preserve"> </w:t>
      </w:r>
      <w:r w:rsidRPr="001F2586">
        <w:rPr>
          <w:rFonts w:eastAsia="Calibri" w:hint="eastAsia"/>
          <w:b/>
          <w:bCs/>
          <w:rtl/>
        </w:rPr>
        <w:t>ביותר</w:t>
      </w:r>
      <w:r w:rsidRPr="001F2586">
        <w:rPr>
          <w:rFonts w:eastAsia="Calibri"/>
          <w:b/>
          <w:bCs/>
          <w:rtl/>
        </w:rPr>
        <w:t xml:space="preserve"> </w:t>
      </w:r>
      <w:r w:rsidRPr="001F2586">
        <w:rPr>
          <w:rFonts w:eastAsia="Calibri" w:hint="eastAsia"/>
          <w:b/>
          <w:bCs/>
          <w:rtl/>
        </w:rPr>
        <w:t>בכל</w:t>
      </w:r>
      <w:r w:rsidRPr="001F2586">
        <w:rPr>
          <w:rFonts w:eastAsia="Calibri"/>
          <w:b/>
          <w:bCs/>
          <w:rtl/>
        </w:rPr>
        <w:t xml:space="preserve"> </w:t>
      </w:r>
      <w:r w:rsidRPr="001F2586">
        <w:rPr>
          <w:rFonts w:eastAsia="Calibri" w:hint="eastAsia"/>
          <w:b/>
          <w:bCs/>
          <w:rtl/>
        </w:rPr>
        <w:t>השנים</w:t>
      </w:r>
      <w:r w:rsidRPr="001F2586">
        <w:rPr>
          <w:rFonts w:eastAsia="Calibri"/>
          <w:b/>
          <w:bCs/>
          <w:rtl/>
        </w:rPr>
        <w:t xml:space="preserve"> </w:t>
      </w:r>
      <w:r w:rsidRPr="001F2586">
        <w:rPr>
          <w:rFonts w:eastAsia="Calibri" w:hint="eastAsia"/>
          <w:b/>
          <w:bCs/>
          <w:rtl/>
        </w:rPr>
        <w:t>אולם</w:t>
      </w:r>
      <w:r w:rsidRPr="001F2586">
        <w:rPr>
          <w:rFonts w:eastAsia="Calibri"/>
          <w:b/>
          <w:bCs/>
          <w:rtl/>
        </w:rPr>
        <w:t xml:space="preserve"> הם </w:t>
      </w:r>
      <w:r w:rsidRPr="001F2586">
        <w:rPr>
          <w:rFonts w:eastAsia="Calibri" w:hint="eastAsia"/>
          <w:b/>
          <w:bCs/>
          <w:rtl/>
        </w:rPr>
        <w:t>לא</w:t>
      </w:r>
      <w:r w:rsidRPr="001F2586">
        <w:rPr>
          <w:rFonts w:eastAsia="Calibri"/>
          <w:b/>
          <w:bCs/>
          <w:rtl/>
        </w:rPr>
        <w:t xml:space="preserve"> השתנו באופן מהותי במשך התקופה, מה שמצביע על כך כי העל</w:t>
      </w:r>
      <w:r w:rsidRPr="001F2586">
        <w:rPr>
          <w:rFonts w:eastAsia="Calibri" w:hint="cs"/>
          <w:b/>
          <w:bCs/>
          <w:rtl/>
        </w:rPr>
        <w:t>י</w:t>
      </w:r>
      <w:r w:rsidRPr="001F2586">
        <w:rPr>
          <w:rFonts w:eastAsia="Calibri"/>
          <w:b/>
          <w:bCs/>
          <w:rtl/>
        </w:rPr>
        <w:t xml:space="preserve">יה בסכומי המשכנתאות הייתה בשיעורים דומים לעלייה בשווי הנכסים בכל סוגי הדירות. </w:t>
      </w:r>
      <w:r w:rsidRPr="001F2586">
        <w:rPr>
          <w:rFonts w:eastAsia="Calibri" w:hint="eastAsia"/>
          <w:b/>
          <w:bCs/>
          <w:rtl/>
        </w:rPr>
        <w:t>עם</w:t>
      </w:r>
      <w:r w:rsidRPr="001F2586">
        <w:rPr>
          <w:rFonts w:eastAsia="Calibri"/>
          <w:b/>
          <w:bCs/>
          <w:rtl/>
        </w:rPr>
        <w:t xml:space="preserve"> </w:t>
      </w:r>
      <w:r w:rsidRPr="001F2586">
        <w:rPr>
          <w:rFonts w:eastAsia="Calibri" w:hint="eastAsia"/>
          <w:b/>
          <w:bCs/>
          <w:rtl/>
        </w:rPr>
        <w:t>זאת</w:t>
      </w:r>
      <w:r w:rsidRPr="001F2586">
        <w:rPr>
          <w:rFonts w:eastAsia="Calibri"/>
          <w:b/>
          <w:bCs/>
          <w:rtl/>
        </w:rPr>
        <w:t xml:space="preserve">, </w:t>
      </w:r>
      <w:r w:rsidRPr="001F2586">
        <w:rPr>
          <w:rFonts w:eastAsia="Calibri"/>
          <w:b/>
          <w:bCs/>
          <w:rtl/>
        </w:rPr>
        <w:t>רוכשי</w:t>
      </w:r>
      <w:r w:rsidRPr="001F2586">
        <w:rPr>
          <w:rFonts w:eastAsia="Calibri"/>
          <w:b/>
          <w:bCs/>
          <w:rtl/>
        </w:rPr>
        <w:t xml:space="preserve"> דירה יחידה </w:t>
      </w:r>
      <w:r w:rsidRPr="001F2586">
        <w:rPr>
          <w:rFonts w:eastAsia="Calibri" w:hint="eastAsia"/>
          <w:b/>
          <w:bCs/>
          <w:rtl/>
        </w:rPr>
        <w:t>חוו</w:t>
      </w:r>
      <w:r w:rsidRPr="001F2586">
        <w:rPr>
          <w:rFonts w:eastAsia="Calibri"/>
          <w:b/>
          <w:bCs/>
          <w:rtl/>
        </w:rPr>
        <w:t xml:space="preserve"> </w:t>
      </w:r>
      <w:r w:rsidRPr="001F2586">
        <w:rPr>
          <w:rFonts w:eastAsia="Calibri" w:hint="eastAsia"/>
          <w:b/>
          <w:bCs/>
          <w:rtl/>
        </w:rPr>
        <w:t>עלייה גבוהה</w:t>
      </w:r>
      <w:r w:rsidRPr="001F2586">
        <w:rPr>
          <w:rFonts w:eastAsia="Calibri"/>
          <w:b/>
          <w:bCs/>
          <w:rtl/>
        </w:rPr>
        <w:t xml:space="preserve"> יותר </w:t>
      </w:r>
      <w:r w:rsidRPr="001F2586">
        <w:rPr>
          <w:rFonts w:eastAsia="Calibri" w:hint="eastAsia"/>
          <w:b/>
          <w:bCs/>
          <w:rtl/>
        </w:rPr>
        <w:t>בשיעורי</w:t>
      </w:r>
      <w:r w:rsidRPr="001F2586">
        <w:rPr>
          <w:rFonts w:eastAsia="Calibri"/>
          <w:b/>
          <w:bCs/>
          <w:rtl/>
        </w:rPr>
        <w:t xml:space="preserve"> מימון בשנים 2023 - 2025 של כ-5% (מכ-45% לכ-50%) </w:t>
      </w:r>
      <w:r w:rsidRPr="001F2586">
        <w:rPr>
          <w:rFonts w:eastAsia="Calibri" w:hint="eastAsia"/>
          <w:b/>
          <w:bCs/>
          <w:rtl/>
        </w:rPr>
        <w:t>לעומת</w:t>
      </w:r>
      <w:r w:rsidRPr="001F2586">
        <w:rPr>
          <w:rFonts w:eastAsia="Calibri"/>
          <w:b/>
          <w:bCs/>
          <w:rtl/>
        </w:rPr>
        <w:t xml:space="preserve"> </w:t>
      </w:r>
      <w:r w:rsidRPr="001F2586">
        <w:rPr>
          <w:rFonts w:eastAsia="Calibri" w:hint="eastAsia"/>
          <w:b/>
          <w:bCs/>
          <w:rtl/>
        </w:rPr>
        <w:t>רוכשי</w:t>
      </w:r>
      <w:r w:rsidRPr="001F2586">
        <w:rPr>
          <w:rFonts w:eastAsia="Calibri"/>
          <w:b/>
          <w:bCs/>
          <w:rtl/>
        </w:rPr>
        <w:t xml:space="preserve"> דירה חליפית (עלייה של כ-1%-2%) </w:t>
      </w:r>
      <w:r w:rsidRPr="001F2586">
        <w:rPr>
          <w:rFonts w:eastAsia="Calibri" w:hint="eastAsia"/>
          <w:b/>
          <w:bCs/>
          <w:rtl/>
        </w:rPr>
        <w:t>ורוכשי</w:t>
      </w:r>
      <w:r w:rsidRPr="001F2586">
        <w:rPr>
          <w:rFonts w:eastAsia="Calibri"/>
          <w:b/>
          <w:bCs/>
          <w:rtl/>
        </w:rPr>
        <w:t xml:space="preserve"> דירה להשקעה (עלייה של כ-1%), </w:t>
      </w:r>
      <w:r w:rsidRPr="001F2586">
        <w:rPr>
          <w:rFonts w:eastAsia="Calibri" w:hint="eastAsia"/>
          <w:b/>
          <w:bCs/>
          <w:rtl/>
        </w:rPr>
        <w:t>דבר</w:t>
      </w:r>
      <w:r w:rsidRPr="001F2586">
        <w:rPr>
          <w:rFonts w:eastAsia="Calibri"/>
          <w:b/>
          <w:bCs/>
          <w:rtl/>
        </w:rPr>
        <w:t xml:space="preserve"> </w:t>
      </w:r>
      <w:r w:rsidRPr="001F2586">
        <w:rPr>
          <w:rFonts w:eastAsia="Calibri" w:hint="eastAsia"/>
          <w:b/>
          <w:bCs/>
          <w:rtl/>
        </w:rPr>
        <w:t>המעיד</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פגיעה</w:t>
      </w:r>
      <w:r w:rsidRPr="001F2586">
        <w:rPr>
          <w:rFonts w:eastAsia="Calibri"/>
          <w:b/>
          <w:bCs/>
          <w:rtl/>
        </w:rPr>
        <w:t xml:space="preserve"> </w:t>
      </w:r>
      <w:r w:rsidRPr="001F2586">
        <w:rPr>
          <w:rFonts w:eastAsia="Calibri" w:hint="eastAsia"/>
          <w:b/>
          <w:bCs/>
          <w:rtl/>
        </w:rPr>
        <w:t>חזקה</w:t>
      </w:r>
      <w:r w:rsidRPr="001F2586">
        <w:rPr>
          <w:rFonts w:eastAsia="Calibri"/>
          <w:b/>
          <w:bCs/>
          <w:rtl/>
        </w:rPr>
        <w:t xml:space="preserve"> </w:t>
      </w:r>
      <w:r w:rsidRPr="001F2586">
        <w:rPr>
          <w:rFonts w:eastAsia="Calibri" w:hint="eastAsia"/>
          <w:b/>
          <w:bCs/>
          <w:rtl/>
        </w:rPr>
        <w:t>יותר</w:t>
      </w:r>
      <w:r w:rsidRPr="001F2586">
        <w:rPr>
          <w:rFonts w:eastAsia="Calibri"/>
          <w:b/>
          <w:bCs/>
          <w:rtl/>
        </w:rPr>
        <w:t xml:space="preserve"> </w:t>
      </w:r>
      <w:r w:rsidRPr="001F2586">
        <w:rPr>
          <w:rFonts w:eastAsia="Calibri" w:hint="eastAsia"/>
          <w:b/>
          <w:bCs/>
          <w:rtl/>
        </w:rPr>
        <w:t>ביכולת</w:t>
      </w:r>
      <w:r w:rsidRPr="001F2586">
        <w:rPr>
          <w:rFonts w:eastAsia="Calibri"/>
          <w:b/>
          <w:bCs/>
          <w:rtl/>
        </w:rPr>
        <w:t xml:space="preserve"> </w:t>
      </w:r>
      <w:r w:rsidRPr="001F2586">
        <w:rPr>
          <w:rFonts w:eastAsia="Calibri" w:hint="eastAsia"/>
          <w:b/>
          <w:bCs/>
          <w:rtl/>
        </w:rPr>
        <w:t>שלהם</w:t>
      </w:r>
      <w:r w:rsidRPr="001F2586">
        <w:rPr>
          <w:rFonts w:eastAsia="Calibri"/>
          <w:b/>
          <w:bCs/>
          <w:rtl/>
        </w:rPr>
        <w:t xml:space="preserve"> </w:t>
      </w:r>
      <w:r w:rsidRPr="001F2586">
        <w:rPr>
          <w:rFonts w:eastAsia="Calibri" w:hint="eastAsia"/>
          <w:b/>
          <w:bCs/>
          <w:rtl/>
        </w:rPr>
        <w:t>לרכוש</w:t>
      </w:r>
      <w:r w:rsidRPr="001F2586">
        <w:rPr>
          <w:rFonts w:eastAsia="Calibri"/>
          <w:b/>
          <w:bCs/>
          <w:rtl/>
        </w:rPr>
        <w:t xml:space="preserve"> </w:t>
      </w:r>
      <w:r w:rsidRPr="001F2586">
        <w:rPr>
          <w:rFonts w:eastAsia="Calibri" w:hint="eastAsia"/>
          <w:b/>
          <w:bCs/>
          <w:rtl/>
        </w:rPr>
        <w:t>דירה</w:t>
      </w:r>
      <w:r w:rsidRPr="001F2586">
        <w:rPr>
          <w:rFonts w:eastAsia="Calibri"/>
          <w:b/>
          <w:bCs/>
          <w:rtl/>
        </w:rPr>
        <w:t xml:space="preserve"> </w:t>
      </w:r>
      <w:r w:rsidRPr="001F2586">
        <w:rPr>
          <w:rFonts w:eastAsia="Calibri" w:hint="eastAsia"/>
          <w:b/>
          <w:bCs/>
          <w:rtl/>
        </w:rPr>
        <w:t>לעומת</w:t>
      </w:r>
      <w:r w:rsidRPr="001F2586">
        <w:rPr>
          <w:rFonts w:eastAsia="Calibri"/>
          <w:b/>
          <w:bCs/>
          <w:rtl/>
        </w:rPr>
        <w:t xml:space="preserve"> </w:t>
      </w:r>
      <w:r w:rsidRPr="001F2586">
        <w:rPr>
          <w:rFonts w:eastAsia="Calibri" w:hint="eastAsia"/>
          <w:b/>
          <w:bCs/>
          <w:rtl/>
        </w:rPr>
        <w:t>רוכשי</w:t>
      </w:r>
      <w:r w:rsidRPr="001F2586">
        <w:rPr>
          <w:rFonts w:eastAsia="Calibri"/>
          <w:b/>
          <w:bCs/>
          <w:rtl/>
        </w:rPr>
        <w:t xml:space="preserve"> </w:t>
      </w:r>
      <w:r w:rsidRPr="001F2586">
        <w:rPr>
          <w:rFonts w:eastAsia="Calibri" w:hint="eastAsia"/>
          <w:b/>
          <w:bCs/>
          <w:rtl/>
        </w:rPr>
        <w:t>דירה</w:t>
      </w:r>
      <w:r w:rsidRPr="001F2586">
        <w:rPr>
          <w:rFonts w:eastAsia="Calibri"/>
          <w:b/>
          <w:bCs/>
          <w:rtl/>
        </w:rPr>
        <w:t xml:space="preserve"> </w:t>
      </w:r>
      <w:r w:rsidRPr="001F2586">
        <w:rPr>
          <w:rFonts w:eastAsia="Calibri" w:hint="eastAsia"/>
          <w:b/>
          <w:bCs/>
          <w:rtl/>
        </w:rPr>
        <w:t>חליפית</w:t>
      </w:r>
      <w:r w:rsidRPr="001F2586">
        <w:rPr>
          <w:rFonts w:eastAsia="Calibri"/>
          <w:b/>
          <w:bCs/>
          <w:rtl/>
        </w:rPr>
        <w:t xml:space="preserve"> </w:t>
      </w:r>
      <w:r w:rsidRPr="001F2586">
        <w:rPr>
          <w:rFonts w:eastAsia="Calibri" w:hint="eastAsia"/>
          <w:b/>
          <w:bCs/>
          <w:rtl/>
        </w:rPr>
        <w:t>ודירה</w:t>
      </w:r>
      <w:r w:rsidRPr="001F2586">
        <w:rPr>
          <w:rFonts w:eastAsia="Calibri"/>
          <w:b/>
          <w:bCs/>
          <w:rtl/>
        </w:rPr>
        <w:t xml:space="preserve"> </w:t>
      </w:r>
      <w:r w:rsidRPr="001F2586">
        <w:rPr>
          <w:rFonts w:eastAsia="Calibri" w:hint="eastAsia"/>
          <w:b/>
          <w:bCs/>
          <w:rtl/>
        </w:rPr>
        <w:t>להשקעה</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עליית מחירי הדירות בכ-44% בשנים 2020 - 2025 פוגעת </w:t>
      </w:r>
      <w:r w:rsidRPr="001F2586">
        <w:rPr>
          <w:rFonts w:eastAsia="Calibri"/>
          <w:b/>
          <w:bCs/>
          <w:rtl/>
        </w:rPr>
        <w:t>בעיקר באוכלוסייה שאין ברשותה דירה</w:t>
      </w:r>
      <w:r w:rsidRPr="001F2586">
        <w:rPr>
          <w:rFonts w:eastAsia="Calibri" w:hint="cs"/>
          <w:b/>
          <w:bCs/>
          <w:rtl/>
        </w:rPr>
        <w:t xml:space="preserve">, כלומר </w:t>
      </w:r>
      <w:r w:rsidRPr="001F2586">
        <w:rPr>
          <w:rFonts w:eastAsia="Calibri" w:hint="cs"/>
          <w:b/>
          <w:bCs/>
          <w:rtl/>
        </w:rPr>
        <w:t>ברוכשי</w:t>
      </w:r>
      <w:r w:rsidRPr="001F2586">
        <w:rPr>
          <w:rFonts w:eastAsia="Calibri" w:hint="cs"/>
          <w:b/>
          <w:bCs/>
          <w:rtl/>
        </w:rPr>
        <w:t xml:space="preserve"> דירה יחידה שמשקלן בקרב </w:t>
      </w:r>
      <w:r w:rsidRPr="001F2586">
        <w:rPr>
          <w:rFonts w:eastAsia="Calibri" w:hint="cs"/>
          <w:b/>
          <w:bCs/>
          <w:rtl/>
        </w:rPr>
        <w:t>רוכשי</w:t>
      </w:r>
      <w:r w:rsidRPr="001F2586">
        <w:rPr>
          <w:rFonts w:eastAsia="Calibri" w:hint="cs"/>
          <w:b/>
          <w:bCs/>
          <w:rtl/>
        </w:rPr>
        <w:t xml:space="preserve"> הדירות הוא הגבוה ביותר (</w:t>
      </w:r>
      <w:r w:rsidRPr="001F2586">
        <w:rPr>
          <w:rFonts w:eastAsia="Calibri" w:hint="eastAsia"/>
          <w:b/>
          <w:bCs/>
          <w:rtl/>
        </w:rPr>
        <w:t>כ</w:t>
      </w:r>
      <w:r w:rsidRPr="001F2586">
        <w:rPr>
          <w:rFonts w:eastAsia="Calibri"/>
          <w:b/>
          <w:bCs/>
          <w:rtl/>
        </w:rPr>
        <w:t xml:space="preserve">-68% </w:t>
      </w:r>
      <w:r w:rsidRPr="001F2586">
        <w:rPr>
          <w:rFonts w:eastAsia="Calibri" w:hint="eastAsia"/>
          <w:b/>
          <w:bCs/>
          <w:rtl/>
        </w:rPr>
        <w:t>מהלוואות</w:t>
      </w:r>
      <w:r w:rsidRPr="001F2586">
        <w:rPr>
          <w:rFonts w:eastAsia="Calibri"/>
          <w:b/>
          <w:bCs/>
          <w:rtl/>
        </w:rPr>
        <w:t xml:space="preserve"> </w:t>
      </w:r>
      <w:r w:rsidRPr="001F2586">
        <w:rPr>
          <w:rFonts w:eastAsia="Calibri" w:hint="eastAsia"/>
          <w:b/>
          <w:bCs/>
          <w:rtl/>
        </w:rPr>
        <w:t>בשנים</w:t>
      </w:r>
      <w:r w:rsidRPr="001F2586">
        <w:rPr>
          <w:rFonts w:eastAsia="Calibri"/>
          <w:b/>
          <w:bCs/>
          <w:rtl/>
        </w:rPr>
        <w:t xml:space="preserve"> </w:t>
      </w:r>
      <w:r w:rsidRPr="001F2586">
        <w:rPr>
          <w:rFonts w:eastAsia="Calibri" w:hint="cs"/>
          <w:b/>
          <w:bCs/>
          <w:rtl/>
        </w:rPr>
        <w:t xml:space="preserve">2020 - 2025) והחשיבות עבורם בלקבל הלוואת משכנתא גבוהה יותר </w:t>
      </w:r>
      <w:r w:rsidRPr="001F2586">
        <w:rPr>
          <w:rFonts w:eastAsia="Calibri" w:hint="cs"/>
          <w:b/>
          <w:bCs/>
          <w:rtl/>
        </w:rPr>
        <w:t>מרוכשי</w:t>
      </w:r>
      <w:r w:rsidRPr="001F2586">
        <w:rPr>
          <w:rFonts w:eastAsia="Calibri" w:hint="cs"/>
          <w:b/>
          <w:bCs/>
          <w:rtl/>
        </w:rPr>
        <w:t xml:space="preserve"> דירה חליפית או </w:t>
      </w:r>
      <w:r w:rsidRPr="001F2586">
        <w:rPr>
          <w:rFonts w:eastAsia="Calibri" w:hint="cs"/>
          <w:b/>
          <w:bCs/>
          <w:rtl/>
        </w:rPr>
        <w:t>רוכשי</w:t>
      </w:r>
      <w:r w:rsidRPr="001F2586">
        <w:rPr>
          <w:rFonts w:eastAsia="Calibri" w:hint="cs"/>
          <w:b/>
          <w:bCs/>
          <w:rtl/>
        </w:rPr>
        <w:t xml:space="preserve"> דירה להשקעה. </w:t>
      </w:r>
      <w:r w:rsidRPr="001F2586">
        <w:rPr>
          <w:rFonts w:eastAsia="Calibri"/>
          <w:b/>
          <w:bCs/>
          <w:rtl/>
        </w:rPr>
        <w:t>בעוד שבעלי דירות מוגנים יחסית מפני עלייה במחיר, כי</w:t>
      </w:r>
      <w:r w:rsidRPr="001F2586">
        <w:rPr>
          <w:rFonts w:eastAsia="Calibri" w:hint="cs"/>
          <w:b/>
          <w:bCs/>
          <w:rtl/>
        </w:rPr>
        <w:t>וון</w:t>
      </w:r>
      <w:r w:rsidRPr="001F2586">
        <w:rPr>
          <w:rFonts w:eastAsia="Calibri"/>
          <w:b/>
          <w:bCs/>
          <w:rtl/>
        </w:rPr>
        <w:t xml:space="preserve"> </w:t>
      </w:r>
      <w:r w:rsidRPr="001F2586">
        <w:rPr>
          <w:rFonts w:eastAsia="Calibri" w:hint="cs"/>
          <w:b/>
          <w:bCs/>
          <w:rtl/>
        </w:rPr>
        <w:t>ש</w:t>
      </w:r>
      <w:r w:rsidRPr="001F2586">
        <w:rPr>
          <w:rFonts w:eastAsia="Calibri"/>
          <w:b/>
          <w:bCs/>
          <w:rtl/>
        </w:rPr>
        <w:t>יש ברשותם נכס המבטיח דיור לאורך זמן, הציבור</w:t>
      </w:r>
      <w:r w:rsidRPr="001F2586">
        <w:rPr>
          <w:rFonts w:eastAsia="Calibri" w:hint="cs"/>
          <w:b/>
          <w:bCs/>
          <w:rtl/>
        </w:rPr>
        <w:t xml:space="preserve"> </w:t>
      </w:r>
      <w:r w:rsidRPr="001F2586">
        <w:rPr>
          <w:rFonts w:eastAsia="Calibri"/>
          <w:b/>
          <w:bCs/>
          <w:rtl/>
        </w:rPr>
        <w:t xml:space="preserve">שאין בבעלותו דירה חשוף </w:t>
      </w:r>
      <w:r w:rsidRPr="001F2586">
        <w:rPr>
          <w:rFonts w:eastAsia="Calibri" w:hint="cs"/>
          <w:b/>
          <w:bCs/>
          <w:rtl/>
        </w:rPr>
        <w:t xml:space="preserve">יותר </w:t>
      </w:r>
      <w:r w:rsidRPr="001F2586">
        <w:rPr>
          <w:rFonts w:eastAsia="Calibri"/>
          <w:b/>
          <w:bCs/>
          <w:rtl/>
        </w:rPr>
        <w:t>לעלייה</w:t>
      </w:r>
      <w:r w:rsidRPr="001F2586">
        <w:rPr>
          <w:rFonts w:eastAsia="Calibri" w:hint="cs"/>
          <w:b/>
          <w:bCs/>
          <w:rtl/>
        </w:rPr>
        <w:t xml:space="preserve"> במחירי הדירות.</w:t>
      </w:r>
      <w:r w:rsidRPr="001F2586">
        <w:rPr>
          <w:rFonts w:eastAsia="Calibri" w:hint="cs"/>
          <w:rtl/>
        </w:rPr>
        <w:t xml:space="preserve"> </w:t>
      </w:r>
      <w:r w:rsidRPr="001F2586">
        <w:rPr>
          <w:rFonts w:eastAsia="Calibri" w:hint="cs"/>
          <w:b/>
          <w:bCs/>
          <w:rtl/>
        </w:rPr>
        <w:t xml:space="preserve">כמו כן, עליית מחירי הדירות כאמור הביאה להתרחבות אי השוויון במתן משכנתאות במערכת הבנקאית בשנים 2019 - 2025, כפי שמתבטא </w:t>
      </w:r>
      <w:r w:rsidRPr="001F2586">
        <w:rPr>
          <w:rFonts w:eastAsia="Calibri" w:hint="eastAsia"/>
          <w:b/>
          <w:bCs/>
          <w:rtl/>
        </w:rPr>
        <w:t>מניתוח</w:t>
      </w:r>
      <w:r w:rsidRPr="001F2586">
        <w:rPr>
          <w:rFonts w:eastAsia="Calibri"/>
          <w:b/>
          <w:bCs/>
          <w:rtl/>
        </w:rPr>
        <w:t xml:space="preserve"> של נתוני בנק ישראל</w:t>
      </w:r>
      <w:r w:rsidRPr="001F2586">
        <w:rPr>
          <w:rFonts w:eastAsia="Calibri" w:hint="cs"/>
          <w:b/>
          <w:bCs/>
          <w:rtl/>
        </w:rPr>
        <w:t xml:space="preserve">. כך נמצא כי </w:t>
      </w:r>
      <w:r w:rsidRPr="001F2586">
        <w:rPr>
          <w:rFonts w:eastAsia="Calibri"/>
          <w:b/>
          <w:bCs/>
          <w:rtl/>
        </w:rPr>
        <w:t xml:space="preserve">משקי בית </w:t>
      </w:r>
      <w:r w:rsidRPr="001F2586">
        <w:rPr>
          <w:rFonts w:eastAsia="Calibri"/>
          <w:b/>
          <w:bCs/>
          <w:rtl/>
        </w:rPr>
        <w:t>מעשירוני</w:t>
      </w:r>
      <w:r w:rsidRPr="001F2586">
        <w:rPr>
          <w:rFonts w:eastAsia="Calibri"/>
          <w:b/>
          <w:bCs/>
          <w:rtl/>
        </w:rPr>
        <w:t xml:space="preserve"> הכנסה</w:t>
      </w:r>
      <w:r w:rsidRPr="001F2586">
        <w:rPr>
          <w:rFonts w:eastAsia="Calibri" w:hint="cs"/>
          <w:b/>
          <w:bCs/>
          <w:rtl/>
        </w:rPr>
        <w:t xml:space="preserve"> גבוהים</w:t>
      </w:r>
      <w:r w:rsidRPr="001F2586">
        <w:rPr>
          <w:rFonts w:eastAsia="Calibri"/>
          <w:b/>
          <w:bCs/>
          <w:rtl/>
        </w:rPr>
        <w:t xml:space="preserve"> </w:t>
      </w:r>
      <w:r w:rsidRPr="001F2586">
        <w:rPr>
          <w:rFonts w:eastAsia="Calibri" w:hint="cs"/>
          <w:b/>
          <w:bCs/>
          <w:rtl/>
        </w:rPr>
        <w:t>(</w:t>
      </w:r>
      <w:r w:rsidRPr="001F2586">
        <w:rPr>
          <w:rFonts w:eastAsia="Calibri"/>
          <w:b/>
          <w:bCs/>
          <w:rtl/>
        </w:rPr>
        <w:t>8 -10</w:t>
      </w:r>
      <w:r w:rsidRPr="001F2586">
        <w:rPr>
          <w:rFonts w:eastAsia="Calibri" w:hint="cs"/>
          <w:b/>
          <w:bCs/>
          <w:rtl/>
        </w:rPr>
        <w:t>)</w:t>
      </w:r>
      <w:r w:rsidRPr="001F2586">
        <w:rPr>
          <w:rFonts w:eastAsia="Calibri"/>
          <w:b/>
          <w:bCs/>
          <w:rtl/>
        </w:rPr>
        <w:t xml:space="preserve"> הגדילו את חלקם בהלוואות לדיור בשנים 2019 </w:t>
      </w:r>
      <w:r w:rsidRPr="001F2586">
        <w:rPr>
          <w:rFonts w:eastAsia="Calibri" w:hint="cs"/>
          <w:b/>
          <w:bCs/>
          <w:rtl/>
        </w:rPr>
        <w:t>-</w:t>
      </w:r>
      <w:r w:rsidRPr="001F2586">
        <w:rPr>
          <w:rFonts w:eastAsia="Calibri"/>
          <w:b/>
          <w:bCs/>
          <w:rtl/>
        </w:rPr>
        <w:t xml:space="preserve"> 2025, ואילו משקי בית </w:t>
      </w:r>
      <w:r w:rsidRPr="001F2586">
        <w:rPr>
          <w:rFonts w:eastAsia="Calibri"/>
          <w:b/>
          <w:bCs/>
          <w:rtl/>
        </w:rPr>
        <w:t>מעשירוני</w:t>
      </w:r>
      <w:r w:rsidRPr="001F2586">
        <w:rPr>
          <w:rFonts w:eastAsia="Calibri"/>
          <w:b/>
          <w:bCs/>
          <w:rtl/>
        </w:rPr>
        <w:t xml:space="preserve"> הכנסה נמוכים ובינוניים (1-7) הקטינו את חלקם בהלוואות בשנים אלו.</w:t>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הגדלת המשכנתאות הגדילה את ההחזר החודשי למשקי הבית בשנים 2020 - 2025. לפי נתוני בנק ישראל, סכום ההחזר החודשי הראשון הממוצע על משכנתאות שנלקחו בשנת 2019 היה 4,200 ש"ח, על משכנתאות שנלקחו בשנת 2022 היה בסך של 5,330 ש"ח ועל משכנתאות שנלקחו בשנת 2025</w:t>
      </w:r>
      <w:r>
        <w:rPr>
          <w:rFonts w:eastAsia="Calibri"/>
          <w:vertAlign w:val="superscript"/>
          <w:rtl/>
        </w:rPr>
        <w:footnoteReference w:id="36"/>
      </w:r>
      <w:r w:rsidRPr="001F2586">
        <w:rPr>
          <w:rFonts w:eastAsia="Calibri" w:hint="cs"/>
          <w:rtl/>
        </w:rPr>
        <w:t xml:space="preserve"> הוא בסך של 5,776 ש"ח. העלייה המשמעותית ביותר בהחזר החודשי התרחשה בהלוואות בשנת 2022 לנוכח עלייה חדה במחירי הדיור שהגדילה את המשכנתא הממוצעת ומשינויים בסביבת הריבית והאינפלציה שהעלו את ההחזר החודשי.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היכולת של משקי הבית לממן משכנתאות גבוהות יותר תלויה בין השאר בשכר שלהם. </w:t>
      </w:r>
      <w:r w:rsidRPr="001F2586">
        <w:rPr>
          <w:rFonts w:eastAsia="Calibri" w:hint="cs"/>
          <w:rtl/>
        </w:rPr>
        <w:t>הלמ"ס</w:t>
      </w:r>
      <w:r w:rsidRPr="001F2586">
        <w:rPr>
          <w:rFonts w:eastAsia="Calibri" w:hint="cs"/>
          <w:rtl/>
        </w:rPr>
        <w:t xml:space="preserve"> מפרסמת את מדד השכר החודשי הממוצע למשרת שכיר המחושב לפי </w:t>
      </w:r>
      <w:r w:rsidRPr="001F2586">
        <w:rPr>
          <w:rFonts w:eastAsia="Calibri"/>
          <w:rtl/>
        </w:rPr>
        <w:t>השכר ברוטו לחודש במחירים שוטפים</w:t>
      </w:r>
      <w:r w:rsidRPr="001F2586">
        <w:rPr>
          <w:rFonts w:eastAsia="Calibri" w:hint="cs"/>
          <w:rtl/>
        </w:rPr>
        <w:t>,</w:t>
      </w:r>
      <w:r w:rsidRPr="001F2586">
        <w:rPr>
          <w:rFonts w:eastAsia="Calibri"/>
          <w:rtl/>
        </w:rPr>
        <w:t xml:space="preserve"> מחולק במספר משרות השכיר באותו </w:t>
      </w:r>
      <w:r w:rsidRPr="001F2586">
        <w:rPr>
          <w:rFonts w:eastAsia="Calibri" w:hint="cs"/>
          <w:rtl/>
        </w:rPr>
        <w:t>ה</w:t>
      </w:r>
      <w:r w:rsidRPr="001F2586">
        <w:rPr>
          <w:rFonts w:eastAsia="Calibri"/>
          <w:rtl/>
        </w:rPr>
        <w:t>חודש.</w:t>
      </w:r>
      <w:r w:rsidRPr="001F2586">
        <w:rPr>
          <w:rFonts w:eastAsia="Calibri" w:hint="cs"/>
          <w:rtl/>
        </w:rPr>
        <w:t xml:space="preserve"> בנק ישראל עוקב אחר נתוני ההחזר החודשי של משקי הבית במשכנתאות. להלן תרשים המציג את השינוי החודשי במדד השכר הממוצע למשרת שכיר (להלן - מדד שכר חודשי) לעומת השינוי השנתי במדד ההחזר החודשי</w:t>
      </w:r>
      <w:r>
        <w:rPr>
          <w:rFonts w:eastAsia="Calibri"/>
          <w:vertAlign w:val="superscript"/>
          <w:rtl/>
        </w:rPr>
        <w:footnoteReference w:id="37"/>
      </w:r>
      <w:r w:rsidRPr="001F2586">
        <w:rPr>
          <w:rFonts w:eastAsia="Calibri" w:hint="cs"/>
          <w:rtl/>
        </w:rPr>
        <w:t xml:space="preserve"> (להלן - מדד ההחזר החודשי) בשנים 2019 - 2025:</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ind w:left="717" w:hanging="360"/>
        <w:jc w:val="center"/>
        <w:outlineLvl w:val="4"/>
        <w:rPr>
          <w:rFonts w:eastAsia="Calibri"/>
          <w:b/>
          <w:sz w:val="24"/>
          <w:rtl/>
        </w:rPr>
      </w:pPr>
      <w:r w:rsidRPr="001F2586">
        <w:rPr>
          <w:rFonts w:eastAsia="Calibri" w:hint="cs"/>
          <w:b/>
          <w:sz w:val="24"/>
          <w:rtl/>
        </w:rPr>
        <w:t xml:space="preserve">תרשים 11: </w:t>
      </w:r>
      <w:r w:rsidRPr="001F2586">
        <w:rPr>
          <w:rFonts w:eastAsia="Calibri" w:hint="cs"/>
          <w:bCs/>
          <w:sz w:val="24"/>
          <w:rtl/>
        </w:rPr>
        <w:t>השינויים במדד השכר החודשי ובמדד ההחזר החודשי, 2019 - 2025</w:t>
      </w:r>
    </w:p>
    <w:p w:rsidR="001F2586" w:rsidRPr="001F2586" w:rsidP="001F2586">
      <w:pPr>
        <w:spacing w:line="269" w:lineRule="auto"/>
        <w:jc w:val="center"/>
        <w:rPr>
          <w:rFonts w:eastAsia="Calibri"/>
          <w:rtl/>
        </w:rPr>
      </w:pPr>
      <w:r w:rsidRPr="001F2586">
        <w:rPr>
          <w:rFonts w:eastAsia="Calibri"/>
          <w:noProof/>
        </w:rPr>
        <w:drawing>
          <wp:inline distT="0" distB="0" distL="0" distR="0">
            <wp:extent cx="5209642" cy="2874874"/>
            <wp:effectExtent l="0" t="0" r="0" b="1905"/>
            <wp:docPr id="324713353" name="תמונה 56" descr="מדד החזר חודשי עלה מ-100 בינואר 2019 ל-137.5 ביולי 2025. &#10;מדד שכר חודשי עלה מ-100 בינואר 2019 ל-132.2 ביולי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13353" name="Picture 10"/>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32024" cy="2887225"/>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 xml:space="preserve">על פי נתוני בנק ישראל </w:t>
      </w:r>
      <w:r w:rsidRPr="001F2586">
        <w:rPr>
          <w:rFonts w:eastAsia="Calibri" w:hint="cs"/>
          <w:sz w:val="16"/>
          <w:szCs w:val="20"/>
          <w:rtl/>
        </w:rPr>
        <w:t>והלמ"ס</w:t>
      </w:r>
      <w:r w:rsidRPr="001F2586">
        <w:rPr>
          <w:rFonts w:eastAsia="Calibri" w:hint="cs"/>
          <w:sz w:val="16"/>
          <w:szCs w:val="20"/>
          <w:rtl/>
        </w:rPr>
        <w:t>,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מהתרשים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מדד</w:t>
      </w:r>
      <w:r w:rsidRPr="001F2586">
        <w:rPr>
          <w:rFonts w:eastAsia="Calibri"/>
          <w:b/>
          <w:bCs/>
          <w:rtl/>
        </w:rPr>
        <w:t xml:space="preserve"> </w:t>
      </w:r>
      <w:r w:rsidRPr="001F2586">
        <w:rPr>
          <w:rFonts w:eastAsia="Calibri" w:hint="eastAsia"/>
          <w:b/>
          <w:bCs/>
          <w:rtl/>
        </w:rPr>
        <w:t>השכר</w:t>
      </w:r>
      <w:r w:rsidRPr="001F2586">
        <w:rPr>
          <w:rFonts w:eastAsia="Calibri"/>
          <w:b/>
          <w:bCs/>
          <w:rtl/>
        </w:rPr>
        <w:t xml:space="preserve"> </w:t>
      </w:r>
      <w:r w:rsidRPr="001F2586">
        <w:rPr>
          <w:rFonts w:eastAsia="Calibri" w:hint="eastAsia"/>
          <w:b/>
          <w:bCs/>
          <w:rtl/>
        </w:rPr>
        <w:t>החודשי</w:t>
      </w:r>
      <w:r w:rsidRPr="001F2586">
        <w:rPr>
          <w:rFonts w:eastAsia="Calibri"/>
          <w:b/>
          <w:bCs/>
          <w:rtl/>
        </w:rPr>
        <w:t xml:space="preserve"> </w:t>
      </w:r>
      <w:r w:rsidRPr="001F2586">
        <w:rPr>
          <w:rFonts w:eastAsia="Calibri" w:hint="eastAsia"/>
          <w:b/>
          <w:bCs/>
          <w:rtl/>
        </w:rPr>
        <w:t>מתנהג</w:t>
      </w:r>
      <w:r w:rsidRPr="001F2586">
        <w:rPr>
          <w:rFonts w:eastAsia="Calibri"/>
          <w:b/>
          <w:bCs/>
          <w:rtl/>
        </w:rPr>
        <w:t xml:space="preserve"> </w:t>
      </w:r>
      <w:r w:rsidRPr="001F2586">
        <w:rPr>
          <w:rFonts w:eastAsia="Calibri" w:hint="eastAsia"/>
          <w:b/>
          <w:bCs/>
          <w:rtl/>
        </w:rPr>
        <w:t>במחזוריות</w:t>
      </w:r>
      <w:r w:rsidRPr="001F2586">
        <w:rPr>
          <w:rFonts w:eastAsia="Calibri"/>
          <w:b/>
          <w:bCs/>
          <w:rtl/>
        </w:rPr>
        <w:t xml:space="preserve"> </w:t>
      </w:r>
      <w:r w:rsidRPr="001F2586">
        <w:rPr>
          <w:rFonts w:eastAsia="Calibri" w:hint="eastAsia"/>
          <w:b/>
          <w:bCs/>
          <w:rtl/>
        </w:rPr>
        <w:t>ועלה</w:t>
      </w:r>
      <w:r w:rsidRPr="001F2586">
        <w:rPr>
          <w:rFonts w:eastAsia="Calibri"/>
          <w:b/>
          <w:bCs/>
          <w:rtl/>
        </w:rPr>
        <w:t xml:space="preserve"> </w:t>
      </w:r>
      <w:r w:rsidRPr="001F2586">
        <w:rPr>
          <w:rFonts w:eastAsia="Calibri" w:hint="eastAsia"/>
          <w:b/>
          <w:bCs/>
          <w:rtl/>
        </w:rPr>
        <w:t>במצטבר</w:t>
      </w:r>
      <w:r w:rsidRPr="001F2586">
        <w:rPr>
          <w:rFonts w:eastAsia="Calibri"/>
          <w:b/>
          <w:bCs/>
          <w:rtl/>
        </w:rPr>
        <w:t xml:space="preserve"> </w:t>
      </w:r>
      <w:r w:rsidRPr="001F2586">
        <w:rPr>
          <w:rFonts w:eastAsia="Calibri" w:hint="eastAsia"/>
          <w:b/>
          <w:bCs/>
          <w:rtl/>
        </w:rPr>
        <w:t>בכ</w:t>
      </w:r>
      <w:r w:rsidRPr="001F2586">
        <w:rPr>
          <w:rFonts w:eastAsia="Calibri"/>
          <w:b/>
          <w:bCs/>
          <w:rtl/>
        </w:rPr>
        <w:t xml:space="preserve">-32%, </w:t>
      </w:r>
      <w:r w:rsidRPr="001F2586">
        <w:rPr>
          <w:rFonts w:eastAsia="Calibri" w:hint="eastAsia"/>
          <w:b/>
          <w:bCs/>
          <w:rtl/>
        </w:rPr>
        <w:t>וכי</w:t>
      </w:r>
      <w:r w:rsidRPr="001F2586">
        <w:rPr>
          <w:rFonts w:eastAsia="Calibri"/>
          <w:b/>
          <w:bCs/>
          <w:rtl/>
        </w:rPr>
        <w:t xml:space="preserve"> </w:t>
      </w:r>
      <w:r w:rsidRPr="001F2586">
        <w:rPr>
          <w:rFonts w:eastAsia="Calibri" w:hint="eastAsia"/>
          <w:b/>
          <w:bCs/>
          <w:rtl/>
        </w:rPr>
        <w:t>מדד</w:t>
      </w:r>
      <w:r w:rsidRPr="001F2586">
        <w:rPr>
          <w:rFonts w:eastAsia="Calibri"/>
          <w:b/>
          <w:bCs/>
          <w:rtl/>
        </w:rPr>
        <w:t xml:space="preserve"> </w:t>
      </w:r>
      <w:r w:rsidRPr="001F2586">
        <w:rPr>
          <w:rFonts w:eastAsia="Calibri" w:hint="eastAsia"/>
          <w:b/>
          <w:bCs/>
          <w:rtl/>
        </w:rPr>
        <w:t>ההחזר</w:t>
      </w:r>
      <w:r w:rsidRPr="001F2586">
        <w:rPr>
          <w:rFonts w:eastAsia="Calibri"/>
          <w:b/>
          <w:bCs/>
          <w:rtl/>
        </w:rPr>
        <w:t xml:space="preserve"> </w:t>
      </w:r>
      <w:r w:rsidRPr="001F2586">
        <w:rPr>
          <w:rFonts w:eastAsia="Calibri" w:hint="eastAsia"/>
          <w:b/>
          <w:bCs/>
          <w:rtl/>
        </w:rPr>
        <w:t>החודשי</w:t>
      </w:r>
      <w:r w:rsidRPr="001F2586">
        <w:rPr>
          <w:rFonts w:eastAsia="Calibri"/>
          <w:b/>
          <w:bCs/>
          <w:rtl/>
        </w:rPr>
        <w:t xml:space="preserve"> עלה במצטבר בכ-38% בשנים 2019 - 2025. עוד עולה כי מדד ההחזר החודשי עולה מדי שנה וכי בשנת 2022 </w:t>
      </w:r>
      <w:r w:rsidRPr="001F2586">
        <w:rPr>
          <w:rFonts w:eastAsia="Calibri" w:hint="cs"/>
          <w:b/>
          <w:bCs/>
          <w:rtl/>
        </w:rPr>
        <w:t xml:space="preserve">הוא </w:t>
      </w:r>
      <w:r w:rsidRPr="001F2586">
        <w:rPr>
          <w:rFonts w:eastAsia="Calibri" w:hint="eastAsia"/>
          <w:b/>
          <w:bCs/>
          <w:rtl/>
        </w:rPr>
        <w:t>עלה</w:t>
      </w:r>
      <w:r w:rsidRPr="001F2586">
        <w:rPr>
          <w:rFonts w:eastAsia="Calibri"/>
          <w:b/>
          <w:bCs/>
          <w:rtl/>
        </w:rPr>
        <w:t xml:space="preserve"> בכ-20%. בשנת 2022 נפתח פער שנמשך כשנה אחת בין מדד ההחזר החודשי של הציבור על הלוואות המשכנתא ובין קצב עליית השכר, דבר שעשוי להעיד על הקושי של ציבור הלווים לעמוד בהחזרי ההלוואות החודשיות. </w:t>
      </w:r>
      <w:r w:rsidRPr="001F2586">
        <w:rPr>
          <w:rFonts w:eastAsia="Calibri" w:hint="eastAsia"/>
          <w:b/>
          <w:bCs/>
          <w:sz w:val="24"/>
          <w:rtl/>
        </w:rPr>
        <w:t>עם</w:t>
      </w:r>
      <w:r w:rsidRPr="001F2586">
        <w:rPr>
          <w:rFonts w:eastAsia="Calibri"/>
          <w:b/>
          <w:bCs/>
          <w:sz w:val="24"/>
          <w:rtl/>
        </w:rPr>
        <w:t xml:space="preserve"> </w:t>
      </w:r>
      <w:r w:rsidRPr="001F2586">
        <w:rPr>
          <w:rFonts w:eastAsia="Calibri" w:hint="eastAsia"/>
          <w:b/>
          <w:bCs/>
          <w:sz w:val="24"/>
          <w:rtl/>
        </w:rPr>
        <w:t>זאת</w:t>
      </w:r>
      <w:r w:rsidRPr="001F2586">
        <w:rPr>
          <w:rFonts w:eastAsia="Calibri"/>
          <w:b/>
          <w:bCs/>
          <w:rtl/>
        </w:rPr>
        <w:t xml:space="preserve">, הפער בין המדדים הצטמצם </w:t>
      </w:r>
      <w:r w:rsidRPr="001F2586">
        <w:rPr>
          <w:rFonts w:eastAsia="Calibri" w:hint="cs"/>
          <w:b/>
          <w:bCs/>
          <w:rtl/>
        </w:rPr>
        <w:t>עד מאוד</w:t>
      </w:r>
      <w:r w:rsidRPr="001F2586">
        <w:rPr>
          <w:rFonts w:eastAsia="Calibri"/>
          <w:b/>
          <w:bCs/>
          <w:rtl/>
        </w:rPr>
        <w:t xml:space="preserve"> </w:t>
      </w:r>
      <w:r w:rsidRPr="001F2586">
        <w:rPr>
          <w:rFonts w:eastAsia="Calibri" w:hint="eastAsia"/>
          <w:b/>
          <w:bCs/>
          <w:rtl/>
        </w:rPr>
        <w:t>בשנים</w:t>
      </w:r>
      <w:r w:rsidRPr="001F2586">
        <w:rPr>
          <w:rFonts w:eastAsia="Calibri"/>
          <w:b/>
          <w:bCs/>
          <w:rtl/>
        </w:rPr>
        <w:t xml:space="preserve"> 2023 -2025</w:t>
      </w:r>
      <w:r w:rsidRPr="001F2586">
        <w:rPr>
          <w:rFonts w:eastAsia="Calibri" w:hint="cs"/>
          <w:b/>
          <w:bCs/>
          <w:rtl/>
        </w:rPr>
        <w:t>,</w:t>
      </w:r>
      <w:r w:rsidRPr="001F2586">
        <w:rPr>
          <w:rFonts w:eastAsia="Calibri"/>
          <w:b/>
          <w:bCs/>
          <w:rtl/>
        </w:rPr>
        <w:t xml:space="preserve"> בהן שיעורי העליות בשכר החודשי היו דומים ל</w:t>
      </w:r>
      <w:r w:rsidRPr="001F2586">
        <w:rPr>
          <w:rFonts w:eastAsia="Calibri" w:hint="cs"/>
          <w:b/>
          <w:bCs/>
          <w:rtl/>
        </w:rPr>
        <w:t>שיעורי ה</w:t>
      </w:r>
      <w:r w:rsidRPr="001F2586">
        <w:rPr>
          <w:rFonts w:eastAsia="Calibri"/>
          <w:b/>
          <w:bCs/>
          <w:rtl/>
        </w:rPr>
        <w:t>עליות בהחזר החודשי של המשכנתא. עליית השכר של משקי הבית עשויה לאפשר להם להגדיל את ההחזר החודשי על משכנתאות.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השינויים בסביבה המקרו-כלכלית, ובפרט השינויים בריבית בנק ישראל (עלתה בכ-4.4%) ובאינפלציה (עלתה בכ-12%) בשנים 2021 - 2023, הגדילו את עלויות המימון והביאו לקיטון הביקוש למשכנתאות ולירידה בכמות ההלוואות ובהיקף הביצועים של משכנתאות בשנים 2021 - 2023 (הירידה בשנת 2023 הושפעה גם ממלחמת חרבות ברזל שפרצה באוקטובר 2023): כמות ההלוואות ירדה מכ-130 אלף לכ-68 אלף, והיקף הביצועים פחת מכ-116 מיליארד ש"ח לכ-65 מיליארד ש"ח. עם זאת, בשנים 2024 - 2025 הסתמנה התאוששות </w:t>
      </w:r>
      <w:r w:rsidRPr="001F2586">
        <w:rPr>
          <w:rFonts w:eastAsia="Calibri" w:hint="cs"/>
          <w:b/>
          <w:bCs/>
          <w:rtl/>
        </w:rPr>
        <w:t>בביקושים</w:t>
      </w:r>
      <w:r w:rsidRPr="001F2586">
        <w:rPr>
          <w:rFonts w:eastAsia="Calibri" w:hint="cs"/>
          <w:b/>
          <w:bCs/>
          <w:rtl/>
        </w:rPr>
        <w:t>, אך הם לא הגיעו לרמתם לפני עליית האינפלציה וריבית בנק ישראל. העליי</w:t>
      </w:r>
      <w:r w:rsidRPr="001F2586">
        <w:rPr>
          <w:rFonts w:eastAsia="Calibri" w:hint="eastAsia"/>
          <w:b/>
          <w:bCs/>
          <w:rtl/>
        </w:rPr>
        <w:t>ה</w:t>
      </w:r>
      <w:r w:rsidRPr="001F2586">
        <w:rPr>
          <w:rFonts w:eastAsia="Calibri" w:hint="cs"/>
          <w:b/>
          <w:bCs/>
          <w:rtl/>
        </w:rPr>
        <w:t xml:space="preserve"> המתמשכת בסכומי המשכנתאות, בד בבד עם התמתנות </w:t>
      </w:r>
      <w:r w:rsidRPr="001F2586">
        <w:rPr>
          <w:rFonts w:eastAsia="Calibri" w:hint="cs"/>
          <w:b/>
          <w:bCs/>
          <w:rtl/>
        </w:rPr>
        <w:t>הביקושים</w:t>
      </w:r>
      <w:r w:rsidRPr="001F2586">
        <w:rPr>
          <w:rFonts w:eastAsia="Calibri" w:hint="cs"/>
          <w:b/>
          <w:bCs/>
          <w:rtl/>
        </w:rPr>
        <w:t xml:space="preserve">, מלמדת כי למשקי הבית נוצר צורך להגדיל את סכומי ההלוואות בשל עליית מחירי הדירות בשנים 2020 - 2025, דבר שהתאפשר גם לאור עליית השכר בשנים אלו. </w:t>
      </w:r>
    </w:p>
    <w:p w:rsidR="0070405E">
      <w:pPr>
        <w:bidi w:val="0"/>
        <w:spacing w:after="200" w:line="276" w:lineRule="auto"/>
        <w:rPr>
          <w:rFonts w:eastAsia="Times New Roman"/>
          <w:bCs/>
          <w:szCs w:val="26"/>
          <w:rtl/>
        </w:rPr>
      </w:pPr>
      <w:r>
        <w:rPr>
          <w:rFonts w:eastAsia="Times New Roman"/>
          <w:bCs/>
          <w:szCs w:val="26"/>
          <w:rtl/>
        </w:rPr>
        <w:br w:type="page"/>
      </w:r>
    </w:p>
    <w:p w:rsidR="001F2586" w:rsidRPr="001F2586" w:rsidP="001F2586">
      <w:pPr>
        <w:keepNext/>
        <w:keepLines/>
        <w:spacing w:line="269" w:lineRule="auto"/>
        <w:outlineLvl w:val="3"/>
        <w:rPr>
          <w:rFonts w:eastAsia="Times New Roman"/>
          <w:bCs/>
          <w:szCs w:val="26"/>
          <w:rtl/>
        </w:rPr>
      </w:pPr>
      <w:r>
        <w:rPr>
          <w:rFonts w:eastAsia="Times New Roman" w:hint="cs"/>
          <w:bCs/>
          <w:szCs w:val="26"/>
          <w:rtl/>
        </w:rPr>
        <w:t>ה</w:t>
      </w:r>
      <w:r w:rsidRPr="001F2586">
        <w:rPr>
          <w:rFonts w:eastAsia="Times New Roman" w:hint="cs"/>
          <w:bCs/>
          <w:szCs w:val="26"/>
          <w:rtl/>
        </w:rPr>
        <w:t xml:space="preserve">מאפיינים </w:t>
      </w:r>
      <w:r>
        <w:rPr>
          <w:rFonts w:eastAsia="Times New Roman" w:hint="cs"/>
          <w:bCs/>
          <w:szCs w:val="26"/>
          <w:rtl/>
        </w:rPr>
        <w:t>ה</w:t>
      </w:r>
      <w:r w:rsidRPr="001F2586">
        <w:rPr>
          <w:rFonts w:eastAsia="Times New Roman" w:hint="cs"/>
          <w:bCs/>
          <w:szCs w:val="26"/>
          <w:rtl/>
        </w:rPr>
        <w:t>עיקריים של תיק האשראי לדיור במערכת הבנקאית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הפיקוח על הבנקים מפקח על שוק המשכנתאות במערכת הבנקאית בין היתר באמצעות מעקב אחר כמה מדדים עיקריים של תיק האשראי למטרת מגורים: יתרת תיק אשראי לדיור</w:t>
      </w:r>
      <w:r>
        <w:rPr>
          <w:rFonts w:eastAsia="Calibri"/>
          <w:vertAlign w:val="superscript"/>
          <w:rtl/>
        </w:rPr>
        <w:footnoteReference w:id="38"/>
      </w:r>
      <w:r w:rsidRPr="001F2586">
        <w:rPr>
          <w:rFonts w:eastAsia="Calibri" w:hint="cs"/>
          <w:rtl/>
        </w:rPr>
        <w:t xml:space="preserve"> ושיעור הפיגורים בתיק; סכום משכנתא ממוצע</w:t>
      </w:r>
      <w:r>
        <w:rPr>
          <w:rFonts w:eastAsia="Calibri"/>
          <w:vertAlign w:val="superscript"/>
          <w:rtl/>
        </w:rPr>
        <w:footnoteReference w:id="39"/>
      </w:r>
      <w:r w:rsidRPr="001F2586">
        <w:rPr>
          <w:rFonts w:eastAsia="Calibri" w:hint="cs"/>
          <w:rtl/>
        </w:rPr>
        <w:t>; שיעור המימון; שיעור החזר מהכנסה; תקופה ממוצעת לפירעון; ושיעור תיק האשראי בבולט או בלון מסך האשראי לדיור. להלן לוח המציג השוואה בין מדדים של תיק האשראי לדיור בשנים 2020 - 2025:</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b/>
          <w:bCs/>
          <w:rtl/>
        </w:rPr>
      </w:pPr>
      <w:r w:rsidRPr="001F2586">
        <w:rPr>
          <w:rFonts w:eastAsia="Calibri" w:hint="cs"/>
          <w:rtl/>
        </w:rPr>
        <w:t>לוח 1</w:t>
      </w:r>
      <w:r w:rsidRPr="001F2586">
        <w:rPr>
          <w:rFonts w:eastAsia="Calibri"/>
          <w:rtl/>
        </w:rPr>
        <w:t>:</w:t>
      </w:r>
      <w:r w:rsidRPr="001F2586">
        <w:rPr>
          <w:rFonts w:eastAsia="Calibri"/>
          <w:b/>
          <w:bCs/>
          <w:rtl/>
        </w:rPr>
        <w:t xml:space="preserve"> </w:t>
      </w:r>
      <w:r w:rsidRPr="001F2586">
        <w:rPr>
          <w:rFonts w:eastAsia="Calibri" w:hint="cs"/>
          <w:b/>
          <w:bCs/>
          <w:rtl/>
        </w:rPr>
        <w:t>השוואה בין מדדים של תיק אשראי לדיור*, 2020 - 2025</w:t>
      </w:r>
    </w:p>
    <w:tbl>
      <w:tblPr>
        <w:bidiVisual/>
        <w:tblW w:w="7468" w:type="dxa"/>
        <w:jc w:val="center"/>
        <w:tblLook w:val="04A0"/>
      </w:tblPr>
      <w:tblGrid>
        <w:gridCol w:w="980"/>
        <w:gridCol w:w="1384"/>
        <w:gridCol w:w="1418"/>
        <w:gridCol w:w="1134"/>
        <w:gridCol w:w="1147"/>
        <w:gridCol w:w="1405"/>
      </w:tblGrid>
      <w:tr w:rsidTr="00EB64F7">
        <w:tblPrEx>
          <w:tblW w:w="7468" w:type="dxa"/>
          <w:tblLook w:val="04A0"/>
        </w:tblPrEx>
        <w:trPr>
          <w:trHeight w:val="1740"/>
        </w:trPr>
        <w:tc>
          <w:tcPr>
            <w:tcW w:w="9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1F2586" w:rsidRPr="001F2586" w:rsidP="001F2586">
            <w:pPr>
              <w:spacing w:line="269" w:lineRule="auto"/>
              <w:jc w:val="center"/>
              <w:rPr>
                <w:rFonts w:ascii="David" w:eastAsia="Times New Roman" w:hAnsi="David"/>
                <w:b/>
                <w:bCs/>
                <w:color w:val="000000"/>
                <w:sz w:val="24"/>
              </w:rPr>
            </w:pPr>
            <w:r w:rsidRPr="001F2586">
              <w:rPr>
                <w:rFonts w:ascii="David" w:eastAsia="Times New Roman" w:hAnsi="David" w:hint="cs"/>
                <w:b/>
                <w:bCs/>
                <w:color w:val="000000"/>
                <w:sz w:val="24"/>
                <w:rtl/>
              </w:rPr>
              <w:t>ה</w:t>
            </w:r>
            <w:r w:rsidRPr="001F2586">
              <w:rPr>
                <w:rFonts w:ascii="David" w:eastAsia="Times New Roman" w:hAnsi="David"/>
                <w:b/>
                <w:bCs/>
                <w:color w:val="000000"/>
                <w:sz w:val="24"/>
                <w:rtl/>
              </w:rPr>
              <w:t>שנה</w:t>
            </w:r>
          </w:p>
        </w:tc>
        <w:tc>
          <w:tcPr>
            <w:tcW w:w="138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F2586" w:rsidRPr="001F2586" w:rsidP="001F2586">
            <w:pPr>
              <w:spacing w:line="269" w:lineRule="auto"/>
              <w:jc w:val="center"/>
              <w:rPr>
                <w:rFonts w:ascii="David" w:eastAsia="Times New Roman" w:hAnsi="David"/>
                <w:b/>
                <w:bCs/>
                <w:color w:val="000000"/>
                <w:sz w:val="22"/>
                <w:szCs w:val="22"/>
                <w:rtl/>
              </w:rPr>
            </w:pPr>
            <w:r w:rsidRPr="001F2586">
              <w:rPr>
                <w:rFonts w:ascii="David" w:eastAsia="Times New Roman" w:hAnsi="David"/>
                <w:b/>
                <w:bCs/>
                <w:color w:val="000000"/>
                <w:sz w:val="22"/>
                <w:szCs w:val="22"/>
                <w:rtl/>
              </w:rPr>
              <w:t>שיעור פיגורים ממוצע בתיק האשראי לדיור (באחוזים)</w:t>
            </w:r>
          </w:p>
        </w:tc>
        <w:tc>
          <w:tcPr>
            <w:tcW w:w="1418"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F2586" w:rsidRPr="001F2586" w:rsidP="001F2586">
            <w:pPr>
              <w:spacing w:line="269" w:lineRule="auto"/>
              <w:jc w:val="center"/>
              <w:rPr>
                <w:rFonts w:ascii="David" w:eastAsia="Times New Roman" w:hAnsi="David"/>
                <w:b/>
                <w:bCs/>
                <w:color w:val="000000"/>
                <w:sz w:val="22"/>
                <w:szCs w:val="22"/>
                <w:rtl/>
              </w:rPr>
            </w:pPr>
            <w:r w:rsidRPr="001F2586">
              <w:rPr>
                <w:rFonts w:ascii="David" w:eastAsia="Times New Roman" w:hAnsi="David"/>
                <w:b/>
                <w:bCs/>
                <w:color w:val="000000"/>
                <w:sz w:val="22"/>
                <w:szCs w:val="22"/>
                <w:rtl/>
              </w:rPr>
              <w:t>שיעור מימון ממוצע (</w:t>
            </w:r>
            <w:r w:rsidRPr="001F2586">
              <w:rPr>
                <w:rFonts w:ascii="David" w:eastAsia="Times New Roman" w:hAnsi="David"/>
                <w:b/>
                <w:bCs/>
                <w:color w:val="000000"/>
                <w:sz w:val="22"/>
                <w:szCs w:val="22"/>
              </w:rPr>
              <w:t>LTV</w:t>
            </w:r>
            <w:r w:rsidRPr="001F2586">
              <w:rPr>
                <w:rFonts w:ascii="David" w:eastAsia="Times New Roman" w:hAnsi="David"/>
                <w:b/>
                <w:bCs/>
                <w:color w:val="000000"/>
                <w:sz w:val="22"/>
                <w:szCs w:val="22"/>
                <w:rtl/>
              </w:rPr>
              <w:t>) (באחוזים)</w:t>
            </w:r>
          </w:p>
        </w:tc>
        <w:tc>
          <w:tcPr>
            <w:tcW w:w="1134"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F2586" w:rsidRPr="001F2586" w:rsidP="001F2586">
            <w:pPr>
              <w:spacing w:line="269" w:lineRule="auto"/>
              <w:jc w:val="center"/>
              <w:rPr>
                <w:rFonts w:ascii="David" w:eastAsia="Times New Roman" w:hAnsi="David"/>
                <w:b/>
                <w:bCs/>
                <w:color w:val="000000"/>
                <w:sz w:val="22"/>
                <w:szCs w:val="22"/>
                <w:rtl/>
              </w:rPr>
            </w:pPr>
            <w:r w:rsidRPr="001F2586">
              <w:rPr>
                <w:rFonts w:ascii="David" w:eastAsia="Times New Roman" w:hAnsi="David"/>
                <w:b/>
                <w:bCs/>
                <w:color w:val="000000"/>
                <w:sz w:val="22"/>
                <w:szCs w:val="22"/>
                <w:rtl/>
              </w:rPr>
              <w:t>שיעור החזר מהכנסה ממוצע (</w:t>
            </w:r>
            <w:r w:rsidRPr="001F2586">
              <w:rPr>
                <w:rFonts w:ascii="David" w:eastAsia="Times New Roman" w:hAnsi="David"/>
                <w:b/>
                <w:bCs/>
                <w:color w:val="000000"/>
                <w:sz w:val="22"/>
                <w:szCs w:val="22"/>
              </w:rPr>
              <w:t>PTI</w:t>
            </w:r>
            <w:r w:rsidRPr="001F2586">
              <w:rPr>
                <w:rFonts w:ascii="David" w:eastAsia="Times New Roman" w:hAnsi="David"/>
                <w:b/>
                <w:bCs/>
                <w:color w:val="000000"/>
                <w:sz w:val="22"/>
                <w:szCs w:val="22"/>
                <w:rtl/>
              </w:rPr>
              <w:t>) (באחוזים)</w:t>
            </w:r>
          </w:p>
        </w:tc>
        <w:tc>
          <w:tcPr>
            <w:tcW w:w="1147"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1F2586" w:rsidRPr="001F2586" w:rsidP="001F2586">
            <w:pPr>
              <w:spacing w:line="269" w:lineRule="auto"/>
              <w:jc w:val="center"/>
              <w:rPr>
                <w:rFonts w:ascii="David" w:eastAsia="Times New Roman" w:hAnsi="David"/>
                <w:b/>
                <w:bCs/>
                <w:color w:val="000000"/>
                <w:sz w:val="22"/>
                <w:szCs w:val="22"/>
                <w:rtl/>
              </w:rPr>
            </w:pPr>
            <w:r w:rsidRPr="001F2586">
              <w:rPr>
                <w:rFonts w:ascii="David" w:eastAsia="Times New Roman" w:hAnsi="David"/>
                <w:b/>
                <w:bCs/>
                <w:color w:val="000000"/>
                <w:sz w:val="22"/>
                <w:szCs w:val="22"/>
                <w:rtl/>
              </w:rPr>
              <w:t>תקופה ממוצעת לפירעון (בשנים)</w:t>
            </w:r>
          </w:p>
        </w:tc>
        <w:tc>
          <w:tcPr>
            <w:tcW w:w="1405"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1F2586" w:rsidRPr="001F2586" w:rsidP="001F2586">
            <w:pPr>
              <w:spacing w:line="269" w:lineRule="auto"/>
              <w:jc w:val="center"/>
              <w:rPr>
                <w:rFonts w:ascii="David" w:eastAsia="Times New Roman" w:hAnsi="David"/>
                <w:b/>
                <w:bCs/>
                <w:color w:val="000000"/>
                <w:sz w:val="22"/>
                <w:szCs w:val="22"/>
                <w:rtl/>
              </w:rPr>
            </w:pPr>
            <w:r w:rsidRPr="001F2586">
              <w:rPr>
                <w:rFonts w:ascii="David" w:eastAsia="Times New Roman" w:hAnsi="David"/>
                <w:b/>
                <w:bCs/>
                <w:color w:val="000000"/>
                <w:sz w:val="22"/>
                <w:szCs w:val="22"/>
                <w:rtl/>
              </w:rPr>
              <w:t>שיעור תיק האשראי בבולט או בלון מסך האשראי לדיור</w:t>
            </w:r>
            <w:r w:rsidRPr="001F2586">
              <w:rPr>
                <w:rFonts w:ascii="David" w:eastAsia="Times New Roman" w:hAnsi="David" w:hint="cs"/>
                <w:b/>
                <w:bCs/>
                <w:color w:val="000000"/>
                <w:sz w:val="22"/>
                <w:szCs w:val="22"/>
                <w:rtl/>
              </w:rPr>
              <w:t xml:space="preserve"> </w:t>
            </w:r>
            <w:r w:rsidRPr="001F2586">
              <w:rPr>
                <w:rFonts w:ascii="David" w:eastAsia="Times New Roman" w:hAnsi="David"/>
                <w:b/>
                <w:bCs/>
                <w:color w:val="000000"/>
                <w:sz w:val="22"/>
                <w:szCs w:val="22"/>
                <w:rtl/>
              </w:rPr>
              <w:t>- ממוצע (באחוזים)</w:t>
            </w:r>
          </w:p>
        </w:tc>
      </w:tr>
      <w:tr w:rsidTr="00EB64F7">
        <w:tblPrEx>
          <w:tblW w:w="7468" w:type="dxa"/>
          <w:tblLook w:val="04A0"/>
        </w:tblPrEx>
        <w:trPr>
          <w:trHeight w:val="344"/>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color w:val="000000"/>
                <w:sz w:val="22"/>
                <w:szCs w:val="22"/>
                <w:rtl/>
              </w:rPr>
            </w:pPr>
            <w:r w:rsidRPr="001F2586">
              <w:rPr>
                <w:rFonts w:ascii="David" w:eastAsia="Times New Roman" w:hAnsi="David"/>
                <w:color w:val="000000"/>
                <w:sz w:val="22"/>
                <w:szCs w:val="22"/>
              </w:rPr>
              <w:t>2025**</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0.65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53.6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29.7</w:t>
            </w:r>
          </w:p>
        </w:tc>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26.9</w:t>
            </w:r>
          </w:p>
        </w:tc>
        <w:tc>
          <w:tcPr>
            <w:tcW w:w="1405" w:type="dxa"/>
            <w:tcBorders>
              <w:top w:val="nil"/>
              <w:left w:val="single" w:sz="4" w:space="0" w:color="auto"/>
              <w:bottom w:val="single" w:sz="4" w:space="0" w:color="auto"/>
              <w:right w:val="single" w:sz="8"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3.8</w:t>
            </w:r>
          </w:p>
        </w:tc>
      </w:tr>
      <w:tr w:rsidTr="00EB64F7">
        <w:tblPrEx>
          <w:tblW w:w="7468" w:type="dxa"/>
          <w:tblLook w:val="04A0"/>
        </w:tblPrEx>
        <w:trPr>
          <w:trHeight w:val="344"/>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2024</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0.61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53.4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29.1</w:t>
            </w:r>
          </w:p>
        </w:tc>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26.7</w:t>
            </w:r>
          </w:p>
        </w:tc>
        <w:tc>
          <w:tcPr>
            <w:tcW w:w="1405" w:type="dxa"/>
            <w:tcBorders>
              <w:top w:val="nil"/>
              <w:left w:val="single" w:sz="4" w:space="0" w:color="auto"/>
              <w:bottom w:val="single" w:sz="4" w:space="0" w:color="auto"/>
              <w:right w:val="single" w:sz="8"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2.6</w:t>
            </w:r>
          </w:p>
        </w:tc>
      </w:tr>
      <w:tr w:rsidTr="00EB64F7">
        <w:tblPrEx>
          <w:tblW w:w="7468" w:type="dxa"/>
          <w:tblLook w:val="04A0"/>
        </w:tblPrEx>
        <w:trPr>
          <w:trHeight w:val="409"/>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2023</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0.54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53.3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29.0</w:t>
            </w:r>
          </w:p>
        </w:tc>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26.8</w:t>
            </w:r>
          </w:p>
        </w:tc>
        <w:tc>
          <w:tcPr>
            <w:tcW w:w="1405" w:type="dxa"/>
            <w:tcBorders>
              <w:top w:val="nil"/>
              <w:left w:val="single" w:sz="4" w:space="0" w:color="auto"/>
              <w:bottom w:val="single" w:sz="4" w:space="0" w:color="auto"/>
              <w:right w:val="single" w:sz="8"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1.8</w:t>
            </w:r>
          </w:p>
        </w:tc>
      </w:tr>
      <w:tr w:rsidTr="00EB64F7">
        <w:tblPrEx>
          <w:tblW w:w="7468" w:type="dxa"/>
          <w:tblLook w:val="04A0"/>
        </w:tblPrEx>
        <w:trPr>
          <w:trHeight w:val="344"/>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2022</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0.50</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54.7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27.9</w:t>
            </w:r>
          </w:p>
        </w:tc>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25.5</w:t>
            </w:r>
          </w:p>
        </w:tc>
        <w:tc>
          <w:tcPr>
            <w:tcW w:w="1405" w:type="dxa"/>
            <w:tcBorders>
              <w:top w:val="nil"/>
              <w:left w:val="single" w:sz="4" w:space="0" w:color="auto"/>
              <w:bottom w:val="single" w:sz="4" w:space="0" w:color="auto"/>
              <w:right w:val="single" w:sz="8"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1.8</w:t>
            </w:r>
          </w:p>
        </w:tc>
      </w:tr>
      <w:tr w:rsidTr="00EB64F7">
        <w:tblPrEx>
          <w:tblW w:w="7468" w:type="dxa"/>
          <w:tblLook w:val="04A0"/>
        </w:tblPrEx>
        <w:trPr>
          <w:trHeight w:val="344"/>
        </w:trPr>
        <w:tc>
          <w:tcPr>
            <w:tcW w:w="9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2021</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0.67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54.1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26.5</w:t>
            </w:r>
          </w:p>
        </w:tc>
        <w:tc>
          <w:tcPr>
            <w:tcW w:w="1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24.4</w:t>
            </w:r>
          </w:p>
        </w:tc>
        <w:tc>
          <w:tcPr>
            <w:tcW w:w="1405"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2.1</w:t>
            </w:r>
          </w:p>
        </w:tc>
      </w:tr>
      <w:tr w:rsidTr="00EB64F7">
        <w:tblPrEx>
          <w:tblW w:w="7468" w:type="dxa"/>
          <w:tblLook w:val="04A0"/>
        </w:tblPrEx>
        <w:trPr>
          <w:trHeight w:val="360"/>
        </w:trPr>
        <w:tc>
          <w:tcPr>
            <w:tcW w:w="980" w:type="dxa"/>
            <w:tcBorders>
              <w:top w:val="nil"/>
              <w:left w:val="single" w:sz="8"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2020</w:t>
            </w:r>
          </w:p>
        </w:tc>
        <w:tc>
          <w:tcPr>
            <w:tcW w:w="138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0.86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53.3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26.3</w:t>
            </w:r>
          </w:p>
        </w:tc>
        <w:tc>
          <w:tcPr>
            <w:tcW w:w="1147" w:type="dxa"/>
            <w:tcBorders>
              <w:top w:val="nil"/>
              <w:left w:val="single" w:sz="4" w:space="0" w:color="auto"/>
              <w:bottom w:val="single" w:sz="4"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24.2</w:t>
            </w:r>
          </w:p>
        </w:tc>
        <w:tc>
          <w:tcPr>
            <w:tcW w:w="1405" w:type="dxa"/>
            <w:tcBorders>
              <w:top w:val="nil"/>
              <w:left w:val="single" w:sz="4" w:space="0" w:color="auto"/>
              <w:bottom w:val="single" w:sz="4" w:space="0" w:color="auto"/>
              <w:right w:val="single" w:sz="8"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color w:val="000000"/>
                <w:sz w:val="22"/>
                <w:szCs w:val="22"/>
              </w:rPr>
            </w:pPr>
            <w:r w:rsidRPr="001F2586">
              <w:rPr>
                <w:rFonts w:ascii="David" w:eastAsia="Times New Roman" w:hAnsi="David"/>
                <w:color w:val="000000"/>
                <w:sz w:val="22"/>
                <w:szCs w:val="22"/>
              </w:rPr>
              <w:t>2.4</w:t>
            </w:r>
          </w:p>
        </w:tc>
      </w:tr>
      <w:tr w:rsidTr="00EB64F7">
        <w:tblPrEx>
          <w:tblW w:w="7468" w:type="dxa"/>
          <w:tblLook w:val="04A0"/>
        </w:tblPrEx>
        <w:trPr>
          <w:trHeight w:val="344"/>
        </w:trPr>
        <w:tc>
          <w:tcPr>
            <w:tcW w:w="9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F2586" w:rsidRPr="001F2586" w:rsidP="001F2586">
            <w:pPr>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tl/>
              </w:rPr>
              <w:t>השינוי המצטבר</w:t>
            </w:r>
          </w:p>
        </w:tc>
        <w:tc>
          <w:tcPr>
            <w:tcW w:w="138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-0.22</w:t>
            </w:r>
          </w:p>
        </w:tc>
        <w:tc>
          <w:tcPr>
            <w:tcW w:w="141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0.</w:t>
            </w:r>
            <w:r w:rsidRPr="001F2586">
              <w:rPr>
                <w:rFonts w:ascii="David" w:eastAsia="Times New Roman" w:hAnsi="David" w:hint="cs"/>
                <w:b/>
                <w:bCs/>
                <w:color w:val="000000"/>
                <w:sz w:val="22"/>
                <w:szCs w:val="22"/>
                <w:rtl/>
              </w:rPr>
              <w:t>3</w:t>
            </w:r>
          </w:p>
        </w:tc>
        <w:tc>
          <w:tcPr>
            <w:tcW w:w="113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3.4</w:t>
            </w:r>
          </w:p>
        </w:tc>
        <w:tc>
          <w:tcPr>
            <w:tcW w:w="114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2.</w:t>
            </w:r>
            <w:r w:rsidRPr="001F2586">
              <w:rPr>
                <w:rFonts w:ascii="David" w:eastAsia="Times New Roman" w:hAnsi="David" w:hint="cs"/>
                <w:b/>
                <w:bCs/>
                <w:color w:val="000000"/>
                <w:sz w:val="22"/>
                <w:szCs w:val="22"/>
                <w:rtl/>
              </w:rPr>
              <w:t>7</w:t>
            </w:r>
          </w:p>
        </w:tc>
        <w:tc>
          <w:tcPr>
            <w:tcW w:w="1405"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1.40</w:t>
            </w:r>
          </w:p>
        </w:tc>
      </w:tr>
      <w:tr w:rsidTr="00EB64F7">
        <w:tblPrEx>
          <w:tblW w:w="7468" w:type="dxa"/>
          <w:tblLook w:val="04A0"/>
        </w:tblPrEx>
        <w:trPr>
          <w:trHeight w:val="360"/>
        </w:trPr>
        <w:tc>
          <w:tcPr>
            <w:tcW w:w="980" w:type="dxa"/>
            <w:tcBorders>
              <w:top w:val="nil"/>
              <w:left w:val="single" w:sz="8" w:space="0" w:color="auto"/>
              <w:bottom w:val="single" w:sz="8" w:space="0" w:color="auto"/>
              <w:right w:val="single" w:sz="4" w:space="0" w:color="auto"/>
            </w:tcBorders>
            <w:shd w:val="clear" w:color="auto" w:fill="auto"/>
            <w:noWrap/>
            <w:vAlign w:val="bottom"/>
            <w:hideMark/>
          </w:tcPr>
          <w:p w:rsidR="001F2586" w:rsidRPr="001F2586" w:rsidP="001F2586">
            <w:pPr>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tl/>
              </w:rPr>
              <w:t>שיעור השינוי המצטבר</w:t>
            </w:r>
          </w:p>
        </w:tc>
        <w:tc>
          <w:tcPr>
            <w:tcW w:w="1384" w:type="dxa"/>
            <w:tcBorders>
              <w:top w:val="nil"/>
              <w:left w:val="single" w:sz="4" w:space="0" w:color="auto"/>
              <w:bottom w:val="single" w:sz="8"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-25%</w:t>
            </w:r>
          </w:p>
        </w:tc>
        <w:tc>
          <w:tcPr>
            <w:tcW w:w="1418" w:type="dxa"/>
            <w:tcBorders>
              <w:top w:val="nil"/>
              <w:left w:val="single" w:sz="4" w:space="0" w:color="auto"/>
              <w:bottom w:val="single" w:sz="8"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0.</w:t>
            </w:r>
            <w:r w:rsidRPr="001F2586">
              <w:rPr>
                <w:rFonts w:ascii="David" w:eastAsia="Times New Roman" w:hAnsi="David" w:hint="cs"/>
                <w:b/>
                <w:bCs/>
                <w:color w:val="000000"/>
                <w:sz w:val="22"/>
                <w:szCs w:val="22"/>
                <w:rtl/>
              </w:rPr>
              <w:t>56</w:t>
            </w:r>
            <w:r w:rsidRPr="001F2586">
              <w:rPr>
                <w:rFonts w:ascii="David" w:eastAsia="Times New Roman" w:hAnsi="David"/>
                <w:b/>
                <w:bCs/>
                <w:color w:val="000000"/>
                <w:sz w:val="22"/>
                <w:szCs w:val="22"/>
              </w:rPr>
              <w:t>%</w:t>
            </w:r>
          </w:p>
        </w:tc>
        <w:tc>
          <w:tcPr>
            <w:tcW w:w="1134" w:type="dxa"/>
            <w:tcBorders>
              <w:top w:val="nil"/>
              <w:left w:val="single" w:sz="4" w:space="0" w:color="auto"/>
              <w:bottom w:val="single" w:sz="8"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13%</w:t>
            </w:r>
          </w:p>
        </w:tc>
        <w:tc>
          <w:tcPr>
            <w:tcW w:w="1147" w:type="dxa"/>
            <w:tcBorders>
              <w:top w:val="nil"/>
              <w:left w:val="single" w:sz="4" w:space="0" w:color="auto"/>
              <w:bottom w:val="single" w:sz="8" w:space="0" w:color="auto"/>
              <w:right w:val="single" w:sz="4"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11%</w:t>
            </w:r>
          </w:p>
        </w:tc>
        <w:tc>
          <w:tcPr>
            <w:tcW w:w="1405" w:type="dxa"/>
            <w:tcBorders>
              <w:top w:val="nil"/>
              <w:left w:val="single" w:sz="4" w:space="0" w:color="auto"/>
              <w:bottom w:val="single" w:sz="8" w:space="0" w:color="auto"/>
              <w:right w:val="single" w:sz="8" w:space="0" w:color="auto"/>
            </w:tcBorders>
            <w:shd w:val="clear" w:color="auto" w:fill="auto"/>
            <w:noWrap/>
            <w:vAlign w:val="center"/>
            <w:hideMark/>
          </w:tcPr>
          <w:p w:rsidR="001F2586" w:rsidRPr="001F2586" w:rsidP="001F2586">
            <w:pPr>
              <w:bidi w:val="0"/>
              <w:spacing w:line="269" w:lineRule="auto"/>
              <w:jc w:val="center"/>
              <w:rPr>
                <w:rFonts w:ascii="David" w:eastAsia="Times New Roman" w:hAnsi="David"/>
                <w:b/>
                <w:bCs/>
                <w:color w:val="000000"/>
                <w:sz w:val="22"/>
                <w:szCs w:val="22"/>
              </w:rPr>
            </w:pPr>
            <w:r w:rsidRPr="001F2586">
              <w:rPr>
                <w:rFonts w:ascii="David" w:eastAsia="Times New Roman" w:hAnsi="David"/>
                <w:b/>
                <w:bCs/>
                <w:color w:val="000000"/>
                <w:sz w:val="22"/>
                <w:szCs w:val="22"/>
              </w:rPr>
              <w:t>59%</w:t>
            </w:r>
          </w:p>
        </w:tc>
      </w:tr>
    </w:tbl>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rPr>
          <w:rFonts w:eastAsia="Calibri"/>
          <w:sz w:val="16"/>
          <w:szCs w:val="20"/>
          <w:rtl/>
        </w:rPr>
      </w:pPr>
      <w:r w:rsidRPr="001F2586">
        <w:rPr>
          <w:rFonts w:eastAsia="Calibri" w:hint="cs"/>
          <w:sz w:val="16"/>
          <w:szCs w:val="20"/>
          <w:rtl/>
        </w:rPr>
        <w:t>* הנתונים בכל המשתנים חושבו כולל נתוני הלוואות בבולט או בלון, למעט שיעור החזר מהכנסה שחושב על נתוני הלוואות לדיור ללא הלוואות בולט או בלון.</w:t>
      </w:r>
    </w:p>
    <w:p w:rsidR="001F2586" w:rsidRPr="001F2586" w:rsidP="001F2586">
      <w:pPr>
        <w:spacing w:line="269" w:lineRule="auto"/>
        <w:rPr>
          <w:rFonts w:eastAsia="Calibri"/>
          <w:sz w:val="16"/>
          <w:szCs w:val="20"/>
          <w:rtl/>
        </w:rPr>
      </w:pPr>
      <w:r w:rsidRPr="001F2586">
        <w:rPr>
          <w:rFonts w:eastAsia="Calibri" w:hint="cs"/>
          <w:sz w:val="16"/>
          <w:szCs w:val="20"/>
          <w:rtl/>
        </w:rPr>
        <w:t>** הנתונים לשנת 2025 נכונים לסוף חודש אוגוסט 2025.</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מהלוח</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כי המדדים אשר עלו באופן ניכר בשנים 2020 - 2025 הם אלו: שיעור הפיגורים הממוצע בתיק - ירד מ-0.86% בשנת 2020 </w:t>
      </w:r>
      <w:r>
        <w:rPr>
          <w:rFonts w:eastAsia="Calibri"/>
          <w:b/>
          <w:bCs/>
          <w:vertAlign w:val="superscript"/>
          <w:rtl/>
        </w:rPr>
        <w:footnoteReference w:id="40"/>
      </w:r>
      <w:r w:rsidRPr="001F2586">
        <w:rPr>
          <w:rFonts w:eastAsia="Calibri"/>
          <w:b/>
          <w:bCs/>
          <w:rtl/>
        </w:rPr>
        <w:t xml:space="preserve"> לשיעור של כ-0.5% בשנת 2022, ולאחר מכן עלה במהלך מלחמת חרבות ברזל עד 0.65% בשנת 2025; ושיעור תיק האשראי בבולט או בלון מסך האשראי לדיור </w:t>
      </w:r>
      <w:r w:rsidRPr="001F2586">
        <w:rPr>
          <w:rFonts w:eastAsia="Calibri" w:hint="cs"/>
          <w:b/>
          <w:bCs/>
          <w:rtl/>
        </w:rPr>
        <w:t>עלה ב</w:t>
      </w:r>
      <w:r w:rsidRPr="001F2586">
        <w:rPr>
          <w:rFonts w:eastAsia="Calibri"/>
          <w:b/>
          <w:bCs/>
          <w:rtl/>
        </w:rPr>
        <w:t>כ-1.4%</w:t>
      </w:r>
      <w:r>
        <w:rPr>
          <w:rFonts w:eastAsia="Calibri"/>
          <w:b/>
          <w:bCs/>
          <w:vertAlign w:val="superscript"/>
          <w:rtl/>
        </w:rPr>
        <w:footnoteReference w:id="41"/>
      </w:r>
      <w:r w:rsidRPr="001F2586">
        <w:rPr>
          <w:rFonts w:eastAsia="Calibri"/>
          <w:b/>
          <w:bCs/>
          <w:rtl/>
        </w:rPr>
        <w:t>. עוד עולה כי בהלוואות לדיור שבוצעו שנים 2020 - 2025 שיעור החזר מהכנסה ממוצע עלה בכ-3.4%; שיעור המימון הממוצע עלה בכ-0.3%; והתקופה הממוצעת למשכנתא התארכה בכ-3 שנים</w:t>
      </w:r>
      <w:r w:rsidRPr="001F2586">
        <w:rPr>
          <w:rFonts w:eastAsia="Calibri"/>
          <w:b/>
        </w:rPr>
        <w:t xml:space="preserve"> </w:t>
      </w:r>
      <w:r w:rsidRPr="001F2586">
        <w:rPr>
          <w:rFonts w:eastAsia="Calibri" w:hint="eastAsia"/>
          <w:b/>
          <w:bCs/>
          <w:rtl/>
        </w:rPr>
        <w:t>מ</w:t>
      </w:r>
      <w:r w:rsidRPr="001F2586">
        <w:rPr>
          <w:rFonts w:eastAsia="Calibri"/>
          <w:b/>
          <w:bCs/>
          <w:rtl/>
        </w:rPr>
        <w:t xml:space="preserve">-24 שנים ל-27 שנים.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בשנים</w:t>
      </w:r>
      <w:r w:rsidRPr="001F2586">
        <w:rPr>
          <w:rFonts w:eastAsia="Calibri"/>
          <w:b/>
          <w:bCs/>
          <w:rtl/>
        </w:rPr>
        <w:t xml:space="preserve"> האחרונות, לצד </w:t>
      </w:r>
      <w:r w:rsidRPr="001F2586">
        <w:rPr>
          <w:rFonts w:eastAsia="Calibri" w:hint="eastAsia"/>
          <w:b/>
          <w:bCs/>
          <w:rtl/>
        </w:rPr>
        <w:t>העלי</w:t>
      </w:r>
      <w:r w:rsidRPr="001F2586">
        <w:rPr>
          <w:rFonts w:eastAsia="Calibri" w:hint="cs"/>
          <w:b/>
          <w:bCs/>
          <w:rtl/>
        </w:rPr>
        <w:t>י</w:t>
      </w:r>
      <w:r w:rsidRPr="001F2586">
        <w:rPr>
          <w:rFonts w:eastAsia="Calibri" w:hint="eastAsia"/>
          <w:b/>
          <w:bCs/>
          <w:rtl/>
        </w:rPr>
        <w:t>ה</w:t>
      </w:r>
      <w:r w:rsidRPr="001F2586">
        <w:rPr>
          <w:rFonts w:eastAsia="Calibri"/>
          <w:b/>
          <w:bCs/>
          <w:rtl/>
        </w:rPr>
        <w:t xml:space="preserve"> המתמשכת בתיק האשראי לדיור ובסכום המשכנתא הממוצע </w:t>
      </w:r>
      <w:r w:rsidRPr="001F2586">
        <w:rPr>
          <w:rFonts w:eastAsia="Calibri" w:hint="eastAsia"/>
          <w:b/>
          <w:bCs/>
          <w:rtl/>
        </w:rPr>
        <w:t>חלה</w:t>
      </w:r>
      <w:r w:rsidRPr="001F2586">
        <w:rPr>
          <w:rFonts w:eastAsia="Calibri"/>
          <w:b/>
          <w:bCs/>
          <w:rtl/>
        </w:rPr>
        <w:t xml:space="preserve"> </w:t>
      </w:r>
      <w:r w:rsidRPr="001F2586">
        <w:rPr>
          <w:rFonts w:eastAsia="Calibri" w:hint="eastAsia"/>
          <w:b/>
          <w:bCs/>
          <w:rtl/>
        </w:rPr>
        <w:t>עלייה גם</w:t>
      </w:r>
      <w:r w:rsidRPr="001F2586">
        <w:rPr>
          <w:rFonts w:eastAsia="Calibri"/>
          <w:b/>
          <w:bCs/>
          <w:rtl/>
        </w:rPr>
        <w:t xml:space="preserve"> </w:t>
      </w:r>
      <w:r w:rsidRPr="001F2586">
        <w:rPr>
          <w:rFonts w:eastAsia="Calibri" w:hint="eastAsia"/>
          <w:b/>
          <w:bCs/>
          <w:rtl/>
        </w:rPr>
        <w:t>בשיעור</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hint="eastAsia"/>
          <w:b/>
          <w:bCs/>
          <w:rtl/>
        </w:rPr>
        <w:t>בשיעור</w:t>
      </w:r>
      <w:r w:rsidRPr="001F2586">
        <w:rPr>
          <w:rFonts w:eastAsia="Calibri"/>
          <w:b/>
          <w:bCs/>
          <w:rtl/>
        </w:rPr>
        <w:t xml:space="preserve"> </w:t>
      </w:r>
      <w:r w:rsidRPr="001F2586">
        <w:rPr>
          <w:rFonts w:eastAsia="Calibri" w:hint="eastAsia"/>
          <w:b/>
          <w:bCs/>
          <w:rtl/>
        </w:rPr>
        <w:t>החזר</w:t>
      </w:r>
      <w:r w:rsidRPr="001F2586">
        <w:rPr>
          <w:rFonts w:eastAsia="Calibri"/>
          <w:b/>
          <w:bCs/>
          <w:rtl/>
        </w:rPr>
        <w:t xml:space="preserve"> </w:t>
      </w:r>
      <w:r w:rsidRPr="001F2586">
        <w:rPr>
          <w:rFonts w:eastAsia="Calibri" w:hint="eastAsia"/>
          <w:b/>
          <w:bCs/>
          <w:rtl/>
        </w:rPr>
        <w:t>מהכנסה</w:t>
      </w:r>
      <w:r w:rsidRPr="001F2586">
        <w:rPr>
          <w:rFonts w:eastAsia="Calibri"/>
          <w:b/>
          <w:bCs/>
          <w:rtl/>
        </w:rPr>
        <w:t xml:space="preserve"> ובתקופת המשכנתא. </w:t>
      </w:r>
      <w:r w:rsidRPr="001F2586">
        <w:rPr>
          <w:rFonts w:eastAsia="Calibri" w:hint="eastAsia"/>
          <w:b/>
          <w:bCs/>
          <w:rtl/>
        </w:rPr>
        <w:t>אלו</w:t>
      </w:r>
      <w:r w:rsidRPr="001F2586">
        <w:rPr>
          <w:rFonts w:eastAsia="Calibri"/>
          <w:b/>
          <w:bCs/>
          <w:rtl/>
        </w:rPr>
        <w:t xml:space="preserve"> מעידים, לצד </w:t>
      </w:r>
      <w:r w:rsidRPr="001F2586">
        <w:rPr>
          <w:rFonts w:eastAsia="Calibri" w:hint="eastAsia"/>
          <w:b/>
          <w:bCs/>
          <w:rtl/>
        </w:rPr>
        <w:t>שימוש</w:t>
      </w:r>
      <w:r w:rsidRPr="001F2586">
        <w:rPr>
          <w:rFonts w:eastAsia="Calibri"/>
          <w:b/>
          <w:bCs/>
          <w:rtl/>
        </w:rPr>
        <w:t xml:space="preserve"> מוגבר בהלוואות </w:t>
      </w:r>
      <w:r w:rsidRPr="001F2586">
        <w:rPr>
          <w:rFonts w:eastAsia="Calibri" w:hint="eastAsia"/>
          <w:b/>
          <w:bCs/>
          <w:rtl/>
        </w:rPr>
        <w:t>בולט</w:t>
      </w:r>
      <w:r w:rsidRPr="001F2586">
        <w:rPr>
          <w:rFonts w:eastAsia="Calibri"/>
          <w:b/>
          <w:bCs/>
          <w:rtl/>
        </w:rPr>
        <w:t xml:space="preserve"> </w:t>
      </w:r>
      <w:r w:rsidRPr="001F2586">
        <w:rPr>
          <w:rFonts w:eastAsia="Calibri" w:hint="eastAsia"/>
          <w:b/>
          <w:bCs/>
          <w:rtl/>
        </w:rPr>
        <w:t>או</w:t>
      </w:r>
      <w:r w:rsidRPr="001F2586">
        <w:rPr>
          <w:rFonts w:eastAsia="Calibri"/>
          <w:b/>
          <w:bCs/>
          <w:rtl/>
        </w:rPr>
        <w:t xml:space="preserve"> </w:t>
      </w:r>
      <w:r w:rsidRPr="001F2586">
        <w:rPr>
          <w:rFonts w:eastAsia="Calibri" w:hint="eastAsia"/>
          <w:b/>
          <w:bCs/>
          <w:rtl/>
        </w:rPr>
        <w:t>בלון</w:t>
      </w:r>
      <w:r w:rsidRPr="001F2586">
        <w:rPr>
          <w:rFonts w:eastAsia="Calibri"/>
          <w:b/>
          <w:bCs/>
          <w:rtl/>
        </w:rPr>
        <w:t xml:space="preserve">, על </w:t>
      </w:r>
      <w:r w:rsidRPr="001F2586">
        <w:rPr>
          <w:rFonts w:eastAsia="Calibri" w:hint="cs"/>
          <w:b/>
          <w:bCs/>
          <w:rtl/>
        </w:rPr>
        <w:t xml:space="preserve">עלייה ברמת הסיכון </w:t>
      </w:r>
      <w:r w:rsidRPr="001F2586">
        <w:rPr>
          <w:rFonts w:eastAsia="Calibri"/>
          <w:b/>
          <w:bCs/>
          <w:rtl/>
        </w:rPr>
        <w:t>בתיק האשראי לדיור במערכת הבנקאית.</w:t>
      </w:r>
    </w:p>
    <w:p w:rsidR="001F2586" w:rsidRPr="001F2586" w:rsidP="001F2586">
      <w:pPr>
        <w:spacing w:line="269" w:lineRule="auto"/>
        <w:rPr>
          <w:rFonts w:eastAsia="Calibri"/>
          <w:rtl/>
        </w:rPr>
      </w:pPr>
      <w:r w:rsidRPr="001F2586">
        <w:rPr>
          <w:rFonts w:eastAsia="Calibri" w:hint="cs"/>
          <w:b/>
          <w:bCs/>
          <w:rtl/>
        </w:rPr>
        <w:t>על הפיקוח על הבנקים להמשיך במעקב הדוק על המדדים של תיק האשראי לדיור, וכן לבחון את הסיכונים באופן עיתי וסדור תוך בחינה כוללת של ההשפעה של התפתחויות בשוק המשכנתאות על מימוש יעדי היציבות של המערכת הבנקאית ושמירה על ההוגנות שלה כלפי הלווים</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בתשובת בנק ישראל </w:t>
      </w:r>
      <w:r w:rsidR="000B3126">
        <w:rPr>
          <w:rFonts w:eastAsia="Calibri" w:hint="cs"/>
          <w:rtl/>
        </w:rPr>
        <w:t xml:space="preserve">ממאי 2026 (להלן - תשובת בנק ישראל) </w:t>
      </w:r>
      <w:r w:rsidRPr="001F2586">
        <w:rPr>
          <w:rFonts w:eastAsia="Calibri"/>
          <w:rtl/>
        </w:rPr>
        <w:t xml:space="preserve">צוין כי </w:t>
      </w:r>
      <w:r w:rsidRPr="001F2586">
        <w:rPr>
          <w:rFonts w:eastAsia="Calibri" w:hint="cs"/>
          <w:rtl/>
        </w:rPr>
        <w:t xml:space="preserve">במסגרת פעילות </w:t>
      </w:r>
      <w:r w:rsidRPr="001F2586">
        <w:rPr>
          <w:rFonts w:eastAsia="Calibri"/>
          <w:rtl/>
        </w:rPr>
        <w:t xml:space="preserve">הפיקוח על הבנקים </w:t>
      </w:r>
      <w:r w:rsidRPr="001F2586">
        <w:rPr>
          <w:rFonts w:eastAsia="Calibri" w:hint="cs"/>
          <w:rtl/>
        </w:rPr>
        <w:t>"</w:t>
      </w:r>
      <w:r w:rsidRPr="001F2586">
        <w:rPr>
          <w:rFonts w:eastAsia="Calibri"/>
          <w:b/>
          <w:bCs/>
          <w:rtl/>
        </w:rPr>
        <w:t>מ</w:t>
      </w:r>
      <w:r w:rsidRPr="001F2586">
        <w:rPr>
          <w:rFonts w:eastAsia="Calibri" w:hint="eastAsia"/>
          <w:b/>
          <w:bCs/>
          <w:rtl/>
        </w:rPr>
        <w:t>תקיים</w:t>
      </w:r>
      <w:r w:rsidRPr="001F2586">
        <w:rPr>
          <w:rFonts w:eastAsia="Calibri"/>
          <w:b/>
          <w:bCs/>
          <w:rtl/>
        </w:rPr>
        <w:t xml:space="preserve"> מעקב שוטף והדוק אחר שוק הדיור</w:t>
      </w:r>
      <w:r w:rsidRPr="001F2586">
        <w:rPr>
          <w:rFonts w:eastAsia="Calibri" w:hint="cs"/>
          <w:rtl/>
        </w:rPr>
        <w:t xml:space="preserve"> </w:t>
      </w:r>
      <w:r w:rsidRPr="001F2586">
        <w:rPr>
          <w:rFonts w:eastAsia="Calibri" w:hint="cs"/>
          <w:b/>
          <w:bCs/>
          <w:rtl/>
        </w:rPr>
        <w:t>(ההדגשה במקור)</w:t>
      </w:r>
      <w:r w:rsidRPr="001F2586">
        <w:rPr>
          <w:rFonts w:eastAsia="Calibri"/>
          <w:rtl/>
        </w:rPr>
        <w:t xml:space="preserve">, לרבות מדדים מרכזיים </w:t>
      </w:r>
      <w:r w:rsidRPr="001F2586">
        <w:rPr>
          <w:rFonts w:eastAsia="Calibri" w:hint="cs"/>
          <w:rtl/>
        </w:rPr>
        <w:t xml:space="preserve">כגון: </w:t>
      </w:r>
      <w:r w:rsidRPr="001F2586">
        <w:rPr>
          <w:rFonts w:eastAsia="Calibri"/>
          <w:rtl/>
        </w:rPr>
        <w:t xml:space="preserve">היקף </w:t>
      </w:r>
      <w:r w:rsidRPr="001F2586">
        <w:rPr>
          <w:rFonts w:eastAsia="Calibri" w:hint="cs"/>
          <w:rtl/>
        </w:rPr>
        <w:t xml:space="preserve">וגידול </w:t>
      </w:r>
      <w:r w:rsidRPr="001F2586">
        <w:rPr>
          <w:rFonts w:eastAsia="Calibri"/>
          <w:rtl/>
        </w:rPr>
        <w:t xml:space="preserve">התיק </w:t>
      </w:r>
      <w:r w:rsidRPr="001F2586">
        <w:rPr>
          <w:rFonts w:eastAsia="Calibri" w:hint="cs"/>
          <w:rtl/>
        </w:rPr>
        <w:t xml:space="preserve">האשראי לדיור, </w:t>
      </w:r>
      <w:r w:rsidRPr="001F2586">
        <w:rPr>
          <w:rFonts w:eastAsia="Calibri"/>
          <w:rtl/>
        </w:rPr>
        <w:t>שיעורי מימון, יחס החזר מהכנסה</w:t>
      </w:r>
      <w:r w:rsidRPr="001F2586">
        <w:rPr>
          <w:rFonts w:eastAsia="Calibri" w:hint="cs"/>
          <w:rtl/>
        </w:rPr>
        <w:t>,</w:t>
      </w:r>
      <w:r w:rsidRPr="001F2586">
        <w:rPr>
          <w:rFonts w:eastAsia="Calibri"/>
          <w:rtl/>
        </w:rPr>
        <w:t xml:space="preserve"> תקופות ההלוואה</w:t>
      </w:r>
      <w:r w:rsidRPr="001F2586">
        <w:rPr>
          <w:rFonts w:eastAsia="Calibri" w:hint="cs"/>
          <w:rtl/>
        </w:rPr>
        <w:t>, איכות האשראי, השפעות סביבת הריבית והאינפלציה ועוד. לצד זאת נבחנת באופן מתמשך התאמתם של כלי האסדרה, ובפרט המגבלות המקרו-</w:t>
      </w:r>
      <w:r w:rsidRPr="001F2586">
        <w:rPr>
          <w:rFonts w:eastAsia="Calibri" w:hint="cs"/>
          <w:rtl/>
        </w:rPr>
        <w:t>יציבותיות</w:t>
      </w:r>
      <w:r w:rsidRPr="001F2586">
        <w:rPr>
          <w:rFonts w:eastAsia="Calibri" w:hint="cs"/>
          <w:rtl/>
        </w:rPr>
        <w:t>, להתפתחויות בשוק".</w:t>
      </w:r>
    </w:p>
    <w:p w:rsidR="001F2586" w:rsidRPr="001F2586" w:rsidP="001F2586">
      <w:pPr>
        <w:spacing w:line="269" w:lineRule="auto"/>
        <w:rPr>
          <w:rFonts w:eastAsia="Calibri"/>
          <w:rtl/>
        </w:rPr>
      </w:pPr>
    </w:p>
    <w:p w:rsidR="001F2586" w:rsidRPr="001F2586" w:rsidP="002454C3">
      <w:pPr>
        <w:pStyle w:val="Heading2"/>
        <w:rPr>
          <w:rFonts w:eastAsia="Times New Roman"/>
          <w:rtl/>
        </w:rPr>
      </w:pPr>
      <w:r w:rsidRPr="001F2586">
        <w:rPr>
          <w:rFonts w:eastAsia="Times New Roman" w:hint="cs"/>
          <w:rtl/>
        </w:rPr>
        <w:t>שער ראשון - משכנתאות במערכת הבנקאית</w:t>
      </w:r>
    </w:p>
    <w:p w:rsidR="001F2586" w:rsidRPr="001F2586" w:rsidP="001F2586">
      <w:pPr>
        <w:spacing w:line="269" w:lineRule="auto"/>
        <w:rPr>
          <w:rFonts w:eastAsia="Calibri"/>
          <w:rtl/>
        </w:rPr>
      </w:pPr>
    </w:p>
    <w:p w:rsidR="001F2586" w:rsidRPr="001F2586" w:rsidP="001F2586">
      <w:pPr>
        <w:keepNext/>
        <w:keepLines/>
        <w:spacing w:line="269" w:lineRule="auto"/>
        <w:outlineLvl w:val="2"/>
        <w:rPr>
          <w:rFonts w:eastAsia="Times New Roman"/>
          <w:bCs/>
          <w:szCs w:val="28"/>
          <w:u w:val="single"/>
          <w:rtl/>
        </w:rPr>
      </w:pPr>
      <w:r w:rsidRPr="001F2586">
        <w:rPr>
          <w:rFonts w:eastAsia="Times New Roman" w:hint="eastAsia"/>
          <w:bCs/>
          <w:szCs w:val="28"/>
          <w:u w:val="single"/>
          <w:rtl/>
        </w:rPr>
        <w:t>האסדרה</w:t>
      </w:r>
      <w:r w:rsidRPr="001F2586">
        <w:rPr>
          <w:rFonts w:eastAsia="Times New Roman"/>
          <w:bCs/>
          <w:szCs w:val="28"/>
          <w:u w:val="single"/>
          <w:rtl/>
        </w:rPr>
        <w:t xml:space="preserve"> </w:t>
      </w:r>
      <w:r w:rsidRPr="001F2586">
        <w:rPr>
          <w:rFonts w:eastAsia="Times New Roman" w:hint="eastAsia"/>
          <w:bCs/>
          <w:szCs w:val="28"/>
          <w:u w:val="single"/>
          <w:rtl/>
        </w:rPr>
        <w:t>של</w:t>
      </w:r>
      <w:r w:rsidRPr="001F2586">
        <w:rPr>
          <w:rFonts w:eastAsia="Times New Roman"/>
          <w:bCs/>
          <w:szCs w:val="28"/>
          <w:u w:val="single"/>
          <w:rtl/>
        </w:rPr>
        <w:t xml:space="preserve"> </w:t>
      </w:r>
      <w:r w:rsidRPr="001F2586">
        <w:rPr>
          <w:rFonts w:eastAsia="Times New Roman" w:hint="eastAsia"/>
          <w:bCs/>
          <w:szCs w:val="28"/>
          <w:u w:val="single"/>
          <w:rtl/>
        </w:rPr>
        <w:t>שוק</w:t>
      </w:r>
      <w:r w:rsidRPr="001F2586">
        <w:rPr>
          <w:rFonts w:eastAsia="Times New Roman"/>
          <w:bCs/>
          <w:szCs w:val="28"/>
          <w:u w:val="single"/>
          <w:rtl/>
        </w:rPr>
        <w:t xml:space="preserve"> </w:t>
      </w:r>
      <w:r w:rsidRPr="001F2586">
        <w:rPr>
          <w:rFonts w:eastAsia="Times New Roman" w:hint="eastAsia"/>
          <w:bCs/>
          <w:szCs w:val="28"/>
          <w:u w:val="single"/>
          <w:rtl/>
        </w:rPr>
        <w:t>המשכנתאות</w:t>
      </w:r>
      <w:r w:rsidRPr="001F2586">
        <w:rPr>
          <w:rFonts w:eastAsia="Times New Roman"/>
          <w:bCs/>
          <w:szCs w:val="28"/>
          <w:u w:val="single"/>
          <w:rtl/>
        </w:rPr>
        <w:t xml:space="preserve"> </w:t>
      </w:r>
      <w:r w:rsidRPr="001F2586">
        <w:rPr>
          <w:rFonts w:eastAsia="Times New Roman" w:hint="eastAsia"/>
          <w:bCs/>
          <w:szCs w:val="28"/>
          <w:u w:val="single"/>
          <w:rtl/>
        </w:rPr>
        <w:t>במערכת</w:t>
      </w:r>
      <w:r w:rsidRPr="001F2586">
        <w:rPr>
          <w:rFonts w:eastAsia="Times New Roman"/>
          <w:bCs/>
          <w:szCs w:val="28"/>
          <w:u w:val="single"/>
          <w:rtl/>
        </w:rPr>
        <w:t xml:space="preserve"> </w:t>
      </w:r>
      <w:r w:rsidRPr="001F2586">
        <w:rPr>
          <w:rFonts w:eastAsia="Times New Roman" w:hint="eastAsia"/>
          <w:bCs/>
          <w:szCs w:val="28"/>
          <w:u w:val="single"/>
          <w:rtl/>
        </w:rPr>
        <w:t>הבנקאית</w:t>
      </w:r>
    </w:p>
    <w:p w:rsidR="001F2586" w:rsidRPr="001F2586" w:rsidP="001F2586">
      <w:pPr>
        <w:keepNext/>
        <w:keepLines/>
        <w:spacing w:line="269" w:lineRule="auto"/>
        <w:outlineLvl w:val="3"/>
        <w:rPr>
          <w:rFonts w:eastAsia="Times New Roman"/>
          <w:bCs/>
          <w:szCs w:val="26"/>
          <w:rtl/>
        </w:rPr>
      </w:pPr>
      <w:bookmarkStart w:id="11" w:name="_Hlk221188175"/>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רקע</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בסעיף 4(7) לחוק בנק ישראל התש"ע-2010 (להלן - חוק בנק ישראל) נקבע כי אחד מתפקידי בנק ישראל הוא לקיים את הפיקוח והאסדרה</w:t>
      </w:r>
      <w:r>
        <w:rPr>
          <w:rFonts w:eastAsia="Calibri"/>
          <w:vertAlign w:val="superscript"/>
          <w:rtl/>
        </w:rPr>
        <w:footnoteReference w:id="42"/>
      </w:r>
      <w:r w:rsidRPr="001F2586">
        <w:rPr>
          <w:rFonts w:eastAsia="Calibri"/>
          <w:rtl/>
        </w:rPr>
        <w:t xml:space="preserve"> </w:t>
      </w:r>
      <w:r w:rsidRPr="001F2586">
        <w:rPr>
          <w:rFonts w:eastAsia="Calibri" w:hint="cs"/>
          <w:rtl/>
        </w:rPr>
        <w:t>של מערכת הבנקאות על פי סמכויותיו - לפי חוקי הבנקאות ולפי כל דין אחר. בסעיף 5 (א) לפקודת הבנקאות, 1941 (להלן - פקודת הבנקאות) נקבע כי נגיד בנק ישראל רשאי למנות מפקח על הבנקים שבידיו יהיו הפיקוח הכללי והביקורת על כל תאגיד בנקאי. חטיבת הפיקוח על הבנקים בבנק ישראל מופקדת</w:t>
      </w:r>
      <w:r w:rsidRPr="001F2586">
        <w:rPr>
          <w:rFonts w:eastAsia="Calibri"/>
          <w:rtl/>
        </w:rPr>
        <w:t xml:space="preserve"> על </w:t>
      </w:r>
      <w:r w:rsidRPr="001F2586">
        <w:rPr>
          <w:rFonts w:eastAsia="Calibri" w:hint="cs"/>
          <w:rtl/>
        </w:rPr>
        <w:t xml:space="preserve">ביצוע הפיקוח והביקורת, </w:t>
      </w:r>
      <w:r w:rsidRPr="001F2586">
        <w:rPr>
          <w:rFonts w:eastAsia="Calibri"/>
          <w:rtl/>
        </w:rPr>
        <w:t xml:space="preserve">ובמסגרת </w:t>
      </w:r>
      <w:r w:rsidRPr="001F2586">
        <w:rPr>
          <w:rFonts w:eastAsia="Calibri" w:hint="cs"/>
          <w:rtl/>
        </w:rPr>
        <w:t xml:space="preserve">זו היא </w:t>
      </w:r>
      <w:r w:rsidRPr="001F2586">
        <w:rPr>
          <w:rFonts w:eastAsia="Calibri" w:hint="cs"/>
          <w:rtl/>
        </w:rPr>
        <w:t>מאסדרת</w:t>
      </w:r>
      <w:r w:rsidRPr="001F2586">
        <w:rPr>
          <w:rFonts w:eastAsia="Calibri" w:hint="cs"/>
          <w:rtl/>
        </w:rPr>
        <w:t xml:space="preserve"> את פעילות הבנקים באמצעות הוראות נוהל בנקאי תקין (להלן - </w:t>
      </w:r>
      <w:r w:rsidRPr="001F2586">
        <w:rPr>
          <w:rFonts w:eastAsia="Calibri" w:hint="cs"/>
          <w:rtl/>
        </w:rPr>
        <w:t>נב"ת</w:t>
      </w:r>
      <w:r w:rsidRPr="001F2586">
        <w:rPr>
          <w:rFonts w:eastAsia="Calibri" w:hint="cs"/>
          <w:rtl/>
        </w:rPr>
        <w:t>)</w:t>
      </w:r>
      <w:r>
        <w:rPr>
          <w:rFonts w:eastAsia="Calibri"/>
          <w:vertAlign w:val="superscript"/>
          <w:rtl/>
        </w:rPr>
        <w:footnoteReference w:id="43"/>
      </w:r>
      <w:r w:rsidRPr="001F2586">
        <w:rPr>
          <w:rFonts w:eastAsia="Calibri" w:hint="cs"/>
          <w:rtl/>
        </w:rPr>
        <w:t xml:space="preserve"> ואמצעים נוספים להעברת הנחיות והוראות לתאגידים הבנקאיים כמו </w:t>
      </w:r>
      <w:r w:rsidRPr="001F2586">
        <w:rPr>
          <w:rFonts w:eastAsia="Calibri"/>
          <w:rtl/>
        </w:rPr>
        <w:t>חוזרים</w:t>
      </w:r>
      <w:r w:rsidRPr="001F2586">
        <w:rPr>
          <w:rFonts w:eastAsia="Calibri" w:hint="cs"/>
          <w:rtl/>
        </w:rPr>
        <w:t xml:space="preserve">, </w:t>
      </w:r>
      <w:r w:rsidRPr="001F2586">
        <w:rPr>
          <w:rFonts w:eastAsia="Calibri"/>
          <w:rtl/>
        </w:rPr>
        <w:t>הוראות דיווח לציבור והוראות דיווח לפיקו</w:t>
      </w:r>
      <w:r w:rsidRPr="001F2586">
        <w:rPr>
          <w:rFonts w:eastAsia="Calibri" w:hint="cs"/>
          <w:rtl/>
        </w:rPr>
        <w:t xml:space="preserve">ח, </w:t>
      </w:r>
      <w:r w:rsidRPr="001F2586">
        <w:rPr>
          <w:rFonts w:eastAsia="Calibri"/>
          <w:rtl/>
        </w:rPr>
        <w:t>ק</w:t>
      </w:r>
      <w:r w:rsidRPr="001F2586">
        <w:rPr>
          <w:rFonts w:eastAsia="Calibri" w:hint="cs"/>
          <w:rtl/>
        </w:rPr>
        <w:t>ו</w:t>
      </w:r>
      <w:r w:rsidRPr="001F2586">
        <w:rPr>
          <w:rFonts w:eastAsia="Calibri"/>
          <w:rtl/>
        </w:rPr>
        <w:t>בצי שאלות ותשובות הכוללים הבהרות ופרשנויות של המפקח על הבנקים להוראותיו, מכתבים פיקוחיים ועוד</w:t>
      </w:r>
      <w:r w:rsidRPr="001F2586">
        <w:rPr>
          <w:rFonts w:eastAsia="Calibri"/>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אחת ממטרותיו של בנק ישראל </w:t>
      </w:r>
      <w:r w:rsidRPr="001F2586">
        <w:rPr>
          <w:rFonts w:eastAsia="Calibri" w:hint="cs"/>
          <w:rtl/>
        </w:rPr>
        <w:t xml:space="preserve">לפי חוק בנק ישראל </w:t>
      </w:r>
      <w:r w:rsidRPr="001F2586">
        <w:rPr>
          <w:rFonts w:eastAsia="Calibri"/>
          <w:rtl/>
        </w:rPr>
        <w:t>היא לתמוך ביציבותה של</w:t>
      </w:r>
      <w:r w:rsidRPr="001F2586">
        <w:rPr>
          <w:rFonts w:eastAsia="Calibri" w:hint="cs"/>
          <w:rtl/>
        </w:rPr>
        <w:t xml:space="preserve"> </w:t>
      </w:r>
      <w:r w:rsidRPr="001F2586">
        <w:rPr>
          <w:rFonts w:eastAsia="Calibri"/>
          <w:rtl/>
        </w:rPr>
        <w:t>המערכת הפיננסית ובפעילותה הסדירה</w:t>
      </w:r>
      <w:r w:rsidRPr="001F2586">
        <w:rPr>
          <w:rFonts w:eastAsia="Calibri" w:hint="cs"/>
          <w:rtl/>
        </w:rPr>
        <w:t xml:space="preserve">. </w:t>
      </w:r>
      <w:r w:rsidRPr="001F2586">
        <w:rPr>
          <w:rFonts w:eastAsia="Calibri"/>
          <w:rtl/>
        </w:rPr>
        <w:t>המושג "יציבות פיננסית" מתאר מצב שבו המערכת הפיננסית מתפקדת באופן תקין ויעיל ללא משברים ושיבושים פיננסיים, דבר המאפשר למצות את פוטנציאל הצמיחה של המשק</w:t>
      </w:r>
      <w:r>
        <w:rPr>
          <w:rFonts w:eastAsia="Calibri"/>
          <w:vertAlign w:val="superscript"/>
          <w:rtl/>
        </w:rPr>
        <w:footnoteReference w:id="44"/>
      </w:r>
      <w:r w:rsidRPr="001F2586">
        <w:rPr>
          <w:rFonts w:eastAsia="Calibri"/>
          <w:rtl/>
        </w:rPr>
        <w:t>.</w:t>
      </w:r>
      <w:r w:rsidRPr="001F2586">
        <w:rPr>
          <w:rFonts w:eastAsia="Calibri" w:hint="cs"/>
          <w:rtl/>
        </w:rPr>
        <w:t xml:space="preserve"> תפקידיו</w:t>
      </w:r>
      <w:r w:rsidRPr="001F2586">
        <w:rPr>
          <w:rFonts w:eastAsia="Calibri"/>
          <w:rtl/>
        </w:rPr>
        <w:t xml:space="preserve"> </w:t>
      </w:r>
      <w:r w:rsidRPr="001F2586">
        <w:rPr>
          <w:rFonts w:eastAsia="Calibri" w:hint="cs"/>
          <w:rtl/>
        </w:rPr>
        <w:t xml:space="preserve">של הפיקוח על הבנקים </w:t>
      </w:r>
      <w:r w:rsidRPr="001F2586">
        <w:rPr>
          <w:rFonts w:eastAsia="Calibri"/>
          <w:rtl/>
        </w:rPr>
        <w:t>ה</w:t>
      </w:r>
      <w:r w:rsidRPr="001F2586">
        <w:rPr>
          <w:rFonts w:eastAsia="Calibri" w:hint="cs"/>
          <w:rtl/>
        </w:rPr>
        <w:t xml:space="preserve">ם </w:t>
      </w:r>
      <w:r w:rsidRPr="001F2586">
        <w:rPr>
          <w:rFonts w:eastAsia="Calibri"/>
          <w:rtl/>
        </w:rPr>
        <w:t>שמירה על יציבות התאגידים הבנקאיים</w:t>
      </w:r>
      <w:r w:rsidRPr="001F2586">
        <w:rPr>
          <w:rFonts w:eastAsia="Calibri" w:hint="cs"/>
          <w:rtl/>
        </w:rPr>
        <w:t>;</w:t>
      </w:r>
      <w:r w:rsidRPr="001F2586">
        <w:rPr>
          <w:rFonts w:eastAsia="Calibri"/>
          <w:rtl/>
        </w:rPr>
        <w:t xml:space="preserve"> </w:t>
      </w:r>
      <w:r w:rsidRPr="001F2586">
        <w:rPr>
          <w:rFonts w:eastAsia="Calibri" w:hint="cs"/>
          <w:rtl/>
        </w:rPr>
        <w:t>פיקוח</w:t>
      </w:r>
      <w:r w:rsidRPr="001F2586">
        <w:rPr>
          <w:rFonts w:eastAsia="Calibri"/>
          <w:rtl/>
        </w:rPr>
        <w:t xml:space="preserve"> על הניהול התקין</w:t>
      </w:r>
      <w:r w:rsidRPr="001F2586">
        <w:rPr>
          <w:rFonts w:eastAsia="Calibri" w:hint="cs"/>
          <w:rtl/>
        </w:rPr>
        <w:t xml:space="preserve">; </w:t>
      </w:r>
      <w:r w:rsidRPr="001F2586">
        <w:rPr>
          <w:rFonts w:eastAsia="Calibri"/>
          <w:rtl/>
        </w:rPr>
        <w:t>שמירה על</w:t>
      </w:r>
      <w:r w:rsidRPr="001F2586">
        <w:rPr>
          <w:rFonts w:eastAsia="Calibri" w:hint="cs"/>
          <w:rtl/>
        </w:rPr>
        <w:t xml:space="preserve"> </w:t>
      </w:r>
      <w:r w:rsidRPr="001F2586">
        <w:rPr>
          <w:rFonts w:eastAsia="Calibri"/>
          <w:rtl/>
        </w:rPr>
        <w:t>ההגינות ביחסים העסקיים בין הבנקים ובין לקוחותיהם</w:t>
      </w:r>
      <w:r w:rsidRPr="001F2586">
        <w:rPr>
          <w:rFonts w:eastAsia="Calibri" w:hint="cs"/>
          <w:rtl/>
        </w:rPr>
        <w:t xml:space="preserve">; ותמיכה ביציבותה של המערכת הפיננסית. </w:t>
      </w:r>
    </w:p>
    <w:p w:rsidR="001F2586" w:rsidRPr="001F2586" w:rsidP="001F2586">
      <w:pPr>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 xml:space="preserve">בניהול סיכונים פיננסיים יש הבחנה בין שני מישורים: פיקוח מערכתי (להלן - פיקוח </w:t>
      </w:r>
      <w:r w:rsidRPr="001F2586">
        <w:rPr>
          <w:rFonts w:eastAsia="Calibri"/>
          <w:rtl/>
        </w:rPr>
        <w:t>מקרו-יציבותי</w:t>
      </w:r>
      <w:r w:rsidRPr="001F2586">
        <w:rPr>
          <w:rFonts w:eastAsia="Calibri" w:hint="cs"/>
          <w:rtl/>
        </w:rPr>
        <w:t xml:space="preserve"> </w:t>
      </w:r>
      <w:r w:rsidRPr="001F2586">
        <w:rPr>
          <w:rFonts w:eastAsia="Calibri" w:hint="cs"/>
        </w:rPr>
        <w:t>M</w:t>
      </w:r>
      <w:r w:rsidRPr="001F2586">
        <w:rPr>
          <w:rFonts w:eastAsia="Calibri"/>
        </w:rPr>
        <w:t>acro-Prudential</w:t>
      </w:r>
      <w:r w:rsidRPr="001F2586">
        <w:rPr>
          <w:rFonts w:eastAsia="Calibri" w:hint="cs"/>
          <w:rtl/>
        </w:rPr>
        <w:t xml:space="preserve">) - ניטור ומניעה של סיכונים פיננסיים העשויים להשפיע על המשק ומניעה של סיכונים שיכולים ליצור כשלים מערכתיים; ופיקוח מוסדי (להלן פיקוח מיקרו-יציבותי </w:t>
      </w:r>
      <w:r w:rsidRPr="001F2586">
        <w:rPr>
          <w:rFonts w:eastAsia="Calibri" w:hint="cs"/>
        </w:rPr>
        <w:t>M</w:t>
      </w:r>
      <w:r w:rsidRPr="001F2586">
        <w:rPr>
          <w:rFonts w:eastAsia="Calibri"/>
        </w:rPr>
        <w:t>icro-Prudential</w:t>
      </w:r>
      <w:r w:rsidRPr="001F2586">
        <w:rPr>
          <w:rFonts w:eastAsia="Calibri" w:hint="cs"/>
          <w:szCs w:val="20"/>
          <w:rtl/>
        </w:rPr>
        <w:t xml:space="preserve">) </w:t>
      </w:r>
      <w:r w:rsidRPr="001F2586">
        <w:rPr>
          <w:rFonts w:eastAsia="Calibri" w:hint="cs"/>
          <w:rtl/>
        </w:rPr>
        <w:t xml:space="preserve">- </w:t>
      </w:r>
      <w:r w:rsidRPr="001F2586">
        <w:rPr>
          <w:rFonts w:eastAsia="Calibri"/>
          <w:rtl/>
        </w:rPr>
        <w:t>מיפוי הסיכונים ברמת הבנק או המוסד</w:t>
      </w:r>
      <w:r w:rsidRPr="001F2586">
        <w:rPr>
          <w:rFonts w:eastAsia="Calibri" w:hint="cs"/>
          <w:rtl/>
        </w:rPr>
        <w:t xml:space="preserve"> </w:t>
      </w:r>
      <w:r w:rsidRPr="001F2586">
        <w:rPr>
          <w:rFonts w:eastAsia="Calibri"/>
          <w:rtl/>
        </w:rPr>
        <w:t>הפיננסי הבודד, במטרה למנוע כשל</w:t>
      </w:r>
      <w:r w:rsidRPr="001F2586">
        <w:rPr>
          <w:rFonts w:eastAsia="Calibri" w:hint="cs"/>
          <w:rtl/>
        </w:rPr>
        <w:t xml:space="preserve"> בעסקיו ו</w:t>
      </w:r>
      <w:r w:rsidRPr="001F2586">
        <w:rPr>
          <w:rFonts w:eastAsia="Calibri"/>
          <w:rtl/>
        </w:rPr>
        <w:t xml:space="preserve">לשמור על יציבותו </w:t>
      </w:r>
      <w:r w:rsidRPr="001F2586">
        <w:rPr>
          <w:rFonts w:eastAsia="Calibri" w:hint="cs"/>
          <w:rtl/>
        </w:rPr>
        <w:t>ביחס ל</w:t>
      </w:r>
      <w:r w:rsidRPr="001F2586">
        <w:rPr>
          <w:rFonts w:eastAsia="Calibri"/>
          <w:rtl/>
        </w:rPr>
        <w:t>בעלי הפיקדונות הכספיים</w:t>
      </w:r>
      <w:r w:rsidRPr="001F2586">
        <w:rPr>
          <w:rFonts w:eastAsia="Calibri" w:hint="cs"/>
          <w:rtl/>
        </w:rPr>
        <w:t xml:space="preserve">, למשל באמצעות תהליך של </w:t>
      </w:r>
      <w:r w:rsidRPr="001F2586">
        <w:rPr>
          <w:rFonts w:eastAsia="Calibri"/>
          <w:rtl/>
        </w:rPr>
        <w:t xml:space="preserve">הערכת </w:t>
      </w:r>
      <w:r w:rsidRPr="001F2586">
        <w:rPr>
          <w:rFonts w:eastAsia="Calibri" w:hint="cs"/>
          <w:rtl/>
        </w:rPr>
        <w:t>סיכונים אליהם חשוף בנק מסוים. מכיוון שהפיקוח על הבנקים</w:t>
      </w:r>
      <w:r w:rsidRPr="001F2586">
        <w:rPr>
          <w:rFonts w:eastAsia="Calibri"/>
          <w:rtl/>
        </w:rPr>
        <w:t xml:space="preserve"> </w:t>
      </w:r>
      <w:r w:rsidRPr="001F2586">
        <w:rPr>
          <w:rFonts w:eastAsia="Calibri" w:hint="cs"/>
          <w:rtl/>
        </w:rPr>
        <w:t xml:space="preserve">מופקד על יציבות הבנקים ועל תמיכה ביציבות הפיננסית במשק </w:t>
      </w:r>
      <w:r w:rsidRPr="001F2586">
        <w:rPr>
          <w:rFonts w:eastAsia="Calibri"/>
          <w:rtl/>
        </w:rPr>
        <w:t xml:space="preserve">יש </w:t>
      </w:r>
      <w:r w:rsidRPr="001F2586">
        <w:rPr>
          <w:rFonts w:eastAsia="Calibri" w:hint="cs"/>
          <w:rtl/>
        </w:rPr>
        <w:t xml:space="preserve">לו </w:t>
      </w:r>
      <w:r w:rsidRPr="001F2586">
        <w:rPr>
          <w:rFonts w:eastAsia="Calibri"/>
          <w:rtl/>
        </w:rPr>
        <w:t xml:space="preserve">תפקיד </w:t>
      </w:r>
      <w:r w:rsidRPr="001F2586">
        <w:rPr>
          <w:rFonts w:eastAsia="Calibri" w:hint="cs"/>
          <w:rtl/>
        </w:rPr>
        <w:t xml:space="preserve">מרכזי </w:t>
      </w:r>
      <w:r w:rsidRPr="001F2586">
        <w:rPr>
          <w:rFonts w:eastAsia="Calibri"/>
          <w:rtl/>
        </w:rPr>
        <w:t xml:space="preserve">בתחום </w:t>
      </w:r>
      <w:r w:rsidRPr="001F2586">
        <w:rPr>
          <w:rFonts w:eastAsia="Calibri" w:hint="cs"/>
          <w:rtl/>
        </w:rPr>
        <w:t xml:space="preserve">של פיקוח </w:t>
      </w:r>
      <w:r w:rsidRPr="001F2586">
        <w:rPr>
          <w:rFonts w:eastAsia="Calibri"/>
          <w:rtl/>
        </w:rPr>
        <w:t>מקרו-יציבותי</w:t>
      </w:r>
      <w:r>
        <w:rPr>
          <w:rFonts w:eastAsia="Calibri"/>
          <w:vertAlign w:val="superscript"/>
          <w:rtl/>
        </w:rPr>
        <w:footnoteReference w:id="45"/>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סעיף 21 ל</w:t>
      </w:r>
      <w:r w:rsidRPr="001F2586">
        <w:rPr>
          <w:rFonts w:eastAsia="Calibri"/>
          <w:rtl/>
        </w:rPr>
        <w:t>חוק הבנקאות</w:t>
      </w:r>
      <w:r w:rsidRPr="001F2586">
        <w:rPr>
          <w:rFonts w:eastAsia="Calibri" w:hint="cs"/>
          <w:rtl/>
        </w:rPr>
        <w:t xml:space="preserve"> (רישוי), </w:t>
      </w:r>
      <w:r w:rsidRPr="001F2586">
        <w:rPr>
          <w:rFonts w:eastAsia="Calibri"/>
          <w:rtl/>
        </w:rPr>
        <w:t>התשמ"א</w:t>
      </w:r>
      <w:r w:rsidRPr="001F2586">
        <w:rPr>
          <w:rFonts w:eastAsia="Calibri" w:hint="cs"/>
          <w:rtl/>
        </w:rPr>
        <w:t xml:space="preserve"> -1981 (להלן - חוק הבנקאות [רישוי]) מקנה לבנקים סמכות לעסוק בקבלת </w:t>
      </w:r>
      <w:r w:rsidRPr="001F2586" w:rsidR="007F31A8">
        <w:rPr>
          <w:rFonts w:eastAsia="Calibri" w:hint="cs"/>
          <w:rtl/>
        </w:rPr>
        <w:t>פיקדונו</w:t>
      </w:r>
      <w:r w:rsidRPr="001F2586" w:rsidR="007F31A8">
        <w:rPr>
          <w:rFonts w:eastAsia="Calibri" w:hint="eastAsia"/>
          <w:rtl/>
        </w:rPr>
        <w:t>ת</w:t>
      </w:r>
      <w:r w:rsidRPr="001F2586">
        <w:rPr>
          <w:rFonts w:eastAsia="Calibri" w:hint="cs"/>
          <w:rtl/>
        </w:rPr>
        <w:t xml:space="preserve"> מהציבור ובמתן אשראי. משכך, הבנקים הם </w:t>
      </w:r>
      <w:r w:rsidRPr="001F2586">
        <w:rPr>
          <w:rFonts w:eastAsia="Calibri"/>
          <w:rtl/>
        </w:rPr>
        <w:t xml:space="preserve">מתווכים </w:t>
      </w:r>
      <w:r w:rsidRPr="001F2586">
        <w:rPr>
          <w:rFonts w:eastAsia="Calibri" w:hint="cs"/>
          <w:rtl/>
        </w:rPr>
        <w:t>פיננסיים</w:t>
      </w:r>
      <w:r w:rsidRPr="001F2586">
        <w:rPr>
          <w:rFonts w:eastAsia="Calibri"/>
          <w:rtl/>
        </w:rPr>
        <w:t xml:space="preserve">, המקבלים כספים </w:t>
      </w:r>
      <w:r w:rsidRPr="001F2586">
        <w:rPr>
          <w:rFonts w:eastAsia="Calibri" w:hint="cs"/>
          <w:rtl/>
        </w:rPr>
        <w:t xml:space="preserve">מהציבור ומשתמשים בו בין היתר למתן אשראי לציבור. מכיוון והעיסוק של הבנקים במתן אשראי לדיור הוא רחב, יש חשיבות רבה לכך שהם יבצעו ניהול סיכונים איכותי ומוקפד, שכן מינוף גבוה או כשל באשראי עלולים לפגוע בנכסי הבנקים וביציבותם. בצד הלווים נטילת אשראי, ובפרט אשראי לדיור, שהיא הוצאה מרכזית של משק הבית, כרוכה גם בסיכון עבורם. לקיחת הלוואה לפרק זמן ארוך כרוכה באי-ודאות ללווים לגבי השינויים בהלוואה וביכולתם לשלם את ההלוואה עד לפירעונה. לכן, יש צורך באסדרה </w:t>
      </w:r>
      <w:r w:rsidRPr="001F2586">
        <w:rPr>
          <w:rFonts w:eastAsia="Calibri" w:hint="cs"/>
          <w:rtl/>
        </w:rPr>
        <w:t>יציבותית</w:t>
      </w:r>
      <w:r w:rsidRPr="001F2586">
        <w:rPr>
          <w:rFonts w:eastAsia="Calibri" w:hint="cs"/>
          <w:rtl/>
        </w:rPr>
        <w:t xml:space="preserve"> השומרת על המערכת הבנקאית ומחזקת את יציבותה, ובאסדרה צרכנית הפועלת למען הציבור ומגינה עליו. אסדרה </w:t>
      </w:r>
      <w:r w:rsidRPr="001F2586">
        <w:rPr>
          <w:rFonts w:eastAsia="Calibri" w:hint="cs"/>
          <w:rtl/>
        </w:rPr>
        <w:t>יציבותית</w:t>
      </w:r>
      <w:r w:rsidRPr="001F2586">
        <w:rPr>
          <w:rFonts w:eastAsia="Calibri" w:hint="cs"/>
          <w:rtl/>
        </w:rPr>
        <w:t xml:space="preserve"> כוללת כללים לניהול סיכונים פיננסיים שונים השומרים על יציבותם של הגופים המפוקחים. אסדרה צרכנית כוללת כללים המחילים הוראות צרכניות על התאגידים הבנקאיים שמטרתן ליצור נורמות של הוגנות ושקיפות במערכת היחסים שבין הבנק ללקוח</w:t>
      </w:r>
      <w:r>
        <w:rPr>
          <w:rFonts w:eastAsia="Calibri"/>
          <w:vertAlign w:val="superscript"/>
          <w:rtl/>
        </w:rPr>
        <w:footnoteReference w:id="46"/>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אסדרה של תחום האשראי מבוססת על תקינה בין-לאומית מקובלת </w:t>
      </w:r>
      <w:r w:rsidRPr="001F2586">
        <w:rPr>
          <w:rFonts w:eastAsia="Calibri"/>
          <w:rtl/>
        </w:rPr>
        <w:t>וכללים שנקבעו במדינות מפותחות,</w:t>
      </w:r>
      <w:r w:rsidRPr="001F2586">
        <w:rPr>
          <w:rFonts w:eastAsia="Calibri" w:hint="cs"/>
          <w:rtl/>
        </w:rPr>
        <w:t xml:space="preserve"> בין היתר של ועדת באזל לפיקוח על הבנקים (להלן - ועדת באזל)</w:t>
      </w:r>
      <w:r w:rsidRPr="001F2586">
        <w:rPr>
          <w:rFonts w:eastAsia="Calibri"/>
          <w:vertAlign w:val="superscript"/>
          <w:rtl/>
        </w:rPr>
        <w:t xml:space="preserve"> </w:t>
      </w:r>
      <w:r>
        <w:rPr>
          <w:rFonts w:eastAsia="Calibri"/>
          <w:vertAlign w:val="superscript"/>
          <w:rtl/>
        </w:rPr>
        <w:footnoteReference w:id="47"/>
      </w:r>
      <w:r w:rsidRPr="001F2586">
        <w:rPr>
          <w:rFonts w:eastAsia="Calibri" w:hint="cs"/>
          <w:rtl/>
        </w:rPr>
        <w:t>. אסדרה זו נעשית</w:t>
      </w:r>
      <w:r w:rsidRPr="001F2586">
        <w:rPr>
          <w:rFonts w:eastAsia="Calibri"/>
          <w:rtl/>
        </w:rPr>
        <w:t xml:space="preserve"> תוך ביצוע התאמות נדרשות לחקיקה המקומית ולמערכת הבנקאית המקומית.</w:t>
      </w:r>
      <w:r w:rsidRPr="001F2586">
        <w:rPr>
          <w:rFonts w:eastAsia="Calibri" w:hint="cs"/>
          <w:rtl/>
        </w:rPr>
        <w:t xml:space="preserve"> </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יעדי הפיקוח על הבנקים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חזון הפיקוח על הבנקים או מטרת העל שלו היא - קידום טובת הציבור על ידי שמירה על היציבות וההוגנות של המערכת הבנקאית. במסגרת זו הגדיר הפיקוח באסטרטגיה שלו</w:t>
      </w:r>
      <w:r w:rsidRPr="001F2586">
        <w:rPr>
          <w:rFonts w:eastAsia="Calibri"/>
          <w:rtl/>
        </w:rPr>
        <w:t xml:space="preserve"> </w:t>
      </w:r>
      <w:r w:rsidRPr="001F2586">
        <w:rPr>
          <w:rFonts w:eastAsia="Calibri" w:hint="cs"/>
          <w:rtl/>
        </w:rPr>
        <w:t>שני יעדים עיקריים - יציבות והוגנות, ושני יעדים תומכים - תחרות</w:t>
      </w:r>
      <w:r>
        <w:rPr>
          <w:rFonts w:eastAsia="Calibri"/>
          <w:vertAlign w:val="superscript"/>
          <w:rtl/>
        </w:rPr>
        <w:footnoteReference w:id="48"/>
      </w:r>
      <w:r w:rsidRPr="001F2586">
        <w:rPr>
          <w:rFonts w:eastAsia="Calibri" w:hint="cs"/>
          <w:rtl/>
        </w:rPr>
        <w:t xml:space="preserve"> ומודל הפעלת פיקוח</w:t>
      </w:r>
      <w:r>
        <w:rPr>
          <w:rFonts w:eastAsia="Calibri"/>
          <w:vertAlign w:val="superscript"/>
          <w:rtl/>
        </w:rPr>
        <w:footnoteReference w:id="49"/>
      </w:r>
      <w:r w:rsidRPr="001F2586">
        <w:rPr>
          <w:rFonts w:eastAsia="Calibri" w:hint="cs"/>
          <w:rtl/>
        </w:rPr>
        <w:t xml:space="preserve">. </w:t>
      </w:r>
      <w:r w:rsidRPr="001F2586">
        <w:rPr>
          <w:rFonts w:eastAsia="Calibri"/>
          <w:rtl/>
        </w:rPr>
        <w:t>הפיקוח על הבנקים רואה ביעדי</w:t>
      </w:r>
      <w:r w:rsidRPr="001F2586">
        <w:rPr>
          <w:rFonts w:eastAsia="Calibri" w:hint="cs"/>
          <w:rtl/>
        </w:rPr>
        <w:t xml:space="preserve"> היציבות וההוגנות </w:t>
      </w:r>
      <w:r w:rsidRPr="001F2586">
        <w:rPr>
          <w:rFonts w:eastAsia="Calibri"/>
          <w:rtl/>
        </w:rPr>
        <w:t xml:space="preserve">יעדים משלימים </w:t>
      </w:r>
      <w:r w:rsidRPr="001F2586">
        <w:rPr>
          <w:rFonts w:eastAsia="Calibri" w:hint="cs"/>
          <w:rtl/>
        </w:rPr>
        <w:t>ה</w:t>
      </w:r>
      <w:r w:rsidRPr="001F2586">
        <w:rPr>
          <w:rFonts w:eastAsia="Calibri"/>
          <w:rtl/>
        </w:rPr>
        <w:t>תומכים זה בזה, שכ</w:t>
      </w:r>
      <w:r w:rsidRPr="001F2586">
        <w:rPr>
          <w:rFonts w:eastAsia="Calibri" w:hint="cs"/>
          <w:rtl/>
        </w:rPr>
        <w:t xml:space="preserve">ן משמעות הפיקוח היא הגנה על כספו </w:t>
      </w:r>
      <w:r w:rsidRPr="001F2586">
        <w:rPr>
          <w:rFonts w:eastAsia="Calibri"/>
          <w:rtl/>
        </w:rPr>
        <w:t>של הלקוח</w:t>
      </w:r>
      <w:r w:rsidRPr="001F2586">
        <w:rPr>
          <w:rFonts w:eastAsia="Calibri" w:hint="cs"/>
          <w:rtl/>
        </w:rPr>
        <w:t xml:space="preserve">, ועם זאת </w:t>
      </w:r>
      <w:r w:rsidRPr="001F2586">
        <w:rPr>
          <w:rFonts w:eastAsia="Calibri"/>
          <w:rtl/>
        </w:rPr>
        <w:t xml:space="preserve">יציבות המערכת תלויה במידה </w:t>
      </w:r>
      <w:r w:rsidRPr="001F2586">
        <w:rPr>
          <w:rFonts w:eastAsia="Calibri" w:hint="cs"/>
          <w:rtl/>
        </w:rPr>
        <w:t>רבה</w:t>
      </w:r>
      <w:r w:rsidRPr="001F2586">
        <w:rPr>
          <w:rFonts w:eastAsia="Calibri"/>
          <w:rtl/>
        </w:rPr>
        <w:t xml:space="preserve"> באמון הניתן בה </w:t>
      </w:r>
      <w:r w:rsidRPr="001F2586">
        <w:rPr>
          <w:rFonts w:eastAsia="Calibri" w:hint="cs"/>
          <w:rtl/>
        </w:rPr>
        <w:t xml:space="preserve">מצד </w:t>
      </w:r>
      <w:r w:rsidRPr="001F2586">
        <w:rPr>
          <w:rFonts w:eastAsia="Calibri"/>
          <w:rtl/>
        </w:rPr>
        <w:t xml:space="preserve">הלקוחות, </w:t>
      </w:r>
      <w:r w:rsidRPr="001F2586">
        <w:rPr>
          <w:rFonts w:eastAsia="Calibri" w:hint="cs"/>
          <w:rtl/>
        </w:rPr>
        <w:t>ה</w:t>
      </w:r>
      <w:r w:rsidRPr="001F2586">
        <w:rPr>
          <w:rFonts w:eastAsia="Calibri"/>
          <w:rtl/>
        </w:rPr>
        <w:t>מושג באמצעות התנהלות הוגנת כלפיהם.</w:t>
      </w:r>
      <w:r w:rsidRPr="001F2586">
        <w:rPr>
          <w:rFonts w:eastAsia="Calibri" w:hint="cs"/>
          <w:rtl/>
        </w:rPr>
        <w:t xml:space="preserve"> </w:t>
      </w:r>
      <w:r w:rsidRPr="001F2586">
        <w:rPr>
          <w:rFonts w:eastAsia="Calibri"/>
          <w:rtl/>
        </w:rPr>
        <w:t>בנוסף</w:t>
      </w:r>
      <w:r w:rsidRPr="001F2586">
        <w:rPr>
          <w:rFonts w:eastAsia="Calibri" w:hint="cs"/>
          <w:rtl/>
        </w:rPr>
        <w:t xml:space="preserve"> לכך</w:t>
      </w:r>
      <w:r w:rsidRPr="001F2586">
        <w:rPr>
          <w:rFonts w:eastAsia="Calibri"/>
          <w:rtl/>
        </w:rPr>
        <w:t xml:space="preserve">, יעד התחרות שהציב הפיקוח על הבנקים הוגדר </w:t>
      </w:r>
      <w:r w:rsidRPr="001F2586">
        <w:rPr>
          <w:rFonts w:eastAsia="Calibri" w:hint="cs"/>
          <w:rtl/>
        </w:rPr>
        <w:t>כיעד תומך ליעדים העיקריים,</w:t>
      </w:r>
      <w:r w:rsidRPr="001F2586">
        <w:rPr>
          <w:rFonts w:eastAsia="Calibri"/>
          <w:rtl/>
        </w:rPr>
        <w:t xml:space="preserve"> שכן התחרות בין</w:t>
      </w:r>
      <w:r w:rsidRPr="001F2586">
        <w:rPr>
          <w:rFonts w:eastAsia="Calibri" w:hint="cs"/>
          <w:rtl/>
        </w:rPr>
        <w:t xml:space="preserve"> </w:t>
      </w:r>
      <w:r w:rsidRPr="001F2586">
        <w:rPr>
          <w:rFonts w:eastAsia="Calibri"/>
          <w:rtl/>
        </w:rPr>
        <w:t>המשתתפים במערכת</w:t>
      </w:r>
      <w:r w:rsidRPr="001F2586">
        <w:rPr>
          <w:rFonts w:eastAsia="Calibri" w:hint="cs"/>
          <w:rtl/>
        </w:rPr>
        <w:t xml:space="preserve"> הפיננסית, כמו בנקים וגופים חוץ בנקאיים, היא הכרחית ויכולה להביא</w:t>
      </w:r>
      <w:r w:rsidRPr="001F2586">
        <w:rPr>
          <w:rFonts w:eastAsia="Calibri"/>
          <w:rtl/>
        </w:rPr>
        <w:t xml:space="preserve"> ליעילות ו</w:t>
      </w:r>
      <w:r w:rsidRPr="001F2586">
        <w:rPr>
          <w:rFonts w:eastAsia="Calibri" w:hint="cs"/>
          <w:rtl/>
        </w:rPr>
        <w:t>ל</w:t>
      </w:r>
      <w:r w:rsidRPr="001F2586">
        <w:rPr>
          <w:rFonts w:eastAsia="Calibri"/>
          <w:rtl/>
        </w:rPr>
        <w:t>מקסום הערך החברתי</w:t>
      </w:r>
      <w:r w:rsidRPr="001F2586">
        <w:rPr>
          <w:rFonts w:eastAsia="Calibri" w:hint="cs"/>
          <w:rtl/>
        </w:rPr>
        <w:t xml:space="preserve">, </w:t>
      </w:r>
      <w:r w:rsidRPr="001F2586">
        <w:rPr>
          <w:rFonts w:eastAsia="Calibri"/>
          <w:rtl/>
        </w:rPr>
        <w:t xml:space="preserve">וכן </w:t>
      </w:r>
      <w:r w:rsidRPr="001F2586">
        <w:rPr>
          <w:rFonts w:eastAsia="Calibri" w:hint="cs"/>
          <w:rtl/>
        </w:rPr>
        <w:t xml:space="preserve">לתרום </w:t>
      </w:r>
      <w:r w:rsidRPr="001F2586">
        <w:rPr>
          <w:rFonts w:eastAsia="Calibri"/>
          <w:rtl/>
        </w:rPr>
        <w:t>לרווח</w:t>
      </w:r>
      <w:r w:rsidRPr="001F2586">
        <w:rPr>
          <w:rFonts w:eastAsia="Calibri" w:hint="cs"/>
          <w:rtl/>
        </w:rPr>
        <w:t>תם</w:t>
      </w:r>
      <w:r w:rsidRPr="001F2586">
        <w:rPr>
          <w:rFonts w:eastAsia="Calibri"/>
          <w:rtl/>
        </w:rPr>
        <w:t xml:space="preserve"> הפיננסית של הלקוחות</w:t>
      </w:r>
      <w:r w:rsidRPr="001F2586">
        <w:rPr>
          <w:rFonts w:eastAsia="Calibri" w:hint="cs"/>
          <w:rtl/>
        </w:rPr>
        <w:t xml:space="preserve">. </w:t>
      </w:r>
      <w:r w:rsidRPr="001F2586">
        <w:rPr>
          <w:rFonts w:eastAsia="Calibri"/>
          <w:rtl/>
        </w:rPr>
        <w:t xml:space="preserve">לאור הקשר </w:t>
      </w:r>
      <w:r w:rsidRPr="001F2586">
        <w:rPr>
          <w:rFonts w:eastAsia="Calibri" w:hint="cs"/>
          <w:rtl/>
        </w:rPr>
        <w:t xml:space="preserve">בין היעדים </w:t>
      </w:r>
      <w:r w:rsidRPr="001F2586">
        <w:rPr>
          <w:rFonts w:eastAsia="Calibri"/>
          <w:rtl/>
        </w:rPr>
        <w:t xml:space="preserve">ניתן לצפות שהפיקוח על הבנקים </w:t>
      </w:r>
      <w:r w:rsidRPr="001F2586">
        <w:rPr>
          <w:rFonts w:eastAsia="Calibri" w:hint="cs"/>
          <w:rtl/>
        </w:rPr>
        <w:t xml:space="preserve">יבחן באופן נרחב את ההשפעות של צעדי אסדרה על היבטים </w:t>
      </w:r>
      <w:r w:rsidRPr="001F2586">
        <w:rPr>
          <w:rFonts w:eastAsia="Calibri" w:hint="cs"/>
          <w:rtl/>
        </w:rPr>
        <w:t>יציבותיים</w:t>
      </w:r>
      <w:r w:rsidRPr="001F2586">
        <w:rPr>
          <w:rFonts w:eastAsia="Calibri" w:hint="cs"/>
          <w:rtl/>
        </w:rPr>
        <w:t xml:space="preserve"> וצרכניים</w:t>
      </w:r>
      <w:r w:rsidRPr="001F2586">
        <w:rPr>
          <w:rFonts w:eastAsia="Calibri"/>
          <w:rtl/>
        </w:rPr>
        <w:t xml:space="preserve">. עם זאת, בהקשרים מסוימים </w:t>
      </w:r>
      <w:r w:rsidRPr="001F2586">
        <w:rPr>
          <w:rFonts w:eastAsia="Calibri" w:hint="cs"/>
          <w:rtl/>
        </w:rPr>
        <w:t>היעדים יכולים</w:t>
      </w:r>
      <w:r w:rsidRPr="001F2586">
        <w:rPr>
          <w:rFonts w:eastAsia="Calibri"/>
          <w:rtl/>
        </w:rPr>
        <w:t xml:space="preserve"> להיות מנוגד</w:t>
      </w:r>
      <w:r w:rsidRPr="001F2586">
        <w:rPr>
          <w:rFonts w:eastAsia="Calibri" w:hint="cs"/>
          <w:rtl/>
        </w:rPr>
        <w:t>ים</w:t>
      </w:r>
      <w:r w:rsidRPr="001F2586">
        <w:rPr>
          <w:rFonts w:eastAsia="Calibri"/>
          <w:rtl/>
        </w:rPr>
        <w:t xml:space="preserve"> </w:t>
      </w:r>
      <w:r w:rsidRPr="001F2586">
        <w:rPr>
          <w:rFonts w:eastAsia="Calibri" w:hint="cs"/>
          <w:rtl/>
        </w:rPr>
        <w:t>זה לזה</w:t>
      </w:r>
      <w:r w:rsidRPr="001F2586">
        <w:rPr>
          <w:rFonts w:eastAsia="Calibri"/>
          <w:rtl/>
        </w:rPr>
        <w:t xml:space="preserve"> ובכך להקשות על הפיקוח </w:t>
      </w:r>
      <w:r w:rsidRPr="001F2586">
        <w:rPr>
          <w:rFonts w:eastAsia="Calibri" w:hint="cs"/>
          <w:rtl/>
        </w:rPr>
        <w:t>להתוות מדיניות המקדמת את שני היעדים.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לפי התפיסה והאסטרטגיה המעודכנות של הפיקוח על הבנקים, כדי לעמוד ביעד היציבות יש צורך לוודא שבנקים מזהים את הסיכונים בפעילות הפיננסית והתפעולית שלהם ומנהלים אותם באופן נאות בהתאם להנחיות הפיקוח ולסטנדרט הבין-לאומי, וכי הם ערוכים לתפקד גם תחת אירועי קיצון. המפקח על הבנקים ציין ב</w:t>
      </w:r>
      <w:r w:rsidRPr="001F2586">
        <w:rPr>
          <w:rFonts w:eastAsia="Calibri"/>
          <w:rtl/>
        </w:rPr>
        <w:t>נאו</w:t>
      </w:r>
      <w:r w:rsidRPr="001F2586">
        <w:rPr>
          <w:rFonts w:eastAsia="Calibri" w:hint="cs"/>
          <w:rtl/>
        </w:rPr>
        <w:t>מו</w:t>
      </w:r>
      <w:r w:rsidRPr="001F2586">
        <w:rPr>
          <w:rFonts w:eastAsia="Calibri"/>
          <w:rtl/>
        </w:rPr>
        <w:t xml:space="preserve"> בכנס בנושא רגולציה פיננסית</w:t>
      </w:r>
      <w:r w:rsidRPr="001F2586">
        <w:rPr>
          <w:rFonts w:eastAsia="Calibri" w:hint="cs"/>
          <w:rtl/>
        </w:rPr>
        <w:t xml:space="preserve"> מפברואר 2024 כי "...השינויים בסביבה המקרו-כלכלית, בעיקר עליית הריבית ובחלקה גם האינפלציה, מחזירים את הסיכונים הפיננסים לקדמת הבמה..."</w:t>
      </w:r>
      <w:r>
        <w:rPr>
          <w:rFonts w:eastAsia="Calibri"/>
          <w:vertAlign w:val="superscript"/>
          <w:rtl/>
        </w:rPr>
        <w:footnoteReference w:id="50"/>
      </w:r>
      <w:r w:rsidRPr="001F2586">
        <w:rPr>
          <w:rFonts w:eastAsia="Calibri" w:hint="cs"/>
          <w:rtl/>
        </w:rPr>
        <w:t>.</w:t>
      </w:r>
    </w:p>
    <w:p w:rsidR="001F2586" w:rsidRPr="001F2586" w:rsidP="001F2586">
      <w:pPr>
        <w:spacing w:line="269" w:lineRule="auto"/>
        <w:rPr>
          <w:rFonts w:eastAsia="Calibri"/>
          <w:rtl/>
        </w:rPr>
      </w:pPr>
    </w:p>
    <w:bookmarkEnd w:id="11"/>
    <w:p w:rsidR="00EB64F7">
      <w:pPr>
        <w:bidi w:val="0"/>
        <w:spacing w:after="200" w:line="276" w:lineRule="auto"/>
        <w:rPr>
          <w:rFonts w:eastAsia="Times New Roman"/>
          <w:bCs/>
          <w:spacing w:val="40"/>
          <w:sz w:val="24"/>
          <w:rtl/>
        </w:rPr>
      </w:pPr>
      <w:r>
        <w:rPr>
          <w:rFonts w:eastAsia="Times New Roman"/>
          <w:bCs/>
          <w:spacing w:val="40"/>
          <w:sz w:val="24"/>
          <w:rtl/>
        </w:rPr>
        <w:br w:type="page"/>
      </w:r>
    </w:p>
    <w:p w:rsidR="001F2586" w:rsidRPr="001F2586" w:rsidP="001F2586">
      <w:pPr>
        <w:keepNext/>
        <w:keepLines/>
        <w:spacing w:line="269" w:lineRule="auto"/>
        <w:outlineLvl w:val="4"/>
        <w:rPr>
          <w:rFonts w:eastAsia="Times New Roman"/>
          <w:bCs/>
          <w:spacing w:val="40"/>
          <w:sz w:val="24"/>
          <w:rtl/>
        </w:rPr>
      </w:pPr>
      <w:r w:rsidRPr="001F2586">
        <w:rPr>
          <w:rFonts w:eastAsia="Times New Roman" w:hint="cs"/>
          <w:bCs/>
          <w:spacing w:val="40"/>
          <w:sz w:val="24"/>
          <w:rtl/>
        </w:rPr>
        <w:t>תפיסת יעד היציבות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הפיקוח על הבנקים </w:t>
      </w:r>
      <w:r w:rsidRPr="001F2586">
        <w:rPr>
          <w:rFonts w:eastAsia="Calibri" w:hint="cs"/>
          <w:rtl/>
        </w:rPr>
        <w:t>מ</w:t>
      </w:r>
      <w:r w:rsidRPr="001F2586">
        <w:rPr>
          <w:rFonts w:eastAsia="Calibri"/>
          <w:rtl/>
        </w:rPr>
        <w:t xml:space="preserve">גדיר את יציבות המערכת הבנקאית כאחד </w:t>
      </w:r>
      <w:r w:rsidRPr="001F2586">
        <w:rPr>
          <w:rFonts w:eastAsia="Calibri" w:hint="cs"/>
          <w:rtl/>
        </w:rPr>
        <w:t xml:space="preserve">מיעדיו העיקריים. כללי </w:t>
      </w:r>
      <w:r w:rsidRPr="001F2586">
        <w:rPr>
          <w:rFonts w:eastAsia="Calibri"/>
          <w:rtl/>
        </w:rPr>
        <w:t>באזל לעקרונות</w:t>
      </w:r>
      <w:r w:rsidRPr="001F2586">
        <w:rPr>
          <w:rFonts w:eastAsia="Calibri" w:hint="cs"/>
          <w:rtl/>
        </w:rPr>
        <w:t xml:space="preserve"> </w:t>
      </w:r>
      <w:r w:rsidRPr="001F2586">
        <w:rPr>
          <w:rFonts w:eastAsia="Calibri"/>
          <w:rtl/>
        </w:rPr>
        <w:t>אפקטיביים של פיקוח על בנקים, קובעים כי העיקרון הראשון בתפקידי המפקח הוא שמירה על יציבותה</w:t>
      </w:r>
      <w:r w:rsidRPr="001F2586">
        <w:rPr>
          <w:rFonts w:eastAsia="Calibri" w:hint="cs"/>
          <w:rtl/>
        </w:rPr>
        <w:t xml:space="preserve"> </w:t>
      </w:r>
      <w:r w:rsidRPr="001F2586">
        <w:rPr>
          <w:rFonts w:eastAsia="Calibri"/>
          <w:rtl/>
        </w:rPr>
        <w:t>הפיננסית של המערכת הבנקאית.</w:t>
      </w:r>
      <w:r w:rsidRPr="001F2586">
        <w:rPr>
          <w:rFonts w:eastAsia="Calibri" w:hint="cs"/>
          <w:rtl/>
        </w:rPr>
        <w:t xml:space="preserve"> </w:t>
      </w:r>
      <w:r w:rsidRPr="001F2586">
        <w:rPr>
          <w:rFonts w:eastAsia="Calibri"/>
          <w:rtl/>
        </w:rPr>
        <w:t>יציבות משמעה שמירה על יציבות הגופים המפוקחים, על</w:t>
      </w:r>
      <w:r w:rsidRPr="001F2586">
        <w:rPr>
          <w:rFonts w:eastAsia="Calibri" w:hint="cs"/>
          <w:rtl/>
        </w:rPr>
        <w:t xml:space="preserve"> </w:t>
      </w:r>
      <w:r w:rsidRPr="001F2586">
        <w:rPr>
          <w:rFonts w:eastAsia="Calibri"/>
          <w:rtl/>
        </w:rPr>
        <w:t>תפקודם הרציף ועל כספי המפקידים, בשגרה ובחירום</w:t>
      </w:r>
      <w:r w:rsidRPr="001F2586">
        <w:rPr>
          <w:rFonts w:eastAsia="Calibri" w:hint="cs"/>
          <w:rtl/>
        </w:rPr>
        <w:t xml:space="preserve">. בתוך כך יציבות נדרשת כדי </w:t>
      </w:r>
      <w:r w:rsidRPr="001F2586">
        <w:rPr>
          <w:rFonts w:eastAsia="Calibri"/>
          <w:rtl/>
        </w:rPr>
        <w:t>לצמצם את</w:t>
      </w:r>
      <w:r w:rsidRPr="001F2586">
        <w:rPr>
          <w:rFonts w:eastAsia="Calibri" w:hint="cs"/>
          <w:rtl/>
        </w:rPr>
        <w:t xml:space="preserve"> </w:t>
      </w:r>
      <w:r w:rsidRPr="001F2586">
        <w:rPr>
          <w:rFonts w:eastAsia="Calibri"/>
          <w:rtl/>
        </w:rPr>
        <w:t>הסבירות לנפילה</w:t>
      </w:r>
      <w:r w:rsidRPr="001F2586">
        <w:rPr>
          <w:rFonts w:eastAsia="Calibri" w:hint="cs"/>
          <w:rtl/>
        </w:rPr>
        <w:t xml:space="preserve"> של בנק ו</w:t>
      </w:r>
      <w:r w:rsidRPr="001F2586">
        <w:rPr>
          <w:rFonts w:eastAsia="Calibri"/>
          <w:rtl/>
        </w:rPr>
        <w:t>למנוע את ההשפעה על כלל</w:t>
      </w:r>
      <w:r w:rsidRPr="001F2586">
        <w:rPr>
          <w:rFonts w:eastAsia="Calibri" w:hint="cs"/>
          <w:rtl/>
        </w:rPr>
        <w:t xml:space="preserve"> המערכת הפיננסית. מערכת בנקאית יציבה נשענת בין היתר על עקרונות יסוד אלו: חוסן פיננסי של תאגידים בנקאיים בהתמודדות עם כשלים פיננסיים; אמון הציבור; ומוכנות לאירוע כשל.</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sz w:val="24"/>
          <w:rtl/>
        </w:rPr>
      </w:pPr>
      <w:r w:rsidRPr="001F2586">
        <w:rPr>
          <w:rFonts w:eastAsia="Times New Roman" w:hint="cs"/>
          <w:bCs/>
          <w:spacing w:val="40"/>
          <w:sz w:val="24"/>
          <w:rtl/>
        </w:rPr>
        <w:t>תפיסת יעד ההוגנות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הפיקוח על הבנקים פועל להטמיע תרבות של הוגנות כלפי הלקוחות ורמת שירות מיטבית ומכלילה. בהתאם </w:t>
      </w:r>
      <w:r w:rsidRPr="001F2586">
        <w:rPr>
          <w:rFonts w:eastAsia="Calibri" w:hint="cs"/>
          <w:rtl/>
        </w:rPr>
        <w:t>לתפיסה זו,</w:t>
      </w:r>
      <w:r w:rsidRPr="001F2586">
        <w:rPr>
          <w:rFonts w:eastAsia="Calibri"/>
          <w:rtl/>
        </w:rPr>
        <w:t xml:space="preserve"> תרבות ארגונית הוגנת של המערכת הבנקאית כלפי</w:t>
      </w:r>
      <w:r w:rsidRPr="001F2586">
        <w:rPr>
          <w:rFonts w:eastAsia="Calibri" w:hint="cs"/>
          <w:rtl/>
        </w:rPr>
        <w:t xml:space="preserve"> </w:t>
      </w:r>
      <w:r w:rsidRPr="001F2586">
        <w:rPr>
          <w:rFonts w:eastAsia="Calibri"/>
          <w:rtl/>
        </w:rPr>
        <w:t>לקוחותיה</w:t>
      </w:r>
      <w:r w:rsidRPr="001F2586">
        <w:rPr>
          <w:rFonts w:eastAsia="Calibri" w:hint="cs"/>
          <w:rtl/>
        </w:rPr>
        <w:t xml:space="preserve"> </w:t>
      </w:r>
      <w:r w:rsidRPr="001F2586">
        <w:rPr>
          <w:rFonts w:eastAsia="Calibri"/>
          <w:rtl/>
        </w:rPr>
        <w:t>היא הבסיס למתן שירות הוגן ואיכותי</w:t>
      </w:r>
      <w:r w:rsidRPr="001F2586">
        <w:rPr>
          <w:rFonts w:eastAsia="Calibri" w:hint="cs"/>
          <w:rtl/>
        </w:rPr>
        <w:t xml:space="preserve"> </w:t>
      </w:r>
      <w:r w:rsidRPr="001F2586">
        <w:rPr>
          <w:rFonts w:eastAsia="Calibri"/>
          <w:rtl/>
        </w:rPr>
        <w:t>ולאמון הציבור במערכת הבנקאית</w:t>
      </w:r>
      <w:r w:rsidRPr="001F2586">
        <w:rPr>
          <w:rFonts w:eastAsia="Calibri" w:hint="cs"/>
          <w:rtl/>
        </w:rPr>
        <w:t xml:space="preserve"> והיא מחזקת את יציבות המערכת הבנקאית. </w:t>
      </w:r>
      <w:r w:rsidRPr="001F2586">
        <w:rPr>
          <w:rFonts w:eastAsia="Calibri"/>
          <w:rtl/>
        </w:rPr>
        <w:t xml:space="preserve">ערך ההוגנות מחייב את </w:t>
      </w:r>
      <w:r w:rsidRPr="001F2586">
        <w:rPr>
          <w:rFonts w:eastAsia="Calibri" w:hint="cs"/>
          <w:rtl/>
        </w:rPr>
        <w:t>התאגידים</w:t>
      </w:r>
      <w:r w:rsidRPr="001F2586">
        <w:rPr>
          <w:rFonts w:eastAsia="Calibri"/>
          <w:rtl/>
        </w:rPr>
        <w:t xml:space="preserve"> הבנקאיים </w:t>
      </w:r>
      <w:r w:rsidRPr="001F2586">
        <w:rPr>
          <w:rFonts w:eastAsia="Calibri" w:hint="cs"/>
          <w:rtl/>
        </w:rPr>
        <w:t>'</w:t>
      </w:r>
      <w:r w:rsidRPr="001F2586">
        <w:rPr>
          <w:rFonts w:eastAsia="Calibri"/>
          <w:rtl/>
        </w:rPr>
        <w:t xml:space="preserve">לשים את הלקוח במרכז', לפעול </w:t>
      </w:r>
      <w:r w:rsidRPr="001F2586">
        <w:rPr>
          <w:rFonts w:eastAsia="Calibri" w:hint="cs"/>
          <w:rtl/>
        </w:rPr>
        <w:t xml:space="preserve">כלפיו </w:t>
      </w:r>
      <w:r w:rsidRPr="001F2586">
        <w:rPr>
          <w:rFonts w:eastAsia="Calibri"/>
          <w:rtl/>
        </w:rPr>
        <w:t>בשקיפות ובהגינות, ולתת</w:t>
      </w:r>
      <w:r w:rsidRPr="001F2586">
        <w:rPr>
          <w:rFonts w:eastAsia="Calibri" w:hint="cs"/>
          <w:rtl/>
        </w:rPr>
        <w:t xml:space="preserve"> </w:t>
      </w:r>
      <w:r w:rsidRPr="001F2586">
        <w:rPr>
          <w:rFonts w:eastAsia="Calibri"/>
          <w:rtl/>
        </w:rPr>
        <w:t xml:space="preserve">לו את הצעת הערך הטובה ביותר </w:t>
      </w:r>
      <w:r w:rsidRPr="001F2586">
        <w:rPr>
          <w:rFonts w:eastAsia="Calibri" w:hint="cs"/>
          <w:rtl/>
        </w:rPr>
        <w:t>בשבילו</w:t>
      </w:r>
      <w:r w:rsidRPr="001F2586">
        <w:rPr>
          <w:rFonts w:eastAsia="Calibri"/>
          <w:rtl/>
        </w:rPr>
        <w:t xml:space="preserve">. </w:t>
      </w:r>
      <w:r w:rsidRPr="001F2586">
        <w:rPr>
          <w:rFonts w:eastAsia="Calibri" w:hint="cs"/>
          <w:rtl/>
        </w:rPr>
        <w:t>מערכת בנקאית הוגנת נשענת בין היתר על עקרונות יסוד אלו: שירות ותמיכה בלקוחות; הכלה פיננסית והגנה על אוכלוסיות ייחודיות; הגנה על לקוחות ומניעת נזקים; צמצום פערי מידע שבין הבנקים ולקוחותיהם; וקידום הרווחה הפיננסית של הלקוח.</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בחינת צעדי האסדרה בתחום האשראי לדיור במערכת הבנקאית </w:t>
      </w:r>
    </w:p>
    <w:p w:rsidR="001F2586" w:rsidRPr="001F2586" w:rsidP="001F2586">
      <w:pPr>
        <w:spacing w:line="269" w:lineRule="auto"/>
        <w:ind w:left="-567"/>
        <w:rPr>
          <w:rFonts w:eastAsia="Calibri"/>
          <w:szCs w:val="20"/>
          <w:rtl/>
        </w:rPr>
      </w:pPr>
    </w:p>
    <w:p w:rsidR="00EF4431" w:rsidRPr="000E18CF" w:rsidP="00EF4431">
      <w:pPr>
        <w:pStyle w:val="a"/>
        <w:spacing w:line="288" w:lineRule="auto"/>
        <w:ind w:left="0"/>
        <w:rPr>
          <w:sz w:val="24"/>
          <w:rtl/>
        </w:rPr>
      </w:pPr>
      <w:bookmarkStart w:id="12" w:name="_Hlk233045774"/>
      <w:r w:rsidRPr="000E18CF">
        <w:rPr>
          <w:rFonts w:hint="eastAsia"/>
          <w:sz w:val="24"/>
          <w:szCs w:val="24"/>
          <w:rtl/>
        </w:rPr>
        <w:t>סעיף</w:t>
      </w:r>
      <w:r w:rsidRPr="000E18CF">
        <w:rPr>
          <w:sz w:val="24"/>
          <w:szCs w:val="24"/>
          <w:rtl/>
        </w:rPr>
        <w:t xml:space="preserve"> 3 </w:t>
      </w:r>
      <w:r w:rsidRPr="000E18CF">
        <w:rPr>
          <w:rFonts w:hint="eastAsia"/>
          <w:sz w:val="24"/>
          <w:szCs w:val="24"/>
          <w:rtl/>
        </w:rPr>
        <w:t>להוראת</w:t>
      </w:r>
      <w:r w:rsidRPr="000E18CF">
        <w:rPr>
          <w:sz w:val="24"/>
          <w:szCs w:val="24"/>
          <w:rtl/>
        </w:rPr>
        <w:t xml:space="preserve"> </w:t>
      </w:r>
      <w:r w:rsidRPr="000E18CF">
        <w:rPr>
          <w:rFonts w:hint="eastAsia"/>
          <w:sz w:val="24"/>
          <w:szCs w:val="24"/>
          <w:rtl/>
        </w:rPr>
        <w:t>נב</w:t>
      </w:r>
      <w:r w:rsidRPr="000E18CF">
        <w:rPr>
          <w:sz w:val="24"/>
          <w:szCs w:val="24"/>
          <w:rtl/>
        </w:rPr>
        <w:t>"ת</w:t>
      </w:r>
      <w:r w:rsidRPr="000E18CF">
        <w:rPr>
          <w:sz w:val="24"/>
          <w:szCs w:val="24"/>
          <w:rtl/>
        </w:rPr>
        <w:t xml:space="preserve"> </w:t>
      </w:r>
      <w:r w:rsidRPr="000E18CF">
        <w:rPr>
          <w:rFonts w:hint="eastAsia"/>
          <w:sz w:val="24"/>
          <w:szCs w:val="24"/>
          <w:rtl/>
        </w:rPr>
        <w:t>מספר</w:t>
      </w:r>
      <w:r w:rsidRPr="000E18CF">
        <w:rPr>
          <w:sz w:val="24"/>
          <w:szCs w:val="24"/>
          <w:rtl/>
        </w:rPr>
        <w:t xml:space="preserve"> 451 - "נהלים </w:t>
      </w:r>
      <w:r w:rsidRPr="000E18CF">
        <w:rPr>
          <w:rFonts w:hint="eastAsia"/>
          <w:sz w:val="24"/>
          <w:szCs w:val="24"/>
          <w:rtl/>
        </w:rPr>
        <w:t>למתן</w:t>
      </w:r>
      <w:r w:rsidRPr="000E18CF">
        <w:rPr>
          <w:sz w:val="24"/>
          <w:szCs w:val="24"/>
          <w:rtl/>
        </w:rPr>
        <w:t xml:space="preserve"> </w:t>
      </w:r>
      <w:r w:rsidRPr="000E18CF">
        <w:rPr>
          <w:rFonts w:hint="eastAsia"/>
          <w:sz w:val="24"/>
          <w:szCs w:val="24"/>
          <w:rtl/>
        </w:rPr>
        <w:t>הלוואות</w:t>
      </w:r>
      <w:r w:rsidRPr="000E18CF">
        <w:rPr>
          <w:sz w:val="24"/>
          <w:szCs w:val="24"/>
          <w:rtl/>
        </w:rPr>
        <w:t xml:space="preserve"> </w:t>
      </w:r>
      <w:r w:rsidRPr="000E18CF">
        <w:rPr>
          <w:rFonts w:hint="eastAsia"/>
          <w:sz w:val="24"/>
          <w:szCs w:val="24"/>
          <w:rtl/>
        </w:rPr>
        <w:t>לדיור</w:t>
      </w:r>
      <w:r w:rsidRPr="000E18CF">
        <w:rPr>
          <w:sz w:val="24"/>
          <w:szCs w:val="24"/>
          <w:rtl/>
        </w:rPr>
        <w:t xml:space="preserve">" (להלן - </w:t>
      </w:r>
      <w:r w:rsidRPr="000E18CF">
        <w:rPr>
          <w:rFonts w:hint="eastAsia"/>
          <w:sz w:val="24"/>
          <w:szCs w:val="24"/>
          <w:rtl/>
        </w:rPr>
        <w:t>נב</w:t>
      </w:r>
      <w:r w:rsidRPr="000E18CF">
        <w:rPr>
          <w:sz w:val="24"/>
          <w:szCs w:val="24"/>
          <w:rtl/>
        </w:rPr>
        <w:t>"ת</w:t>
      </w:r>
      <w:r w:rsidRPr="000E18CF">
        <w:rPr>
          <w:sz w:val="24"/>
          <w:szCs w:val="24"/>
          <w:rtl/>
        </w:rPr>
        <w:t xml:space="preserve"> 451)</w:t>
      </w:r>
      <w:r w:rsidRPr="000E18CF">
        <w:rPr>
          <w:rStyle w:val="Hyperlink"/>
          <w:sz w:val="24"/>
        </w:rPr>
        <w:t xml:space="preserve"> </w:t>
      </w:r>
      <w:r w:rsidRPr="000E18CF">
        <w:rPr>
          <w:rStyle w:val="Hyperlink"/>
          <w:rFonts w:hint="eastAsia"/>
          <w:sz w:val="24"/>
          <w:szCs w:val="24"/>
          <w:rtl/>
        </w:rPr>
        <w:t>קובע</w:t>
      </w:r>
      <w:r w:rsidRPr="000E18CF">
        <w:rPr>
          <w:rStyle w:val="Hyperlink"/>
          <w:sz w:val="24"/>
          <w:szCs w:val="24"/>
          <w:rtl/>
        </w:rPr>
        <w:t xml:space="preserve"> </w:t>
      </w:r>
      <w:r w:rsidRPr="000E18CF">
        <w:rPr>
          <w:rStyle w:val="Hyperlink"/>
          <w:rFonts w:hint="eastAsia"/>
          <w:sz w:val="24"/>
          <w:szCs w:val="24"/>
          <w:rtl/>
        </w:rPr>
        <w:t>כי</w:t>
      </w:r>
      <w:r w:rsidRPr="000E18CF">
        <w:rPr>
          <w:sz w:val="24"/>
          <w:szCs w:val="24"/>
          <w:rtl/>
        </w:rPr>
        <w:t xml:space="preserve"> הלוואה לדיור היא הלוואה המקיימת את אחד התנאים </w:t>
      </w:r>
      <w:r w:rsidRPr="000C6453">
        <w:rPr>
          <w:rFonts w:hint="cs"/>
          <w:sz w:val="24"/>
          <w:szCs w:val="24"/>
          <w:rtl/>
        </w:rPr>
        <w:t>שלהלן</w:t>
      </w:r>
      <w:r w:rsidRPr="000E18CF">
        <w:rPr>
          <w:sz w:val="24"/>
          <w:szCs w:val="24"/>
          <w:rtl/>
        </w:rPr>
        <w:t xml:space="preserve">, </w:t>
      </w:r>
      <w:r w:rsidRPr="000E18CF">
        <w:rPr>
          <w:rFonts w:hint="eastAsia"/>
          <w:sz w:val="24"/>
          <w:szCs w:val="24"/>
          <w:rtl/>
        </w:rPr>
        <w:t>ובלבד</w:t>
      </w:r>
      <w:r w:rsidRPr="000E18CF">
        <w:rPr>
          <w:sz w:val="24"/>
          <w:szCs w:val="24"/>
          <w:rtl/>
        </w:rPr>
        <w:t xml:space="preserve"> </w:t>
      </w:r>
      <w:r w:rsidRPr="000E18CF">
        <w:rPr>
          <w:rFonts w:hint="eastAsia"/>
          <w:sz w:val="24"/>
          <w:szCs w:val="24"/>
          <w:rtl/>
        </w:rPr>
        <w:t>שאינה</w:t>
      </w:r>
      <w:r w:rsidRPr="000E18CF">
        <w:rPr>
          <w:sz w:val="24"/>
          <w:szCs w:val="24"/>
          <w:rtl/>
        </w:rPr>
        <w:t xml:space="preserve"> </w:t>
      </w:r>
      <w:r w:rsidRPr="000E18CF">
        <w:rPr>
          <w:rFonts w:hint="eastAsia"/>
          <w:sz w:val="24"/>
          <w:szCs w:val="24"/>
          <w:rtl/>
        </w:rPr>
        <w:t>למטרת</w:t>
      </w:r>
      <w:r w:rsidRPr="000E18CF">
        <w:rPr>
          <w:sz w:val="24"/>
          <w:szCs w:val="24"/>
          <w:rtl/>
        </w:rPr>
        <w:t xml:space="preserve"> </w:t>
      </w:r>
      <w:r w:rsidRPr="000E18CF">
        <w:rPr>
          <w:rFonts w:hint="eastAsia"/>
          <w:sz w:val="24"/>
          <w:szCs w:val="24"/>
          <w:rtl/>
        </w:rPr>
        <w:t>עסק</w:t>
      </w:r>
      <w:r w:rsidRPr="000E18CF">
        <w:rPr>
          <w:sz w:val="24"/>
          <w:szCs w:val="24"/>
          <w:rtl/>
        </w:rPr>
        <w:t xml:space="preserve">: </w:t>
      </w:r>
      <w:r w:rsidRPr="000E18CF">
        <w:rPr>
          <w:rFonts w:hint="eastAsia"/>
          <w:sz w:val="24"/>
          <w:szCs w:val="24"/>
          <w:rtl/>
        </w:rPr>
        <w:t>הלוואה</w:t>
      </w:r>
      <w:r w:rsidRPr="000E18CF">
        <w:rPr>
          <w:sz w:val="24"/>
          <w:szCs w:val="24"/>
          <w:rtl/>
        </w:rPr>
        <w:t xml:space="preserve"> </w:t>
      </w:r>
      <w:r w:rsidRPr="000E18CF">
        <w:rPr>
          <w:rFonts w:hint="eastAsia"/>
          <w:sz w:val="24"/>
          <w:szCs w:val="24"/>
          <w:rtl/>
        </w:rPr>
        <w:t>המיועדת</w:t>
      </w:r>
      <w:r w:rsidRPr="000E18CF">
        <w:rPr>
          <w:sz w:val="24"/>
          <w:szCs w:val="24"/>
          <w:rtl/>
        </w:rPr>
        <w:t xml:space="preserve"> </w:t>
      </w:r>
      <w:r w:rsidRPr="000E18CF">
        <w:rPr>
          <w:rFonts w:hint="eastAsia"/>
          <w:sz w:val="24"/>
          <w:szCs w:val="24"/>
          <w:rtl/>
        </w:rPr>
        <w:t>ל</w:t>
      </w:r>
      <w:r w:rsidRPr="000E18CF">
        <w:rPr>
          <w:sz w:val="24"/>
          <w:szCs w:val="24"/>
          <w:rtl/>
        </w:rPr>
        <w:t>רכישה או לחכירה של דיר</w:t>
      </w:r>
      <w:r w:rsidRPr="000E18CF">
        <w:rPr>
          <w:rFonts w:hint="eastAsia"/>
          <w:sz w:val="24"/>
          <w:szCs w:val="24"/>
          <w:rtl/>
        </w:rPr>
        <w:t>ה</w:t>
      </w:r>
      <w:r w:rsidRPr="000E18CF">
        <w:rPr>
          <w:sz w:val="24"/>
          <w:szCs w:val="24"/>
          <w:rtl/>
        </w:rPr>
        <w:t xml:space="preserve">, בנייתה, הרחבתה או שיפוצה, </w:t>
      </w:r>
      <w:r w:rsidRPr="000E18CF">
        <w:rPr>
          <w:rFonts w:hint="eastAsia"/>
          <w:sz w:val="24"/>
          <w:szCs w:val="24"/>
          <w:rtl/>
        </w:rPr>
        <w:t>וכן</w:t>
      </w:r>
      <w:r w:rsidRPr="000E18CF">
        <w:rPr>
          <w:sz w:val="24"/>
          <w:szCs w:val="24"/>
          <w:rtl/>
        </w:rPr>
        <w:t xml:space="preserve"> </w:t>
      </w:r>
      <w:r w:rsidRPr="000E18CF">
        <w:rPr>
          <w:rFonts w:hint="eastAsia"/>
          <w:sz w:val="24"/>
          <w:szCs w:val="24"/>
          <w:rtl/>
        </w:rPr>
        <w:t>הלוואה</w:t>
      </w:r>
      <w:r w:rsidRPr="000E18CF">
        <w:rPr>
          <w:sz w:val="24"/>
          <w:szCs w:val="24"/>
          <w:rtl/>
        </w:rPr>
        <w:t xml:space="preserve"> </w:t>
      </w:r>
      <w:r w:rsidRPr="000E18CF">
        <w:rPr>
          <w:rFonts w:hint="eastAsia"/>
          <w:sz w:val="24"/>
          <w:szCs w:val="24"/>
          <w:rtl/>
        </w:rPr>
        <w:t>המיועדת</w:t>
      </w:r>
      <w:r w:rsidRPr="000E18CF">
        <w:rPr>
          <w:sz w:val="24"/>
          <w:szCs w:val="24"/>
          <w:rtl/>
        </w:rPr>
        <w:t xml:space="preserve"> </w:t>
      </w:r>
      <w:r w:rsidRPr="000E18CF">
        <w:rPr>
          <w:rFonts w:hint="eastAsia"/>
          <w:sz w:val="24"/>
          <w:szCs w:val="24"/>
          <w:rtl/>
        </w:rPr>
        <w:t>למימון</w:t>
      </w:r>
      <w:r w:rsidRPr="000E18CF">
        <w:rPr>
          <w:sz w:val="24"/>
          <w:szCs w:val="24"/>
          <w:rtl/>
        </w:rPr>
        <w:t xml:space="preserve"> </w:t>
      </w:r>
      <w:r w:rsidRPr="000E18CF">
        <w:rPr>
          <w:rFonts w:hint="eastAsia"/>
          <w:sz w:val="24"/>
          <w:szCs w:val="24"/>
          <w:rtl/>
        </w:rPr>
        <w:t>פירעון</w:t>
      </w:r>
      <w:r w:rsidRPr="000E18CF">
        <w:rPr>
          <w:sz w:val="24"/>
          <w:szCs w:val="24"/>
          <w:rtl/>
        </w:rPr>
        <w:t xml:space="preserve"> </w:t>
      </w:r>
      <w:r w:rsidRPr="000E18CF">
        <w:rPr>
          <w:rFonts w:hint="eastAsia"/>
          <w:sz w:val="24"/>
          <w:szCs w:val="24"/>
          <w:rtl/>
        </w:rPr>
        <w:t>מוקדם</w:t>
      </w:r>
      <w:r>
        <w:rPr>
          <w:rStyle w:val="FootnoteReference1"/>
          <w:sz w:val="24"/>
          <w:szCs w:val="24"/>
          <w:rtl/>
        </w:rPr>
        <w:footnoteReference w:id="51"/>
      </w:r>
      <w:r w:rsidRPr="000E18CF">
        <w:rPr>
          <w:sz w:val="24"/>
          <w:szCs w:val="24"/>
          <w:rtl/>
        </w:rPr>
        <w:t xml:space="preserve">, </w:t>
      </w:r>
      <w:r w:rsidRPr="000E18CF">
        <w:rPr>
          <w:rFonts w:hint="eastAsia"/>
          <w:sz w:val="24"/>
          <w:szCs w:val="24"/>
          <w:rtl/>
        </w:rPr>
        <w:t>מלא</w:t>
      </w:r>
      <w:r w:rsidRPr="000E18CF">
        <w:rPr>
          <w:sz w:val="24"/>
          <w:szCs w:val="24"/>
          <w:rtl/>
        </w:rPr>
        <w:t xml:space="preserve"> </w:t>
      </w:r>
      <w:r w:rsidRPr="000E18CF">
        <w:rPr>
          <w:rFonts w:hint="eastAsia"/>
          <w:sz w:val="24"/>
          <w:szCs w:val="24"/>
          <w:rtl/>
        </w:rPr>
        <w:t>או</w:t>
      </w:r>
      <w:r w:rsidRPr="000E18CF">
        <w:rPr>
          <w:sz w:val="24"/>
          <w:szCs w:val="24"/>
          <w:rtl/>
        </w:rPr>
        <w:t xml:space="preserve"> </w:t>
      </w:r>
      <w:r w:rsidRPr="000E18CF">
        <w:rPr>
          <w:rFonts w:hint="eastAsia"/>
          <w:sz w:val="24"/>
          <w:szCs w:val="24"/>
          <w:rtl/>
        </w:rPr>
        <w:t>חלקי</w:t>
      </w:r>
      <w:r w:rsidRPr="000E18CF">
        <w:rPr>
          <w:sz w:val="24"/>
          <w:szCs w:val="24"/>
          <w:rtl/>
        </w:rPr>
        <w:t xml:space="preserve">, </w:t>
      </w:r>
      <w:r w:rsidRPr="000E18CF">
        <w:rPr>
          <w:rFonts w:hint="eastAsia"/>
          <w:sz w:val="24"/>
          <w:szCs w:val="24"/>
          <w:rtl/>
        </w:rPr>
        <w:t>של</w:t>
      </w:r>
      <w:r w:rsidRPr="000E18CF">
        <w:rPr>
          <w:sz w:val="24"/>
          <w:szCs w:val="24"/>
          <w:rtl/>
        </w:rPr>
        <w:t xml:space="preserve"> </w:t>
      </w:r>
      <w:r w:rsidRPr="000E18CF">
        <w:rPr>
          <w:rFonts w:hint="eastAsia"/>
          <w:sz w:val="24"/>
          <w:szCs w:val="24"/>
          <w:rtl/>
        </w:rPr>
        <w:t>הלוואה</w:t>
      </w:r>
      <w:r w:rsidRPr="000E18CF">
        <w:rPr>
          <w:sz w:val="24"/>
          <w:szCs w:val="24"/>
          <w:rtl/>
        </w:rPr>
        <w:t xml:space="preserve"> </w:t>
      </w:r>
      <w:r w:rsidRPr="000E18CF">
        <w:rPr>
          <w:rFonts w:hint="eastAsia"/>
          <w:sz w:val="24"/>
          <w:szCs w:val="24"/>
          <w:rtl/>
        </w:rPr>
        <w:t>שניתנה</w:t>
      </w:r>
      <w:r w:rsidRPr="000E18CF">
        <w:rPr>
          <w:sz w:val="24"/>
          <w:szCs w:val="24"/>
          <w:rtl/>
        </w:rPr>
        <w:t xml:space="preserve"> </w:t>
      </w:r>
      <w:r w:rsidRPr="000E18CF">
        <w:rPr>
          <w:rFonts w:hint="eastAsia"/>
          <w:sz w:val="24"/>
          <w:szCs w:val="24"/>
          <w:rtl/>
        </w:rPr>
        <w:t>למטרות</w:t>
      </w:r>
      <w:r w:rsidRPr="000E18CF">
        <w:rPr>
          <w:sz w:val="24"/>
          <w:szCs w:val="24"/>
          <w:rtl/>
        </w:rPr>
        <w:t xml:space="preserve"> </w:t>
      </w:r>
      <w:r w:rsidRPr="000E18CF">
        <w:rPr>
          <w:rFonts w:hint="eastAsia"/>
          <w:sz w:val="24"/>
          <w:szCs w:val="24"/>
          <w:rtl/>
        </w:rPr>
        <w:t>אלו</w:t>
      </w:r>
      <w:r w:rsidRPr="000E18CF">
        <w:rPr>
          <w:sz w:val="24"/>
          <w:szCs w:val="24"/>
          <w:rtl/>
        </w:rPr>
        <w:t xml:space="preserve">; </w:t>
      </w:r>
      <w:r w:rsidRPr="000E18CF">
        <w:rPr>
          <w:rFonts w:hint="eastAsia"/>
          <w:sz w:val="24"/>
          <w:szCs w:val="24"/>
          <w:rtl/>
        </w:rPr>
        <w:t>הלוואה</w:t>
      </w:r>
      <w:r w:rsidRPr="000E18CF">
        <w:rPr>
          <w:sz w:val="24"/>
          <w:szCs w:val="24"/>
          <w:rtl/>
        </w:rPr>
        <w:t xml:space="preserve"> </w:t>
      </w:r>
      <w:r w:rsidRPr="000E18CF">
        <w:rPr>
          <w:rFonts w:hint="eastAsia"/>
          <w:sz w:val="24"/>
          <w:szCs w:val="24"/>
          <w:rtl/>
        </w:rPr>
        <w:t>המיועדת</w:t>
      </w:r>
      <w:r w:rsidRPr="000E18CF">
        <w:rPr>
          <w:sz w:val="24"/>
          <w:szCs w:val="24"/>
          <w:rtl/>
        </w:rPr>
        <w:t xml:space="preserve"> </w:t>
      </w:r>
      <w:r w:rsidRPr="000E18CF">
        <w:rPr>
          <w:rFonts w:hint="eastAsia"/>
          <w:sz w:val="24"/>
          <w:szCs w:val="24"/>
          <w:rtl/>
        </w:rPr>
        <w:t>ל</w:t>
      </w:r>
      <w:r w:rsidRPr="000E18CF">
        <w:rPr>
          <w:sz w:val="24"/>
          <w:szCs w:val="24"/>
          <w:rtl/>
        </w:rPr>
        <w:t>רכישת מגרש לבניית דיר</w:t>
      </w:r>
      <w:r w:rsidRPr="000E18CF">
        <w:rPr>
          <w:rFonts w:hint="eastAsia"/>
          <w:sz w:val="24"/>
          <w:szCs w:val="24"/>
          <w:rtl/>
        </w:rPr>
        <w:t>ה</w:t>
      </w:r>
      <w:r w:rsidRPr="000E18CF">
        <w:rPr>
          <w:sz w:val="24"/>
          <w:szCs w:val="24"/>
          <w:rtl/>
        </w:rPr>
        <w:t xml:space="preserve"> או לרכישת זכות </w:t>
      </w:r>
      <w:r w:rsidRPr="000E18CF">
        <w:rPr>
          <w:rFonts w:hint="eastAsia"/>
          <w:sz w:val="24"/>
          <w:szCs w:val="24"/>
          <w:rtl/>
        </w:rPr>
        <w:t>בה</w:t>
      </w:r>
      <w:r w:rsidRPr="000E18CF">
        <w:rPr>
          <w:sz w:val="24"/>
          <w:szCs w:val="24"/>
          <w:rtl/>
        </w:rPr>
        <w:t xml:space="preserve"> תמורת דמי מפתח, </w:t>
      </w:r>
      <w:r w:rsidRPr="000E18CF">
        <w:rPr>
          <w:rFonts w:hint="eastAsia"/>
          <w:sz w:val="24"/>
          <w:szCs w:val="24"/>
          <w:rtl/>
        </w:rPr>
        <w:t>וכן</w:t>
      </w:r>
      <w:r w:rsidRPr="000E18CF">
        <w:rPr>
          <w:sz w:val="24"/>
          <w:szCs w:val="24"/>
          <w:rtl/>
        </w:rPr>
        <w:t xml:space="preserve"> </w:t>
      </w:r>
      <w:r w:rsidRPr="000E18CF">
        <w:rPr>
          <w:rFonts w:hint="eastAsia"/>
          <w:sz w:val="24"/>
          <w:szCs w:val="24"/>
          <w:rtl/>
        </w:rPr>
        <w:t>הלוואה</w:t>
      </w:r>
      <w:r w:rsidRPr="000E18CF">
        <w:rPr>
          <w:sz w:val="24"/>
          <w:szCs w:val="24"/>
          <w:rtl/>
        </w:rPr>
        <w:t xml:space="preserve"> </w:t>
      </w:r>
      <w:r w:rsidRPr="000E18CF">
        <w:rPr>
          <w:rFonts w:hint="eastAsia"/>
          <w:sz w:val="24"/>
          <w:szCs w:val="24"/>
          <w:rtl/>
        </w:rPr>
        <w:t>המיועדת</w:t>
      </w:r>
      <w:r w:rsidRPr="000E18CF">
        <w:rPr>
          <w:sz w:val="24"/>
          <w:szCs w:val="24"/>
          <w:rtl/>
        </w:rPr>
        <w:t xml:space="preserve"> </w:t>
      </w:r>
      <w:r w:rsidRPr="000E18CF">
        <w:rPr>
          <w:rFonts w:hint="eastAsia"/>
          <w:sz w:val="24"/>
          <w:szCs w:val="24"/>
          <w:rtl/>
        </w:rPr>
        <w:t>למימון</w:t>
      </w:r>
      <w:r w:rsidRPr="000E18CF">
        <w:rPr>
          <w:sz w:val="24"/>
          <w:szCs w:val="24"/>
          <w:rtl/>
        </w:rPr>
        <w:t xml:space="preserve"> </w:t>
      </w:r>
      <w:r w:rsidRPr="000E18CF">
        <w:rPr>
          <w:rFonts w:hint="eastAsia"/>
          <w:sz w:val="24"/>
          <w:szCs w:val="24"/>
          <w:rtl/>
        </w:rPr>
        <w:t>פירעון</w:t>
      </w:r>
      <w:r w:rsidRPr="000E18CF">
        <w:rPr>
          <w:sz w:val="24"/>
          <w:szCs w:val="24"/>
          <w:rtl/>
        </w:rPr>
        <w:t xml:space="preserve"> </w:t>
      </w:r>
      <w:r w:rsidRPr="000E18CF">
        <w:rPr>
          <w:rFonts w:hint="eastAsia"/>
          <w:sz w:val="24"/>
          <w:szCs w:val="24"/>
          <w:rtl/>
        </w:rPr>
        <w:t>מוקדם</w:t>
      </w:r>
      <w:r w:rsidRPr="000E18CF">
        <w:rPr>
          <w:sz w:val="24"/>
          <w:szCs w:val="24"/>
          <w:rtl/>
        </w:rPr>
        <w:t xml:space="preserve">, </w:t>
      </w:r>
      <w:r w:rsidRPr="000E18CF">
        <w:rPr>
          <w:rFonts w:hint="eastAsia"/>
          <w:sz w:val="24"/>
          <w:szCs w:val="24"/>
          <w:rtl/>
        </w:rPr>
        <w:t>מלא</w:t>
      </w:r>
      <w:r w:rsidRPr="000E18CF">
        <w:rPr>
          <w:sz w:val="24"/>
          <w:szCs w:val="24"/>
          <w:rtl/>
        </w:rPr>
        <w:t xml:space="preserve"> </w:t>
      </w:r>
      <w:r w:rsidRPr="000E18CF">
        <w:rPr>
          <w:rFonts w:hint="eastAsia"/>
          <w:sz w:val="24"/>
          <w:szCs w:val="24"/>
          <w:rtl/>
        </w:rPr>
        <w:t>או</w:t>
      </w:r>
      <w:r w:rsidRPr="000E18CF">
        <w:rPr>
          <w:sz w:val="24"/>
          <w:szCs w:val="24"/>
          <w:rtl/>
        </w:rPr>
        <w:t xml:space="preserve"> </w:t>
      </w:r>
      <w:r w:rsidRPr="000E18CF">
        <w:rPr>
          <w:rFonts w:hint="eastAsia"/>
          <w:sz w:val="24"/>
          <w:szCs w:val="24"/>
          <w:rtl/>
        </w:rPr>
        <w:t>חלקי</w:t>
      </w:r>
      <w:r w:rsidRPr="000E18CF">
        <w:rPr>
          <w:sz w:val="24"/>
          <w:szCs w:val="24"/>
          <w:rtl/>
        </w:rPr>
        <w:t xml:space="preserve">, </w:t>
      </w:r>
      <w:r w:rsidRPr="000E18CF">
        <w:rPr>
          <w:rFonts w:hint="eastAsia"/>
          <w:sz w:val="24"/>
          <w:szCs w:val="24"/>
          <w:rtl/>
        </w:rPr>
        <w:t>של</w:t>
      </w:r>
      <w:r w:rsidRPr="000E18CF">
        <w:rPr>
          <w:sz w:val="24"/>
          <w:szCs w:val="24"/>
          <w:rtl/>
        </w:rPr>
        <w:t xml:space="preserve"> </w:t>
      </w:r>
      <w:r w:rsidRPr="000E18CF">
        <w:rPr>
          <w:rFonts w:hint="eastAsia"/>
          <w:sz w:val="24"/>
          <w:szCs w:val="24"/>
          <w:rtl/>
        </w:rPr>
        <w:t>הלוואה</w:t>
      </w:r>
      <w:r w:rsidRPr="000E18CF">
        <w:rPr>
          <w:sz w:val="24"/>
          <w:szCs w:val="24"/>
          <w:rtl/>
        </w:rPr>
        <w:t xml:space="preserve"> </w:t>
      </w:r>
      <w:r w:rsidRPr="000E18CF">
        <w:rPr>
          <w:rFonts w:hint="eastAsia"/>
          <w:sz w:val="24"/>
          <w:szCs w:val="24"/>
          <w:rtl/>
        </w:rPr>
        <w:t>שניתנה</w:t>
      </w:r>
      <w:r w:rsidRPr="000E18CF">
        <w:rPr>
          <w:sz w:val="24"/>
          <w:szCs w:val="24"/>
          <w:rtl/>
        </w:rPr>
        <w:t xml:space="preserve"> </w:t>
      </w:r>
      <w:r w:rsidRPr="000E18CF">
        <w:rPr>
          <w:rFonts w:hint="eastAsia"/>
          <w:sz w:val="24"/>
          <w:szCs w:val="24"/>
          <w:rtl/>
        </w:rPr>
        <w:t>למטרות</w:t>
      </w:r>
      <w:r w:rsidRPr="000E18CF">
        <w:rPr>
          <w:sz w:val="24"/>
          <w:szCs w:val="24"/>
          <w:rtl/>
        </w:rPr>
        <w:t xml:space="preserve"> </w:t>
      </w:r>
      <w:r w:rsidRPr="000E18CF">
        <w:rPr>
          <w:rFonts w:hint="eastAsia"/>
          <w:sz w:val="24"/>
          <w:szCs w:val="24"/>
          <w:rtl/>
        </w:rPr>
        <w:t>אלו</w:t>
      </w:r>
      <w:r w:rsidRPr="000E18CF">
        <w:rPr>
          <w:sz w:val="24"/>
          <w:szCs w:val="24"/>
          <w:rtl/>
        </w:rPr>
        <w:t xml:space="preserve">; </w:t>
      </w:r>
      <w:r w:rsidRPr="000E18CF">
        <w:rPr>
          <w:rFonts w:hint="eastAsia"/>
          <w:sz w:val="24"/>
          <w:szCs w:val="24"/>
          <w:rtl/>
        </w:rPr>
        <w:t>והלוואה</w:t>
      </w:r>
      <w:r w:rsidRPr="000E18CF">
        <w:rPr>
          <w:sz w:val="24"/>
          <w:szCs w:val="24"/>
          <w:rtl/>
        </w:rPr>
        <w:t xml:space="preserve"> </w:t>
      </w:r>
      <w:r w:rsidRPr="000E18CF">
        <w:rPr>
          <w:rFonts w:hint="eastAsia"/>
          <w:sz w:val="24"/>
          <w:szCs w:val="24"/>
          <w:rtl/>
        </w:rPr>
        <w:t>ה</w:t>
      </w:r>
      <w:r w:rsidRPr="000E18CF">
        <w:rPr>
          <w:sz w:val="24"/>
          <w:szCs w:val="24"/>
          <w:rtl/>
        </w:rPr>
        <w:t>ניתנ</w:t>
      </w:r>
      <w:r w:rsidRPr="000E18CF">
        <w:rPr>
          <w:rFonts w:hint="eastAsia"/>
          <w:sz w:val="24"/>
          <w:szCs w:val="24"/>
          <w:rtl/>
        </w:rPr>
        <w:t>ת</w:t>
      </w:r>
      <w:r w:rsidRPr="000E18CF">
        <w:rPr>
          <w:sz w:val="24"/>
          <w:szCs w:val="24"/>
          <w:rtl/>
        </w:rPr>
        <w:t xml:space="preserve"> "במשכון דירת מגורים"</w:t>
      </w:r>
      <w:r>
        <w:rPr>
          <w:rStyle w:val="FootnoteReference1"/>
          <w:sz w:val="24"/>
          <w:szCs w:val="24"/>
          <w:rtl/>
        </w:rPr>
        <w:footnoteReference w:id="52"/>
      </w:r>
      <w:r w:rsidRPr="000E18CF">
        <w:rPr>
          <w:sz w:val="24"/>
          <w:szCs w:val="24"/>
          <w:rtl/>
        </w:rPr>
        <w:t xml:space="preserve">. </w:t>
      </w:r>
    </w:p>
    <w:bookmarkEnd w:id="12"/>
    <w:p w:rsidR="00494948" w:rsidP="001F2586">
      <w:pPr>
        <w:spacing w:line="269" w:lineRule="auto"/>
        <w:rPr>
          <w:rFonts w:eastAsia="Calibri"/>
          <w:rtl/>
        </w:rPr>
      </w:pPr>
    </w:p>
    <w:p w:rsidR="00494948" w:rsidP="001F2586">
      <w:pPr>
        <w:spacing w:line="269" w:lineRule="auto"/>
        <w:rPr>
          <w:rFonts w:eastAsia="Calibri"/>
          <w:rtl/>
        </w:rPr>
      </w:pPr>
      <w:r w:rsidRPr="001F2586">
        <w:rPr>
          <w:rFonts w:eastAsia="Calibri"/>
          <w:rtl/>
        </w:rPr>
        <w:t xml:space="preserve">נטילת הלוואה לדיור היא החלטה פיננסית </w:t>
      </w:r>
      <w:r w:rsidRPr="001F2586">
        <w:rPr>
          <w:rFonts w:eastAsia="Calibri" w:hint="cs"/>
          <w:rtl/>
        </w:rPr>
        <w:t xml:space="preserve">רבת חשיבות </w:t>
      </w:r>
      <w:r w:rsidRPr="001F2586">
        <w:rPr>
          <w:rFonts w:eastAsia="Calibri"/>
          <w:rtl/>
        </w:rPr>
        <w:t xml:space="preserve">למשק הבית </w:t>
      </w:r>
      <w:r w:rsidRPr="001F2586">
        <w:rPr>
          <w:rFonts w:eastAsia="Calibri" w:hint="cs"/>
          <w:rtl/>
        </w:rPr>
        <w:t>ובעלת</w:t>
      </w:r>
      <w:r w:rsidRPr="001F2586">
        <w:rPr>
          <w:rFonts w:eastAsia="Calibri"/>
          <w:rtl/>
        </w:rPr>
        <w:t xml:space="preserve"> השלכות כלכליות </w:t>
      </w:r>
      <w:r w:rsidRPr="001F2586">
        <w:rPr>
          <w:rFonts w:eastAsia="Calibri" w:hint="cs"/>
          <w:rtl/>
        </w:rPr>
        <w:t>כבדות משקל המשפיעות לתקופה ארוכה</w:t>
      </w:r>
      <w:r w:rsidRPr="001F2586">
        <w:rPr>
          <w:rFonts w:eastAsia="Calibri"/>
          <w:rtl/>
        </w:rPr>
        <w:t xml:space="preserve">. היקף ההלוואה </w:t>
      </w:r>
      <w:r w:rsidRPr="001F2586">
        <w:rPr>
          <w:rFonts w:eastAsia="Calibri" w:hint="cs"/>
          <w:rtl/>
        </w:rPr>
        <w:t>הגדול בקרב</w:t>
      </w:r>
      <w:r w:rsidRPr="001F2586">
        <w:rPr>
          <w:rFonts w:eastAsia="Calibri"/>
          <w:rtl/>
        </w:rPr>
        <w:t xml:space="preserve"> רוב משקי הבית, לצד פרק הזמן </w:t>
      </w:r>
      <w:r w:rsidRPr="001F2586">
        <w:rPr>
          <w:rFonts w:eastAsia="Calibri" w:hint="cs"/>
          <w:rtl/>
        </w:rPr>
        <w:t>הארוך</w:t>
      </w:r>
      <w:r w:rsidRPr="001F2586">
        <w:rPr>
          <w:rFonts w:eastAsia="Calibri"/>
          <w:rtl/>
        </w:rPr>
        <w:t xml:space="preserve"> של החזר ההלוואה, חושפים את</w:t>
      </w:r>
      <w:r w:rsidRPr="001F2586">
        <w:rPr>
          <w:rFonts w:eastAsia="Calibri" w:hint="cs"/>
          <w:rtl/>
        </w:rPr>
        <w:t xml:space="preserve"> </w:t>
      </w:r>
      <w:r w:rsidRPr="001F2586">
        <w:rPr>
          <w:rFonts w:eastAsia="Calibri"/>
          <w:rtl/>
        </w:rPr>
        <w:t xml:space="preserve">הלווים </w:t>
      </w:r>
      <w:r w:rsidRPr="001F2586">
        <w:rPr>
          <w:rFonts w:eastAsia="Calibri" w:hint="cs"/>
          <w:rtl/>
        </w:rPr>
        <w:t>ל</w:t>
      </w:r>
      <w:r w:rsidRPr="001F2586">
        <w:rPr>
          <w:rFonts w:eastAsia="Calibri"/>
          <w:rtl/>
        </w:rPr>
        <w:t xml:space="preserve">סיכונים שעלולים להתממש </w:t>
      </w:r>
      <w:r w:rsidRPr="001F2586">
        <w:rPr>
          <w:rFonts w:eastAsia="Calibri" w:hint="cs"/>
          <w:rtl/>
        </w:rPr>
        <w:t xml:space="preserve">במשך תקופת תשלום </w:t>
      </w:r>
      <w:r w:rsidRPr="001F2586">
        <w:rPr>
          <w:rFonts w:eastAsia="Calibri"/>
          <w:rtl/>
        </w:rPr>
        <w:t>ההלוואה בשל התפתחויות בכלכלה ובשוק הדיור</w:t>
      </w:r>
      <w:r w:rsidRPr="001F2586">
        <w:rPr>
          <w:rFonts w:eastAsia="Calibri" w:hint="cs"/>
          <w:rtl/>
        </w:rPr>
        <w:t xml:space="preserve"> או </w:t>
      </w:r>
      <w:r w:rsidRPr="001F2586">
        <w:rPr>
          <w:rFonts w:eastAsia="Calibri"/>
          <w:rtl/>
        </w:rPr>
        <w:t>בהכנסות ובהוצאות של משק הבית.</w:t>
      </w:r>
      <w:r w:rsidRPr="001F2586">
        <w:rPr>
          <w:rFonts w:eastAsia="Calibri" w:hint="cs"/>
          <w:rtl/>
        </w:rPr>
        <w:t xml:space="preserve"> בצד המערכת הבנקאית, </w:t>
      </w:r>
      <w:r w:rsidRPr="001F2586">
        <w:rPr>
          <w:rFonts w:eastAsia="Calibri"/>
          <w:rtl/>
        </w:rPr>
        <w:t xml:space="preserve">האשראי לדיור הוא אחד הנכסים </w:t>
      </w:r>
      <w:r w:rsidRPr="001F2586">
        <w:rPr>
          <w:rFonts w:eastAsia="Calibri" w:hint="cs"/>
          <w:rtl/>
        </w:rPr>
        <w:t>העיקריים</w:t>
      </w:r>
      <w:r w:rsidRPr="001F2586">
        <w:rPr>
          <w:rFonts w:eastAsia="Calibri"/>
          <w:rtl/>
        </w:rPr>
        <w:t xml:space="preserve"> של </w:t>
      </w:r>
      <w:r w:rsidRPr="001F2586">
        <w:rPr>
          <w:rFonts w:eastAsia="Calibri" w:hint="cs"/>
          <w:rtl/>
        </w:rPr>
        <w:t>ה</w:t>
      </w:r>
      <w:r w:rsidRPr="001F2586">
        <w:rPr>
          <w:rFonts w:eastAsia="Calibri"/>
          <w:rtl/>
        </w:rPr>
        <w:t>בנקים</w:t>
      </w:r>
      <w:r w:rsidRPr="001F2586">
        <w:rPr>
          <w:rFonts w:eastAsia="Calibri" w:hint="cs"/>
          <w:rtl/>
        </w:rPr>
        <w:t>, ו</w:t>
      </w:r>
      <w:r w:rsidRPr="001F2586">
        <w:rPr>
          <w:rFonts w:eastAsia="Calibri"/>
          <w:rtl/>
        </w:rPr>
        <w:t>ל</w:t>
      </w:r>
      <w:r w:rsidRPr="001F2586">
        <w:rPr>
          <w:rFonts w:eastAsia="Calibri" w:hint="cs"/>
          <w:rtl/>
        </w:rPr>
        <w:t xml:space="preserve">ו </w:t>
      </w:r>
      <w:r w:rsidRPr="001F2586">
        <w:rPr>
          <w:rFonts w:eastAsia="Calibri"/>
          <w:rtl/>
        </w:rPr>
        <w:t xml:space="preserve">משקל </w:t>
      </w:r>
      <w:r w:rsidRPr="001F2586">
        <w:rPr>
          <w:rFonts w:eastAsia="Calibri" w:hint="cs"/>
          <w:rtl/>
        </w:rPr>
        <w:t>נכבד ב</w:t>
      </w:r>
      <w:r w:rsidRPr="001F2586">
        <w:rPr>
          <w:rFonts w:eastAsia="Calibri"/>
          <w:rtl/>
        </w:rPr>
        <w:t>סך האשראי</w:t>
      </w:r>
      <w:r w:rsidRPr="001F2586">
        <w:rPr>
          <w:rFonts w:eastAsia="Calibri" w:hint="cs"/>
          <w:rtl/>
        </w:rPr>
        <w:t xml:space="preserve"> </w:t>
      </w:r>
      <w:r w:rsidRPr="001F2586">
        <w:rPr>
          <w:rFonts w:eastAsia="Calibri"/>
          <w:rtl/>
        </w:rPr>
        <w:t>הבנקאי</w:t>
      </w:r>
      <w:r>
        <w:rPr>
          <w:rFonts w:eastAsia="Calibri"/>
          <w:vertAlign w:val="superscript"/>
          <w:rtl/>
        </w:rPr>
        <w:footnoteReference w:id="53"/>
      </w:r>
      <w:r w:rsidRPr="001F2586">
        <w:rPr>
          <w:rFonts w:eastAsia="Calibri" w:hint="cs"/>
          <w:rtl/>
        </w:rPr>
        <w:t>. לפי נתוני בנק ישראל, שיעור האשראי לדיור מסך האשראי הבנקאי גדל מכ-31% בשנת 2012 ל</w:t>
      </w:r>
      <w:r w:rsidRPr="001F2586">
        <w:rPr>
          <w:rFonts w:eastAsia="Calibri"/>
          <w:rtl/>
        </w:rPr>
        <w:t>כ</w:t>
      </w:r>
      <w:r w:rsidRPr="001F2586">
        <w:rPr>
          <w:rFonts w:eastAsia="Calibri" w:hint="cs"/>
          <w:rtl/>
        </w:rPr>
        <w:t>-39</w:t>
      </w:r>
      <w:r w:rsidRPr="001F2586">
        <w:rPr>
          <w:rFonts w:eastAsia="Calibri"/>
          <w:rtl/>
        </w:rPr>
        <w:t xml:space="preserve">% </w:t>
      </w:r>
      <w:r w:rsidRPr="001F2586">
        <w:rPr>
          <w:rFonts w:eastAsia="Calibri" w:hint="cs"/>
          <w:rtl/>
        </w:rPr>
        <w:t>בשנת 2025, כך שהחשיפה של המערכת הבנקאית לאשראי לדיור גדלה ויש לה משקל של ממש על יציבות המערכת. משכך,</w:t>
      </w:r>
      <w:r w:rsidRPr="001F2586">
        <w:rPr>
          <w:rFonts w:eastAsia="Calibri"/>
          <w:rtl/>
        </w:rPr>
        <w:t xml:space="preserve"> </w:t>
      </w:r>
      <w:r w:rsidRPr="001F2586">
        <w:rPr>
          <w:rFonts w:eastAsia="Calibri" w:hint="cs"/>
          <w:rtl/>
        </w:rPr>
        <w:t xml:space="preserve">הפיקוח מטיל על הבנקים הגבלות שונות במתן משכנתאות ודרישות לריתוק </w:t>
      </w:r>
      <w:r w:rsidRPr="001F2586">
        <w:rPr>
          <w:rFonts w:eastAsia="Calibri"/>
          <w:rtl/>
        </w:rPr>
        <w:t xml:space="preserve">של הון </w:t>
      </w:r>
      <w:r w:rsidRPr="001F2586">
        <w:rPr>
          <w:rFonts w:eastAsia="Calibri" w:hint="cs"/>
          <w:rtl/>
        </w:rPr>
        <w:t>שיפורטו בהמשך.</w:t>
      </w:r>
    </w:p>
    <w:p w:rsidR="00494948" w:rsidP="001F2586">
      <w:pPr>
        <w:spacing w:line="269" w:lineRule="auto"/>
        <w:rPr>
          <w:rFonts w:eastAsia="Calibri"/>
          <w:rtl/>
        </w:rPr>
      </w:pPr>
    </w:p>
    <w:p w:rsidR="00EF4431" w:rsidP="00EF4431">
      <w:pPr>
        <w:pStyle w:val="a"/>
        <w:spacing w:line="288" w:lineRule="auto"/>
        <w:ind w:left="0"/>
        <w:rPr>
          <w:rFonts w:ascii="David" w:hAnsi="David"/>
          <w:sz w:val="24"/>
          <w:szCs w:val="24"/>
          <w:rtl/>
        </w:rPr>
      </w:pPr>
      <w:r>
        <w:rPr>
          <w:rFonts w:ascii="David" w:hAnsi="David" w:hint="cs"/>
          <w:sz w:val="24"/>
          <w:szCs w:val="24"/>
          <w:rtl/>
        </w:rPr>
        <w:t xml:space="preserve">משבר </w:t>
      </w:r>
      <w:r>
        <w:rPr>
          <w:rFonts w:ascii="David" w:hAnsi="David" w:hint="cs"/>
          <w:sz w:val="24"/>
          <w:szCs w:val="24"/>
          <w:rtl/>
        </w:rPr>
        <w:t>הסאב</w:t>
      </w:r>
      <w:r>
        <w:rPr>
          <w:rFonts w:ascii="David" w:hAnsi="David" w:hint="cs"/>
          <w:sz w:val="24"/>
          <w:szCs w:val="24"/>
          <w:rtl/>
        </w:rPr>
        <w:t xml:space="preserve"> פריים</w:t>
      </w:r>
      <w:r w:rsidRPr="005A7FF5">
        <w:rPr>
          <w:rFonts w:ascii="David" w:hAnsi="David"/>
          <w:sz w:val="24"/>
          <w:szCs w:val="24"/>
          <w:rtl/>
        </w:rPr>
        <w:t xml:space="preserve"> שמדינת ישראל צלחה אותו באופן יחסי</w:t>
      </w:r>
      <w:r>
        <w:rPr>
          <w:rStyle w:val="FootnoteReference1"/>
          <w:rFonts w:ascii="David" w:hAnsi="David"/>
          <w:sz w:val="24"/>
          <w:szCs w:val="24"/>
          <w:rtl/>
        </w:rPr>
        <w:footnoteReference w:id="54"/>
      </w:r>
      <w:r>
        <w:rPr>
          <w:rFonts w:ascii="David" w:hAnsi="David" w:hint="cs"/>
          <w:sz w:val="24"/>
          <w:szCs w:val="24"/>
          <w:rtl/>
        </w:rPr>
        <w:t xml:space="preserve">, </w:t>
      </w:r>
      <w:r w:rsidRPr="002A00B0">
        <w:rPr>
          <w:rFonts w:ascii="David" w:hAnsi="David"/>
          <w:sz w:val="24"/>
          <w:szCs w:val="24"/>
          <w:rtl/>
        </w:rPr>
        <w:t>הגביר את החשיבות ש</w:t>
      </w:r>
      <w:r>
        <w:rPr>
          <w:rFonts w:ascii="David" w:hAnsi="David" w:hint="cs"/>
          <w:sz w:val="24"/>
          <w:szCs w:val="24"/>
          <w:rtl/>
        </w:rPr>
        <w:t>ב</w:t>
      </w:r>
      <w:r w:rsidRPr="002A00B0">
        <w:rPr>
          <w:rFonts w:ascii="David" w:hAnsi="David"/>
          <w:sz w:val="24"/>
          <w:szCs w:val="24"/>
          <w:rtl/>
        </w:rPr>
        <w:t>שמירה על היציבות הפיננסית המערכתית</w:t>
      </w:r>
      <w:r>
        <w:rPr>
          <w:rFonts w:ascii="David" w:hAnsi="David" w:hint="cs"/>
          <w:sz w:val="24"/>
          <w:szCs w:val="24"/>
          <w:rtl/>
        </w:rPr>
        <w:t xml:space="preserve"> ובחיזוק המדיניות המקרו-</w:t>
      </w:r>
      <w:r>
        <w:rPr>
          <w:rFonts w:ascii="David" w:hAnsi="David" w:hint="cs"/>
          <w:sz w:val="24"/>
          <w:szCs w:val="24"/>
          <w:rtl/>
        </w:rPr>
        <w:t>יציבותית</w:t>
      </w:r>
      <w:r>
        <w:rPr>
          <w:rFonts w:ascii="David" w:hAnsi="David" w:hint="cs"/>
          <w:sz w:val="24"/>
          <w:szCs w:val="24"/>
          <w:rtl/>
        </w:rPr>
        <w:t>.</w:t>
      </w:r>
      <w:r w:rsidRPr="002A00B0">
        <w:rPr>
          <w:rFonts w:ascii="David" w:hAnsi="David"/>
          <w:sz w:val="24"/>
          <w:szCs w:val="24"/>
          <w:rtl/>
        </w:rPr>
        <w:t xml:space="preserve"> </w:t>
      </w:r>
      <w:r w:rsidRPr="005A7FF5">
        <w:rPr>
          <w:rFonts w:ascii="David" w:hAnsi="David"/>
          <w:sz w:val="24"/>
          <w:szCs w:val="24"/>
          <w:rtl/>
        </w:rPr>
        <w:t xml:space="preserve">מדיניות </w:t>
      </w:r>
      <w:r>
        <w:rPr>
          <w:rFonts w:ascii="David" w:hAnsi="David" w:hint="cs"/>
          <w:sz w:val="24"/>
          <w:szCs w:val="24"/>
          <w:rtl/>
        </w:rPr>
        <w:t xml:space="preserve">זו </w:t>
      </w:r>
      <w:r w:rsidRPr="005A7FF5">
        <w:rPr>
          <w:rFonts w:ascii="David" w:hAnsi="David"/>
          <w:sz w:val="24"/>
          <w:szCs w:val="24"/>
          <w:rtl/>
        </w:rPr>
        <w:t xml:space="preserve">נועדה </w:t>
      </w:r>
      <w:r>
        <w:rPr>
          <w:rFonts w:ascii="David" w:hAnsi="David" w:hint="cs"/>
          <w:sz w:val="24"/>
          <w:szCs w:val="24"/>
          <w:rtl/>
        </w:rPr>
        <w:t xml:space="preserve">כאמור </w:t>
      </w:r>
      <w:r w:rsidRPr="005A7FF5">
        <w:rPr>
          <w:rFonts w:ascii="David" w:hAnsi="David"/>
          <w:sz w:val="24"/>
          <w:szCs w:val="24"/>
          <w:rtl/>
        </w:rPr>
        <w:t>לחזק את עמידות המערכת הפיננסית בפני זעזועים ולמתן את ההשפעה של התממשות סיכונים פיננסיים מערכתיים על הפעילות הריאלית</w:t>
      </w:r>
      <w:r>
        <w:rPr>
          <w:rFonts w:ascii="David" w:hAnsi="David" w:hint="cs"/>
          <w:sz w:val="24"/>
          <w:szCs w:val="24"/>
          <w:rtl/>
        </w:rPr>
        <w:t xml:space="preserve"> במשק. היא</w:t>
      </w:r>
      <w:r w:rsidRPr="00307C06">
        <w:rPr>
          <w:rFonts w:ascii="David" w:hAnsi="David"/>
          <w:sz w:val="24"/>
          <w:szCs w:val="24"/>
          <w:rtl/>
        </w:rPr>
        <w:t xml:space="preserve"> </w:t>
      </w:r>
      <w:r>
        <w:rPr>
          <w:rFonts w:ascii="David" w:hAnsi="David" w:hint="cs"/>
          <w:sz w:val="24"/>
          <w:szCs w:val="24"/>
          <w:rtl/>
        </w:rPr>
        <w:t xml:space="preserve">מתמקדת ביציבות של המערכת הפיננסית כולה, שלא כמו מדיניות מיקרו </w:t>
      </w:r>
      <w:r>
        <w:rPr>
          <w:rFonts w:ascii="David" w:hAnsi="David" w:hint="cs"/>
          <w:sz w:val="24"/>
          <w:szCs w:val="24"/>
          <w:rtl/>
        </w:rPr>
        <w:t>יציבותית</w:t>
      </w:r>
      <w:r>
        <w:rPr>
          <w:rFonts w:ascii="David" w:hAnsi="David" w:hint="cs"/>
          <w:sz w:val="24"/>
          <w:szCs w:val="24"/>
          <w:rtl/>
        </w:rPr>
        <w:t xml:space="preserve"> המתמקדת כאמור בסיכונים העלולים לפגוע בחוסן הפיננסי וביציבות של מוסדות בודדים. מדיניות מקרו </w:t>
      </w:r>
      <w:r>
        <w:rPr>
          <w:rFonts w:ascii="David" w:hAnsi="David" w:hint="cs"/>
          <w:sz w:val="24"/>
          <w:szCs w:val="24"/>
          <w:rtl/>
        </w:rPr>
        <w:t>יציבותית</w:t>
      </w:r>
      <w:r>
        <w:rPr>
          <w:rFonts w:ascii="David" w:hAnsi="David" w:hint="cs"/>
          <w:sz w:val="24"/>
          <w:szCs w:val="24"/>
          <w:rtl/>
        </w:rPr>
        <w:t xml:space="preserve"> מיושמת באמצעות שימוש</w:t>
      </w:r>
      <w:r w:rsidRPr="005A7FF5">
        <w:rPr>
          <w:rFonts w:ascii="David" w:hAnsi="David"/>
          <w:sz w:val="24"/>
          <w:szCs w:val="24"/>
          <w:rtl/>
        </w:rPr>
        <w:t xml:space="preserve"> ב</w:t>
      </w:r>
      <w:r>
        <w:rPr>
          <w:rFonts w:ascii="David" w:hAnsi="David" w:hint="cs"/>
          <w:sz w:val="24"/>
          <w:szCs w:val="24"/>
          <w:rtl/>
        </w:rPr>
        <w:t>כלים רגולטוריים פיקוחיים שהתרחבו בישראל ובעולם לאחר המשבר במטרה לחזק את היציבות הפיננסית המערכתית.</w:t>
      </w:r>
      <w:r w:rsidRPr="005A7FF5">
        <w:rPr>
          <w:rFonts w:ascii="David" w:hAnsi="David"/>
          <w:sz w:val="24"/>
          <w:szCs w:val="24"/>
          <w:rtl/>
        </w:rPr>
        <w:t xml:space="preserve"> השמירה על יציבות הבנקים</w:t>
      </w:r>
      <w:r>
        <w:rPr>
          <w:rFonts w:ascii="David" w:hAnsi="David" w:hint="cs"/>
          <w:sz w:val="24"/>
          <w:szCs w:val="24"/>
          <w:rtl/>
        </w:rPr>
        <w:t xml:space="preserve">, כחלק משמירה על יציבות פיננסית בכללותה, </w:t>
      </w:r>
      <w:r w:rsidRPr="005A7FF5">
        <w:rPr>
          <w:rFonts w:ascii="David" w:hAnsi="David"/>
          <w:sz w:val="24"/>
          <w:szCs w:val="24"/>
          <w:rtl/>
        </w:rPr>
        <w:t>תפסה מקום מרכזי יותר בפעילות</w:t>
      </w:r>
      <w:r>
        <w:rPr>
          <w:rFonts w:ascii="David" w:hAnsi="David" w:hint="cs"/>
          <w:sz w:val="24"/>
          <w:szCs w:val="24"/>
          <w:rtl/>
        </w:rPr>
        <w:t>ם של</w:t>
      </w:r>
      <w:r w:rsidRPr="005A7FF5">
        <w:rPr>
          <w:rFonts w:ascii="David" w:hAnsi="David"/>
          <w:sz w:val="24"/>
          <w:szCs w:val="24"/>
          <w:rtl/>
        </w:rPr>
        <w:t xml:space="preserve"> </w:t>
      </w:r>
      <w:r>
        <w:rPr>
          <w:rFonts w:ascii="David" w:hAnsi="David" w:hint="cs"/>
          <w:sz w:val="24"/>
          <w:szCs w:val="24"/>
          <w:rtl/>
        </w:rPr>
        <w:t xml:space="preserve">בנקים מרכזיים בארץ ובעולם. בישראל </w:t>
      </w:r>
      <w:r w:rsidRPr="005A7FF5">
        <w:rPr>
          <w:rFonts w:ascii="David" w:hAnsi="David"/>
          <w:sz w:val="24"/>
          <w:szCs w:val="24"/>
          <w:rtl/>
        </w:rPr>
        <w:t xml:space="preserve">בשנת 2018 הוקמה כאמור הוועדה ליציבות פיננסית שתפקידה הוא להתריע </w:t>
      </w:r>
      <w:r>
        <w:rPr>
          <w:rFonts w:ascii="David" w:hAnsi="David" w:hint="cs"/>
          <w:sz w:val="24"/>
          <w:szCs w:val="24"/>
          <w:rtl/>
        </w:rPr>
        <w:t>מפני</w:t>
      </w:r>
      <w:r w:rsidRPr="005A7FF5">
        <w:rPr>
          <w:rFonts w:ascii="David" w:hAnsi="David"/>
          <w:sz w:val="24"/>
          <w:szCs w:val="24"/>
          <w:rtl/>
        </w:rPr>
        <w:t xml:space="preserve"> סיכונים מערכתיים</w:t>
      </w:r>
      <w:r>
        <w:rPr>
          <w:rStyle w:val="FootnoteReference1"/>
          <w:rFonts w:ascii="David" w:hAnsi="David"/>
          <w:sz w:val="24"/>
          <w:rtl/>
        </w:rPr>
        <w:footnoteReference w:id="55"/>
      </w:r>
      <w:r w:rsidRPr="005A7FF5">
        <w:rPr>
          <w:rFonts w:ascii="David" w:hAnsi="David"/>
          <w:sz w:val="24"/>
          <w:szCs w:val="24"/>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המטרות המרכזיות של</w:t>
      </w:r>
      <w:r w:rsidRPr="001F2586">
        <w:rPr>
          <w:rFonts w:eastAsia="Calibri" w:hint="cs"/>
          <w:rtl/>
        </w:rPr>
        <w:t xml:space="preserve"> </w:t>
      </w:r>
      <w:r w:rsidRPr="001F2586">
        <w:rPr>
          <w:rFonts w:eastAsia="Calibri"/>
          <w:rtl/>
        </w:rPr>
        <w:t xml:space="preserve">מדיניות </w:t>
      </w:r>
      <w:r w:rsidRPr="001F2586">
        <w:rPr>
          <w:rFonts w:eastAsia="Calibri" w:hint="cs"/>
          <w:rtl/>
        </w:rPr>
        <w:t>מקרו-</w:t>
      </w:r>
      <w:r w:rsidRPr="001F2586">
        <w:rPr>
          <w:rFonts w:eastAsia="Calibri" w:hint="cs"/>
          <w:rtl/>
        </w:rPr>
        <w:t>יציבותית</w:t>
      </w:r>
      <w:r w:rsidRPr="001F2586">
        <w:rPr>
          <w:rFonts w:eastAsia="Calibri" w:hint="cs"/>
          <w:rtl/>
        </w:rPr>
        <w:t xml:space="preserve"> בתחום האשראי לדיור הן</w:t>
      </w:r>
      <w:r w:rsidRPr="001F2586">
        <w:rPr>
          <w:rFonts w:eastAsia="Calibri"/>
          <w:rtl/>
        </w:rPr>
        <w:t>: שמירה על יציבות</w:t>
      </w:r>
      <w:r w:rsidRPr="001F2586">
        <w:rPr>
          <w:rFonts w:eastAsia="Calibri" w:hint="cs"/>
          <w:rtl/>
        </w:rPr>
        <w:t>ה</w:t>
      </w:r>
      <w:r w:rsidRPr="001F2586">
        <w:rPr>
          <w:rFonts w:eastAsia="Calibri"/>
          <w:rtl/>
        </w:rPr>
        <w:t xml:space="preserve"> </w:t>
      </w:r>
      <w:r w:rsidRPr="001F2586">
        <w:rPr>
          <w:rFonts w:eastAsia="Calibri" w:hint="cs"/>
          <w:rtl/>
        </w:rPr>
        <w:t>וחוסנה של</w:t>
      </w:r>
      <w:r w:rsidRPr="001F2586">
        <w:rPr>
          <w:rFonts w:eastAsia="Calibri"/>
          <w:rtl/>
        </w:rPr>
        <w:t xml:space="preserve"> מערכת הבנקאות מפני חשיפות יתר לסיכוני</w:t>
      </w:r>
      <w:r w:rsidRPr="001F2586">
        <w:rPr>
          <w:rFonts w:eastAsia="Calibri" w:hint="cs"/>
          <w:rtl/>
        </w:rPr>
        <w:t xml:space="preserve"> </w:t>
      </w:r>
      <w:r w:rsidRPr="001F2586">
        <w:rPr>
          <w:rFonts w:eastAsia="Calibri"/>
          <w:rtl/>
        </w:rPr>
        <w:t>אשראי</w:t>
      </w:r>
      <w:r w:rsidRPr="001F2586">
        <w:rPr>
          <w:rFonts w:eastAsia="Calibri" w:hint="cs"/>
          <w:rtl/>
        </w:rPr>
        <w:t xml:space="preserve">; </w:t>
      </w:r>
      <w:r w:rsidRPr="001F2586">
        <w:rPr>
          <w:rFonts w:eastAsia="Calibri"/>
          <w:rtl/>
        </w:rPr>
        <w:t>מניעת היווצרות בועות מחירים</w:t>
      </w:r>
      <w:r>
        <w:rPr>
          <w:rFonts w:eastAsia="Calibri"/>
          <w:vertAlign w:val="superscript"/>
          <w:rtl/>
        </w:rPr>
        <w:footnoteReference w:id="56"/>
      </w:r>
      <w:r w:rsidRPr="001F2586">
        <w:rPr>
          <w:rFonts w:eastAsia="Calibri"/>
          <w:rtl/>
        </w:rPr>
        <w:t xml:space="preserve"> בשוק הנדל"ן</w:t>
      </w:r>
      <w:r w:rsidRPr="001F2586">
        <w:rPr>
          <w:rFonts w:eastAsia="Calibri" w:hint="cs"/>
          <w:rtl/>
        </w:rPr>
        <w:t>;</w:t>
      </w:r>
      <w:r w:rsidRPr="001F2586">
        <w:rPr>
          <w:rFonts w:eastAsia="Calibri"/>
          <w:rtl/>
        </w:rPr>
        <w:t xml:space="preserve"> ומניעת מינוף יתר של משקי הבית. </w:t>
      </w:r>
      <w:r w:rsidRPr="001F2586">
        <w:rPr>
          <w:rFonts w:eastAsia="Calibri" w:hint="cs"/>
          <w:sz w:val="24"/>
          <w:rtl/>
        </w:rPr>
        <w:t>הפיקוח על הבנקים מיישם מדיניות מקרו-</w:t>
      </w:r>
      <w:r w:rsidRPr="001F2586">
        <w:rPr>
          <w:rFonts w:eastAsia="Calibri" w:hint="cs"/>
          <w:sz w:val="24"/>
          <w:rtl/>
        </w:rPr>
        <w:t>יציבותית</w:t>
      </w:r>
      <w:r w:rsidRPr="001F2586">
        <w:rPr>
          <w:rFonts w:eastAsia="Calibri" w:hint="cs"/>
          <w:sz w:val="24"/>
          <w:rtl/>
        </w:rPr>
        <w:t xml:space="preserve"> בשוק המשכנתאות במערכת הבנקאית באמצעות שימוש בצעדים או בכלים מקרו-</w:t>
      </w:r>
      <w:r w:rsidRPr="001F2586">
        <w:rPr>
          <w:rFonts w:eastAsia="Calibri" w:hint="cs"/>
          <w:sz w:val="24"/>
          <w:rtl/>
        </w:rPr>
        <w:t>יציבותיים</w:t>
      </w:r>
      <w:r w:rsidRPr="001F2586">
        <w:rPr>
          <w:rFonts w:eastAsia="Calibri" w:hint="cs"/>
          <w:sz w:val="24"/>
          <w:rtl/>
        </w:rPr>
        <w:t xml:space="preserve"> המגנים מפני פגיעות מערכתיות ושומרים על יציבותה של המערכת הפיננסית</w:t>
      </w:r>
      <w:r>
        <w:rPr>
          <w:rFonts w:eastAsia="Calibri"/>
          <w:vertAlign w:val="superscript"/>
          <w:rtl/>
        </w:rPr>
        <w:footnoteReference w:id="57"/>
      </w:r>
      <w:r w:rsidRPr="001F2586">
        <w:rPr>
          <w:rFonts w:eastAsia="Calibri" w:hint="cs"/>
          <w:sz w:val="24"/>
          <w:rtl/>
        </w:rPr>
        <w:t xml:space="preserve">. </w:t>
      </w:r>
      <w:r w:rsidRPr="001F2586">
        <w:rPr>
          <w:rFonts w:eastAsia="Calibri" w:hint="cs"/>
          <w:rtl/>
        </w:rPr>
        <w:t>הכלים המקרו-</w:t>
      </w:r>
      <w:r w:rsidRPr="001F2586">
        <w:rPr>
          <w:rFonts w:eastAsia="Calibri" w:hint="cs"/>
          <w:rtl/>
        </w:rPr>
        <w:t>יציבותיים</w:t>
      </w:r>
      <w:r w:rsidRPr="001F2586">
        <w:rPr>
          <w:rFonts w:eastAsia="Calibri" w:hint="cs"/>
          <w:rtl/>
        </w:rPr>
        <w:t xml:space="preserve"> שהפיקוח על הבנקים מפעיל בתחום האשראי לדיור הם אלו: צעדים מגבילים עבור הלווים (</w:t>
      </w:r>
      <w:r w:rsidRPr="001F2586">
        <w:rPr>
          <w:rFonts w:eastAsia="Calibri" w:hint="cs"/>
        </w:rPr>
        <w:t>B</w:t>
      </w:r>
      <w:r w:rsidRPr="001F2586">
        <w:rPr>
          <w:rFonts w:eastAsia="Calibri"/>
        </w:rPr>
        <w:t>orrower-based measures</w:t>
      </w:r>
      <w:r w:rsidRPr="001F2586">
        <w:rPr>
          <w:rFonts w:eastAsia="Calibri" w:hint="cs"/>
          <w:rtl/>
        </w:rPr>
        <w:t xml:space="preserve"> - </w:t>
      </w:r>
      <w:r w:rsidRPr="001F2586">
        <w:rPr>
          <w:rFonts w:eastAsia="Calibri" w:hint="cs"/>
        </w:rPr>
        <w:t>BBOM</w:t>
      </w:r>
      <w:r w:rsidRPr="001F2586">
        <w:rPr>
          <w:rFonts w:eastAsia="Calibri" w:hint="cs"/>
          <w:rtl/>
        </w:rPr>
        <w:t>) - המגבלות על מתן הלוואות לדיור; וצעדים מבוססי הון (</w:t>
      </w:r>
      <w:r w:rsidRPr="001F2586">
        <w:rPr>
          <w:rFonts w:eastAsia="Calibri" w:hint="cs"/>
        </w:rPr>
        <w:t>CBM</w:t>
      </w:r>
      <w:r w:rsidRPr="001F2586">
        <w:rPr>
          <w:rFonts w:eastAsia="Calibri"/>
        </w:rPr>
        <w:t xml:space="preserve"> - Capital based measures</w:t>
      </w:r>
      <w:r w:rsidRPr="001F2586">
        <w:rPr>
          <w:rFonts w:eastAsia="Calibri" w:hint="cs"/>
          <w:rtl/>
        </w:rPr>
        <w:t>)</w:t>
      </w:r>
      <w:r>
        <w:rPr>
          <w:rFonts w:eastAsia="Calibri"/>
          <w:vertAlign w:val="superscript"/>
          <w:rtl/>
        </w:rPr>
        <w:footnoteReference w:id="58"/>
      </w:r>
      <w:r w:rsidRPr="001F2586">
        <w:rPr>
          <w:rFonts w:eastAsia="Calibri" w:hint="cs"/>
          <w:rtl/>
        </w:rPr>
        <w:t xml:space="preserve">. </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 xml:space="preserve">המגבלות שקובע הפיקוח על הבנקים בהוראת </w:t>
      </w:r>
      <w:r w:rsidRPr="001F2586">
        <w:rPr>
          <w:rFonts w:eastAsia="Calibri" w:hint="cs"/>
          <w:rtl/>
        </w:rPr>
        <w:t>נב"ת</w:t>
      </w:r>
      <w:r w:rsidRPr="001F2586">
        <w:rPr>
          <w:rFonts w:eastAsia="Calibri" w:hint="cs"/>
          <w:rtl/>
        </w:rPr>
        <w:t xml:space="preserve"> מס' 329 "מגבלות למתן הלוואות לדיור" (להלן </w:t>
      </w:r>
      <w:r w:rsidRPr="001F2586">
        <w:rPr>
          <w:rFonts w:eastAsia="Calibri" w:hint="cs"/>
          <w:rtl/>
        </w:rPr>
        <w:t>נב"ת</w:t>
      </w:r>
      <w:r w:rsidRPr="001F2586">
        <w:rPr>
          <w:rFonts w:eastAsia="Calibri" w:hint="cs"/>
          <w:rtl/>
        </w:rPr>
        <w:t xml:space="preserve"> 329) נכון למועד הביקורת הן אלו (להלן - המגבלות העיקריות):</w:t>
      </w:r>
    </w:p>
    <w:p w:rsidR="001F2586" w:rsidRPr="001F2586" w:rsidP="001F2586">
      <w:pPr>
        <w:tabs>
          <w:tab w:val="left" w:pos="3685"/>
        </w:tabs>
        <w:spacing w:line="269" w:lineRule="auto"/>
        <w:ind w:left="-567"/>
        <w:rPr>
          <w:rFonts w:eastAsia="Calibri"/>
          <w:szCs w:val="20"/>
          <w:rtl/>
        </w:rPr>
      </w:pPr>
    </w:p>
    <w:p w:rsidR="001F2586" w:rsidRPr="001F2586" w:rsidP="001F2586">
      <w:pPr>
        <w:numPr>
          <w:ilvl w:val="0"/>
          <w:numId w:val="16"/>
        </w:numPr>
        <w:tabs>
          <w:tab w:val="left" w:pos="3685"/>
        </w:tabs>
        <w:spacing w:line="269" w:lineRule="auto"/>
        <w:contextualSpacing/>
        <w:rPr>
          <w:rFonts w:eastAsia="Calibri"/>
        </w:rPr>
      </w:pPr>
      <w:r w:rsidRPr="001F2586">
        <w:rPr>
          <w:rFonts w:eastAsia="Calibri" w:hint="cs"/>
          <w:rtl/>
        </w:rPr>
        <w:t>מגבלה על שיעור המימון (</w:t>
      </w:r>
      <w:r w:rsidRPr="001F2586">
        <w:rPr>
          <w:rFonts w:eastAsia="Calibri" w:hint="cs"/>
        </w:rPr>
        <w:t>LTV</w:t>
      </w:r>
      <w:r w:rsidRPr="001F2586">
        <w:rPr>
          <w:rFonts w:eastAsia="Calibri"/>
        </w:rPr>
        <w:t xml:space="preserve"> - Loan to Value</w:t>
      </w:r>
      <w:r w:rsidRPr="001F2586">
        <w:rPr>
          <w:rFonts w:eastAsia="Calibri" w:hint="cs"/>
          <w:rtl/>
        </w:rPr>
        <w:t xml:space="preserve">) - </w:t>
      </w:r>
      <w:r w:rsidRPr="001F2586">
        <w:rPr>
          <w:rFonts w:eastAsia="Calibri"/>
          <w:rtl/>
        </w:rPr>
        <w:t xml:space="preserve">היחס בין </w:t>
      </w:r>
      <w:r w:rsidRPr="001F2586">
        <w:rPr>
          <w:rFonts w:eastAsia="Calibri" w:hint="cs"/>
          <w:rtl/>
        </w:rPr>
        <w:t>סכום</w:t>
      </w:r>
      <w:r w:rsidRPr="001F2586">
        <w:rPr>
          <w:rFonts w:eastAsia="Calibri"/>
          <w:rtl/>
        </w:rPr>
        <w:t xml:space="preserve"> ה</w:t>
      </w:r>
      <w:r w:rsidRPr="001F2586">
        <w:rPr>
          <w:rFonts w:eastAsia="Calibri" w:hint="cs"/>
          <w:rtl/>
        </w:rPr>
        <w:t>משכנתא</w:t>
      </w:r>
      <w:r w:rsidRPr="001F2586">
        <w:rPr>
          <w:rFonts w:eastAsia="Calibri"/>
          <w:rtl/>
        </w:rPr>
        <w:t xml:space="preserve"> </w:t>
      </w:r>
      <w:r w:rsidRPr="001F2586">
        <w:rPr>
          <w:rFonts w:eastAsia="Calibri" w:hint="cs"/>
          <w:rtl/>
        </w:rPr>
        <w:t>שהבנק מאשר</w:t>
      </w:r>
      <w:r w:rsidRPr="001F2586">
        <w:rPr>
          <w:rFonts w:eastAsia="Calibri"/>
          <w:rtl/>
        </w:rPr>
        <w:t xml:space="preserve"> לבין שווי הנכס</w:t>
      </w:r>
      <w:r>
        <w:rPr>
          <w:rFonts w:eastAsia="Calibri"/>
          <w:vertAlign w:val="superscript"/>
        </w:rPr>
        <w:footnoteReference w:id="59"/>
      </w:r>
      <w:r w:rsidRPr="001F2586">
        <w:rPr>
          <w:rFonts w:eastAsia="Calibri" w:hint="cs"/>
          <w:rtl/>
        </w:rPr>
        <w:t xml:space="preserve"> המשמש כבטוחה. שיעור המימון </w:t>
      </w:r>
      <w:r w:rsidRPr="001F2586">
        <w:rPr>
          <w:rFonts w:eastAsia="Calibri"/>
          <w:rtl/>
        </w:rPr>
        <w:t xml:space="preserve">המרבי </w:t>
      </w:r>
      <w:r w:rsidRPr="001F2586">
        <w:rPr>
          <w:rFonts w:eastAsia="Calibri" w:hint="cs"/>
          <w:rtl/>
        </w:rPr>
        <w:t xml:space="preserve">שהבנק </w:t>
      </w:r>
      <w:r w:rsidRPr="001F2586">
        <w:rPr>
          <w:rFonts w:eastAsia="Calibri"/>
          <w:rtl/>
        </w:rPr>
        <w:t xml:space="preserve">רשאי להעמיד </w:t>
      </w:r>
      <w:r w:rsidRPr="001F2586">
        <w:rPr>
          <w:rFonts w:eastAsia="Calibri" w:hint="cs"/>
          <w:rtl/>
        </w:rPr>
        <w:t>ל</w:t>
      </w:r>
      <w:r w:rsidRPr="001F2586">
        <w:rPr>
          <w:rFonts w:eastAsia="Calibri"/>
          <w:rtl/>
        </w:rPr>
        <w:t>לווה משתנה בהתאם למטרת הנכס</w:t>
      </w:r>
      <w:r w:rsidRPr="001F2586">
        <w:rPr>
          <w:rFonts w:eastAsia="Calibri" w:hint="cs"/>
          <w:rtl/>
        </w:rPr>
        <w:t>, כך ש</w:t>
      </w:r>
      <w:r w:rsidRPr="001F2586">
        <w:rPr>
          <w:rFonts w:eastAsia="Calibri"/>
          <w:rtl/>
        </w:rPr>
        <w:t>בהלוואה לצורך רכישת דירה יחי</w:t>
      </w:r>
      <w:r w:rsidRPr="001F2586">
        <w:rPr>
          <w:rFonts w:eastAsia="Calibri" w:hint="cs"/>
          <w:rtl/>
        </w:rPr>
        <w:t>דה</w:t>
      </w:r>
      <w:r>
        <w:rPr>
          <w:rFonts w:eastAsia="Calibri"/>
          <w:vertAlign w:val="superscript"/>
        </w:rPr>
        <w:footnoteReference w:id="60"/>
      </w:r>
      <w:r w:rsidRPr="001F2586">
        <w:rPr>
          <w:rFonts w:eastAsia="Calibri" w:hint="cs"/>
          <w:rtl/>
        </w:rPr>
        <w:t xml:space="preserve"> </w:t>
      </w:r>
      <w:r w:rsidRPr="001F2586">
        <w:rPr>
          <w:rFonts w:eastAsia="Calibri"/>
          <w:rtl/>
        </w:rPr>
        <w:t>שיעור המימון</w:t>
      </w:r>
      <w:r w:rsidRPr="001F2586">
        <w:rPr>
          <w:rFonts w:eastAsia="Calibri" w:hint="cs"/>
          <w:rtl/>
        </w:rPr>
        <w:t xml:space="preserve"> הוא עד</w:t>
      </w:r>
      <w:r w:rsidRPr="001F2586">
        <w:rPr>
          <w:rFonts w:eastAsia="Calibri"/>
          <w:rtl/>
        </w:rPr>
        <w:t xml:space="preserve"> 75% משוויה, ברכישת דירה חל</w:t>
      </w:r>
      <w:r w:rsidRPr="001F2586">
        <w:rPr>
          <w:rFonts w:eastAsia="Calibri" w:hint="cs"/>
          <w:rtl/>
        </w:rPr>
        <w:t>י</w:t>
      </w:r>
      <w:r w:rsidRPr="001F2586">
        <w:rPr>
          <w:rFonts w:eastAsia="Calibri"/>
          <w:rtl/>
        </w:rPr>
        <w:t>פית</w:t>
      </w:r>
      <w:r>
        <w:rPr>
          <w:rFonts w:eastAsia="Calibri"/>
          <w:vertAlign w:val="superscript"/>
        </w:rPr>
        <w:footnoteReference w:id="61"/>
      </w:r>
      <w:r w:rsidRPr="001F2586">
        <w:rPr>
          <w:rFonts w:eastAsia="Calibri" w:hint="cs"/>
          <w:rtl/>
        </w:rPr>
        <w:t xml:space="preserve"> </w:t>
      </w:r>
      <w:r w:rsidRPr="001F2586">
        <w:rPr>
          <w:rFonts w:eastAsia="Calibri"/>
          <w:rtl/>
        </w:rPr>
        <w:t xml:space="preserve">השיעור </w:t>
      </w:r>
      <w:r w:rsidRPr="001F2586">
        <w:rPr>
          <w:rFonts w:eastAsia="Calibri" w:hint="cs"/>
          <w:rtl/>
        </w:rPr>
        <w:t>הוא עד</w:t>
      </w:r>
      <w:r w:rsidRPr="001F2586">
        <w:rPr>
          <w:rFonts w:eastAsia="Calibri"/>
          <w:rtl/>
        </w:rPr>
        <w:t xml:space="preserve"> 70%, וברכישת</w:t>
      </w:r>
      <w:r w:rsidRPr="001F2586">
        <w:rPr>
          <w:rFonts w:eastAsia="Calibri" w:hint="cs"/>
          <w:rtl/>
        </w:rPr>
        <w:t xml:space="preserve"> </w:t>
      </w:r>
      <w:r w:rsidRPr="001F2586">
        <w:rPr>
          <w:rFonts w:eastAsia="Calibri"/>
          <w:rtl/>
        </w:rPr>
        <w:t>דירה להשקעה</w:t>
      </w:r>
      <w:r>
        <w:rPr>
          <w:rFonts w:eastAsia="Calibri"/>
          <w:vertAlign w:val="superscript"/>
          <w:rtl/>
        </w:rPr>
        <w:footnoteReference w:id="62"/>
      </w:r>
      <w:r w:rsidRPr="001F2586">
        <w:rPr>
          <w:rFonts w:eastAsia="Calibri" w:hint="cs"/>
          <w:rtl/>
        </w:rPr>
        <w:t xml:space="preserve"> </w:t>
      </w:r>
      <w:r w:rsidRPr="001F2586">
        <w:rPr>
          <w:rFonts w:eastAsia="Calibri"/>
          <w:rtl/>
        </w:rPr>
        <w:t xml:space="preserve">שיעור המימון </w:t>
      </w:r>
      <w:r w:rsidRPr="001F2586">
        <w:rPr>
          <w:rFonts w:eastAsia="Calibri" w:hint="cs"/>
          <w:rtl/>
        </w:rPr>
        <w:t xml:space="preserve">הוא עד 50%. בהתאם לשיעורי מימון אלו, </w:t>
      </w:r>
      <w:r w:rsidRPr="001F2586">
        <w:rPr>
          <w:rFonts w:eastAsia="Calibri" w:hint="cs"/>
          <w:rtl/>
        </w:rPr>
        <w:t>רוכשי</w:t>
      </w:r>
      <w:r w:rsidRPr="001F2586">
        <w:rPr>
          <w:rFonts w:eastAsia="Calibri" w:hint="cs"/>
          <w:rtl/>
        </w:rPr>
        <w:t xml:space="preserve"> הדירות נדרשים להביא הון עצמי מינימאלי לפי השיעורים הבאים: </w:t>
      </w:r>
      <w:r w:rsidRPr="001F2586">
        <w:rPr>
          <w:rFonts w:eastAsia="Calibri" w:hint="cs"/>
          <w:rtl/>
        </w:rPr>
        <w:t>רוכשי</w:t>
      </w:r>
      <w:r w:rsidRPr="001F2586">
        <w:rPr>
          <w:rFonts w:eastAsia="Calibri" w:hint="cs"/>
          <w:rtl/>
        </w:rPr>
        <w:t xml:space="preserve"> דירה יחידה - 25%; משפרי דיור - 30%; ומשקיעים - 50%.</w:t>
      </w:r>
    </w:p>
    <w:p w:rsidR="001F2586" w:rsidRPr="001F2586" w:rsidP="001F2586">
      <w:pPr>
        <w:tabs>
          <w:tab w:val="left" w:pos="3685"/>
        </w:tabs>
        <w:spacing w:line="269" w:lineRule="auto"/>
        <w:ind w:left="644"/>
        <w:contextualSpacing/>
        <w:rPr>
          <w:rFonts w:eastAsia="Calibri"/>
        </w:rPr>
      </w:pPr>
    </w:p>
    <w:p w:rsidR="001F2586" w:rsidRPr="001F2586" w:rsidP="001F2586">
      <w:pPr>
        <w:numPr>
          <w:ilvl w:val="0"/>
          <w:numId w:val="16"/>
        </w:numPr>
        <w:tabs>
          <w:tab w:val="left" w:pos="3685"/>
        </w:tabs>
        <w:spacing w:line="269" w:lineRule="auto"/>
        <w:contextualSpacing/>
        <w:rPr>
          <w:rFonts w:eastAsia="Calibri"/>
        </w:rPr>
      </w:pPr>
      <w:r w:rsidRPr="001F2586">
        <w:rPr>
          <w:rFonts w:eastAsia="Calibri" w:hint="cs"/>
          <w:rtl/>
        </w:rPr>
        <w:t>מגבלת שיעור החזר מהכנסה (</w:t>
      </w:r>
      <w:r w:rsidRPr="001F2586">
        <w:rPr>
          <w:rFonts w:eastAsia="Calibri" w:hint="cs"/>
        </w:rPr>
        <w:t>P</w:t>
      </w:r>
      <w:r w:rsidRPr="001F2586">
        <w:rPr>
          <w:rFonts w:eastAsia="Calibri"/>
        </w:rPr>
        <w:t>ayment To Income</w:t>
      </w:r>
      <w:r w:rsidRPr="001F2586">
        <w:rPr>
          <w:rFonts w:eastAsia="Calibri" w:hint="cs"/>
          <w:rtl/>
        </w:rPr>
        <w:t xml:space="preserve"> - </w:t>
      </w:r>
      <w:r w:rsidRPr="001F2586">
        <w:rPr>
          <w:rFonts w:eastAsia="Calibri"/>
        </w:rPr>
        <w:t>PTI</w:t>
      </w:r>
      <w:r w:rsidRPr="001F2586">
        <w:rPr>
          <w:rFonts w:eastAsia="Calibri" w:hint="cs"/>
          <w:rtl/>
        </w:rPr>
        <w:t>) - היחס בין ההחזר החודשי</w:t>
      </w:r>
      <w:r>
        <w:rPr>
          <w:rFonts w:eastAsia="Calibri"/>
          <w:vertAlign w:val="superscript"/>
          <w:rtl/>
        </w:rPr>
        <w:footnoteReference w:id="63"/>
      </w:r>
      <w:r w:rsidRPr="001F2586">
        <w:rPr>
          <w:rFonts w:eastAsia="Calibri" w:hint="cs"/>
          <w:rtl/>
        </w:rPr>
        <w:t xml:space="preserve"> של המשכנתא להכנסה החודשית הפנויה</w:t>
      </w:r>
      <w:r>
        <w:rPr>
          <w:rFonts w:eastAsia="Calibri"/>
          <w:vertAlign w:val="superscript"/>
          <w:rtl/>
        </w:rPr>
        <w:footnoteReference w:id="64"/>
      </w:r>
      <w:r w:rsidRPr="001F2586">
        <w:rPr>
          <w:rFonts w:eastAsia="Calibri" w:hint="cs"/>
          <w:rtl/>
        </w:rPr>
        <w:t xml:space="preserve"> של הלווים. נקבע כי שיעור ההחזר מההכנסה של הלווה מוגבל עד ל-50%, וכי במקרה והשיעור הוא מעל 40% מהכנסתו על הבנק להקצות הון נוסף במאזנו כנגד ההלוואה, שכן ההלוואה היא בסיכון גבוה יותר.</w:t>
      </w:r>
    </w:p>
    <w:p w:rsidR="001F2586" w:rsidRPr="001F2586" w:rsidP="001F2586">
      <w:pPr>
        <w:numPr>
          <w:ilvl w:val="0"/>
          <w:numId w:val="16"/>
        </w:numPr>
        <w:tabs>
          <w:tab w:val="left" w:pos="3685"/>
        </w:tabs>
        <w:spacing w:line="269" w:lineRule="auto"/>
        <w:contextualSpacing/>
        <w:rPr>
          <w:rFonts w:eastAsia="Calibri"/>
        </w:rPr>
      </w:pPr>
      <w:r w:rsidRPr="001F2586">
        <w:rPr>
          <w:rFonts w:eastAsia="Calibri" w:hint="cs"/>
          <w:rtl/>
        </w:rPr>
        <w:t>מגבלה על חלק ההלוואה בריבית משתנה - סכום ההלוואה במסלולים של ריבית משתנה הוא עד 66.66% (שני שליש) מסכום המשכנתא הכולל, כך שלפחות שליש מהמשכנתא היא בריבית קבועה.</w:t>
      </w:r>
    </w:p>
    <w:p w:rsidR="001F2586" w:rsidRPr="001F2586" w:rsidP="001F2586">
      <w:pPr>
        <w:tabs>
          <w:tab w:val="left" w:pos="3685"/>
        </w:tabs>
        <w:spacing w:line="269" w:lineRule="auto"/>
        <w:rPr>
          <w:rFonts w:eastAsia="Calibri"/>
          <w:rtl/>
        </w:rPr>
      </w:pPr>
    </w:p>
    <w:p w:rsidR="001F2586" w:rsidRPr="001F2586" w:rsidP="001F2586">
      <w:pPr>
        <w:numPr>
          <w:ilvl w:val="0"/>
          <w:numId w:val="16"/>
        </w:numPr>
        <w:tabs>
          <w:tab w:val="left" w:pos="3685"/>
        </w:tabs>
        <w:spacing w:line="269" w:lineRule="auto"/>
        <w:contextualSpacing/>
        <w:rPr>
          <w:rFonts w:eastAsia="Calibri"/>
        </w:rPr>
      </w:pPr>
      <w:r w:rsidRPr="001F2586">
        <w:rPr>
          <w:rFonts w:eastAsia="Calibri" w:hint="cs"/>
          <w:rtl/>
        </w:rPr>
        <w:t>מגבלה על התקופה לפירעון - התקופה לפירעון כל המשכנתא היא עד 30 שנים.</w:t>
      </w:r>
    </w:p>
    <w:p w:rsidR="001F2586" w:rsidRPr="001F2586" w:rsidP="001F2586">
      <w:pPr>
        <w:tabs>
          <w:tab w:val="left" w:pos="3685"/>
        </w:tabs>
        <w:spacing w:line="269" w:lineRule="auto"/>
        <w:ind w:left="-567"/>
        <w:rPr>
          <w:rFonts w:eastAsia="Calibri"/>
          <w:szCs w:val="20"/>
          <w:rtl/>
        </w:rPr>
      </w:pPr>
    </w:p>
    <w:p w:rsidR="001F2586" w:rsidRPr="001F2586" w:rsidP="001F2586">
      <w:pPr>
        <w:tabs>
          <w:tab w:val="left" w:pos="3685"/>
        </w:tabs>
        <w:spacing w:line="269" w:lineRule="auto"/>
        <w:rPr>
          <w:rFonts w:eastAsia="Calibri"/>
          <w:rtl/>
        </w:rPr>
      </w:pPr>
      <w:r w:rsidRPr="001F2586">
        <w:rPr>
          <w:rFonts w:eastAsia="Calibri" w:hint="cs"/>
          <w:rtl/>
        </w:rPr>
        <w:t>יצוין כי בנוסף למגבלות הרגולטוריות העיקריות שפורטו לעיל קיימות שתי מגבלות נוספות על משכנתאות: מגבלה על הלוואות לדירה במחיר מופחת</w:t>
      </w:r>
      <w:r>
        <w:rPr>
          <w:rFonts w:eastAsia="Calibri"/>
          <w:vertAlign w:val="superscript"/>
          <w:rtl/>
        </w:rPr>
        <w:footnoteReference w:id="65"/>
      </w:r>
      <w:r w:rsidRPr="001F2586">
        <w:rPr>
          <w:rFonts w:eastAsia="Calibri" w:hint="cs"/>
          <w:rtl/>
        </w:rPr>
        <w:t>; ומגבלה על שיעור הביצועים בהלוואות בולט ובלון בסבסוד קבלן</w:t>
      </w:r>
      <w:r>
        <w:rPr>
          <w:rFonts w:eastAsia="Calibri"/>
          <w:vertAlign w:val="superscript"/>
          <w:rtl/>
        </w:rPr>
        <w:footnoteReference w:id="66"/>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נוסף על המגבלות למתן הלוואות לדיור, הפיקוח על הבנקים נוקט גם בשני צעדים מבוססי הון: קביעת משקלי סיכון</w:t>
      </w:r>
      <w:r>
        <w:rPr>
          <w:rFonts w:eastAsia="Calibri"/>
          <w:vertAlign w:val="superscript"/>
          <w:rtl/>
        </w:rPr>
        <w:footnoteReference w:id="67"/>
      </w:r>
      <w:r w:rsidRPr="001F2586">
        <w:rPr>
          <w:rFonts w:eastAsia="Calibri" w:hint="cs"/>
          <w:rtl/>
        </w:rPr>
        <w:t xml:space="preserve"> על הלוואות בביטחון נכס למגורים בהוראת </w:t>
      </w:r>
      <w:r w:rsidRPr="001F2586">
        <w:rPr>
          <w:rFonts w:eastAsia="Calibri" w:hint="cs"/>
          <w:rtl/>
        </w:rPr>
        <w:t>נב"ת</w:t>
      </w:r>
      <w:r w:rsidRPr="001F2586">
        <w:rPr>
          <w:rFonts w:eastAsia="Calibri" w:hint="cs"/>
          <w:rtl/>
        </w:rPr>
        <w:t xml:space="preserve"> 203 - "הגישה הסטנדרטית-סיכון אשראי" (להלן - </w:t>
      </w:r>
      <w:r w:rsidRPr="001F2586">
        <w:rPr>
          <w:rFonts w:eastAsia="Calibri" w:hint="cs"/>
          <w:rtl/>
        </w:rPr>
        <w:t>נב"ת</w:t>
      </w:r>
      <w:r w:rsidRPr="001F2586">
        <w:rPr>
          <w:rFonts w:eastAsia="Calibri" w:hint="cs"/>
          <w:rtl/>
        </w:rPr>
        <w:t xml:space="preserve"> 203); והחזקה של כרית הון נוספת בשיעור של 1% מיתרת האשראי לדיור. בנקים נדרשים להחזיק הון עצמי בהתאם למשקלי הסיכון של ההלוואות לדיור ויתרת התיק הכוללת כדי להבטיח את יציבותם הפיננסית ולהבטיח את יכולתם לספוג הפסדים בלתי צפויים. </w:t>
      </w:r>
      <w:r w:rsidRPr="001F2586">
        <w:rPr>
          <w:rFonts w:eastAsia="Calibri"/>
          <w:rtl/>
        </w:rPr>
        <w:t xml:space="preserve">בסעיף 72 </w:t>
      </w:r>
      <w:r w:rsidRPr="001F2586">
        <w:rPr>
          <w:rFonts w:eastAsia="Calibri" w:hint="cs"/>
          <w:rtl/>
        </w:rPr>
        <w:t>ב</w:t>
      </w:r>
      <w:r w:rsidRPr="001F2586">
        <w:rPr>
          <w:rFonts w:eastAsia="Calibri"/>
          <w:rtl/>
        </w:rPr>
        <w:t>נב"ת</w:t>
      </w:r>
      <w:r w:rsidRPr="001F2586">
        <w:rPr>
          <w:rFonts w:eastAsia="Calibri"/>
          <w:rtl/>
        </w:rPr>
        <w:t xml:space="preserve"> 203 נקבע כי הלוואות המובטחות במלואן על ידי משכנתאות על נכס למגורים</w:t>
      </w:r>
      <w:r w:rsidRPr="001F2586">
        <w:rPr>
          <w:rFonts w:eastAsia="Calibri"/>
        </w:rPr>
        <w:t xml:space="preserve"> </w:t>
      </w:r>
      <w:r w:rsidRPr="001F2586">
        <w:rPr>
          <w:rFonts w:eastAsia="Calibri"/>
          <w:rtl/>
        </w:rPr>
        <w:t>שבו מתגורר, או עתיד להתגורר הלווה, או שמושכר, ישוקללו במשקלי סיכון הנקבעים לפי שיעור המימון של ההלוואות ביום מתן האשראי (להלן</w:t>
      </w:r>
      <w:r w:rsidRPr="001F2586">
        <w:rPr>
          <w:rFonts w:eastAsia="Calibri" w:hint="cs"/>
          <w:rtl/>
        </w:rPr>
        <w:t xml:space="preserve"> </w:t>
      </w:r>
      <w:r w:rsidRPr="001F2586">
        <w:rPr>
          <w:rFonts w:eastAsia="Calibri"/>
          <w:rtl/>
        </w:rPr>
        <w:t>- משקלי סיכון מופחתים). נקבע כי בהלוואות בשיעור מימון של עד 45% משקל הסיכון הוא 35%; בהלוואות בשיעור מימון של 45% - 60% משקל הסיכון הוא 50%; ובהלוואות בשיעור מימון מעל 60% משקל הסיכון הוא 60%</w:t>
      </w:r>
      <w:r>
        <w:rPr>
          <w:rFonts w:eastAsia="Calibri"/>
          <w:vertAlign w:val="superscript"/>
          <w:rtl/>
        </w:rPr>
        <w:footnoteReference w:id="68"/>
      </w:r>
      <w:r w:rsidRPr="001F2586">
        <w:rPr>
          <w:rFonts w:eastAsia="Calibri"/>
          <w:rtl/>
        </w:rPr>
        <w:t>.</w:t>
      </w:r>
      <w:r w:rsidRPr="001F2586">
        <w:rPr>
          <w:rFonts w:eastAsia="Calibri" w:hint="cs"/>
          <w:rtl/>
        </w:rPr>
        <w:t xml:space="preserve"> כמו כן, </w:t>
      </w:r>
      <w:r w:rsidRPr="001F2586">
        <w:rPr>
          <w:rFonts w:ascii="David" w:eastAsia="Calibri" w:hAnsi="David"/>
          <w:sz w:val="24"/>
          <w:rtl/>
        </w:rPr>
        <w:t xml:space="preserve">ללא קשר למשקלי סיכון מופחתים קבע המפקח על הבנקים בסעיף 6 </w:t>
      </w:r>
      <w:r w:rsidRPr="001F2586">
        <w:rPr>
          <w:rFonts w:ascii="David" w:eastAsia="Calibri" w:hAnsi="David" w:hint="cs"/>
          <w:sz w:val="24"/>
          <w:rtl/>
        </w:rPr>
        <w:t>ב</w:t>
      </w:r>
      <w:r w:rsidRPr="001F2586">
        <w:rPr>
          <w:rFonts w:ascii="David" w:eastAsia="Calibri" w:hAnsi="David"/>
          <w:sz w:val="24"/>
          <w:rtl/>
        </w:rPr>
        <w:t>נב"ת</w:t>
      </w:r>
      <w:r w:rsidRPr="001F2586">
        <w:rPr>
          <w:rFonts w:ascii="David" w:eastAsia="Calibri" w:hAnsi="David"/>
          <w:sz w:val="24"/>
          <w:rtl/>
        </w:rPr>
        <w:t xml:space="preserve"> 329 כי יש להקצות </w:t>
      </w:r>
      <w:r w:rsidRPr="001F2586">
        <w:rPr>
          <w:rFonts w:ascii="David" w:eastAsia="Calibri" w:hAnsi="David" w:hint="eastAsia"/>
          <w:sz w:val="24"/>
          <w:rtl/>
        </w:rPr>
        <w:t>כאמור</w:t>
      </w:r>
      <w:r w:rsidRPr="001F2586">
        <w:rPr>
          <w:rFonts w:ascii="David" w:eastAsia="Calibri" w:hAnsi="David"/>
          <w:sz w:val="24"/>
          <w:rtl/>
        </w:rPr>
        <w:t xml:space="preserve"> משקל סיכון של 100% בהלוואות לדיור בהן שיעור ההחזר מהכנסה </w:t>
      </w:r>
      <w:r w:rsidRPr="001F2586">
        <w:rPr>
          <w:rFonts w:ascii="David" w:eastAsia="Calibri" w:hAnsi="David" w:hint="eastAsia"/>
          <w:sz w:val="24"/>
          <w:rtl/>
        </w:rPr>
        <w:t>של</w:t>
      </w:r>
      <w:r w:rsidRPr="001F2586">
        <w:rPr>
          <w:rFonts w:ascii="David" w:eastAsia="Calibri" w:hAnsi="David"/>
          <w:sz w:val="24"/>
          <w:rtl/>
        </w:rPr>
        <w:t xml:space="preserve"> הלווה עולה על 40%.</w:t>
      </w:r>
      <w:r w:rsidRPr="001F2586">
        <w:rPr>
          <w:rFonts w:eastAsia="Calibri"/>
          <w:rtl/>
        </w:rPr>
        <w:t xml:space="preserve"> עוד נקבע </w:t>
      </w:r>
      <w:r w:rsidRPr="001F2586">
        <w:rPr>
          <w:rFonts w:eastAsia="Calibri"/>
          <w:rtl/>
        </w:rPr>
        <w:t>בנב"ת</w:t>
      </w:r>
      <w:r w:rsidRPr="001F2586">
        <w:rPr>
          <w:rFonts w:eastAsia="Calibri"/>
          <w:rtl/>
        </w:rPr>
        <w:t xml:space="preserve"> 203 כי הלוואות בפיגור של 90 ימים או יותר, ו/או שמסווגות כחוב שאינו צובר הכנסות ריבית, ישוקללו במשקל הסיכון של 100%</w:t>
      </w:r>
      <w:r>
        <w:rPr>
          <w:rFonts w:eastAsia="Calibri"/>
          <w:vertAlign w:val="superscript"/>
          <w:rtl/>
        </w:rPr>
        <w:footnoteReference w:id="69"/>
      </w:r>
      <w:r w:rsidRPr="001F2586">
        <w:rPr>
          <w:rFonts w:eastAsia="Calibri"/>
          <w:rtl/>
        </w:rPr>
        <w:t>.</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לנוכח</w:t>
      </w:r>
      <w:r w:rsidRPr="001F2586">
        <w:rPr>
          <w:rFonts w:eastAsia="Calibri"/>
          <w:rtl/>
        </w:rPr>
        <w:t xml:space="preserve"> </w:t>
      </w:r>
      <w:r w:rsidRPr="001F2586">
        <w:rPr>
          <w:rFonts w:eastAsia="Calibri" w:hint="eastAsia"/>
          <w:rtl/>
        </w:rPr>
        <w:t>הסיכונים</w:t>
      </w:r>
      <w:r w:rsidRPr="001F2586">
        <w:rPr>
          <w:rFonts w:eastAsia="Calibri"/>
          <w:rtl/>
        </w:rPr>
        <w:t xml:space="preserve"> בתיק האשראי </w:t>
      </w:r>
      <w:r w:rsidRPr="001F2586">
        <w:rPr>
          <w:rFonts w:eastAsia="Calibri" w:hint="eastAsia"/>
          <w:rtl/>
        </w:rPr>
        <w:t>לדיור</w:t>
      </w:r>
      <w:r w:rsidRPr="001F2586">
        <w:rPr>
          <w:rFonts w:eastAsia="Calibri"/>
          <w:rtl/>
        </w:rPr>
        <w:t xml:space="preserve"> </w:t>
      </w:r>
      <w:r w:rsidRPr="001F2586">
        <w:rPr>
          <w:rFonts w:eastAsia="Calibri" w:hint="eastAsia"/>
          <w:rtl/>
        </w:rPr>
        <w:t>למלווים</w:t>
      </w:r>
      <w:r w:rsidRPr="001F2586">
        <w:rPr>
          <w:rFonts w:eastAsia="Calibri"/>
          <w:rtl/>
        </w:rPr>
        <w:t xml:space="preserve"> </w:t>
      </w:r>
      <w:r w:rsidRPr="001F2586">
        <w:rPr>
          <w:rFonts w:eastAsia="Calibri" w:hint="eastAsia"/>
          <w:rtl/>
        </w:rPr>
        <w:t>והסיכונים</w:t>
      </w:r>
      <w:r w:rsidRPr="001F2586">
        <w:rPr>
          <w:rFonts w:eastAsia="Calibri"/>
          <w:rtl/>
        </w:rPr>
        <w:t xml:space="preserve"> בהלוואות לדיור </w:t>
      </w:r>
      <w:r w:rsidRPr="001F2586">
        <w:rPr>
          <w:rFonts w:eastAsia="Calibri" w:hint="eastAsia"/>
          <w:rtl/>
        </w:rPr>
        <w:t>ללווים</w:t>
      </w:r>
      <w:r w:rsidRPr="001F2586">
        <w:rPr>
          <w:rFonts w:eastAsia="Calibri"/>
          <w:rtl/>
        </w:rPr>
        <w:t xml:space="preserve"> </w:t>
      </w:r>
      <w:r w:rsidRPr="001F2586">
        <w:rPr>
          <w:rFonts w:eastAsia="Calibri" w:hint="eastAsia"/>
          <w:rtl/>
        </w:rPr>
        <w:t>נדרש</w:t>
      </w:r>
      <w:r w:rsidRPr="001F2586">
        <w:rPr>
          <w:rFonts w:eastAsia="Calibri"/>
          <w:rtl/>
        </w:rPr>
        <w:t xml:space="preserve"> </w:t>
      </w:r>
      <w:r w:rsidRPr="001F2586">
        <w:rPr>
          <w:rFonts w:eastAsia="Calibri" w:hint="eastAsia"/>
          <w:rtl/>
        </w:rPr>
        <w:t>מהפיקוח</w:t>
      </w:r>
      <w:r w:rsidRPr="001F2586">
        <w:rPr>
          <w:rFonts w:eastAsia="Calibri"/>
          <w:rtl/>
        </w:rPr>
        <w:t xml:space="preserve"> </w:t>
      </w:r>
      <w:r w:rsidRPr="001F2586">
        <w:rPr>
          <w:rFonts w:eastAsia="Calibri" w:hint="eastAsia"/>
          <w:rtl/>
        </w:rPr>
        <w:t>על</w:t>
      </w:r>
      <w:r w:rsidRPr="001F2586">
        <w:rPr>
          <w:rFonts w:eastAsia="Calibri"/>
          <w:rtl/>
        </w:rPr>
        <w:t xml:space="preserve"> </w:t>
      </w:r>
      <w:r w:rsidRPr="001F2586">
        <w:rPr>
          <w:rFonts w:eastAsia="Calibri" w:hint="eastAsia"/>
          <w:rtl/>
        </w:rPr>
        <w:t>הבנקים</w:t>
      </w:r>
      <w:r w:rsidRPr="001F2586">
        <w:rPr>
          <w:rFonts w:eastAsia="Calibri"/>
          <w:rtl/>
        </w:rPr>
        <w:t xml:space="preserve"> </w:t>
      </w:r>
      <w:r w:rsidRPr="001F2586">
        <w:rPr>
          <w:rFonts w:eastAsia="Calibri" w:hint="eastAsia"/>
          <w:rtl/>
        </w:rPr>
        <w:t>לבחון</w:t>
      </w:r>
      <w:r w:rsidRPr="001F2586">
        <w:rPr>
          <w:rFonts w:eastAsia="Calibri"/>
          <w:rtl/>
        </w:rPr>
        <w:t xml:space="preserve"> את </w:t>
      </w:r>
      <w:r w:rsidRPr="001F2586">
        <w:rPr>
          <w:rFonts w:eastAsia="Calibri" w:hint="eastAsia"/>
          <w:rtl/>
        </w:rPr>
        <w:t>ההשפעות</w:t>
      </w:r>
      <w:r w:rsidRPr="001F2586">
        <w:rPr>
          <w:rFonts w:eastAsia="Calibri"/>
          <w:rtl/>
        </w:rPr>
        <w:t xml:space="preserve"> </w:t>
      </w:r>
      <w:r w:rsidRPr="001F2586">
        <w:rPr>
          <w:rFonts w:eastAsia="Calibri" w:hint="eastAsia"/>
          <w:rtl/>
        </w:rPr>
        <w:t>של</w:t>
      </w:r>
      <w:r w:rsidRPr="001F2586">
        <w:rPr>
          <w:rFonts w:eastAsia="Calibri"/>
          <w:rtl/>
        </w:rPr>
        <w:t xml:space="preserve"> </w:t>
      </w:r>
      <w:r w:rsidRPr="001F2586">
        <w:rPr>
          <w:rFonts w:eastAsia="Calibri" w:hint="eastAsia"/>
          <w:rtl/>
        </w:rPr>
        <w:t>הפעלת</w:t>
      </w:r>
      <w:r w:rsidRPr="001F2586">
        <w:rPr>
          <w:rFonts w:eastAsia="Calibri"/>
          <w:rtl/>
        </w:rPr>
        <w:t xml:space="preserve"> </w:t>
      </w:r>
      <w:r w:rsidRPr="001F2586">
        <w:rPr>
          <w:rFonts w:eastAsia="Calibri" w:hint="eastAsia"/>
          <w:rtl/>
        </w:rPr>
        <w:t>כלים</w:t>
      </w:r>
      <w:r w:rsidRPr="001F2586">
        <w:rPr>
          <w:rFonts w:eastAsia="Calibri"/>
          <w:rtl/>
        </w:rPr>
        <w:t xml:space="preserve"> </w:t>
      </w:r>
      <w:r w:rsidRPr="001F2586">
        <w:rPr>
          <w:rFonts w:eastAsia="Calibri" w:hint="eastAsia"/>
          <w:rtl/>
        </w:rPr>
        <w:t>מקרו</w:t>
      </w:r>
      <w:r w:rsidRPr="001F2586">
        <w:rPr>
          <w:rFonts w:eastAsia="Calibri"/>
          <w:rtl/>
        </w:rPr>
        <w:t>-</w:t>
      </w:r>
      <w:r w:rsidRPr="001F2586">
        <w:rPr>
          <w:rFonts w:eastAsia="Calibri" w:hint="eastAsia"/>
          <w:rtl/>
        </w:rPr>
        <w:t>יציבותיים</w:t>
      </w:r>
      <w:r w:rsidRPr="001F2586">
        <w:rPr>
          <w:rFonts w:eastAsia="Calibri"/>
          <w:rtl/>
        </w:rPr>
        <w:t xml:space="preserve"> </w:t>
      </w:r>
      <w:r w:rsidRPr="001F2586">
        <w:rPr>
          <w:rFonts w:eastAsia="Calibri" w:hint="eastAsia"/>
          <w:rtl/>
        </w:rPr>
        <w:t>וצעדי</w:t>
      </w:r>
      <w:r w:rsidRPr="001F2586">
        <w:rPr>
          <w:rFonts w:eastAsia="Calibri"/>
          <w:rtl/>
        </w:rPr>
        <w:t xml:space="preserve"> </w:t>
      </w:r>
      <w:r w:rsidRPr="001F2586">
        <w:rPr>
          <w:rFonts w:eastAsia="Calibri" w:hint="eastAsia"/>
          <w:rtl/>
        </w:rPr>
        <w:t>האסדר</w:t>
      </w:r>
      <w:r w:rsidRPr="001F2586">
        <w:rPr>
          <w:rFonts w:eastAsia="Calibri" w:hint="cs"/>
          <w:rtl/>
        </w:rPr>
        <w:t xml:space="preserve">ה </w:t>
      </w:r>
      <w:r w:rsidRPr="001F2586">
        <w:rPr>
          <w:rFonts w:eastAsia="Calibri"/>
          <w:rtl/>
        </w:rPr>
        <w:t xml:space="preserve">בתחום המשכנתאות על יציבות המערכת הבנקאית והפיננסית בכללותה ועל ההגינות הנדרשת כלפי ציבור הלווים. </w:t>
      </w:r>
      <w:r w:rsidRPr="001F2586">
        <w:rPr>
          <w:rFonts w:eastAsia="Calibri" w:hint="cs"/>
          <w:rtl/>
        </w:rPr>
        <w:t xml:space="preserve">החשיבות של בחינת צעדי האסדרה גוברת לנוכח הגידול בתיק האשראי לדיור ובמשקלו בתיק האשראי הבנקאי ומהעלייה בסכומי המשכנתאות וההחזרים החודשיים. </w:t>
      </w:r>
      <w:r w:rsidRPr="001F2586">
        <w:rPr>
          <w:rFonts w:eastAsia="Calibri"/>
          <w:rtl/>
        </w:rPr>
        <w:t xml:space="preserve">הבחינה צריכה להיעשות באופן עיתי וסדור תחת בחינה מקיפה וניתוח סיכונים מוקפד הכולל ניטור </w:t>
      </w:r>
      <w:r w:rsidRPr="001F2586">
        <w:rPr>
          <w:rFonts w:eastAsia="Calibri" w:hint="eastAsia"/>
          <w:rtl/>
        </w:rPr>
        <w:t>ומניעה</w:t>
      </w:r>
      <w:r w:rsidRPr="001F2586">
        <w:rPr>
          <w:rFonts w:eastAsia="Calibri"/>
          <w:rtl/>
        </w:rPr>
        <w:t xml:space="preserve"> </w:t>
      </w:r>
      <w:r w:rsidRPr="001F2586">
        <w:rPr>
          <w:rFonts w:eastAsia="Calibri" w:hint="eastAsia"/>
          <w:rtl/>
        </w:rPr>
        <w:t>של</w:t>
      </w:r>
      <w:r w:rsidRPr="001F2586">
        <w:rPr>
          <w:rFonts w:eastAsia="Calibri"/>
          <w:rtl/>
        </w:rPr>
        <w:t xml:space="preserve"> סיכונים </w:t>
      </w:r>
      <w:r w:rsidRPr="001F2586">
        <w:rPr>
          <w:rFonts w:eastAsia="Calibri" w:hint="eastAsia"/>
          <w:rtl/>
        </w:rPr>
        <w:t>שונים</w:t>
      </w:r>
      <w:r w:rsidRPr="001F2586">
        <w:rPr>
          <w:rFonts w:eastAsia="Calibri"/>
          <w:rtl/>
        </w:rPr>
        <w:t xml:space="preserve">: סיכונים </w:t>
      </w:r>
      <w:r w:rsidRPr="001F2586">
        <w:rPr>
          <w:rFonts w:eastAsia="Calibri" w:hint="eastAsia"/>
          <w:rtl/>
        </w:rPr>
        <w:t>העלולים</w:t>
      </w:r>
      <w:r w:rsidRPr="001F2586">
        <w:rPr>
          <w:rFonts w:eastAsia="Calibri"/>
          <w:rtl/>
        </w:rPr>
        <w:t xml:space="preserve"> </w:t>
      </w:r>
      <w:r w:rsidRPr="001F2586">
        <w:rPr>
          <w:rFonts w:eastAsia="Calibri" w:hint="eastAsia"/>
          <w:rtl/>
        </w:rPr>
        <w:t>להתפתח</w:t>
      </w:r>
      <w:r w:rsidRPr="001F2586">
        <w:rPr>
          <w:rFonts w:eastAsia="Calibri"/>
          <w:rtl/>
        </w:rPr>
        <w:t xml:space="preserve"> </w:t>
      </w:r>
      <w:r w:rsidRPr="001F2586">
        <w:rPr>
          <w:rFonts w:eastAsia="Calibri" w:hint="eastAsia"/>
          <w:rtl/>
        </w:rPr>
        <w:t>לכשלים</w:t>
      </w:r>
      <w:r w:rsidRPr="001F2586">
        <w:rPr>
          <w:rFonts w:eastAsia="Calibri"/>
          <w:rtl/>
        </w:rPr>
        <w:t xml:space="preserve"> מערכתיים </w:t>
      </w:r>
      <w:r w:rsidRPr="001F2586">
        <w:rPr>
          <w:rFonts w:eastAsia="Calibri" w:hint="eastAsia"/>
          <w:rtl/>
        </w:rPr>
        <w:t>הפוגעים</w:t>
      </w:r>
      <w:r w:rsidRPr="001F2586">
        <w:rPr>
          <w:rFonts w:eastAsia="Calibri"/>
          <w:rtl/>
        </w:rPr>
        <w:t xml:space="preserve"> ביציבות הבנקים והמשק; ו</w:t>
      </w:r>
      <w:r w:rsidRPr="001F2586">
        <w:rPr>
          <w:rFonts w:eastAsia="Calibri" w:hint="eastAsia"/>
          <w:rtl/>
        </w:rPr>
        <w:t>סיכונים</w:t>
      </w:r>
      <w:r w:rsidRPr="001F2586">
        <w:rPr>
          <w:rFonts w:eastAsia="Calibri"/>
          <w:rtl/>
        </w:rPr>
        <w:t xml:space="preserve"> </w:t>
      </w:r>
      <w:r w:rsidRPr="001F2586">
        <w:rPr>
          <w:rFonts w:eastAsia="Calibri" w:hint="eastAsia"/>
          <w:rtl/>
        </w:rPr>
        <w:t>הפוגעים</w:t>
      </w:r>
      <w:r w:rsidRPr="001F2586">
        <w:rPr>
          <w:rFonts w:eastAsia="Calibri"/>
          <w:rtl/>
        </w:rPr>
        <w:t xml:space="preserve"> </w:t>
      </w:r>
      <w:r w:rsidRPr="001F2586">
        <w:rPr>
          <w:rFonts w:eastAsia="Calibri" w:hint="eastAsia"/>
          <w:rtl/>
        </w:rPr>
        <w:t>ב</w:t>
      </w:r>
      <w:r w:rsidRPr="001F2586">
        <w:rPr>
          <w:rFonts w:eastAsia="Calibri"/>
          <w:rtl/>
        </w:rPr>
        <w:t xml:space="preserve">מתן שירות הוגן ומיטבי לציבור </w:t>
      </w:r>
      <w:r w:rsidRPr="001F2586">
        <w:rPr>
          <w:rFonts w:eastAsia="Calibri" w:hint="eastAsia"/>
          <w:rtl/>
        </w:rPr>
        <w:t>העלולים</w:t>
      </w:r>
      <w:r w:rsidRPr="001F2586">
        <w:rPr>
          <w:rFonts w:eastAsia="Calibri"/>
          <w:rtl/>
        </w:rPr>
        <w:t xml:space="preserve"> </w:t>
      </w:r>
      <w:r w:rsidRPr="001F2586">
        <w:rPr>
          <w:rFonts w:eastAsia="Calibri" w:hint="eastAsia"/>
          <w:rtl/>
        </w:rPr>
        <w:t>לערער</w:t>
      </w:r>
      <w:r w:rsidRPr="001F2586">
        <w:rPr>
          <w:rFonts w:eastAsia="Calibri"/>
          <w:rtl/>
        </w:rPr>
        <w:t xml:space="preserve"> </w:t>
      </w:r>
      <w:r w:rsidRPr="001F2586">
        <w:rPr>
          <w:rFonts w:eastAsia="Calibri" w:hint="eastAsia"/>
          <w:rtl/>
        </w:rPr>
        <w:t>את</w:t>
      </w:r>
      <w:r w:rsidRPr="001F2586">
        <w:rPr>
          <w:rFonts w:eastAsia="Calibri"/>
          <w:rtl/>
        </w:rPr>
        <w:t xml:space="preserve"> </w:t>
      </w:r>
      <w:r w:rsidRPr="001F2586">
        <w:rPr>
          <w:rFonts w:eastAsia="Calibri" w:hint="eastAsia"/>
          <w:rtl/>
        </w:rPr>
        <w:t>אמון</w:t>
      </w:r>
      <w:r w:rsidRPr="001F2586">
        <w:rPr>
          <w:rFonts w:eastAsia="Calibri"/>
          <w:rtl/>
        </w:rPr>
        <w:t xml:space="preserve"> הציבור במערכת הבנקאית, ומשכך לפגוע </w:t>
      </w:r>
      <w:r w:rsidRPr="001F2586">
        <w:rPr>
          <w:rFonts w:eastAsia="Calibri" w:hint="eastAsia"/>
          <w:rtl/>
        </w:rPr>
        <w:t>גם</w:t>
      </w:r>
      <w:r w:rsidRPr="001F2586">
        <w:rPr>
          <w:rFonts w:eastAsia="Calibri"/>
          <w:rtl/>
        </w:rPr>
        <w:t xml:space="preserve"> </w:t>
      </w:r>
      <w:r w:rsidRPr="001F2586">
        <w:rPr>
          <w:rFonts w:eastAsia="Calibri" w:hint="eastAsia"/>
          <w:rtl/>
        </w:rPr>
        <w:t>ביציבותה</w:t>
      </w:r>
      <w:r w:rsidRPr="001F2586">
        <w:rPr>
          <w:rFonts w:eastAsia="Calibri"/>
          <w:rtl/>
        </w:rPr>
        <w:t>.</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בחינת המגבלות העיקריות על מתן הלוואות לדיור</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ascii="David" w:eastAsia="Calibri" w:hAnsi="David"/>
          <w:sz w:val="24"/>
          <w:rtl/>
        </w:rPr>
        <w:t xml:space="preserve">משבר </w:t>
      </w:r>
      <w:r w:rsidRPr="001F2586">
        <w:rPr>
          <w:rFonts w:ascii="David" w:eastAsia="Calibri" w:hAnsi="David"/>
          <w:sz w:val="24"/>
          <w:rtl/>
        </w:rPr>
        <w:t>הסאב</w:t>
      </w:r>
      <w:r w:rsidRPr="001F2586">
        <w:rPr>
          <w:rFonts w:ascii="David" w:eastAsia="Calibri" w:hAnsi="David"/>
          <w:sz w:val="24"/>
          <w:rtl/>
        </w:rPr>
        <w:t xml:space="preserve"> פריים</w:t>
      </w:r>
      <w:r w:rsidRPr="001F2586">
        <w:rPr>
          <w:rFonts w:ascii="David" w:eastAsia="Calibri" w:hAnsi="David" w:hint="cs"/>
          <w:sz w:val="24"/>
          <w:rtl/>
        </w:rPr>
        <w:t xml:space="preserve"> שחל בשנים 2007 - 2008 </w:t>
      </w:r>
      <w:r w:rsidRPr="001F2586">
        <w:rPr>
          <w:rFonts w:ascii="David" w:eastAsia="Calibri" w:hAnsi="David"/>
          <w:sz w:val="24"/>
          <w:rtl/>
        </w:rPr>
        <w:t>הוביל להידוק הרגולציה על שוק האשראי</w:t>
      </w:r>
      <w:r>
        <w:rPr>
          <w:rFonts w:ascii="David" w:eastAsia="Calibri" w:hAnsi="David"/>
          <w:sz w:val="24"/>
          <w:vertAlign w:val="superscript"/>
          <w:rtl/>
        </w:rPr>
        <w:footnoteReference w:id="70"/>
      </w:r>
      <w:r w:rsidRPr="001F2586">
        <w:rPr>
          <w:rFonts w:ascii="David" w:eastAsia="Calibri" w:hAnsi="David"/>
          <w:sz w:val="24"/>
          <w:rtl/>
        </w:rPr>
        <w:t>.</w:t>
      </w:r>
      <w:r w:rsidRPr="001F2586">
        <w:rPr>
          <w:rFonts w:ascii="David" w:eastAsia="Calibri" w:hAnsi="David" w:hint="cs"/>
          <w:sz w:val="24"/>
          <w:rtl/>
        </w:rPr>
        <w:t xml:space="preserve"> </w:t>
      </w:r>
      <w:r w:rsidRPr="001F2586">
        <w:rPr>
          <w:rFonts w:eastAsia="Calibri" w:hint="cs"/>
          <w:rtl/>
        </w:rPr>
        <w:t xml:space="preserve">כתגובה למשבר העולמי ולמגמה גלובלית של ירידת ריביות, בנק ישראל נקט במדיניות מוניטרית מרחיבה </w:t>
      </w:r>
      <w:r w:rsidRPr="001F2586">
        <w:rPr>
          <w:rFonts w:eastAsia="Calibri" w:hint="cs"/>
          <w:rtl/>
        </w:rPr>
        <w:t xml:space="preserve">והוריד את שיעור ריבית בנק ישראל בשנים הראשונות שלאחר המשבר. סביבת הריביות הנמוכה בשילוב עם יציבות כלכלית במשק הביאו לעלייה </w:t>
      </w:r>
      <w:r w:rsidRPr="001F2586">
        <w:rPr>
          <w:rFonts w:eastAsia="Calibri" w:hint="cs"/>
          <w:rtl/>
        </w:rPr>
        <w:t>בביקושים</w:t>
      </w:r>
      <w:r w:rsidRPr="001F2586">
        <w:rPr>
          <w:rFonts w:eastAsia="Calibri" w:hint="cs"/>
          <w:rtl/>
        </w:rPr>
        <w:t xml:space="preserve"> של הציבור לרכישת דירות שלא קיבלו מענה הולם מצד היצע הדירות בישראל. תנאים אלו הביאו לעלייה חדה במחירי הדירות בישראל ולעלייה בביקוש למשכנתאות</w:t>
      </w:r>
      <w:r>
        <w:rPr>
          <w:rFonts w:eastAsia="Calibri"/>
          <w:vertAlign w:val="superscript"/>
          <w:rtl/>
        </w:rPr>
        <w:footnoteReference w:id="71"/>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hint="cs"/>
          <w:rtl/>
        </w:rPr>
        <w:t>בד בבד עם עליית מחירי הדיור חלה עלייה מהירה במספר ההלוואות לדיור ובהיקפן. הגידול</w:t>
      </w:r>
      <w:r w:rsidRPr="001F2586">
        <w:rPr>
          <w:rFonts w:eastAsia="Calibri"/>
          <w:rtl/>
        </w:rPr>
        <w:t xml:space="preserve"> </w:t>
      </w:r>
      <w:r w:rsidRPr="001F2586">
        <w:rPr>
          <w:rFonts w:eastAsia="Calibri" w:hint="cs"/>
          <w:rtl/>
        </w:rPr>
        <w:t>ב</w:t>
      </w:r>
      <w:r w:rsidRPr="001F2586">
        <w:rPr>
          <w:rFonts w:eastAsia="Calibri"/>
          <w:rtl/>
        </w:rPr>
        <w:t xml:space="preserve">תיקי </w:t>
      </w:r>
      <w:r w:rsidRPr="001F2586">
        <w:rPr>
          <w:rFonts w:eastAsia="Calibri" w:hint="cs"/>
          <w:rtl/>
        </w:rPr>
        <w:t>הלוואות</w:t>
      </w:r>
      <w:r w:rsidRPr="001F2586">
        <w:rPr>
          <w:rFonts w:eastAsia="Calibri"/>
          <w:rtl/>
        </w:rPr>
        <w:t xml:space="preserve"> לדיור בבנקים</w:t>
      </w:r>
      <w:r w:rsidRPr="001F2586">
        <w:rPr>
          <w:rFonts w:eastAsia="Calibri" w:hint="cs"/>
          <w:rtl/>
        </w:rPr>
        <w:t xml:space="preserve"> התבטא</w:t>
      </w:r>
      <w:r w:rsidRPr="001F2586">
        <w:rPr>
          <w:rFonts w:eastAsia="Calibri"/>
          <w:rtl/>
        </w:rPr>
        <w:t xml:space="preserve"> </w:t>
      </w:r>
      <w:r w:rsidRPr="001F2586">
        <w:rPr>
          <w:rFonts w:eastAsia="Calibri" w:hint="cs"/>
          <w:rtl/>
        </w:rPr>
        <w:t>ב</w:t>
      </w:r>
      <w:r w:rsidRPr="001F2586">
        <w:rPr>
          <w:rFonts w:eastAsia="Calibri"/>
          <w:rtl/>
        </w:rPr>
        <w:t xml:space="preserve">עלייה </w:t>
      </w:r>
      <w:r w:rsidRPr="001F2586">
        <w:rPr>
          <w:rFonts w:eastAsia="Calibri" w:hint="cs"/>
          <w:rtl/>
        </w:rPr>
        <w:t xml:space="preserve">של הלוואות </w:t>
      </w:r>
      <w:r w:rsidRPr="001F2586">
        <w:rPr>
          <w:rFonts w:eastAsia="Calibri"/>
          <w:rtl/>
        </w:rPr>
        <w:t xml:space="preserve">בשיעורי מימון גבוהים ובהיקף גבוה של הלוואות בריבית משתנה. </w:t>
      </w:r>
      <w:r w:rsidRPr="001F2586">
        <w:rPr>
          <w:rFonts w:eastAsia="Calibri" w:hint="cs"/>
          <w:rtl/>
        </w:rPr>
        <w:t xml:space="preserve">אירועים אלו הובילו לכמה מגמות בתיק אשראי לדיור במערכת הבנקאית בשנים 2009 - 2013 ששיקפו עלייה ברמת הסיכון של תיק האשראי לדיור: עלייה בתיק האשראי לדיור במערכת הבנקאית; גידול בהיקף הביצועים של הלוואות לדיור ועלייה בגודל הממוצע של הלוואות לדיור; גידול הלוואות בשיעורי מימון גבוהים ובפעילות מואצת של משקיעים; </w:t>
      </w:r>
      <w:r w:rsidRPr="001F2586">
        <w:rPr>
          <w:rFonts w:eastAsia="Calibri" w:hint="cs"/>
          <w:color w:val="1F497D"/>
          <w:rtl/>
        </w:rPr>
        <w:t>ו</w:t>
      </w:r>
      <w:r w:rsidRPr="001F2586">
        <w:rPr>
          <w:rFonts w:eastAsia="Calibri" w:hint="cs"/>
          <w:rtl/>
        </w:rPr>
        <w:t xml:space="preserve">גידול משמעותי בהיקף ביצוע הלוואות לדיור בריבית משתנה. </w:t>
      </w:r>
    </w:p>
    <w:p w:rsidR="00EF4431" w:rsidP="001F2586">
      <w:pPr>
        <w:spacing w:line="269" w:lineRule="auto"/>
        <w:rPr>
          <w:rFonts w:eastAsia="Calibri"/>
          <w:rtl/>
        </w:rPr>
      </w:pPr>
    </w:p>
    <w:p w:rsidR="00EF4431" w:rsidP="00EF4431">
      <w:pPr>
        <w:pStyle w:val="a"/>
        <w:spacing w:line="288" w:lineRule="auto"/>
        <w:ind w:left="0"/>
        <w:rPr>
          <w:rFonts w:ascii="David" w:hAnsi="David"/>
          <w:sz w:val="24"/>
          <w:szCs w:val="24"/>
          <w:rtl/>
        </w:rPr>
      </w:pPr>
      <w:r w:rsidRPr="00BE53C6">
        <w:rPr>
          <w:rFonts w:ascii="David" w:hAnsi="David"/>
          <w:sz w:val="24"/>
          <w:szCs w:val="24"/>
          <w:rtl/>
        </w:rPr>
        <w:t xml:space="preserve">לאור מגמות אלו, הפיקוח על הבנקים ראה צורך להקטין את הסיכונים בתיק האשראי לדיור, ובתוך כך להקטין את החשיפה להלוואות מסוכנות וממונפות עם שיעורים גבוהים של שיעורי מימון, יחס החזר מהכנסה וריבית משתנה. הפיקוח על הבנקים החל לקבוע מגבלות הדוקות יותר על הלוואות לדיור בשנים 2010 - 2013 באמצעות מכתבים לתאגידים הבנקאיים. המפקח על הבנקים קבע </w:t>
      </w:r>
      <w:hyperlink r:id="rId20" w:history="1">
        <w:r w:rsidRPr="00BE53C6">
          <w:rPr>
            <w:rStyle w:val="Hyperlink"/>
            <w:rFonts w:ascii="David" w:hAnsi="David"/>
            <w:sz w:val="24"/>
            <w:szCs w:val="24"/>
            <w:rtl/>
          </w:rPr>
          <w:t>בחוזר מס' ח- 06 - 2426</w:t>
        </w:r>
      </w:hyperlink>
      <w:r w:rsidRPr="00BE53C6">
        <w:rPr>
          <w:rFonts w:ascii="David" w:hAnsi="David"/>
          <w:sz w:val="24"/>
          <w:szCs w:val="24"/>
          <w:rtl/>
        </w:rPr>
        <w:t xml:space="preserve"> ב-15.7.2014 מגבלות למתן הלוואות לדיור על שיעור המימון, תקופה לפירעון סופי, שיעור החזר מהכנסה ועל חלק ההלוואה בריבית משתנה. מגבלות אלו נקבעו במסגרת הוראת </w:t>
      </w:r>
      <w:hyperlink r:id="rId21" w:history="1">
        <w:r w:rsidRPr="00BE53C6">
          <w:rPr>
            <w:rStyle w:val="Hyperlink"/>
            <w:rFonts w:ascii="David" w:hAnsi="David"/>
            <w:sz w:val="24"/>
            <w:szCs w:val="24"/>
            <w:rtl/>
          </w:rPr>
          <w:t>נב"ת</w:t>
        </w:r>
        <w:r w:rsidRPr="00BE53C6">
          <w:rPr>
            <w:rStyle w:val="Hyperlink"/>
            <w:rFonts w:ascii="David" w:hAnsi="David"/>
            <w:sz w:val="24"/>
            <w:szCs w:val="24"/>
            <w:rtl/>
          </w:rPr>
          <w:t xml:space="preserve"> 329</w:t>
        </w:r>
      </w:hyperlink>
      <w:r w:rsidRPr="00BE53C6">
        <w:rPr>
          <w:rFonts w:ascii="David" w:hAnsi="David"/>
          <w:sz w:val="24"/>
          <w:szCs w:val="24"/>
          <w:rtl/>
        </w:rPr>
        <w:t xml:space="preserve"> שאיגדה את ההנחיות שהוציא הפיקוח על הבנקים במכתבים לתאגידים הבנקאיים בשנים 2010 - 2013.</w:t>
      </w:r>
    </w:p>
    <w:p w:rsidR="00EF4431" w:rsidP="001F2586">
      <w:pPr>
        <w:spacing w:line="269" w:lineRule="auto"/>
        <w:rPr>
          <w:rFonts w:eastAsia="Calibri"/>
          <w:rtl/>
        </w:rPr>
      </w:pPr>
    </w:p>
    <w:p w:rsidR="00EF4431" w:rsidRPr="00EF4431" w:rsidP="00EF4431">
      <w:pPr>
        <w:pStyle w:val="a"/>
        <w:ind w:left="-1"/>
        <w:rPr>
          <w:sz w:val="24"/>
          <w:szCs w:val="24"/>
          <w:rtl/>
        </w:rPr>
      </w:pPr>
      <w:bookmarkStart w:id="15" w:name="_Hlk233046059"/>
      <w:bookmarkStart w:id="16" w:name="_Hlk233046039"/>
      <w:r w:rsidRPr="00EF4431">
        <w:rPr>
          <w:rFonts w:hint="cs"/>
          <w:sz w:val="24"/>
          <w:szCs w:val="24"/>
          <w:rtl/>
        </w:rPr>
        <w:t xml:space="preserve">הפיקוח על הבנקים לא ביצע שינויים במגבלות העיקריות למתן הלוואות לדיור בשנים 2014 - 2025 למעט עדכון מגבלת חלק ההלוואה בריבית משתנה בדצמבר 2020 </w:t>
      </w:r>
      <w:r>
        <w:rPr>
          <w:rStyle w:val="FootnoteReference1"/>
          <w:sz w:val="24"/>
          <w:szCs w:val="24"/>
          <w:rtl/>
        </w:rPr>
        <w:footnoteReference w:id="72"/>
      </w:r>
      <w:r w:rsidRPr="00EF4431">
        <w:rPr>
          <w:rFonts w:hint="cs"/>
          <w:sz w:val="24"/>
          <w:szCs w:val="24"/>
          <w:rtl/>
        </w:rPr>
        <w:t xml:space="preserve"> והקלות שניתנו בשיעורי מימון במקרים מסוימים כפי שיפורט בהמשך</w:t>
      </w:r>
      <w:r>
        <w:rPr>
          <w:rStyle w:val="FootnoteReference1"/>
          <w:sz w:val="24"/>
          <w:szCs w:val="24"/>
          <w:rtl/>
        </w:rPr>
        <w:footnoteReference w:id="73"/>
      </w:r>
      <w:r w:rsidRPr="00EF4431">
        <w:rPr>
          <w:rFonts w:hint="cs"/>
          <w:sz w:val="24"/>
          <w:szCs w:val="24"/>
          <w:rtl/>
        </w:rPr>
        <w:t xml:space="preserve">. כך, המגבלות העיקריות נותרו כפי שנקבעו בשנים 2010- 2014 שהתבטאו בהידוק הרגולציה והחמרת המגבלות על הלוואות על רקע משבר </w:t>
      </w:r>
      <w:r w:rsidRPr="00EF4431">
        <w:rPr>
          <w:rFonts w:hint="cs"/>
          <w:sz w:val="24"/>
          <w:szCs w:val="24"/>
          <w:rtl/>
        </w:rPr>
        <w:t>הסאב</w:t>
      </w:r>
      <w:r w:rsidRPr="00EF4431">
        <w:rPr>
          <w:rFonts w:hint="cs"/>
          <w:sz w:val="24"/>
          <w:szCs w:val="24"/>
          <w:rtl/>
        </w:rPr>
        <w:t xml:space="preserve"> פריים. כמו כן, </w:t>
      </w:r>
      <w:bookmarkEnd w:id="15"/>
      <w:r w:rsidRPr="00EF4431">
        <w:rPr>
          <w:rFonts w:hint="cs"/>
          <w:sz w:val="24"/>
          <w:szCs w:val="24"/>
          <w:rtl/>
        </w:rPr>
        <w:t xml:space="preserve">המגבלה על חלק ההלוואה בריבית משתנה המגבילה אותה עד לשני שליש מהלוואה נותרה משנת 2014.יצוין כי בתקופת הביקורת הפיקוח על הבנקים הטיל כאמור מגבלה על </w:t>
      </w:r>
      <w:r w:rsidRPr="00B3004B">
        <w:rPr>
          <w:sz w:val="24"/>
          <w:szCs w:val="24"/>
          <w:rtl/>
        </w:rPr>
        <w:t>שיעור הביצועים בהלוואות בולט ובלון בסבסוד קבלן</w:t>
      </w:r>
      <w:r>
        <w:rPr>
          <w:rStyle w:val="FootnoteReference1"/>
          <w:sz w:val="24"/>
          <w:szCs w:val="24"/>
          <w:rtl/>
        </w:rPr>
        <w:footnoteReference w:id="74"/>
      </w:r>
      <w:r w:rsidRPr="00EF4431">
        <w:rPr>
          <w:rFonts w:hint="cs"/>
          <w:sz w:val="24"/>
          <w:szCs w:val="24"/>
          <w:rtl/>
        </w:rPr>
        <w:t>, וכן שינה את חישוב מגבלת שיעור החזר מהכנסה</w:t>
      </w:r>
      <w:r>
        <w:rPr>
          <w:rStyle w:val="FootnoteReference1"/>
          <w:sz w:val="24"/>
          <w:szCs w:val="24"/>
          <w:rtl/>
        </w:rPr>
        <w:footnoteReference w:id="75"/>
      </w:r>
      <w:r w:rsidRPr="00EF4431">
        <w:rPr>
          <w:rFonts w:hint="cs"/>
          <w:sz w:val="24"/>
          <w:szCs w:val="24"/>
          <w:rtl/>
        </w:rPr>
        <w:t xml:space="preserve"> כפי שיפורט בהמשך.</w:t>
      </w:r>
    </w:p>
    <w:bookmarkEnd w:id="16"/>
    <w:p w:rsidR="00EF4431" w:rsidRPr="001F2586" w:rsidP="001F2586">
      <w:pPr>
        <w:spacing w:line="269" w:lineRule="auto"/>
        <w:rPr>
          <w:rFonts w:eastAsia="Calibri"/>
          <w:rtl/>
        </w:rPr>
      </w:pPr>
    </w:p>
    <w:p w:rsidR="001F2586" w:rsidRPr="001F2586" w:rsidP="001F2586">
      <w:pPr>
        <w:spacing w:line="269" w:lineRule="auto"/>
        <w:rPr>
          <w:rFonts w:eastAsia="Calibri"/>
          <w:b/>
          <w:bCs/>
          <w:rtl/>
        </w:rPr>
      </w:pPr>
      <w:bookmarkStart w:id="17" w:name="_Hlk224057222"/>
      <w:r w:rsidRPr="001F2586">
        <w:rPr>
          <w:rFonts w:eastAsia="Calibri" w:hint="cs"/>
          <w:b/>
          <w:bCs/>
          <w:rtl/>
        </w:rPr>
        <w:t xml:space="preserve">המגבלות הרגולטוריות העיקריות שהטיל הפיקוח על הבנקים על המערכת הבנקאית בשנים 2010 - 2014 לאחר משבר </w:t>
      </w:r>
      <w:r w:rsidRPr="001F2586">
        <w:rPr>
          <w:rFonts w:eastAsia="Calibri" w:hint="cs"/>
          <w:b/>
          <w:bCs/>
          <w:rtl/>
        </w:rPr>
        <w:t>הסאב</w:t>
      </w:r>
      <w:r w:rsidRPr="001F2586">
        <w:rPr>
          <w:rFonts w:eastAsia="Calibri" w:hint="cs"/>
          <w:b/>
          <w:bCs/>
          <w:rtl/>
        </w:rPr>
        <w:t xml:space="preserve"> פריים נועדו למתן את הגידול החד במשכנתאות שניתנו ברמת סיכון גבוהה, ובעיקר משכנתאות ברמת מינוף גבוהה (יחס משכנתא למחיר הדירה) ומשכנתאות בריבית משתנה. </w:t>
      </w:r>
      <w:bookmarkStart w:id="18" w:name="_Hlk224057170"/>
      <w:bookmarkEnd w:id="17"/>
      <w:r w:rsidRPr="001F2586">
        <w:rPr>
          <w:rFonts w:eastAsia="Calibri" w:hint="cs"/>
          <w:b/>
          <w:bCs/>
          <w:rtl/>
        </w:rPr>
        <w:t xml:space="preserve">בביקורת לא נמצא תיעוד לכך שבשנים </w:t>
      </w:r>
      <w:bookmarkStart w:id="19" w:name="_Hlk219128935"/>
      <w:bookmarkStart w:id="20" w:name="_Hlk219128923"/>
      <w:r w:rsidRPr="001F2586">
        <w:rPr>
          <w:rFonts w:eastAsia="Calibri" w:hint="cs"/>
          <w:b/>
          <w:bCs/>
          <w:rtl/>
        </w:rPr>
        <w:t>2020</w:t>
      </w:r>
      <w:bookmarkEnd w:id="19"/>
      <w:r w:rsidRPr="001F2586">
        <w:rPr>
          <w:rFonts w:eastAsia="Calibri" w:hint="cs"/>
          <w:b/>
          <w:bCs/>
          <w:rtl/>
        </w:rPr>
        <w:t>- 2024 הפיקוח על הבנקים בחן באופן עיתי את המגבלות העיקריות למתן הלוואות לדיור (מגבלת שיעור המימון, מגבלת שיעור החזר מהכנסה, מגבלת חלק הלוואה בריבית משתנה ומגבלת התקופה).</w:t>
      </w:r>
      <w:bookmarkEnd w:id="20"/>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כאמור, בתשובת בנק ישראל צוין כי הוא מבצע מעקב שוטף והדוק אחר שוק הדיור ומדדים מרכזיים בתיק האשראי לדיור, תוך בחינת כלי האסדרה וההתאמה שלהם לשוק הדיור המשתנה, ובפרט בחינת המגבלות המקרו-</w:t>
      </w:r>
      <w:r w:rsidRPr="001F2586">
        <w:rPr>
          <w:rFonts w:eastAsia="Calibri" w:hint="cs"/>
          <w:rtl/>
        </w:rPr>
        <w:t>יציבותיות</w:t>
      </w:r>
      <w:r w:rsidRPr="001F2586">
        <w:rPr>
          <w:rFonts w:eastAsia="Calibri" w:hint="cs"/>
          <w:rtl/>
        </w:rPr>
        <w:t>. הפיקוח על הבנקים הדגיש בתשובתו כי "מגבלה היא כלי אחד מתוך מארג רחב של כלים פיקוחיים".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יצוין כי הפיקוח על הבנקים לא המציא </w:t>
      </w:r>
      <w:r w:rsidRPr="001F2586">
        <w:rPr>
          <w:rFonts w:eastAsia="Calibri" w:hint="eastAsia"/>
          <w:rtl/>
        </w:rPr>
        <w:t>אסמכתאות</w:t>
      </w:r>
      <w:r w:rsidRPr="001F2586">
        <w:rPr>
          <w:rFonts w:eastAsia="Calibri"/>
          <w:rtl/>
        </w:rPr>
        <w:t xml:space="preserve"> </w:t>
      </w:r>
      <w:r w:rsidRPr="001F2586">
        <w:rPr>
          <w:rFonts w:eastAsia="Calibri" w:hint="eastAsia"/>
          <w:rtl/>
        </w:rPr>
        <w:t>המעידות</w:t>
      </w:r>
      <w:r w:rsidRPr="001F2586">
        <w:rPr>
          <w:rFonts w:eastAsia="Calibri"/>
          <w:rtl/>
        </w:rPr>
        <w:t xml:space="preserve"> </w:t>
      </w:r>
      <w:r w:rsidRPr="001F2586">
        <w:rPr>
          <w:rFonts w:eastAsia="Calibri" w:hint="eastAsia"/>
          <w:rtl/>
        </w:rPr>
        <w:t>על</w:t>
      </w:r>
      <w:r w:rsidRPr="001F2586">
        <w:rPr>
          <w:rFonts w:eastAsia="Calibri"/>
          <w:rtl/>
        </w:rPr>
        <w:t xml:space="preserve"> </w:t>
      </w:r>
      <w:r w:rsidRPr="001F2586">
        <w:rPr>
          <w:rFonts w:eastAsia="Calibri" w:hint="cs"/>
          <w:rtl/>
        </w:rPr>
        <w:t>בחינת המגבלות כאמור</w:t>
      </w:r>
      <w:r w:rsidRPr="001F2586">
        <w:rPr>
          <w:rFonts w:eastAsia="Calibri"/>
          <w:rtl/>
        </w:rPr>
        <w:t>.</w:t>
      </w:r>
    </w:p>
    <w:bookmarkEnd w:id="18"/>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נוכח ההשפעה הרחבה שיש למגבלות על </w:t>
      </w:r>
      <w:r w:rsidRPr="001F2586">
        <w:rPr>
          <w:rFonts w:eastAsia="Calibri" w:hint="cs"/>
          <w:b/>
          <w:bCs/>
          <w:rtl/>
        </w:rPr>
        <w:t>רוכשי</w:t>
      </w:r>
      <w:r w:rsidRPr="001F2586">
        <w:rPr>
          <w:rFonts w:eastAsia="Calibri" w:hint="cs"/>
          <w:b/>
          <w:bCs/>
          <w:rtl/>
        </w:rPr>
        <w:t xml:space="preserve"> הדירות ועל יציבות המערכת הבנקאית מומלץ כי הפיקוח על הבנקים </w:t>
      </w:r>
      <w:bookmarkStart w:id="21" w:name="_Hlk222758277"/>
      <w:r w:rsidRPr="001F2586">
        <w:rPr>
          <w:rFonts w:eastAsia="Calibri" w:hint="cs"/>
          <w:b/>
          <w:bCs/>
          <w:rtl/>
        </w:rPr>
        <w:t>יתקף</w:t>
      </w:r>
      <w:bookmarkEnd w:id="21"/>
      <w:r w:rsidRPr="001F2586">
        <w:rPr>
          <w:rFonts w:eastAsia="Calibri" w:hint="cs"/>
          <w:b/>
          <w:bCs/>
          <w:rtl/>
        </w:rPr>
        <w:t xml:space="preserve"> באופן עיתי את המגבלות ויבחן את ההשפעות שלהם על יציבות הבנקים וההוגנות כלפי הלווים.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יצוין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במהלך</w:t>
      </w:r>
      <w:r w:rsidRPr="001F2586">
        <w:rPr>
          <w:rFonts w:eastAsia="Calibri"/>
          <w:b/>
          <w:bCs/>
          <w:rtl/>
        </w:rPr>
        <w:t xml:space="preserve"> </w:t>
      </w:r>
      <w:r w:rsidRPr="001F2586">
        <w:rPr>
          <w:rFonts w:eastAsia="Calibri" w:hint="eastAsia"/>
          <w:b/>
          <w:bCs/>
          <w:rtl/>
        </w:rPr>
        <w:t>הביקורת</w:t>
      </w:r>
      <w:r w:rsidRPr="001F2586">
        <w:rPr>
          <w:rFonts w:eastAsia="Calibri"/>
          <w:b/>
          <w:bCs/>
          <w:rtl/>
        </w:rPr>
        <w:t xml:space="preserve"> </w:t>
      </w:r>
      <w:r w:rsidRPr="001F2586">
        <w:rPr>
          <w:rFonts w:eastAsia="Calibri" w:hint="eastAsia"/>
          <w:b/>
          <w:bCs/>
          <w:rtl/>
        </w:rPr>
        <w:t>בשנת</w:t>
      </w:r>
      <w:r w:rsidRPr="001F2586">
        <w:rPr>
          <w:rFonts w:eastAsia="Calibri"/>
          <w:b/>
          <w:bCs/>
          <w:rtl/>
        </w:rPr>
        <w:t xml:space="preserve"> 2025,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ביצע</w:t>
      </w:r>
      <w:r w:rsidRPr="001F2586">
        <w:rPr>
          <w:rFonts w:eastAsia="Calibri"/>
          <w:b/>
          <w:bCs/>
          <w:rtl/>
        </w:rPr>
        <w:t xml:space="preserve"> </w:t>
      </w:r>
      <w:r w:rsidRPr="001F2586">
        <w:rPr>
          <w:rFonts w:eastAsia="Calibri" w:hint="eastAsia"/>
          <w:b/>
          <w:bCs/>
          <w:rtl/>
        </w:rPr>
        <w:t>בחינה</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תיק</w:t>
      </w:r>
      <w:r w:rsidRPr="001F2586">
        <w:rPr>
          <w:rFonts w:eastAsia="Calibri"/>
          <w:b/>
          <w:bCs/>
          <w:rtl/>
        </w:rPr>
        <w:t xml:space="preserve"> </w:t>
      </w:r>
      <w:r w:rsidRPr="001F2586">
        <w:rPr>
          <w:rFonts w:eastAsia="Calibri" w:hint="eastAsia"/>
          <w:b/>
          <w:bCs/>
          <w:rtl/>
        </w:rPr>
        <w:t>האשראי</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w:t>
      </w:r>
      <w:r w:rsidRPr="001F2586">
        <w:rPr>
          <w:rFonts w:eastAsia="Calibri" w:hint="eastAsia"/>
          <w:b/>
          <w:bCs/>
          <w:rtl/>
        </w:rPr>
        <w:t>כפי</w:t>
      </w:r>
      <w:r w:rsidRPr="001F2586">
        <w:rPr>
          <w:rFonts w:eastAsia="Calibri"/>
          <w:b/>
          <w:bCs/>
          <w:rtl/>
        </w:rPr>
        <w:t xml:space="preserve"> </w:t>
      </w:r>
      <w:r w:rsidRPr="001F2586">
        <w:rPr>
          <w:rFonts w:eastAsia="Calibri" w:hint="eastAsia"/>
          <w:b/>
          <w:bCs/>
          <w:rtl/>
        </w:rPr>
        <w:t>שהוצג</w:t>
      </w:r>
      <w:r w:rsidRPr="001F2586">
        <w:rPr>
          <w:rFonts w:eastAsia="Calibri"/>
          <w:b/>
          <w:bCs/>
          <w:rtl/>
        </w:rPr>
        <w:t xml:space="preserve"> </w:t>
      </w:r>
      <w:r w:rsidRPr="001F2586">
        <w:rPr>
          <w:rFonts w:eastAsia="Calibri" w:hint="eastAsia"/>
          <w:b/>
          <w:bCs/>
          <w:rtl/>
        </w:rPr>
        <w:t>במסמך</w:t>
      </w:r>
      <w:r w:rsidRPr="001F2586">
        <w:rPr>
          <w:rFonts w:eastAsia="Calibri"/>
          <w:b/>
          <w:bCs/>
          <w:rtl/>
        </w:rPr>
        <w:t xml:space="preserve"> "</w:t>
      </w:r>
      <w:r w:rsidRPr="001F2586">
        <w:rPr>
          <w:rFonts w:eastAsia="Calibri" w:hint="eastAsia"/>
          <w:b/>
          <w:bCs/>
          <w:rtl/>
        </w:rPr>
        <w:t>מדיניות</w:t>
      </w:r>
      <w:r w:rsidRPr="001F2586">
        <w:rPr>
          <w:rFonts w:eastAsia="Calibri"/>
          <w:b/>
          <w:bCs/>
          <w:rtl/>
        </w:rPr>
        <w:t xml:space="preserve"> </w:t>
      </w:r>
      <w:r w:rsidRPr="001F2586">
        <w:rPr>
          <w:rFonts w:eastAsia="Calibri" w:hint="eastAsia"/>
          <w:b/>
          <w:bCs/>
          <w:rtl/>
        </w:rPr>
        <w:t>מקרו</w:t>
      </w:r>
      <w:r w:rsidRPr="001F2586">
        <w:rPr>
          <w:rFonts w:eastAsia="Calibri"/>
          <w:b/>
          <w:bCs/>
          <w:rtl/>
        </w:rPr>
        <w:t>-</w:t>
      </w:r>
      <w:r w:rsidRPr="001F2586">
        <w:rPr>
          <w:rFonts w:eastAsia="Calibri"/>
          <w:b/>
          <w:bCs/>
          <w:rtl/>
        </w:rPr>
        <w:t>יציבותית</w:t>
      </w:r>
      <w:r w:rsidRPr="001F2586">
        <w:rPr>
          <w:rFonts w:eastAsia="Calibri"/>
          <w:b/>
          <w:bCs/>
          <w:rtl/>
        </w:rPr>
        <w:t xml:space="preserve"> </w:t>
      </w:r>
      <w:r w:rsidRPr="001F2586">
        <w:rPr>
          <w:rFonts w:eastAsia="Calibri" w:hint="eastAsia"/>
          <w:b/>
          <w:bCs/>
          <w:rtl/>
        </w:rPr>
        <w:t>שוק</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ממאי 2025 שהועבר למשרד </w:t>
      </w:r>
      <w:r w:rsidRPr="001F2586">
        <w:rPr>
          <w:rFonts w:eastAsia="Calibri" w:hint="eastAsia"/>
          <w:b/>
          <w:bCs/>
          <w:rtl/>
        </w:rPr>
        <w:t>מבקר</w:t>
      </w:r>
      <w:r w:rsidRPr="001F2586">
        <w:rPr>
          <w:rFonts w:eastAsia="Calibri"/>
          <w:b/>
          <w:bCs/>
          <w:rtl/>
        </w:rPr>
        <w:t xml:space="preserve"> המדינה. מסמך זה מתאר סקירה בנוגע לצעדי מדיניות מקרו-</w:t>
      </w:r>
      <w:r w:rsidRPr="001F2586">
        <w:rPr>
          <w:rFonts w:eastAsia="Calibri"/>
          <w:b/>
          <w:bCs/>
          <w:rtl/>
        </w:rPr>
        <w:t>יציבותיים</w:t>
      </w:r>
      <w:r w:rsidRPr="001F2586">
        <w:rPr>
          <w:rFonts w:eastAsia="Calibri"/>
          <w:b/>
          <w:bCs/>
          <w:rtl/>
        </w:rPr>
        <w:t xml:space="preserve"> באשראי לדיור. סקירה זו כוללת בחינה של סוגי המגבלות המקרו</w:t>
      </w:r>
      <w:r w:rsidR="007F31A8">
        <w:rPr>
          <w:rFonts w:eastAsia="Calibri" w:hint="cs"/>
          <w:b/>
          <w:bCs/>
          <w:rtl/>
        </w:rPr>
        <w:t>-</w:t>
      </w:r>
      <w:r w:rsidRPr="001F2586">
        <w:rPr>
          <w:rFonts w:eastAsia="Calibri"/>
          <w:b/>
          <w:bCs/>
          <w:rtl/>
        </w:rPr>
        <w:t>יציבותיות</w:t>
      </w:r>
      <w:r w:rsidRPr="001F2586">
        <w:rPr>
          <w:rFonts w:eastAsia="Calibri"/>
          <w:b/>
          <w:bCs/>
          <w:rtl/>
        </w:rPr>
        <w:t xml:space="preserve"> שקיימות ב</w:t>
      </w:r>
      <w:r w:rsidRPr="001F2586">
        <w:rPr>
          <w:rFonts w:eastAsia="Calibri" w:hint="eastAsia"/>
          <w:b/>
          <w:bCs/>
          <w:rtl/>
        </w:rPr>
        <w:t>מדינות</w:t>
      </w:r>
      <w:r w:rsidRPr="001F2586">
        <w:rPr>
          <w:rFonts w:eastAsia="Calibri"/>
          <w:b/>
          <w:bCs/>
          <w:rtl/>
        </w:rPr>
        <w:t xml:space="preserve"> </w:t>
      </w:r>
      <w:r w:rsidRPr="001F2586">
        <w:rPr>
          <w:rFonts w:eastAsia="Calibri" w:hint="eastAsia"/>
          <w:b/>
          <w:bCs/>
          <w:rtl/>
        </w:rPr>
        <w:t>ב</w:t>
      </w:r>
      <w:r w:rsidRPr="001F2586">
        <w:rPr>
          <w:rFonts w:eastAsia="Calibri"/>
          <w:b/>
          <w:bCs/>
          <w:rtl/>
        </w:rPr>
        <w:t xml:space="preserve">עולם, והשוואתם למגבלות </w:t>
      </w:r>
      <w:r w:rsidRPr="001F2586">
        <w:rPr>
          <w:rFonts w:eastAsia="Calibri" w:hint="eastAsia"/>
          <w:b/>
          <w:bCs/>
          <w:rtl/>
        </w:rPr>
        <w:t>שאימץ</w:t>
      </w:r>
      <w:r w:rsidRPr="001F2586">
        <w:rPr>
          <w:rFonts w:eastAsia="Calibri"/>
          <w:b/>
          <w:bCs/>
          <w:rtl/>
        </w:rPr>
        <w:t xml:space="preserve">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בישראל. בנוסף, </w:t>
      </w:r>
      <w:r w:rsidRPr="001F2586">
        <w:rPr>
          <w:rFonts w:eastAsia="Calibri" w:hint="eastAsia"/>
          <w:b/>
          <w:bCs/>
          <w:rtl/>
        </w:rPr>
        <w:t>המסמך</w:t>
      </w:r>
      <w:r w:rsidRPr="001F2586">
        <w:rPr>
          <w:rFonts w:eastAsia="Calibri"/>
          <w:b/>
          <w:bCs/>
          <w:rtl/>
        </w:rPr>
        <w:t xml:space="preserve"> </w:t>
      </w:r>
      <w:r w:rsidRPr="001F2586">
        <w:rPr>
          <w:rFonts w:eastAsia="Calibri" w:hint="eastAsia"/>
          <w:b/>
          <w:bCs/>
          <w:rtl/>
        </w:rPr>
        <w:t>מתאר</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עבודת</w:t>
      </w:r>
      <w:r w:rsidRPr="001F2586">
        <w:rPr>
          <w:rFonts w:eastAsia="Calibri"/>
          <w:b/>
          <w:bCs/>
          <w:rtl/>
        </w:rPr>
        <w:t xml:space="preserve">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ב</w:t>
      </w:r>
      <w:r w:rsidRPr="001F2586">
        <w:rPr>
          <w:rFonts w:eastAsia="Calibri"/>
          <w:b/>
          <w:bCs/>
          <w:rtl/>
        </w:rPr>
        <w:t>ניתוח סיכונים של האשראי לדיור, וכן בבחינת חלופות של צעדים מקרו-</w:t>
      </w:r>
      <w:r w:rsidRPr="001F2586">
        <w:rPr>
          <w:rFonts w:eastAsia="Calibri"/>
          <w:b/>
          <w:bCs/>
          <w:rtl/>
        </w:rPr>
        <w:t>יציבותיים</w:t>
      </w:r>
      <w:r w:rsidRPr="001F2586">
        <w:rPr>
          <w:rFonts w:eastAsia="Calibri"/>
          <w:b/>
          <w:bCs/>
          <w:rtl/>
        </w:rPr>
        <w:t xml:space="preserve"> שאינם מיושמים כיום בישראל. </w:t>
      </w:r>
      <w:r w:rsidRPr="001F2586">
        <w:rPr>
          <w:rFonts w:eastAsia="Calibri" w:hint="eastAsia"/>
          <w:b/>
          <w:bCs/>
          <w:rtl/>
        </w:rPr>
        <w:t>עם</w:t>
      </w:r>
      <w:r w:rsidRPr="001F2586">
        <w:rPr>
          <w:rFonts w:eastAsia="Calibri"/>
          <w:b/>
          <w:bCs/>
          <w:rtl/>
        </w:rPr>
        <w:t xml:space="preserve"> זאת,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לא</w:t>
      </w:r>
      <w:r w:rsidRPr="001F2586">
        <w:rPr>
          <w:rFonts w:eastAsia="Calibri"/>
          <w:b/>
          <w:bCs/>
          <w:rtl/>
        </w:rPr>
        <w:t xml:space="preserve"> </w:t>
      </w:r>
      <w:r w:rsidRPr="001F2586">
        <w:rPr>
          <w:rFonts w:eastAsia="Calibri" w:hint="eastAsia"/>
          <w:b/>
          <w:bCs/>
          <w:rtl/>
        </w:rPr>
        <w:t>העביר</w:t>
      </w:r>
      <w:r w:rsidRPr="001F2586">
        <w:rPr>
          <w:rFonts w:eastAsia="Calibri"/>
          <w:b/>
          <w:bCs/>
          <w:rtl/>
        </w:rPr>
        <w:t xml:space="preserve"> </w:t>
      </w:r>
      <w:r w:rsidRPr="001F2586">
        <w:rPr>
          <w:rFonts w:eastAsia="Calibri" w:hint="eastAsia"/>
          <w:b/>
          <w:bCs/>
          <w:rtl/>
        </w:rPr>
        <w:t>למשרד</w:t>
      </w:r>
      <w:r w:rsidRPr="001F2586">
        <w:rPr>
          <w:rFonts w:eastAsia="Calibri"/>
          <w:b/>
          <w:bCs/>
          <w:rtl/>
        </w:rPr>
        <w:t xml:space="preserve"> </w:t>
      </w:r>
      <w:r w:rsidRPr="001F2586">
        <w:rPr>
          <w:rFonts w:eastAsia="Calibri" w:hint="eastAsia"/>
          <w:b/>
          <w:bCs/>
          <w:rtl/>
        </w:rPr>
        <w:t>מבקר</w:t>
      </w:r>
      <w:r w:rsidRPr="001F2586">
        <w:rPr>
          <w:rFonts w:eastAsia="Calibri"/>
          <w:b/>
          <w:bCs/>
          <w:rtl/>
        </w:rPr>
        <w:t xml:space="preserve"> </w:t>
      </w:r>
      <w:r w:rsidRPr="001F2586">
        <w:rPr>
          <w:rFonts w:eastAsia="Calibri" w:hint="eastAsia"/>
          <w:b/>
          <w:bCs/>
          <w:rtl/>
        </w:rPr>
        <w:t>המדינה</w:t>
      </w:r>
      <w:r w:rsidRPr="001F2586">
        <w:rPr>
          <w:rFonts w:eastAsia="Calibri"/>
          <w:b/>
          <w:bCs/>
          <w:rtl/>
        </w:rPr>
        <w:t xml:space="preserve"> </w:t>
      </w:r>
      <w:r w:rsidRPr="001F2586">
        <w:rPr>
          <w:rFonts w:eastAsia="Calibri" w:hint="eastAsia"/>
          <w:b/>
          <w:bCs/>
          <w:rtl/>
        </w:rPr>
        <w:t>מסמכים</w:t>
      </w:r>
      <w:r w:rsidRPr="001F2586">
        <w:rPr>
          <w:rFonts w:eastAsia="Calibri"/>
          <w:b/>
          <w:bCs/>
          <w:rtl/>
        </w:rPr>
        <w:t xml:space="preserve"> </w:t>
      </w:r>
      <w:r w:rsidRPr="001F2586">
        <w:rPr>
          <w:rFonts w:eastAsia="Calibri" w:hint="eastAsia"/>
          <w:b/>
          <w:bCs/>
          <w:rtl/>
        </w:rPr>
        <w:t>נוספים</w:t>
      </w:r>
      <w:r w:rsidRPr="001F2586">
        <w:rPr>
          <w:rFonts w:eastAsia="Calibri"/>
          <w:b/>
          <w:bCs/>
          <w:rtl/>
        </w:rPr>
        <w:t xml:space="preserve"> </w:t>
      </w:r>
      <w:r w:rsidRPr="001F2586">
        <w:rPr>
          <w:rFonts w:eastAsia="Calibri" w:hint="eastAsia"/>
          <w:b/>
          <w:bCs/>
          <w:rtl/>
        </w:rPr>
        <w:t>המעידים</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כך</w:t>
      </w:r>
      <w:r w:rsidRPr="001F2586">
        <w:rPr>
          <w:rFonts w:eastAsia="Calibri"/>
          <w:b/>
          <w:bCs/>
          <w:rtl/>
        </w:rPr>
        <w:t xml:space="preserve"> </w:t>
      </w:r>
      <w:r w:rsidRPr="001F2586">
        <w:rPr>
          <w:rFonts w:eastAsia="Calibri" w:hint="eastAsia"/>
          <w:b/>
          <w:bCs/>
          <w:rtl/>
        </w:rPr>
        <w:t>שהוא</w:t>
      </w:r>
      <w:r w:rsidRPr="001F2586">
        <w:rPr>
          <w:rFonts w:eastAsia="Calibri"/>
          <w:b/>
          <w:bCs/>
          <w:rtl/>
        </w:rPr>
        <w:t xml:space="preserve"> </w:t>
      </w:r>
      <w:r w:rsidRPr="001F2586">
        <w:rPr>
          <w:rFonts w:eastAsia="Calibri" w:hint="eastAsia"/>
          <w:b/>
          <w:bCs/>
          <w:rtl/>
        </w:rPr>
        <w:t>ביצע</w:t>
      </w:r>
      <w:r w:rsidRPr="001F2586">
        <w:rPr>
          <w:rFonts w:eastAsia="Calibri"/>
          <w:b/>
          <w:bCs/>
          <w:rtl/>
        </w:rPr>
        <w:t xml:space="preserve"> </w:t>
      </w:r>
      <w:r w:rsidRPr="001F2586">
        <w:rPr>
          <w:rFonts w:eastAsia="Calibri" w:hint="eastAsia"/>
          <w:b/>
          <w:bCs/>
          <w:rtl/>
        </w:rPr>
        <w:t>בחינה</w:t>
      </w:r>
      <w:r w:rsidRPr="001F2586">
        <w:rPr>
          <w:rFonts w:eastAsia="Calibri"/>
          <w:b/>
          <w:bCs/>
          <w:rtl/>
        </w:rPr>
        <w:t xml:space="preserve"> </w:t>
      </w:r>
      <w:r w:rsidRPr="001F2586">
        <w:rPr>
          <w:rFonts w:eastAsia="Calibri" w:hint="eastAsia"/>
          <w:b/>
          <w:bCs/>
          <w:rtl/>
        </w:rPr>
        <w:t>שוטפת</w:t>
      </w:r>
      <w:r w:rsidRPr="001F2586">
        <w:rPr>
          <w:rFonts w:eastAsia="Calibri"/>
          <w:b/>
          <w:bCs/>
          <w:rtl/>
        </w:rPr>
        <w:t xml:space="preserve"> </w:t>
      </w:r>
      <w:r w:rsidRPr="001F2586">
        <w:rPr>
          <w:rFonts w:eastAsia="Calibri" w:hint="eastAsia"/>
          <w:b/>
          <w:bCs/>
          <w:rtl/>
        </w:rPr>
        <w:t>ועיתית</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תיק</w:t>
      </w:r>
      <w:r w:rsidRPr="001F2586">
        <w:rPr>
          <w:rFonts w:eastAsia="Calibri"/>
          <w:b/>
          <w:bCs/>
          <w:rtl/>
        </w:rPr>
        <w:t xml:space="preserve"> </w:t>
      </w:r>
      <w:r w:rsidRPr="001F2586">
        <w:rPr>
          <w:rFonts w:eastAsia="Calibri" w:hint="eastAsia"/>
          <w:b/>
          <w:bCs/>
          <w:rtl/>
        </w:rPr>
        <w:t>האשראי</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w:t>
      </w:r>
      <w:r w:rsidRPr="001F2586">
        <w:rPr>
          <w:rFonts w:eastAsia="Calibri" w:hint="eastAsia"/>
          <w:b/>
          <w:bCs/>
          <w:rtl/>
        </w:rPr>
        <w:t>לפני</w:t>
      </w:r>
      <w:r w:rsidRPr="001F2586">
        <w:rPr>
          <w:rFonts w:eastAsia="Calibri"/>
          <w:b/>
          <w:bCs/>
          <w:rtl/>
        </w:rPr>
        <w:t xml:space="preserve"> </w:t>
      </w:r>
      <w:r w:rsidRPr="001F2586">
        <w:rPr>
          <w:rFonts w:eastAsia="Calibri" w:hint="eastAsia"/>
          <w:b/>
          <w:bCs/>
          <w:rtl/>
        </w:rPr>
        <w:t>תקופת</w:t>
      </w:r>
      <w:r w:rsidRPr="001F2586">
        <w:rPr>
          <w:rFonts w:eastAsia="Calibri"/>
          <w:b/>
          <w:bCs/>
          <w:rtl/>
        </w:rPr>
        <w:t xml:space="preserve"> </w:t>
      </w:r>
      <w:r w:rsidRPr="001F2586">
        <w:rPr>
          <w:rFonts w:eastAsia="Calibri" w:hint="eastAsia"/>
          <w:b/>
          <w:bCs/>
          <w:rtl/>
        </w:rPr>
        <w:t>הביקורת</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בניתוח הסיכונים שביצע הפיקוח על הבנקים בתקופת הביקורת ושהוצג במסמך "מדיניות מקרו-</w:t>
      </w:r>
      <w:r w:rsidRPr="001F2586">
        <w:rPr>
          <w:rFonts w:eastAsia="Calibri" w:hint="cs"/>
          <w:rtl/>
        </w:rPr>
        <w:t>יציבותית</w:t>
      </w:r>
      <w:r w:rsidRPr="001F2586">
        <w:rPr>
          <w:rFonts w:eastAsia="Calibri" w:hint="cs"/>
          <w:rtl/>
        </w:rPr>
        <w:t xml:space="preserve"> שוק המשכנתאות" ממאי 2025 עולה כי "...</w:t>
      </w:r>
      <w:r w:rsidRPr="001F2586">
        <w:rPr>
          <w:rFonts w:eastAsia="Calibri"/>
          <w:rtl/>
        </w:rPr>
        <w:t>לא נדרש לנקוט בצעדים מקרו</w:t>
      </w:r>
      <w:r w:rsidRPr="001F2586">
        <w:rPr>
          <w:rFonts w:eastAsia="Calibri" w:hint="cs"/>
          <w:rtl/>
        </w:rPr>
        <w:t>-</w:t>
      </w:r>
      <w:r w:rsidRPr="001F2586">
        <w:rPr>
          <w:rFonts w:eastAsia="Calibri"/>
          <w:rtl/>
        </w:rPr>
        <w:t>יציבותיים</w:t>
      </w:r>
      <w:r w:rsidRPr="001F2586">
        <w:rPr>
          <w:rFonts w:eastAsia="Calibri"/>
          <w:rtl/>
        </w:rPr>
        <w:t xml:space="preserve"> נוספים בתחום האשראי</w:t>
      </w:r>
      <w:r w:rsidRPr="001F2586">
        <w:rPr>
          <w:rFonts w:eastAsia="Calibri" w:hint="cs"/>
          <w:rtl/>
        </w:rPr>
        <w:t xml:space="preserve"> </w:t>
      </w:r>
      <w:r w:rsidRPr="001F2586">
        <w:rPr>
          <w:rFonts w:eastAsia="Calibri"/>
          <w:rtl/>
        </w:rPr>
        <w:t>לדיור אך יש להמשיך ולעקוב אחר ההתפתחויות</w:t>
      </w:r>
      <w:r w:rsidRPr="001F2586">
        <w:rPr>
          <w:rFonts w:eastAsia="Calibri" w:hint="cs"/>
          <w:rtl/>
        </w:rPr>
        <w:t>". הפיקוח ציין כי חלה עלייה בסיכון תיק האשראי לדיור במערכת הבנקאית שמתאפיין במגמות אלו: היקף ביצועים גבוה, לרבות ביצועים של משכנתאות בסיכון גבוה; חשש לירידה בעמידות משקי הבית בשל עלייה במינוף, וירידה בהכנסה הפנויה בשל עליות מחירים ועליית הריבית. עם זאת, צוין כי שיעור כשלי האשראי נותר נמוך והבנקים מקצים הון רב יותר בגין האשראי לדיור לצורך ספיגת הפסדים בלתי צפויים, כך שעולה שאין חשש יציבותי לתיק האשראי לדיור.</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bookmarkStart w:id="22" w:name="_Hlk216803684"/>
      <w:r w:rsidRPr="001F2586">
        <w:rPr>
          <w:rFonts w:eastAsia="Times New Roman" w:hint="cs"/>
          <w:bCs/>
          <w:spacing w:val="40"/>
          <w:rtl/>
        </w:rPr>
        <w:t>גישות האסדרה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כל רגולציה מורכבת מכללים ועקרונות. גישות האסדרה העיקריות הן: רגולציה מבוססת כללים </w:t>
      </w:r>
      <w:r w:rsidRPr="001F2586">
        <w:rPr>
          <w:rFonts w:eastAsia="Calibri"/>
          <w:rtl/>
        </w:rPr>
        <w:t>(</w:t>
      </w:r>
      <w:r w:rsidRPr="001F2586">
        <w:rPr>
          <w:rFonts w:eastAsia="Calibri"/>
        </w:rPr>
        <w:t>Rules-based regulation</w:t>
      </w:r>
      <w:r w:rsidRPr="001F2586">
        <w:rPr>
          <w:rFonts w:eastAsia="Calibri"/>
          <w:rtl/>
        </w:rPr>
        <w:t>)</w:t>
      </w:r>
      <w:r w:rsidRPr="001F2586">
        <w:rPr>
          <w:rFonts w:eastAsia="Calibri" w:hint="cs"/>
          <w:rtl/>
        </w:rPr>
        <w:t xml:space="preserve"> - רגולציה בה המאסדר מגדיר כללים מחייבים,</w:t>
      </w:r>
      <w:r w:rsidRPr="001F2586">
        <w:rPr>
          <w:rFonts w:eastAsia="Calibri"/>
          <w:rtl/>
        </w:rPr>
        <w:t xml:space="preserve"> קונקרטיים וודאיים</w:t>
      </w:r>
      <w:r w:rsidRPr="001F2586">
        <w:rPr>
          <w:rFonts w:eastAsia="Calibri" w:hint="cs"/>
          <w:rtl/>
        </w:rPr>
        <w:t xml:space="preserve">; ורגולציה מבוססת עקרונות </w:t>
      </w:r>
      <w:r w:rsidRPr="001F2586">
        <w:rPr>
          <w:rFonts w:eastAsia="Calibri"/>
          <w:rtl/>
        </w:rPr>
        <w:t>(</w:t>
      </w:r>
      <w:r w:rsidRPr="001F2586">
        <w:rPr>
          <w:rFonts w:eastAsia="Calibri"/>
        </w:rPr>
        <w:t>Principle-based regulation</w:t>
      </w:r>
      <w:r w:rsidRPr="001F2586">
        <w:rPr>
          <w:rFonts w:eastAsia="Calibri"/>
          <w:rtl/>
        </w:rPr>
        <w:t>)</w:t>
      </w:r>
      <w:r w:rsidRPr="001F2586">
        <w:rPr>
          <w:rFonts w:eastAsia="Calibri" w:hint="cs"/>
          <w:rtl/>
        </w:rPr>
        <w:t xml:space="preserve"> - רגולציה בה המאסדר מגדיר תוצאה מחייבת, אך הגוף המפוקח רשאי לבחור את הדרך להשגת תוצאה זו. רגולציה מבוססת עקרונות מתאפיינת בגמישות רבה יותר אך בוודאות פחותה לעומת רגולציה מבוססת כללים.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במדינות רבות בעולם, </w:t>
      </w:r>
      <w:r w:rsidRPr="001F2586">
        <w:rPr>
          <w:rFonts w:eastAsia="Calibri" w:hint="cs"/>
          <w:rtl/>
        </w:rPr>
        <w:t xml:space="preserve">וגם בישראל, </w:t>
      </w:r>
      <w:r w:rsidRPr="001F2586">
        <w:rPr>
          <w:rFonts w:eastAsia="Calibri"/>
          <w:rtl/>
        </w:rPr>
        <w:t xml:space="preserve">הרגולציה המסורתית </w:t>
      </w:r>
      <w:r w:rsidRPr="001F2586">
        <w:rPr>
          <w:rFonts w:eastAsia="Calibri" w:hint="cs"/>
          <w:rtl/>
        </w:rPr>
        <w:t>מתבססת</w:t>
      </w:r>
      <w:r w:rsidRPr="001F2586">
        <w:rPr>
          <w:rFonts w:eastAsia="Calibri"/>
          <w:rtl/>
        </w:rPr>
        <w:t xml:space="preserve"> על</w:t>
      </w:r>
      <w:r w:rsidRPr="001F2586">
        <w:rPr>
          <w:rFonts w:eastAsia="Calibri" w:hint="cs"/>
          <w:rtl/>
        </w:rPr>
        <w:t xml:space="preserve"> כללים. אסדרה לפי גישה זו תפסה תאוצה בעולם לאחר משבר </w:t>
      </w:r>
      <w:r w:rsidRPr="001F2586">
        <w:rPr>
          <w:rFonts w:eastAsia="Calibri" w:hint="cs"/>
          <w:rtl/>
        </w:rPr>
        <w:t>הסאב</w:t>
      </w:r>
      <w:r w:rsidRPr="001F2586">
        <w:rPr>
          <w:rFonts w:eastAsia="Calibri" w:hint="cs"/>
          <w:rtl/>
        </w:rPr>
        <w:t xml:space="preserve"> פריים והתבטאה בתחום המשכנתאות בקביעה של כללים מחייבים לגופים המלווים. עם זאת, במהלך השנים התפתח תחום הרגולציה והחלה בעולם מגמה של העדפת רגולציה מבוססת עקרונות על פני רגולציה מבוססת כללים. ארגון ה-</w:t>
      </w:r>
      <w:r w:rsidRPr="001F2586">
        <w:rPr>
          <w:rFonts w:eastAsia="Calibri" w:hint="cs"/>
        </w:rPr>
        <w:t>OECD</w:t>
      </w:r>
      <w:r w:rsidRPr="001F2586">
        <w:rPr>
          <w:rFonts w:eastAsia="Calibri" w:hint="cs"/>
          <w:rtl/>
        </w:rPr>
        <w:t xml:space="preserve"> וועדת באזל מנחים את הגופים המאסדרים לגבש רגולציה המבוססת על עקרונות</w:t>
      </w:r>
      <w:r>
        <w:rPr>
          <w:rFonts w:eastAsia="Calibri"/>
          <w:vertAlign w:val="superscript"/>
          <w:rtl/>
        </w:rPr>
        <w:footnoteReference w:id="76"/>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hint="cs"/>
          <w:rtl/>
        </w:rPr>
        <w:t xml:space="preserve">בתחום המשכנתאות, </w:t>
      </w:r>
      <w:r w:rsidRPr="001F2586">
        <w:rPr>
          <w:rFonts w:eastAsia="Calibri"/>
          <w:rtl/>
        </w:rPr>
        <w:t xml:space="preserve">הפיקוח על הבנקים </w:t>
      </w:r>
      <w:r w:rsidRPr="001F2586">
        <w:rPr>
          <w:rFonts w:eastAsia="Calibri" w:hint="cs"/>
          <w:rtl/>
        </w:rPr>
        <w:t>מפעיל אסדרה מבוססת עקרונות ה</w:t>
      </w:r>
      <w:r w:rsidRPr="001F2586">
        <w:rPr>
          <w:rFonts w:eastAsia="Calibri"/>
          <w:rtl/>
        </w:rPr>
        <w:t>מאפשר</w:t>
      </w:r>
      <w:r w:rsidRPr="001F2586">
        <w:rPr>
          <w:rFonts w:eastAsia="Calibri" w:hint="cs"/>
          <w:rtl/>
        </w:rPr>
        <w:t>ת</w:t>
      </w:r>
      <w:r w:rsidRPr="001F2586">
        <w:rPr>
          <w:rFonts w:eastAsia="Calibri"/>
          <w:rtl/>
        </w:rPr>
        <w:t xml:space="preserve"> </w:t>
      </w:r>
      <w:r w:rsidRPr="001F2586">
        <w:rPr>
          <w:rFonts w:eastAsia="Calibri" w:hint="cs"/>
          <w:rtl/>
        </w:rPr>
        <w:t>לבנקים</w:t>
      </w:r>
      <w:r w:rsidRPr="001F2586">
        <w:rPr>
          <w:rFonts w:eastAsia="Calibri"/>
          <w:rtl/>
        </w:rPr>
        <w:t xml:space="preserve"> שיקול דעת </w:t>
      </w:r>
      <w:r w:rsidRPr="001F2586">
        <w:rPr>
          <w:rFonts w:eastAsia="Calibri" w:hint="cs"/>
          <w:rtl/>
        </w:rPr>
        <w:t>בנושאים מסוימים כמו בחירה בין שתי שיטות לחישוב ההון הנדרש לבנקים בגין סיכון אשראי</w:t>
      </w:r>
      <w:r>
        <w:rPr>
          <w:rFonts w:eastAsia="Calibri"/>
          <w:vertAlign w:val="superscript"/>
          <w:rtl/>
        </w:rPr>
        <w:footnoteReference w:id="77"/>
      </w:r>
      <w:r w:rsidRPr="001F2586">
        <w:rPr>
          <w:rFonts w:eastAsia="Calibri" w:hint="cs"/>
          <w:rtl/>
        </w:rPr>
        <w:t xml:space="preserve">. </w:t>
      </w:r>
      <w:r w:rsidRPr="001F2586">
        <w:rPr>
          <w:rFonts w:eastAsia="Calibri"/>
          <w:rtl/>
        </w:rPr>
        <w:t xml:space="preserve">עם זאת, בתחום </w:t>
      </w:r>
      <w:r w:rsidRPr="001F2586">
        <w:rPr>
          <w:rFonts w:eastAsia="Calibri" w:hint="cs"/>
          <w:rtl/>
        </w:rPr>
        <w:t>המגבלות על מתן הלוואות לדיור</w:t>
      </w:r>
      <w:r w:rsidRPr="001F2586">
        <w:rPr>
          <w:rFonts w:eastAsia="Calibri"/>
          <w:rtl/>
        </w:rPr>
        <w:t xml:space="preserve"> נוהג הפיקוח על הבנקים בגישה אחרת </w:t>
      </w:r>
      <w:r w:rsidRPr="001F2586">
        <w:rPr>
          <w:rFonts w:eastAsia="Calibri" w:hint="cs"/>
          <w:rtl/>
        </w:rPr>
        <w:t>המבוססת כללים</w:t>
      </w:r>
      <w:r w:rsidRPr="001F2586">
        <w:rPr>
          <w:rFonts w:eastAsia="Calibri"/>
          <w:rtl/>
        </w:rPr>
        <w:t>, כפי שמתבטא ב</w:t>
      </w:r>
      <w:r w:rsidRPr="001F2586">
        <w:rPr>
          <w:rFonts w:eastAsia="Calibri" w:hint="cs"/>
          <w:rtl/>
        </w:rPr>
        <w:t xml:space="preserve">קביעת </w:t>
      </w:r>
      <w:r w:rsidRPr="001F2586">
        <w:rPr>
          <w:rFonts w:eastAsia="Calibri"/>
          <w:rtl/>
        </w:rPr>
        <w:t xml:space="preserve">מגבלות </w:t>
      </w:r>
      <w:r w:rsidRPr="001F2586">
        <w:rPr>
          <w:rFonts w:eastAsia="Calibri" w:hint="cs"/>
          <w:rtl/>
        </w:rPr>
        <w:t xml:space="preserve">מספריות ומוחלטות על הלוואות לדיור ובקביעת משקלי סיכון ספציפיים בגינן. גישה זו לפיה המפקח קובע מגבלות מוחלטות </w:t>
      </w:r>
      <w:r w:rsidRPr="001F2586">
        <w:rPr>
          <w:rFonts w:eastAsia="Calibri"/>
          <w:rtl/>
        </w:rPr>
        <w:t>מצמצמת את שיקול הדעת של הבנקים</w:t>
      </w:r>
      <w:r w:rsidRPr="001F2586">
        <w:rPr>
          <w:rFonts w:eastAsia="Calibri" w:hint="cs"/>
          <w:rtl/>
        </w:rPr>
        <w:t xml:space="preserve"> ואת תיאבון הסיכון שלהם במתן הלוואות לדיור, אך מנגד מבטיחה את היציבות של הבנקים ואת השמירה על לווים מפני לקיחת הלוואות מסוכנות מדי.</w:t>
      </w:r>
    </w:p>
    <w:p w:rsidR="00EF4431" w:rsidP="001F2586">
      <w:pPr>
        <w:spacing w:line="269" w:lineRule="auto"/>
        <w:rPr>
          <w:rFonts w:eastAsia="Calibri"/>
          <w:rtl/>
        </w:rPr>
      </w:pPr>
    </w:p>
    <w:p w:rsidR="00EF4431" w:rsidRPr="00B61A67" w:rsidP="00EF4431">
      <w:pPr>
        <w:pStyle w:val="a"/>
        <w:spacing w:line="288" w:lineRule="auto"/>
        <w:ind w:left="0"/>
        <w:rPr>
          <w:b/>
          <w:bCs/>
          <w:sz w:val="24"/>
          <w:szCs w:val="24"/>
          <w:rtl/>
        </w:rPr>
      </w:pPr>
      <w:r w:rsidRPr="00B61A67">
        <w:rPr>
          <w:rFonts w:hint="eastAsia"/>
          <w:b/>
          <w:bCs/>
          <w:sz w:val="24"/>
          <w:szCs w:val="24"/>
          <w:rtl/>
        </w:rPr>
        <w:t>בחלוף</w:t>
      </w:r>
      <w:r w:rsidRPr="00B61A67">
        <w:rPr>
          <w:b/>
          <w:bCs/>
          <w:sz w:val="24"/>
          <w:szCs w:val="24"/>
          <w:rtl/>
        </w:rPr>
        <w:t xml:space="preserve"> </w:t>
      </w:r>
      <w:r w:rsidRPr="00B61A67">
        <w:rPr>
          <w:rFonts w:hint="eastAsia"/>
          <w:b/>
          <w:bCs/>
          <w:sz w:val="24"/>
          <w:szCs w:val="24"/>
          <w:rtl/>
        </w:rPr>
        <w:t>השנים</w:t>
      </w:r>
      <w:r w:rsidRPr="00B61A67">
        <w:rPr>
          <w:b/>
          <w:bCs/>
          <w:sz w:val="24"/>
          <w:szCs w:val="24"/>
          <w:rtl/>
        </w:rPr>
        <w:t xml:space="preserve"> </w:t>
      </w:r>
      <w:r w:rsidRPr="00B61A67">
        <w:rPr>
          <w:rFonts w:hint="eastAsia"/>
          <w:b/>
          <w:bCs/>
          <w:sz w:val="24"/>
          <w:szCs w:val="24"/>
          <w:rtl/>
        </w:rPr>
        <w:t>ממשבר</w:t>
      </w:r>
      <w:r w:rsidRPr="00B61A67">
        <w:rPr>
          <w:b/>
          <w:bCs/>
          <w:sz w:val="24"/>
          <w:szCs w:val="24"/>
          <w:rtl/>
        </w:rPr>
        <w:t xml:space="preserve"> </w:t>
      </w:r>
      <w:r w:rsidRPr="00B61A67">
        <w:rPr>
          <w:rFonts w:hint="eastAsia"/>
          <w:b/>
          <w:bCs/>
          <w:sz w:val="24"/>
          <w:szCs w:val="24"/>
          <w:rtl/>
        </w:rPr>
        <w:t>הסאב</w:t>
      </w:r>
      <w:r w:rsidRPr="00B61A67">
        <w:rPr>
          <w:b/>
          <w:bCs/>
          <w:sz w:val="24"/>
          <w:szCs w:val="24"/>
          <w:rtl/>
        </w:rPr>
        <w:t xml:space="preserve"> </w:t>
      </w:r>
      <w:r w:rsidRPr="00B61A67">
        <w:rPr>
          <w:rFonts w:hint="eastAsia"/>
          <w:b/>
          <w:bCs/>
          <w:sz w:val="24"/>
          <w:szCs w:val="24"/>
          <w:rtl/>
        </w:rPr>
        <w:t>פריים</w:t>
      </w:r>
      <w:r w:rsidRPr="00B61A67">
        <w:rPr>
          <w:b/>
          <w:bCs/>
          <w:sz w:val="24"/>
          <w:szCs w:val="24"/>
          <w:rtl/>
        </w:rPr>
        <w:t xml:space="preserve"> מן הראוי כי המפקח על הבנקים יגבש מדיניות סדורה לבחירה של גישת האסדרה המתאימה בתחום המשכנתאות בהיבטים שונים כמו המגבלות על מתן הלוואות לדיור, מדידת סיכון אשראי וסיכונים פיננסיים שונים, נהלים למתן הלוואות לדיור ועוד. במסגרת זו, מן הראוי כי המפקח יבחן את ההשפעות האפשריות של השימוש בגישות השונות על האיזון בין יעדי היציבות, ההוגנות והתחרות של המערכת הבנקאית.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מהפיקוח על הבנקים נמסר כי גישת הפיקוח בתחום האשראי לדיור היא גישה מבוססת עקרונות, וכי בתחומים אחרים יש מגבלות שנקבעות לפי כללים כמו מגבלת חבות ענפית ומגבלה על אשראי ממונף. עם זאת, בתחום האשראי לדיור התקבלו החלטות עקביות של מפקחים או נגידי הבנק המרכזי המאמצות את הגישה המבוססת על כללים, וזאת בשל שיקולים מקרו-כלכליים הנובעים מהתפתחויות בשוק הדיור והגידול בסיכונים הטמונים בו. בשל כך, לדעת הפיקוח על הבנקים יש צורך ליצור אחידות יחסית של הפעילות בתחום האשראי לדיור המתאפשרת על ידי קביעה של מגבלות פרטניות</w:t>
      </w:r>
      <w:r>
        <w:rPr>
          <w:rFonts w:eastAsia="Calibri"/>
          <w:vertAlign w:val="superscript"/>
          <w:rtl/>
        </w:rPr>
        <w:footnoteReference w:id="78"/>
      </w:r>
      <w:r w:rsidRPr="001F2586">
        <w:rPr>
          <w:rFonts w:eastAsia="Calibri" w:hint="cs"/>
          <w:rtl/>
        </w:rPr>
        <w:t>. יצוין כי לא הוצגו בפני משרד מבקר המדינה מסמכים המעידים על מדיניות סדורה לבחינה של גישת האסדרה בתחום האשראי לדיור ובפרט</w:t>
      </w:r>
      <w:r w:rsidRPr="001F2586">
        <w:rPr>
          <w:rFonts w:eastAsia="Calibri" w:hint="cs"/>
        </w:rPr>
        <w:t xml:space="preserve"> </w:t>
      </w:r>
      <w:r w:rsidRPr="001F2586">
        <w:rPr>
          <w:rFonts w:eastAsia="Calibri" w:hint="cs"/>
          <w:rtl/>
        </w:rPr>
        <w:t>להשפעה של הבחירה בגישה מבוססת כללים במתן הלוואות לדיור על יציבות המערכת הבנקאית וההגינות שלה כלפי הלווים.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לא נמצא כי לפיקוח על הבנקים יש מסמך מדיניות סדורה לבחינה של גישות האסדרה, רגולציה מבוססת כללים ורגולציה מבוססת עקרונות, ובפרט להשפעה של בחירה בגישה המבוססת על כללים במתן הלוואות לדיור על יציבות המערכת הבנקאית וההגינות שלה כלפי הלווים. כללים המחייבים את הבנקים במתן אשראי בתנאים מסוימים תורמים לשמירה על יציבות פיננסית בכך שהם מונעים פרשנות מקלה של בנקים לעקרונות ומגבילים אשראי מסוכן. עם זאת, בחירה בגישה המבוססת על כללים נוקשים כפי שמתבטאת במגבלות מספריות מוחלטות על הלוואות לדיור ובמשקלי סיכון ספציפיים עליהם גורמת לכך שלעיתים הבנקים לא נותנים הלוואות מסוימות אף שאינן חורגות ממדיניות ניהול הסיכונים שלהם, וסביר כי היו ניתנות במידה מסוימת בהתאם לתיאבון הסיכון של הבנקים במידה והאסדרה הייתה מבוססת עקרונות. במצב זה, לווים שלא מקבלים משכנתאות במערכת הבנקאית נאלצים ללוות מגופים חוץ בנקאיים במחיר יקר יותר באופן שפוגע בהגשמת יעד ההוגנות.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בנק ישראל צוין כי "הפיקוח על הבנקים פועל לאורך שנים על בסיס מדיניות פיקוחית סדורה, הכוללת הפעלה דינמית ומודעת של מגוון כלי אסדרה, הן מבוססי עקרונות והן מבוססי כללים, בהתאם לניתוח מתמשך של מגמות השוק, רמת הסיכון, מאפייני המוצרים והשלכות אפשריות של צעדי רגולציה".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כי הפיקוח על הבנקים יגבש מסמך מדיניות סדורה לבחינת השיקולים וההשפעות של השימוש בגישות הרגולטוריות השונות באופן עתי </w:t>
      </w:r>
      <w:r w:rsidRPr="001F2586">
        <w:rPr>
          <w:rFonts w:eastAsia="Calibri" w:hint="eastAsia"/>
          <w:b/>
          <w:bCs/>
          <w:rtl/>
        </w:rPr>
        <w:t>ובדרך</w:t>
      </w:r>
      <w:r w:rsidRPr="001F2586">
        <w:rPr>
          <w:rFonts w:eastAsia="Calibri"/>
          <w:b/>
          <w:bCs/>
          <w:rtl/>
        </w:rPr>
        <w:t xml:space="preserve"> </w:t>
      </w:r>
      <w:r w:rsidRPr="001F2586">
        <w:rPr>
          <w:rFonts w:eastAsia="Calibri" w:hint="eastAsia"/>
          <w:b/>
          <w:bCs/>
          <w:rtl/>
        </w:rPr>
        <w:t>שתאזן</w:t>
      </w:r>
      <w:r w:rsidRPr="001F2586">
        <w:rPr>
          <w:rFonts w:eastAsia="Calibri" w:hint="cs"/>
          <w:b/>
          <w:bCs/>
          <w:rtl/>
        </w:rPr>
        <w:t xml:space="preserve"> בין הצורך לקבוע כללים על הלוואות לדיור לבין הצורך להעניק שיקול דעת לבנקים לנהל את תיאבון הסיכון שלהם תחת ניהול מוקפד של סיכונים.</w:t>
      </w:r>
    </w:p>
    <w:bookmarkEnd w:id="22"/>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bCs/>
          <w:spacing w:val="40"/>
          <w:rtl/>
        </w:rPr>
        <w:t>השוו</w:t>
      </w:r>
      <w:r w:rsidRPr="001F2586">
        <w:rPr>
          <w:rFonts w:eastAsia="Times New Roman" w:hint="cs"/>
          <w:bCs/>
          <w:spacing w:val="40"/>
          <w:rtl/>
        </w:rPr>
        <w:t>א</w:t>
      </w:r>
      <w:r w:rsidRPr="001F2586">
        <w:rPr>
          <w:rFonts w:eastAsia="Times New Roman"/>
          <w:bCs/>
          <w:spacing w:val="40"/>
          <w:rtl/>
        </w:rPr>
        <w:t>ה בי</w:t>
      </w:r>
      <w:r w:rsidRPr="001F2586">
        <w:rPr>
          <w:rFonts w:eastAsia="Times New Roman" w:hint="cs"/>
          <w:bCs/>
          <w:spacing w:val="40"/>
          <w:rtl/>
        </w:rPr>
        <w:t>ן-</w:t>
      </w:r>
      <w:r w:rsidRPr="001F2586">
        <w:rPr>
          <w:rFonts w:eastAsia="Times New Roman"/>
          <w:bCs/>
          <w:spacing w:val="40"/>
          <w:rtl/>
        </w:rPr>
        <w:t>לאומית</w:t>
      </w:r>
      <w:r w:rsidRPr="001F2586">
        <w:rPr>
          <w:rFonts w:eastAsia="Times New Roman" w:hint="cs"/>
          <w:bCs/>
          <w:spacing w:val="40"/>
          <w:rtl/>
        </w:rPr>
        <w:t xml:space="preserve"> של מגבלות על משכנתאות וצעדים מבוססי הון בשוק המשכנתאות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ישנה חשיבות כי הפיקוח יבחן את המגבלות ודרישות ההון בשוק המשכנתאות גם בהשוואה לנעשה במדינות אחרות בעולם תוך בחינת הרלוונטיות שלהם לישראל וביצוע התאמות נדרשות בהתאם למאפייני השוק המקומי. יצוין כי השוואה זו היא מוגבלת בין היתר בשל שינויים בין מדינות שונות במאפייני שוק המשכנתאות. כך למשל, בשוק המשכנתאות קיימים שני הבדלים </w:t>
      </w:r>
      <w:r w:rsidRPr="001F2586">
        <w:rPr>
          <w:rFonts w:eastAsia="Calibri" w:hint="cs"/>
          <w:rtl/>
        </w:rPr>
        <w:t>משמעותיים בין ישראל לארה"ב: זכות המלווה לרדת לנכסי הלווה</w:t>
      </w:r>
      <w:r>
        <w:rPr>
          <w:rFonts w:eastAsia="Calibri"/>
          <w:vertAlign w:val="superscript"/>
          <w:rtl/>
        </w:rPr>
        <w:footnoteReference w:id="79"/>
      </w:r>
      <w:r w:rsidRPr="001F2586">
        <w:rPr>
          <w:rFonts w:eastAsia="Calibri" w:hint="cs"/>
          <w:rtl/>
        </w:rPr>
        <w:t>; ואיגוח משכנתאות</w:t>
      </w:r>
      <w:r>
        <w:rPr>
          <w:rFonts w:eastAsia="Calibri"/>
          <w:vertAlign w:val="superscript"/>
          <w:rtl/>
        </w:rPr>
        <w:footnoteReference w:id="80"/>
      </w:r>
      <w:r w:rsidRPr="001F2586">
        <w:rPr>
          <w:rFonts w:eastAsia="Calibri" w:hint="cs"/>
          <w:rtl/>
        </w:rPr>
        <w:t>. יצוין כי בשנת 2025 אושרה בקריאה ראשונה הצעת חוק שמסדירה את שוק האיגוח בישראל</w:t>
      </w:r>
      <w:r>
        <w:rPr>
          <w:rFonts w:eastAsia="Calibri"/>
          <w:vertAlign w:val="superscript"/>
          <w:rtl/>
        </w:rPr>
        <w:footnoteReference w:id="81"/>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לוחות המציגים את הניתוח השוואתי שביצע הפיקוח על הבנקים להשוואת המגבלות על משכנתאות וצעדים מבוססי הון המקובלים בישראל ובמדינות בעולם</w:t>
      </w:r>
      <w:r>
        <w:rPr>
          <w:rFonts w:eastAsia="Calibri"/>
          <w:vertAlign w:val="superscript"/>
          <w:rtl/>
        </w:rPr>
        <w:footnoteReference w:id="82"/>
      </w:r>
      <w:r w:rsidRPr="001F2586">
        <w:rPr>
          <w:rFonts w:eastAsia="Calibri" w:hint="cs"/>
          <w:rtl/>
        </w:rPr>
        <w:t>, ואופן היישום שלהם במערכת הבנקאות בישראל על ידי הפיקוח על הבנקים לעומת היישום שלהם במדינות אחרות בעולם.</w:t>
      </w:r>
    </w:p>
    <w:p w:rsidR="001F2586" w:rsidRPr="001F2586" w:rsidP="001F2586">
      <w:pPr>
        <w:spacing w:line="269" w:lineRule="auto"/>
        <w:ind w:left="-567"/>
        <w:rPr>
          <w:rFonts w:eastAsia="Calibri"/>
          <w:b/>
          <w:szCs w:val="20"/>
          <w:rtl/>
        </w:rPr>
      </w:pPr>
    </w:p>
    <w:p w:rsidR="001F2586" w:rsidRPr="001F2586" w:rsidP="001F2586">
      <w:pPr>
        <w:keepNext/>
        <w:keepLines/>
        <w:spacing w:line="269" w:lineRule="auto"/>
        <w:ind w:left="717" w:hanging="360"/>
        <w:jc w:val="center"/>
        <w:outlineLvl w:val="4"/>
        <w:rPr>
          <w:rFonts w:eastAsia="Calibri"/>
          <w:sz w:val="24"/>
          <w:rtl/>
        </w:rPr>
      </w:pPr>
      <w:r w:rsidRPr="001F2586">
        <w:rPr>
          <w:rFonts w:eastAsia="Calibri" w:hint="eastAsia"/>
          <w:b/>
          <w:sz w:val="24"/>
          <w:rtl/>
        </w:rPr>
        <w:t>לוח</w:t>
      </w:r>
      <w:r w:rsidRPr="001F2586">
        <w:rPr>
          <w:rFonts w:eastAsia="Calibri"/>
          <w:b/>
          <w:sz w:val="24"/>
          <w:rtl/>
        </w:rPr>
        <w:t xml:space="preserve"> </w:t>
      </w:r>
      <w:r w:rsidRPr="001F2586">
        <w:rPr>
          <w:rFonts w:eastAsia="Calibri" w:hint="cs"/>
          <w:b/>
          <w:sz w:val="24"/>
          <w:rtl/>
        </w:rPr>
        <w:t>2</w:t>
      </w:r>
      <w:r w:rsidRPr="001F2586">
        <w:rPr>
          <w:rFonts w:eastAsia="Calibri"/>
          <w:b/>
          <w:sz w:val="24"/>
          <w:rtl/>
        </w:rPr>
        <w:t>:</w:t>
      </w:r>
      <w:r w:rsidRPr="001F2586">
        <w:rPr>
          <w:rFonts w:eastAsia="Calibri"/>
          <w:bCs/>
          <w:sz w:val="24"/>
          <w:rtl/>
        </w:rPr>
        <w:t xml:space="preserve"> צעדים מגבילים עבור הלווים בשוק המשכנתאות בישראל </w:t>
      </w:r>
      <w:r w:rsidRPr="001F2586">
        <w:rPr>
          <w:rFonts w:eastAsia="Calibri" w:hint="cs"/>
          <w:bCs/>
          <w:sz w:val="24"/>
          <w:rtl/>
        </w:rPr>
        <w:t xml:space="preserve">לעומת </w:t>
      </w:r>
      <w:r w:rsidRPr="001F2586">
        <w:rPr>
          <w:rFonts w:eastAsia="Calibri" w:hint="eastAsia"/>
          <w:bCs/>
          <w:sz w:val="24"/>
          <w:rtl/>
        </w:rPr>
        <w:t>מדינות</w:t>
      </w:r>
      <w:r w:rsidRPr="001F2586">
        <w:rPr>
          <w:rFonts w:eastAsia="Calibri"/>
          <w:bCs/>
          <w:sz w:val="24"/>
          <w:rtl/>
        </w:rPr>
        <w:t xml:space="preserve"> </w:t>
      </w:r>
      <w:r w:rsidRPr="001F2586">
        <w:rPr>
          <w:rFonts w:eastAsia="Calibri" w:hint="eastAsia"/>
          <w:bCs/>
          <w:sz w:val="24"/>
          <w:rtl/>
        </w:rPr>
        <w:t>בעולם</w:t>
      </w:r>
    </w:p>
    <w:tbl>
      <w:tblPr>
        <w:tblStyle w:val="TableGrid"/>
        <w:bidiVisual/>
        <w:tblW w:w="8602" w:type="dxa"/>
        <w:tblInd w:w="431" w:type="dxa"/>
        <w:tblLook w:val="04A0"/>
      </w:tblPr>
      <w:tblGrid>
        <w:gridCol w:w="2112"/>
        <w:gridCol w:w="2531"/>
        <w:gridCol w:w="2042"/>
        <w:gridCol w:w="1917"/>
      </w:tblGrid>
      <w:tr w:rsidTr="00EB64F7">
        <w:tblPrEx>
          <w:tblW w:w="8602" w:type="dxa"/>
          <w:tblInd w:w="431" w:type="dxa"/>
          <w:tblLook w:val="04A0"/>
        </w:tblPrEx>
        <w:trPr>
          <w:trHeight w:val="905"/>
          <w:tblHeader/>
        </w:trPr>
        <w:tc>
          <w:tcPr>
            <w:tcW w:w="2112" w:type="dxa"/>
          </w:tcPr>
          <w:p w:rsidR="001F2586" w:rsidRPr="001F2586" w:rsidP="001F2586">
            <w:pPr>
              <w:spacing w:line="269" w:lineRule="auto"/>
              <w:jc w:val="center"/>
              <w:rPr>
                <w:rFonts w:eastAsia="Calibri"/>
                <w:b/>
                <w:bCs/>
                <w:sz w:val="18"/>
                <w:szCs w:val="22"/>
                <w:rtl/>
              </w:rPr>
            </w:pPr>
            <w:r>
              <w:rPr>
                <w:rFonts w:eastAsia="Calibri" w:hint="cs"/>
                <w:b/>
                <w:bCs/>
                <w:sz w:val="18"/>
                <w:szCs w:val="22"/>
                <w:rtl/>
              </w:rPr>
              <w:t>ה</w:t>
            </w:r>
            <w:r w:rsidRPr="001F2586">
              <w:rPr>
                <w:rFonts w:eastAsia="Calibri" w:hint="eastAsia"/>
                <w:b/>
                <w:bCs/>
                <w:sz w:val="18"/>
                <w:szCs w:val="22"/>
                <w:rtl/>
              </w:rPr>
              <w:t>מגבלה</w:t>
            </w:r>
          </w:p>
        </w:tc>
        <w:tc>
          <w:tcPr>
            <w:tcW w:w="2531" w:type="dxa"/>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המגבלה</w:t>
            </w:r>
            <w:r w:rsidRPr="001F2586">
              <w:rPr>
                <w:rFonts w:eastAsia="Calibri"/>
                <w:b/>
                <w:bCs/>
                <w:sz w:val="18"/>
                <w:szCs w:val="22"/>
                <w:rtl/>
              </w:rPr>
              <w:t xml:space="preserve"> </w:t>
            </w:r>
            <w:r w:rsidRPr="001F2586">
              <w:rPr>
                <w:rFonts w:eastAsia="Calibri" w:hint="cs"/>
                <w:b/>
                <w:bCs/>
                <w:sz w:val="18"/>
                <w:szCs w:val="22"/>
                <w:rtl/>
              </w:rPr>
              <w:t>במערכת הבנקאות ב</w:t>
            </w:r>
            <w:r w:rsidRPr="001F2586">
              <w:rPr>
                <w:rFonts w:eastAsia="Calibri" w:hint="eastAsia"/>
                <w:b/>
                <w:bCs/>
                <w:sz w:val="18"/>
                <w:szCs w:val="22"/>
                <w:rtl/>
              </w:rPr>
              <w:t>ישראל</w:t>
            </w:r>
          </w:p>
        </w:tc>
        <w:tc>
          <w:tcPr>
            <w:tcW w:w="2042" w:type="dxa"/>
          </w:tcPr>
          <w:p w:rsidR="001F2586" w:rsidRPr="001F2586" w:rsidP="001F2586">
            <w:pPr>
              <w:spacing w:line="269" w:lineRule="auto"/>
              <w:jc w:val="center"/>
              <w:rPr>
                <w:rFonts w:eastAsia="Calibri"/>
                <w:b/>
                <w:bCs/>
                <w:sz w:val="18"/>
                <w:szCs w:val="22"/>
                <w:rtl/>
              </w:rPr>
            </w:pPr>
            <w:r>
              <w:rPr>
                <w:rFonts w:eastAsia="Calibri" w:hint="cs"/>
                <w:b/>
                <w:bCs/>
                <w:sz w:val="18"/>
                <w:szCs w:val="22"/>
                <w:rtl/>
              </w:rPr>
              <w:t>ה</w:t>
            </w:r>
            <w:r w:rsidRPr="001F2586">
              <w:rPr>
                <w:rFonts w:eastAsia="Calibri" w:hint="eastAsia"/>
                <w:b/>
                <w:bCs/>
                <w:sz w:val="18"/>
                <w:szCs w:val="22"/>
                <w:rtl/>
              </w:rPr>
              <w:t>מגבלה</w:t>
            </w:r>
            <w:r w:rsidRPr="001F2586">
              <w:rPr>
                <w:rFonts w:eastAsia="Calibri"/>
                <w:b/>
                <w:bCs/>
                <w:sz w:val="18"/>
                <w:szCs w:val="22"/>
                <w:rtl/>
              </w:rPr>
              <w:t xml:space="preserve"> </w:t>
            </w:r>
            <w:r w:rsidRPr="001F2586">
              <w:rPr>
                <w:rFonts w:eastAsia="Calibri" w:hint="eastAsia"/>
                <w:b/>
                <w:bCs/>
                <w:sz w:val="18"/>
                <w:szCs w:val="22"/>
                <w:rtl/>
              </w:rPr>
              <w:t>במדינות</w:t>
            </w:r>
            <w:r w:rsidRPr="001F2586">
              <w:rPr>
                <w:rFonts w:eastAsia="Calibri"/>
                <w:b/>
                <w:bCs/>
                <w:sz w:val="18"/>
                <w:szCs w:val="22"/>
                <w:rtl/>
              </w:rPr>
              <w:t xml:space="preserve"> </w:t>
            </w:r>
            <w:r w:rsidRPr="001F2586">
              <w:rPr>
                <w:rFonts w:eastAsia="Calibri" w:hint="eastAsia"/>
                <w:b/>
                <w:bCs/>
                <w:sz w:val="18"/>
                <w:szCs w:val="22"/>
                <w:rtl/>
              </w:rPr>
              <w:t>בעולם</w:t>
            </w:r>
          </w:p>
        </w:tc>
        <w:tc>
          <w:tcPr>
            <w:tcW w:w="1917" w:type="dxa"/>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אופן</w:t>
            </w:r>
            <w:r w:rsidRPr="001F2586">
              <w:rPr>
                <w:rFonts w:eastAsia="Calibri"/>
                <w:b/>
                <w:bCs/>
                <w:sz w:val="18"/>
                <w:szCs w:val="22"/>
                <w:rtl/>
              </w:rPr>
              <w:t xml:space="preserve"> </w:t>
            </w:r>
            <w:r w:rsidRPr="001F2586">
              <w:rPr>
                <w:rFonts w:eastAsia="Calibri" w:hint="eastAsia"/>
                <w:b/>
                <w:bCs/>
                <w:sz w:val="18"/>
                <w:szCs w:val="22"/>
                <w:rtl/>
              </w:rPr>
              <w:t>יישום</w:t>
            </w:r>
            <w:r w:rsidRPr="001F2586">
              <w:rPr>
                <w:rFonts w:eastAsia="Calibri"/>
                <w:b/>
                <w:bCs/>
                <w:sz w:val="18"/>
                <w:szCs w:val="22"/>
                <w:rtl/>
              </w:rPr>
              <w:t xml:space="preserve"> </w:t>
            </w:r>
            <w:r w:rsidRPr="001F2586">
              <w:rPr>
                <w:rFonts w:eastAsia="Calibri" w:hint="eastAsia"/>
                <w:b/>
                <w:bCs/>
                <w:sz w:val="18"/>
                <w:szCs w:val="22"/>
                <w:rtl/>
              </w:rPr>
              <w:t>המגבלה</w:t>
            </w:r>
            <w:r w:rsidRPr="001F2586">
              <w:rPr>
                <w:rFonts w:eastAsia="Calibri"/>
                <w:b/>
                <w:bCs/>
                <w:sz w:val="18"/>
                <w:szCs w:val="22"/>
                <w:rtl/>
              </w:rPr>
              <w:t xml:space="preserve"> </w:t>
            </w:r>
            <w:r w:rsidRPr="001F2586">
              <w:rPr>
                <w:rFonts w:eastAsia="Calibri" w:hint="eastAsia"/>
                <w:b/>
                <w:bCs/>
                <w:sz w:val="18"/>
                <w:szCs w:val="22"/>
                <w:rtl/>
              </w:rPr>
              <w:t>על</w:t>
            </w:r>
            <w:r w:rsidRPr="001F2586">
              <w:rPr>
                <w:rFonts w:eastAsia="Calibri"/>
                <w:b/>
                <w:bCs/>
                <w:sz w:val="18"/>
                <w:szCs w:val="22"/>
                <w:rtl/>
              </w:rPr>
              <w:t xml:space="preserve"> </w:t>
            </w:r>
            <w:r w:rsidRPr="001F2586">
              <w:rPr>
                <w:rFonts w:eastAsia="Calibri" w:hint="eastAsia"/>
                <w:b/>
                <w:bCs/>
                <w:sz w:val="18"/>
                <w:szCs w:val="22"/>
                <w:rtl/>
              </w:rPr>
              <w:t>ידי</w:t>
            </w:r>
            <w:r w:rsidRPr="001F2586">
              <w:rPr>
                <w:rFonts w:eastAsia="Calibri"/>
                <w:b/>
                <w:bCs/>
                <w:sz w:val="18"/>
                <w:szCs w:val="22"/>
                <w:rtl/>
              </w:rPr>
              <w:t xml:space="preserve"> </w:t>
            </w:r>
            <w:r w:rsidRPr="001F2586">
              <w:rPr>
                <w:rFonts w:eastAsia="Calibri" w:hint="eastAsia"/>
                <w:b/>
                <w:bCs/>
                <w:sz w:val="18"/>
                <w:szCs w:val="22"/>
                <w:rtl/>
              </w:rPr>
              <w:t>הפיקוח</w:t>
            </w:r>
            <w:r w:rsidRPr="001F2586">
              <w:rPr>
                <w:rFonts w:eastAsia="Calibri"/>
                <w:b/>
                <w:bCs/>
                <w:sz w:val="18"/>
                <w:szCs w:val="22"/>
                <w:rtl/>
              </w:rPr>
              <w:t xml:space="preserve"> </w:t>
            </w:r>
            <w:r w:rsidRPr="001F2586">
              <w:rPr>
                <w:rFonts w:eastAsia="Calibri" w:hint="eastAsia"/>
                <w:b/>
                <w:bCs/>
                <w:sz w:val="18"/>
                <w:szCs w:val="22"/>
                <w:rtl/>
              </w:rPr>
              <w:t>על</w:t>
            </w:r>
            <w:r w:rsidRPr="001F2586">
              <w:rPr>
                <w:rFonts w:eastAsia="Calibri"/>
                <w:b/>
                <w:bCs/>
                <w:sz w:val="18"/>
                <w:szCs w:val="22"/>
                <w:rtl/>
              </w:rPr>
              <w:t xml:space="preserve"> </w:t>
            </w:r>
            <w:r w:rsidRPr="001F2586">
              <w:rPr>
                <w:rFonts w:eastAsia="Calibri" w:hint="eastAsia"/>
                <w:b/>
                <w:bCs/>
                <w:sz w:val="18"/>
                <w:szCs w:val="22"/>
                <w:rtl/>
              </w:rPr>
              <w:t>הבנקים</w:t>
            </w:r>
            <w:r w:rsidRPr="001F2586">
              <w:rPr>
                <w:rFonts w:eastAsia="Calibri"/>
                <w:b/>
                <w:bCs/>
                <w:sz w:val="18"/>
                <w:szCs w:val="22"/>
                <w:rtl/>
              </w:rPr>
              <w:t xml:space="preserve"> </w:t>
            </w:r>
            <w:r w:rsidRPr="001F2586">
              <w:rPr>
                <w:rFonts w:eastAsia="Calibri" w:hint="eastAsia"/>
                <w:b/>
                <w:bCs/>
                <w:sz w:val="18"/>
                <w:szCs w:val="22"/>
                <w:rtl/>
              </w:rPr>
              <w:t>בישראל</w:t>
            </w:r>
          </w:p>
        </w:tc>
      </w:tr>
      <w:tr w:rsidTr="00EB64F7">
        <w:tblPrEx>
          <w:tblW w:w="8602" w:type="dxa"/>
          <w:tblInd w:w="431" w:type="dxa"/>
          <w:tblLook w:val="04A0"/>
        </w:tblPrEx>
        <w:trPr>
          <w:trHeight w:val="1225"/>
        </w:trPr>
        <w:tc>
          <w:tcPr>
            <w:tcW w:w="211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שיעור המימון של ההלוואה משווי הנכס (</w:t>
            </w:r>
            <w:r w:rsidRPr="001F2586">
              <w:rPr>
                <w:rFonts w:ascii="David" w:eastAsia="Calibri" w:hAnsi="David"/>
                <w:sz w:val="22"/>
                <w:szCs w:val="22"/>
              </w:rPr>
              <w:t>LTV</w:t>
            </w:r>
            <w:r w:rsidRPr="001F2586">
              <w:rPr>
                <w:rFonts w:ascii="David" w:eastAsia="Calibri" w:hAnsi="David"/>
                <w:sz w:val="22"/>
                <w:szCs w:val="22"/>
                <w:rtl/>
              </w:rPr>
              <w:t xml:space="preserve">) </w:t>
            </w:r>
          </w:p>
        </w:tc>
        <w:tc>
          <w:tcPr>
            <w:tcW w:w="2531" w:type="dxa"/>
          </w:tcPr>
          <w:p w:rsidR="001F2586" w:rsidRPr="001F2586" w:rsidP="001F2586">
            <w:pPr>
              <w:numPr>
                <w:ilvl w:val="0"/>
                <w:numId w:val="18"/>
              </w:numPr>
              <w:spacing w:line="269" w:lineRule="auto"/>
              <w:ind w:left="212" w:hanging="212"/>
              <w:contextualSpacing/>
              <w:jc w:val="left"/>
              <w:rPr>
                <w:rFonts w:ascii="David" w:eastAsia="Calibri" w:hAnsi="David"/>
                <w:sz w:val="22"/>
                <w:szCs w:val="22"/>
              </w:rPr>
            </w:pPr>
            <w:r w:rsidRPr="001F2586">
              <w:rPr>
                <w:rFonts w:ascii="David" w:eastAsia="Calibri" w:hAnsi="David"/>
                <w:sz w:val="22"/>
                <w:szCs w:val="22"/>
                <w:rtl/>
              </w:rPr>
              <w:t xml:space="preserve">דירה יחידה 75% </w:t>
            </w:r>
          </w:p>
          <w:p w:rsidR="001F2586" w:rsidRPr="001F2586" w:rsidP="001F2586">
            <w:pPr>
              <w:numPr>
                <w:ilvl w:val="0"/>
                <w:numId w:val="18"/>
              </w:numPr>
              <w:spacing w:line="269" w:lineRule="auto"/>
              <w:ind w:left="212" w:hanging="212"/>
              <w:contextualSpacing/>
              <w:jc w:val="left"/>
              <w:rPr>
                <w:rFonts w:ascii="David" w:eastAsia="Calibri" w:hAnsi="David"/>
                <w:sz w:val="22"/>
                <w:szCs w:val="22"/>
              </w:rPr>
            </w:pPr>
            <w:r w:rsidRPr="001F2586">
              <w:rPr>
                <w:rFonts w:ascii="David" w:eastAsia="Calibri" w:hAnsi="David"/>
                <w:sz w:val="22"/>
                <w:szCs w:val="22"/>
                <w:rtl/>
              </w:rPr>
              <w:t xml:space="preserve">דירה חליפית 70% </w:t>
            </w:r>
          </w:p>
          <w:p w:rsidR="001F2586" w:rsidRPr="001F2586" w:rsidP="001F2586">
            <w:pPr>
              <w:numPr>
                <w:ilvl w:val="0"/>
                <w:numId w:val="18"/>
              </w:numPr>
              <w:spacing w:line="269" w:lineRule="auto"/>
              <w:ind w:left="212" w:hanging="212"/>
              <w:contextualSpacing/>
              <w:jc w:val="left"/>
              <w:rPr>
                <w:rFonts w:ascii="David" w:eastAsia="Calibri" w:hAnsi="David"/>
                <w:sz w:val="22"/>
                <w:szCs w:val="22"/>
                <w:rtl/>
              </w:rPr>
            </w:pPr>
            <w:r w:rsidRPr="001F2586">
              <w:rPr>
                <w:rFonts w:ascii="David" w:eastAsia="Calibri" w:hAnsi="David"/>
                <w:sz w:val="22"/>
                <w:szCs w:val="22"/>
                <w:rtl/>
              </w:rPr>
              <w:t xml:space="preserve">דירה להשקעה 50% </w:t>
            </w:r>
          </w:p>
        </w:tc>
        <w:tc>
          <w:tcPr>
            <w:tcW w:w="2042" w:type="dxa"/>
          </w:tcPr>
          <w:p w:rsidR="001F2586" w:rsidRPr="001F2586" w:rsidP="001F2586">
            <w:pPr>
              <w:spacing w:line="269" w:lineRule="auto"/>
              <w:jc w:val="left"/>
              <w:rPr>
                <w:rFonts w:ascii="David" w:eastAsia="Calibri" w:hAnsi="David"/>
                <w:sz w:val="22"/>
                <w:szCs w:val="22"/>
              </w:rPr>
            </w:pPr>
            <w:r w:rsidRPr="001F2586">
              <w:rPr>
                <w:rFonts w:ascii="David" w:eastAsia="Calibri" w:hAnsi="David"/>
                <w:sz w:val="22"/>
                <w:szCs w:val="22"/>
                <w:rtl/>
              </w:rPr>
              <w:t>לרוב שיעור המימון הוא בטווח של 80%-90% משווי הנכס. לעיתים שיעור המימון הוא נמוך יותר בדירות להשקעה.</w:t>
            </w:r>
          </w:p>
          <w:p w:rsidR="001F2586" w:rsidRPr="001F2586" w:rsidP="001F2586">
            <w:pPr>
              <w:spacing w:line="269" w:lineRule="auto"/>
              <w:jc w:val="left"/>
              <w:rPr>
                <w:rFonts w:ascii="David" w:eastAsia="Calibri" w:hAnsi="David"/>
                <w:sz w:val="22"/>
                <w:szCs w:val="22"/>
                <w:rtl/>
              </w:rPr>
            </w:pPr>
          </w:p>
        </w:tc>
        <w:tc>
          <w:tcPr>
            <w:tcW w:w="1917" w:type="dxa"/>
          </w:tcPr>
          <w:p w:rsidR="001F2586" w:rsidRPr="001F2586" w:rsidP="001F2586">
            <w:pPr>
              <w:spacing w:line="269" w:lineRule="auto"/>
              <w:jc w:val="left"/>
              <w:rPr>
                <w:rFonts w:ascii="David" w:eastAsia="Calibri" w:hAnsi="David"/>
                <w:sz w:val="22"/>
                <w:szCs w:val="22"/>
                <w:rtl/>
              </w:rPr>
            </w:pP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יישום שמרני</w:t>
            </w:r>
          </w:p>
        </w:tc>
      </w:tr>
      <w:tr w:rsidTr="00EB64F7">
        <w:tblPrEx>
          <w:tblW w:w="8602" w:type="dxa"/>
          <w:tblInd w:w="431" w:type="dxa"/>
          <w:tblLook w:val="04A0"/>
        </w:tblPrEx>
        <w:trPr>
          <w:trHeight w:val="1806"/>
        </w:trPr>
        <w:tc>
          <w:tcPr>
            <w:tcW w:w="211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שיעור החזר חודשי מההכנסה הפנויה (</w:t>
            </w:r>
            <w:r w:rsidRPr="001F2586">
              <w:rPr>
                <w:rFonts w:ascii="David" w:eastAsia="Calibri" w:hAnsi="David"/>
                <w:sz w:val="22"/>
                <w:szCs w:val="22"/>
              </w:rPr>
              <w:t>PTI</w:t>
            </w:r>
            <w:r w:rsidRPr="001F2586">
              <w:rPr>
                <w:rFonts w:ascii="David" w:eastAsia="Calibri" w:hAnsi="David"/>
                <w:sz w:val="22"/>
                <w:szCs w:val="22"/>
                <w:rtl/>
              </w:rPr>
              <w:t>)</w:t>
            </w:r>
            <w:r w:rsidRPr="001F2586">
              <w:rPr>
                <w:rFonts w:ascii="David" w:eastAsia="Calibri" w:hAnsi="David"/>
                <w:sz w:val="22"/>
                <w:szCs w:val="22"/>
              </w:rPr>
              <w:t xml:space="preserve"> </w:t>
            </w:r>
          </w:p>
          <w:p w:rsidR="001F2586" w:rsidRPr="001F2586" w:rsidP="001F2586">
            <w:pPr>
              <w:spacing w:line="269" w:lineRule="auto"/>
              <w:jc w:val="left"/>
              <w:rPr>
                <w:rFonts w:ascii="David" w:eastAsia="Calibri" w:hAnsi="David"/>
                <w:sz w:val="22"/>
                <w:szCs w:val="22"/>
                <w:rtl/>
              </w:rPr>
            </w:pPr>
          </w:p>
        </w:tc>
        <w:tc>
          <w:tcPr>
            <w:tcW w:w="2531" w:type="dxa"/>
          </w:tcPr>
          <w:p w:rsidR="001F2586" w:rsidRPr="001F2586" w:rsidP="001F2586">
            <w:pPr>
              <w:autoSpaceDE w:val="0"/>
              <w:autoSpaceDN w:val="0"/>
              <w:bidi w:val="0"/>
              <w:adjustRightInd w:val="0"/>
              <w:spacing w:line="269" w:lineRule="auto"/>
              <w:jc w:val="left"/>
              <w:rPr>
                <w:rFonts w:ascii="David" w:eastAsia="CambriaMath" w:hAnsi="David"/>
                <w:b/>
                <w:bCs/>
                <w:color w:val="FFFFFF"/>
                <w:sz w:val="22"/>
                <w:szCs w:val="22"/>
              </w:rPr>
            </w:pPr>
            <w:r w:rsidRPr="001F2586">
              <w:rPr>
                <w:rFonts w:ascii="Cambria Math" w:eastAsia="CambriaMath" w:hAnsi="Cambria Math" w:cs="Cambria Math"/>
                <w:color w:val="000000"/>
                <w:sz w:val="22"/>
                <w:szCs w:val="22"/>
              </w:rPr>
              <w:t>𝑃𝑇𝐼</w:t>
            </w:r>
            <w:r w:rsidRPr="001F2586">
              <w:rPr>
                <w:rFonts w:ascii="Arial" w:eastAsia="CambriaMath" w:hAnsi="Arial" w:cs="Arial"/>
                <w:color w:val="000000"/>
                <w:sz w:val="22"/>
                <w:szCs w:val="22"/>
              </w:rPr>
              <w:t>≤</w:t>
            </w:r>
            <w:r w:rsidRPr="001F2586">
              <w:rPr>
                <w:rFonts w:ascii="David" w:eastAsia="CambriaMath" w:hAnsi="David"/>
                <w:color w:val="000000"/>
                <w:sz w:val="22"/>
                <w:szCs w:val="22"/>
              </w:rPr>
              <w:t>50%</w:t>
            </w:r>
            <w:r w:rsidRPr="001F2586">
              <w:rPr>
                <w:rFonts w:ascii="David" w:eastAsia="CambriaMath" w:hAnsi="David"/>
                <w:b/>
                <w:bCs/>
                <w:color w:val="FFFFFF"/>
                <w:sz w:val="22"/>
                <w:szCs w:val="22"/>
              </w:rPr>
              <w:t>5</w:t>
            </w:r>
          </w:p>
          <w:p w:rsidR="001F2586" w:rsidRPr="001F2586" w:rsidP="001F2586">
            <w:pPr>
              <w:autoSpaceDE w:val="0"/>
              <w:autoSpaceDN w:val="0"/>
              <w:bidi w:val="0"/>
              <w:adjustRightInd w:val="0"/>
              <w:spacing w:line="269" w:lineRule="auto"/>
              <w:jc w:val="left"/>
              <w:rPr>
                <w:rFonts w:ascii="David" w:eastAsia="CambriaMath" w:hAnsi="David"/>
                <w:color w:val="000000"/>
                <w:sz w:val="22"/>
                <w:szCs w:val="22"/>
              </w:rPr>
            </w:pPr>
          </w:p>
          <w:p w:rsidR="00260379" w:rsidP="001F2586">
            <w:pPr>
              <w:autoSpaceDE w:val="0"/>
              <w:autoSpaceDN w:val="0"/>
              <w:bidi w:val="0"/>
              <w:adjustRightInd w:val="0"/>
              <w:spacing w:line="269" w:lineRule="auto"/>
              <w:jc w:val="left"/>
              <w:rPr>
                <w:rFonts w:ascii="David" w:eastAsia="CambriaMath" w:hAnsi="David"/>
                <w:color w:val="000000"/>
                <w:sz w:val="22"/>
                <w:szCs w:val="22"/>
              </w:rPr>
            </w:pPr>
          </w:p>
          <w:p w:rsidR="001F2586" w:rsidRPr="001F2586" w:rsidP="001F2586">
            <w:pPr>
              <w:autoSpaceDE w:val="0"/>
              <w:autoSpaceDN w:val="0"/>
              <w:bidi w:val="0"/>
              <w:adjustRightInd w:val="0"/>
              <w:spacing w:line="269" w:lineRule="auto"/>
              <w:jc w:val="left"/>
              <w:rPr>
                <w:rFonts w:ascii="David" w:eastAsia="Calibri" w:hAnsi="David"/>
                <w:sz w:val="22"/>
                <w:szCs w:val="22"/>
              </w:rPr>
            </w:pPr>
            <w:r w:rsidRPr="001F2586">
              <w:rPr>
                <w:rFonts w:ascii="David" w:eastAsia="CambriaMath" w:hAnsi="David"/>
                <w:color w:val="000000"/>
                <w:sz w:val="22"/>
                <w:szCs w:val="22"/>
              </w:rPr>
              <w:t>- 40%&lt;</w:t>
            </w:r>
            <w:r w:rsidRPr="001F2586">
              <w:rPr>
                <w:rFonts w:ascii="Cambria Math" w:eastAsia="CambriaMath" w:hAnsi="Cambria Math" w:cs="Cambria Math"/>
                <w:color w:val="000000"/>
                <w:sz w:val="22"/>
                <w:szCs w:val="22"/>
              </w:rPr>
              <w:t>𝑃𝑇𝐼</w:t>
            </w:r>
            <w:r w:rsidRPr="001F2586">
              <w:rPr>
                <w:rFonts w:ascii="Arial" w:eastAsia="CambriaMath" w:hAnsi="Arial" w:cs="Arial"/>
                <w:color w:val="000000"/>
                <w:sz w:val="22"/>
                <w:szCs w:val="22"/>
              </w:rPr>
              <w:t>≤</w:t>
            </w:r>
            <w:r w:rsidRPr="001F2586">
              <w:rPr>
                <w:rFonts w:ascii="David" w:eastAsia="CambriaMath" w:hAnsi="David"/>
                <w:color w:val="000000"/>
                <w:sz w:val="22"/>
                <w:szCs w:val="22"/>
              </w:rPr>
              <w:t>50%</w:t>
            </w:r>
          </w:p>
          <w:p w:rsidR="001F2586" w:rsidRPr="001F2586" w:rsidP="001F2586">
            <w:pPr>
              <w:autoSpaceDE w:val="0"/>
              <w:autoSpaceDN w:val="0"/>
              <w:bidi w:val="0"/>
              <w:adjustRightInd w:val="0"/>
              <w:spacing w:line="269" w:lineRule="auto"/>
              <w:jc w:val="left"/>
              <w:rPr>
                <w:rFonts w:ascii="David" w:eastAsia="Calibri" w:hAnsi="David"/>
                <w:sz w:val="22"/>
                <w:szCs w:val="22"/>
                <w:rtl/>
              </w:rPr>
            </w:pPr>
            <w:r w:rsidRPr="001F2586">
              <w:rPr>
                <w:rFonts w:ascii="David" w:eastAsia="Calibri" w:hAnsi="David"/>
                <w:sz w:val="22"/>
                <w:szCs w:val="22"/>
                <w:rtl/>
              </w:rPr>
              <w:t>משקל סיכון של 100%</w:t>
            </w:r>
          </w:p>
        </w:tc>
        <w:tc>
          <w:tcPr>
            <w:tcW w:w="204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שיטות החישוב המקובלות הן אחרות:</w:t>
            </w: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Pr>
              <w:t>DSTI</w:t>
            </w:r>
            <w:r w:rsidRPr="001F2586">
              <w:rPr>
                <w:rFonts w:ascii="David" w:eastAsia="Calibri" w:hAnsi="David"/>
                <w:sz w:val="22"/>
                <w:szCs w:val="22"/>
                <w:rtl/>
              </w:rPr>
              <w:t xml:space="preserve"> (להלן - יחס שירות החוב להכנסה), </w:t>
            </w:r>
            <w:r w:rsidRPr="001F2586">
              <w:rPr>
                <w:rFonts w:ascii="David" w:eastAsia="Calibri" w:hAnsi="David"/>
                <w:sz w:val="22"/>
                <w:szCs w:val="22"/>
              </w:rPr>
              <w:t>DTI</w:t>
            </w:r>
            <w:r w:rsidRPr="001F2586">
              <w:rPr>
                <w:rFonts w:ascii="David" w:eastAsia="Calibri" w:hAnsi="David"/>
                <w:sz w:val="22"/>
                <w:szCs w:val="22"/>
                <w:rtl/>
              </w:rPr>
              <w:t xml:space="preserve"> ו-</w:t>
            </w:r>
            <w:r w:rsidRPr="001F2586">
              <w:rPr>
                <w:rFonts w:ascii="David" w:eastAsia="Calibri" w:hAnsi="David"/>
                <w:sz w:val="22"/>
                <w:szCs w:val="22"/>
              </w:rPr>
              <w:t>LTI</w:t>
            </w:r>
            <w:r w:rsidRPr="001F2586">
              <w:rPr>
                <w:rFonts w:ascii="David" w:eastAsia="Calibri" w:hAnsi="David"/>
                <w:sz w:val="22"/>
                <w:szCs w:val="22"/>
                <w:rtl/>
              </w:rPr>
              <w:t xml:space="preserve"> *</w:t>
            </w:r>
          </w:p>
        </w:tc>
        <w:tc>
          <w:tcPr>
            <w:tcW w:w="1917"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הסף דומה למקובל בעולם אך קשה לערוך השוואה בשל חישוב שונות.</w:t>
            </w: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עם זאת בישראל מתייחסים להלוואה ולא לנכס או ללווה, ולכן מקילים</w:t>
            </w:r>
            <w:r>
              <w:rPr>
                <w:rFonts w:ascii="David" w:eastAsia="Calibri" w:hAnsi="David"/>
                <w:sz w:val="22"/>
                <w:szCs w:val="22"/>
                <w:vertAlign w:val="superscript"/>
                <w:rtl/>
              </w:rPr>
              <w:footnoteReference w:id="83"/>
            </w:r>
          </w:p>
        </w:tc>
      </w:tr>
      <w:tr w:rsidTr="00EB64F7">
        <w:tblPrEx>
          <w:tblW w:w="8602" w:type="dxa"/>
          <w:tblInd w:w="431" w:type="dxa"/>
          <w:tblLook w:val="04A0"/>
        </w:tblPrEx>
        <w:trPr>
          <w:trHeight w:val="447"/>
        </w:trPr>
        <w:tc>
          <w:tcPr>
            <w:tcW w:w="211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תקופה לפירעון ההלוואה (</w:t>
            </w:r>
            <w:r w:rsidRPr="001F2586">
              <w:rPr>
                <w:rFonts w:ascii="David" w:eastAsia="Calibri" w:hAnsi="David"/>
                <w:sz w:val="22"/>
                <w:szCs w:val="22"/>
              </w:rPr>
              <w:t>Loan maturity</w:t>
            </w:r>
            <w:r w:rsidRPr="001F2586">
              <w:rPr>
                <w:rFonts w:ascii="David" w:eastAsia="Calibri" w:hAnsi="David"/>
                <w:sz w:val="22"/>
                <w:szCs w:val="22"/>
                <w:rtl/>
              </w:rPr>
              <w:t>)</w:t>
            </w:r>
          </w:p>
        </w:tc>
        <w:tc>
          <w:tcPr>
            <w:tcW w:w="2531" w:type="dxa"/>
          </w:tcPr>
          <w:p w:rsidR="001F2586" w:rsidRPr="001F2586" w:rsidP="001F2586">
            <w:pPr>
              <w:spacing w:line="269" w:lineRule="auto"/>
              <w:jc w:val="left"/>
              <w:rPr>
                <w:rFonts w:ascii="David" w:eastAsia="Calibri" w:hAnsi="David"/>
                <w:sz w:val="22"/>
                <w:szCs w:val="22"/>
                <w:rtl/>
              </w:rPr>
            </w:pPr>
          </w:p>
          <w:p w:rsidR="001F2586" w:rsidRPr="001F2586" w:rsidP="001F2586">
            <w:pPr>
              <w:spacing w:line="269" w:lineRule="auto"/>
              <w:jc w:val="left"/>
              <w:rPr>
                <w:rFonts w:ascii="David" w:eastAsia="Calibri" w:hAnsi="David"/>
                <w:sz w:val="22"/>
                <w:szCs w:val="22"/>
                <w:rtl/>
              </w:rPr>
            </w:pP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30 שנים</w:t>
            </w:r>
          </w:p>
        </w:tc>
        <w:tc>
          <w:tcPr>
            <w:tcW w:w="2042" w:type="dxa"/>
          </w:tcPr>
          <w:p w:rsidR="001F2586" w:rsidRPr="001F2586" w:rsidP="001F2586">
            <w:pPr>
              <w:numPr>
                <w:ilvl w:val="0"/>
                <w:numId w:val="18"/>
              </w:numPr>
              <w:spacing w:line="269" w:lineRule="auto"/>
              <w:ind w:left="220" w:hanging="220"/>
              <w:contextualSpacing/>
              <w:jc w:val="left"/>
              <w:rPr>
                <w:rFonts w:ascii="David" w:eastAsia="Calibri" w:hAnsi="David"/>
                <w:sz w:val="22"/>
                <w:szCs w:val="22"/>
              </w:rPr>
            </w:pPr>
            <w:r w:rsidRPr="001F2586">
              <w:rPr>
                <w:rFonts w:ascii="David" w:eastAsia="Calibri" w:hAnsi="David"/>
                <w:sz w:val="22"/>
                <w:szCs w:val="22"/>
                <w:rtl/>
              </w:rPr>
              <w:t xml:space="preserve">הטווח נע בין 25 </w:t>
            </w:r>
            <w:r w:rsidRPr="001F2586">
              <w:rPr>
                <w:rFonts w:ascii="David" w:eastAsia="Calibri" w:hAnsi="David"/>
                <w:sz w:val="22"/>
                <w:szCs w:val="22"/>
                <w:rtl/>
              </w:rPr>
              <w:br/>
              <w:t>ל-40 שנים.</w:t>
            </w:r>
          </w:p>
          <w:p w:rsidR="001F2586" w:rsidRPr="001F2586" w:rsidP="001F2586">
            <w:pPr>
              <w:numPr>
                <w:ilvl w:val="0"/>
                <w:numId w:val="18"/>
              </w:numPr>
              <w:spacing w:line="269" w:lineRule="auto"/>
              <w:ind w:left="220" w:hanging="220"/>
              <w:contextualSpacing/>
              <w:jc w:val="left"/>
              <w:rPr>
                <w:rFonts w:ascii="David" w:eastAsia="Calibri" w:hAnsi="David"/>
                <w:sz w:val="22"/>
                <w:szCs w:val="22"/>
              </w:rPr>
            </w:pPr>
            <w:r w:rsidRPr="001F2586">
              <w:rPr>
                <w:rFonts w:ascii="David" w:eastAsia="Calibri" w:hAnsi="David"/>
                <w:sz w:val="22"/>
                <w:szCs w:val="22"/>
                <w:rtl/>
              </w:rPr>
              <w:t xml:space="preserve">ברוב המדינות המגבלה עומדת על 30 שנים. </w:t>
            </w:r>
          </w:p>
          <w:p w:rsidR="001F2586" w:rsidRPr="001F2586" w:rsidP="001F2586">
            <w:pPr>
              <w:numPr>
                <w:ilvl w:val="0"/>
                <w:numId w:val="18"/>
              </w:numPr>
              <w:spacing w:line="269" w:lineRule="auto"/>
              <w:ind w:left="220" w:hanging="220"/>
              <w:contextualSpacing/>
              <w:jc w:val="left"/>
              <w:rPr>
                <w:rFonts w:ascii="David" w:eastAsia="Calibri" w:hAnsi="David"/>
                <w:sz w:val="22"/>
                <w:szCs w:val="22"/>
                <w:rtl/>
              </w:rPr>
            </w:pPr>
            <w:r w:rsidRPr="001F2586">
              <w:rPr>
                <w:rFonts w:ascii="David" w:eastAsia="Calibri" w:hAnsi="David"/>
                <w:sz w:val="22"/>
                <w:szCs w:val="22"/>
                <w:rtl/>
              </w:rPr>
              <w:t>יש מדינות בהן יש גמישות לחריגה.</w:t>
            </w:r>
          </w:p>
        </w:tc>
        <w:tc>
          <w:tcPr>
            <w:tcW w:w="1917" w:type="dxa"/>
          </w:tcPr>
          <w:p w:rsidR="001F2586" w:rsidRPr="001F2586" w:rsidP="001F2586">
            <w:pPr>
              <w:spacing w:line="269" w:lineRule="auto"/>
              <w:jc w:val="left"/>
              <w:rPr>
                <w:rFonts w:ascii="David" w:eastAsia="Calibri" w:hAnsi="David"/>
                <w:sz w:val="22"/>
                <w:szCs w:val="22"/>
                <w:rtl/>
              </w:rPr>
            </w:pPr>
          </w:p>
          <w:p w:rsidR="001F2586" w:rsidRPr="001F2586" w:rsidP="001F2586">
            <w:pPr>
              <w:spacing w:line="269" w:lineRule="auto"/>
              <w:jc w:val="left"/>
              <w:rPr>
                <w:rFonts w:ascii="David" w:eastAsia="Calibri" w:hAnsi="David"/>
                <w:sz w:val="22"/>
                <w:szCs w:val="22"/>
                <w:rtl/>
              </w:rPr>
            </w:pP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מיושם - דומה למקובל בעולם</w:t>
            </w:r>
          </w:p>
        </w:tc>
      </w:tr>
      <w:tr w:rsidTr="00EB64F7">
        <w:tblPrEx>
          <w:tblW w:w="8602" w:type="dxa"/>
          <w:tblInd w:w="431" w:type="dxa"/>
          <w:tblLook w:val="04A0"/>
        </w:tblPrEx>
        <w:trPr>
          <w:trHeight w:val="1504"/>
        </w:trPr>
        <w:tc>
          <w:tcPr>
            <w:tcW w:w="211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 xml:space="preserve">פירעון ההלוואה - מגבלה על שיעור החזר שנתי מסך ההלוואה </w:t>
            </w:r>
          </w:p>
        </w:tc>
        <w:tc>
          <w:tcPr>
            <w:tcW w:w="2531" w:type="dxa"/>
          </w:tcPr>
          <w:p w:rsidR="001F2586" w:rsidRPr="001F2586" w:rsidP="001F2586">
            <w:pPr>
              <w:spacing w:line="269" w:lineRule="auto"/>
              <w:jc w:val="left"/>
              <w:rPr>
                <w:rFonts w:ascii="David" w:eastAsia="Calibri" w:hAnsi="David"/>
                <w:sz w:val="22"/>
                <w:szCs w:val="22"/>
                <w:rtl/>
              </w:rPr>
            </w:pP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המגבלה לא מיושמת</w:t>
            </w:r>
          </w:p>
        </w:tc>
        <w:tc>
          <w:tcPr>
            <w:tcW w:w="2042" w:type="dxa"/>
          </w:tcPr>
          <w:p w:rsidR="001F2586" w:rsidRPr="001F2586" w:rsidP="001F2586">
            <w:pPr>
              <w:spacing w:line="269" w:lineRule="auto"/>
              <w:jc w:val="left"/>
              <w:rPr>
                <w:rFonts w:ascii="David" w:eastAsia="Calibri" w:hAnsi="David"/>
                <w:sz w:val="22"/>
                <w:szCs w:val="22"/>
                <w:rtl/>
              </w:rPr>
            </w:pPr>
          </w:p>
          <w:p w:rsidR="001F2586" w:rsidRPr="001F2586" w:rsidP="001F2586">
            <w:pPr>
              <w:numPr>
                <w:ilvl w:val="0"/>
                <w:numId w:val="18"/>
              </w:numPr>
              <w:spacing w:line="269" w:lineRule="auto"/>
              <w:ind w:left="220" w:hanging="220"/>
              <w:contextualSpacing/>
              <w:jc w:val="left"/>
              <w:rPr>
                <w:rFonts w:ascii="David" w:eastAsia="Calibri" w:hAnsi="David"/>
                <w:sz w:val="22"/>
                <w:szCs w:val="22"/>
              </w:rPr>
            </w:pPr>
            <w:r w:rsidRPr="001F2586">
              <w:rPr>
                <w:rFonts w:ascii="David" w:eastAsia="Calibri" w:hAnsi="David"/>
                <w:sz w:val="22"/>
                <w:szCs w:val="22"/>
                <w:rtl/>
              </w:rPr>
              <w:t>המגבלה מיושמת במעט מדינות</w:t>
            </w:r>
          </w:p>
          <w:p w:rsidR="001F2586" w:rsidRPr="001F2586" w:rsidP="001F2586">
            <w:pPr>
              <w:numPr>
                <w:ilvl w:val="0"/>
                <w:numId w:val="18"/>
              </w:numPr>
              <w:spacing w:line="269" w:lineRule="auto"/>
              <w:ind w:left="220" w:hanging="220"/>
              <w:contextualSpacing/>
              <w:jc w:val="left"/>
              <w:rPr>
                <w:rFonts w:ascii="David" w:eastAsia="Calibri" w:hAnsi="David"/>
                <w:sz w:val="22"/>
                <w:szCs w:val="22"/>
                <w:rtl/>
              </w:rPr>
            </w:pPr>
            <w:r w:rsidRPr="001F2586">
              <w:rPr>
                <w:rFonts w:ascii="David" w:eastAsia="Calibri" w:hAnsi="David"/>
                <w:sz w:val="22"/>
                <w:szCs w:val="22"/>
                <w:rtl/>
              </w:rPr>
              <w:t>לרוב שיעור הפירעון הוא 1% -2.5% הלוואות בסיכון</w:t>
            </w:r>
          </w:p>
        </w:tc>
        <w:tc>
          <w:tcPr>
            <w:tcW w:w="1917" w:type="dxa"/>
          </w:tcPr>
          <w:p w:rsidR="001F2586" w:rsidRPr="001F2586" w:rsidP="001F2586">
            <w:pPr>
              <w:spacing w:line="269" w:lineRule="auto"/>
              <w:jc w:val="left"/>
              <w:rPr>
                <w:rFonts w:ascii="David" w:eastAsia="Calibri" w:hAnsi="David"/>
                <w:sz w:val="22"/>
                <w:szCs w:val="22"/>
                <w:rtl/>
              </w:rPr>
            </w:pP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 xml:space="preserve">מגבלה לא מיושמת </w:t>
            </w:r>
          </w:p>
          <w:p w:rsidR="001F2586" w:rsidRPr="001F2586" w:rsidP="001F2586">
            <w:pPr>
              <w:spacing w:line="269" w:lineRule="auto"/>
              <w:jc w:val="left"/>
              <w:rPr>
                <w:rFonts w:ascii="David" w:eastAsia="Calibri" w:hAnsi="David"/>
                <w:sz w:val="22"/>
                <w:szCs w:val="22"/>
                <w:rtl/>
              </w:rPr>
            </w:pPr>
          </w:p>
        </w:tc>
      </w:tr>
      <w:tr w:rsidTr="00EB64F7">
        <w:tblPrEx>
          <w:tblW w:w="8602" w:type="dxa"/>
          <w:tblInd w:w="431" w:type="dxa"/>
          <w:tblLook w:val="04A0"/>
        </w:tblPrEx>
        <w:trPr>
          <w:trHeight w:val="1198"/>
        </w:trPr>
        <w:tc>
          <w:tcPr>
            <w:tcW w:w="211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תמהיל ההלוואה - הגבלת שיעור ההלוואה בריבית משתנה</w:t>
            </w:r>
          </w:p>
        </w:tc>
        <w:tc>
          <w:tcPr>
            <w:tcW w:w="2531"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חלקה הכולל של הלוואה בריבית משתנה הוא עד 66.66% מסכום ההלוואה הכולל</w:t>
            </w:r>
          </w:p>
        </w:tc>
        <w:tc>
          <w:tcPr>
            <w:tcW w:w="204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המגבלה הזו לא נהוגה במדינות אחרות בעולם</w:t>
            </w:r>
          </w:p>
        </w:tc>
        <w:tc>
          <w:tcPr>
            <w:tcW w:w="1917"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יישום שמרני</w:t>
            </w:r>
          </w:p>
        </w:tc>
      </w:tr>
      <w:tr w:rsidTr="00EB64F7">
        <w:tblPrEx>
          <w:tblW w:w="8602" w:type="dxa"/>
          <w:tblInd w:w="431" w:type="dxa"/>
          <w:tblLook w:val="04A0"/>
        </w:tblPrEx>
        <w:trPr>
          <w:trHeight w:val="598"/>
        </w:trPr>
        <w:tc>
          <w:tcPr>
            <w:tcW w:w="211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 xml:space="preserve">הגבלת היקף אשראי מסוכן </w:t>
            </w:r>
          </w:p>
        </w:tc>
        <w:tc>
          <w:tcPr>
            <w:tcW w:w="2531"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שיעור הביצועים בהלוואות בולט או בלון בסבסוד קבלן לא יעלה על 10% מסך הביצועים החודשיים בגין הלוואות למטרת מגורים**</w:t>
            </w:r>
          </w:p>
        </w:tc>
        <w:tc>
          <w:tcPr>
            <w:tcW w:w="204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הגבלת ביצועים של הלוואות בסיכון (שיעור מימון ויחס החזר) כשיעור מסך הביצועים</w:t>
            </w:r>
          </w:p>
        </w:tc>
        <w:tc>
          <w:tcPr>
            <w:tcW w:w="1917"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מיושם</w:t>
            </w:r>
          </w:p>
        </w:tc>
      </w:tr>
    </w:tbl>
    <w:p w:rsidR="001F2586" w:rsidRPr="001F2586" w:rsidP="001F2586">
      <w:pPr>
        <w:spacing w:line="269" w:lineRule="auto"/>
        <w:rPr>
          <w:rFonts w:ascii="David" w:eastAsia="Calibri" w:hAnsi="David"/>
          <w:szCs w:val="20"/>
          <w:rtl/>
        </w:rPr>
      </w:pPr>
      <w:r w:rsidRPr="001F2586">
        <w:rPr>
          <w:rFonts w:ascii="David" w:eastAsia="Calibri" w:hAnsi="David"/>
          <w:szCs w:val="20"/>
          <w:rtl/>
        </w:rPr>
        <w:t xml:space="preserve">על פי נתוני בנק ישראל, בעיבוד משרד מבקר המדינה. </w:t>
      </w:r>
    </w:p>
    <w:p w:rsidR="001F2586" w:rsidRPr="001F2586" w:rsidP="001F2586">
      <w:pPr>
        <w:spacing w:line="269" w:lineRule="auto"/>
        <w:rPr>
          <w:rFonts w:ascii="David" w:eastAsia="Calibri" w:hAnsi="David"/>
          <w:szCs w:val="20"/>
          <w:rtl/>
        </w:rPr>
      </w:pPr>
      <w:r w:rsidRPr="001F2586">
        <w:rPr>
          <w:rFonts w:ascii="David" w:eastAsia="Calibri" w:hAnsi="David"/>
          <w:szCs w:val="20"/>
          <w:rtl/>
        </w:rPr>
        <w:t>*</w:t>
      </w:r>
      <w:r w:rsidRPr="001F2586">
        <w:rPr>
          <w:rFonts w:ascii="David" w:eastAsia="Calibri" w:hAnsi="David"/>
          <w:szCs w:val="20"/>
        </w:rPr>
        <w:t xml:space="preserve"> </w:t>
      </w:r>
      <w:r w:rsidRPr="001F2586">
        <w:rPr>
          <w:rFonts w:ascii="David" w:eastAsia="Calibri" w:hAnsi="David"/>
          <w:szCs w:val="20"/>
          <w:rtl/>
        </w:rPr>
        <w:t xml:space="preserve">שיטות החישוב המקובלות בעולם לשיעור החזר מהכנסה הן: </w:t>
      </w:r>
      <w:r w:rsidRPr="001F2586">
        <w:rPr>
          <w:rFonts w:ascii="David" w:eastAsia="Calibri" w:hAnsi="David"/>
          <w:szCs w:val="20"/>
        </w:rPr>
        <w:t xml:space="preserve">DSTI (Debt Service To income) </w:t>
      </w:r>
      <w:r w:rsidRPr="001F2586">
        <w:rPr>
          <w:rFonts w:ascii="David" w:eastAsia="Calibri" w:hAnsi="David"/>
          <w:szCs w:val="20"/>
          <w:rtl/>
        </w:rPr>
        <w:t>-</w:t>
      </w:r>
      <w:r w:rsidRPr="001F2586">
        <w:rPr>
          <w:rFonts w:ascii="David" w:eastAsia="Calibri" w:hAnsi="David"/>
          <w:szCs w:val="20"/>
        </w:rPr>
        <w:t xml:space="preserve"> </w:t>
      </w:r>
      <w:r w:rsidRPr="001F2586">
        <w:rPr>
          <w:rFonts w:ascii="David" w:eastAsia="Calibri" w:hAnsi="David"/>
          <w:szCs w:val="20"/>
          <w:rtl/>
        </w:rPr>
        <w:t xml:space="preserve">היחס בין סך כל תשלומי החובות החודשיים של הלווה לבין ההכנסה החודשית שלו העומדת לרוב על 40%- 50% ומיושמת ברוב המדינות; </w:t>
      </w:r>
      <w:r w:rsidRPr="001F2586">
        <w:rPr>
          <w:rFonts w:ascii="David" w:eastAsia="Calibri" w:hAnsi="David"/>
          <w:szCs w:val="20"/>
        </w:rPr>
        <w:t>DTI</w:t>
      </w:r>
      <w:r w:rsidRPr="001F2586">
        <w:rPr>
          <w:rFonts w:ascii="David" w:eastAsia="Calibri" w:hAnsi="David"/>
          <w:szCs w:val="20"/>
          <w:rtl/>
        </w:rPr>
        <w:t xml:space="preserve"> (</w:t>
      </w:r>
      <w:r w:rsidRPr="001F2586">
        <w:rPr>
          <w:rFonts w:ascii="David" w:eastAsia="Calibri" w:hAnsi="David"/>
          <w:szCs w:val="20"/>
        </w:rPr>
        <w:t>Debt to income</w:t>
      </w:r>
      <w:r w:rsidRPr="001F2586">
        <w:rPr>
          <w:rFonts w:ascii="David" w:eastAsia="Calibri" w:hAnsi="David"/>
          <w:szCs w:val="20"/>
          <w:rtl/>
        </w:rPr>
        <w:t>)</w:t>
      </w:r>
      <w:r w:rsidRPr="001F2586">
        <w:rPr>
          <w:rFonts w:ascii="David" w:eastAsia="Calibri" w:hAnsi="David"/>
          <w:szCs w:val="20"/>
        </w:rPr>
        <w:t xml:space="preserve"> </w:t>
      </w:r>
      <w:r w:rsidRPr="001F2586">
        <w:rPr>
          <w:rFonts w:ascii="David" w:eastAsia="Calibri" w:hAnsi="David"/>
          <w:szCs w:val="20"/>
          <w:rtl/>
        </w:rPr>
        <w:t xml:space="preserve">-היחס בין סך ההתחייבויות הפיננסיות לבין ההכנסה השנתית לא יעלה על פי 5 עד 8. </w:t>
      </w:r>
      <w:r w:rsidRPr="001F2586">
        <w:rPr>
          <w:rFonts w:ascii="David" w:eastAsia="Calibri" w:hAnsi="David"/>
          <w:szCs w:val="20"/>
        </w:rPr>
        <w:t>LTI</w:t>
      </w:r>
      <w:r w:rsidRPr="001F2586">
        <w:rPr>
          <w:rFonts w:ascii="David" w:eastAsia="Calibri" w:hAnsi="David"/>
          <w:szCs w:val="20"/>
          <w:rtl/>
        </w:rPr>
        <w:t xml:space="preserve"> (</w:t>
      </w:r>
      <w:r w:rsidRPr="001F2586">
        <w:rPr>
          <w:rFonts w:ascii="David" w:eastAsia="Calibri" w:hAnsi="David"/>
          <w:szCs w:val="20"/>
        </w:rPr>
        <w:t>Loan to income</w:t>
      </w:r>
      <w:r w:rsidRPr="001F2586">
        <w:rPr>
          <w:rFonts w:ascii="David" w:eastAsia="Calibri" w:hAnsi="David"/>
          <w:szCs w:val="20"/>
          <w:rtl/>
        </w:rPr>
        <w:t>) - היחס בין סכום ההלוואה ובין ההכנסה השנתית לא עולה על פי 4</w:t>
      </w:r>
      <w:r w:rsidRPr="001F2586">
        <w:rPr>
          <w:rFonts w:ascii="David" w:eastAsia="Calibri" w:hAnsi="David" w:hint="cs"/>
          <w:szCs w:val="20"/>
          <w:rtl/>
        </w:rPr>
        <w:t xml:space="preserve"> </w:t>
      </w:r>
      <w:r w:rsidRPr="001F2586">
        <w:rPr>
          <w:rFonts w:ascii="David" w:eastAsia="Calibri" w:hAnsi="David"/>
          <w:szCs w:val="20"/>
          <w:rtl/>
        </w:rPr>
        <w:t xml:space="preserve">- 5. </w:t>
      </w:r>
    </w:p>
    <w:p w:rsidR="001F2586" w:rsidRPr="001F2586" w:rsidP="001F2586">
      <w:pPr>
        <w:spacing w:line="269" w:lineRule="auto"/>
        <w:rPr>
          <w:rFonts w:ascii="David" w:eastAsia="Calibri" w:hAnsi="David"/>
          <w:szCs w:val="20"/>
          <w:rtl/>
        </w:rPr>
      </w:pPr>
      <w:r w:rsidRPr="001F2586">
        <w:rPr>
          <w:rFonts w:ascii="David" w:eastAsia="Calibri" w:hAnsi="David"/>
          <w:szCs w:val="20"/>
          <w:rtl/>
        </w:rPr>
        <w:t>**</w:t>
      </w:r>
      <w:r w:rsidRPr="001F2586">
        <w:rPr>
          <w:rFonts w:ascii="David" w:eastAsia="Calibri" w:hAnsi="David" w:hint="cs"/>
          <w:szCs w:val="20"/>
          <w:rtl/>
        </w:rPr>
        <w:t xml:space="preserve"> </w:t>
      </w:r>
      <w:r w:rsidRPr="001F2586">
        <w:rPr>
          <w:rFonts w:ascii="David" w:eastAsia="Calibri" w:hAnsi="David"/>
          <w:szCs w:val="20"/>
          <w:rtl/>
        </w:rPr>
        <w:t xml:space="preserve">המגבלה נקבעה באפריל 2025 </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ind w:left="717" w:hanging="360"/>
        <w:jc w:val="center"/>
        <w:outlineLvl w:val="4"/>
        <w:rPr>
          <w:rFonts w:eastAsia="Calibri"/>
          <w:sz w:val="24"/>
          <w:rtl/>
        </w:rPr>
      </w:pPr>
      <w:r w:rsidRPr="001F2586">
        <w:rPr>
          <w:rFonts w:eastAsia="Calibri" w:hint="eastAsia"/>
          <w:b/>
          <w:sz w:val="24"/>
          <w:rtl/>
        </w:rPr>
        <w:t>לוח</w:t>
      </w:r>
      <w:r w:rsidRPr="001F2586">
        <w:rPr>
          <w:rFonts w:eastAsia="Calibri"/>
          <w:b/>
          <w:sz w:val="24"/>
          <w:rtl/>
        </w:rPr>
        <w:t xml:space="preserve"> </w:t>
      </w:r>
      <w:r w:rsidRPr="001F2586">
        <w:rPr>
          <w:rFonts w:eastAsia="Calibri" w:hint="cs"/>
          <w:b/>
          <w:sz w:val="24"/>
          <w:rtl/>
        </w:rPr>
        <w:t>3</w:t>
      </w:r>
      <w:r w:rsidRPr="001F2586">
        <w:rPr>
          <w:rFonts w:eastAsia="Calibri"/>
          <w:b/>
          <w:sz w:val="24"/>
          <w:rtl/>
        </w:rPr>
        <w:t>:</w:t>
      </w:r>
      <w:r w:rsidRPr="001F2586">
        <w:rPr>
          <w:rFonts w:eastAsia="Calibri"/>
          <w:bCs/>
          <w:sz w:val="24"/>
          <w:rtl/>
        </w:rPr>
        <w:t xml:space="preserve"> צעדים מבוססי הון עבור המערכת הבנקאית בשוק המשכנתאות בישראל </w:t>
      </w:r>
      <w:r w:rsidRPr="001F2586">
        <w:rPr>
          <w:rFonts w:eastAsia="Calibri" w:hint="cs"/>
          <w:bCs/>
          <w:sz w:val="24"/>
          <w:rtl/>
        </w:rPr>
        <w:t xml:space="preserve">לעומת </w:t>
      </w:r>
      <w:r w:rsidRPr="001F2586">
        <w:rPr>
          <w:rFonts w:eastAsia="Calibri" w:hint="eastAsia"/>
          <w:bCs/>
          <w:sz w:val="24"/>
          <w:rtl/>
        </w:rPr>
        <w:t>מדינות</w:t>
      </w:r>
      <w:r w:rsidRPr="001F2586">
        <w:rPr>
          <w:rFonts w:eastAsia="Calibri"/>
          <w:bCs/>
          <w:sz w:val="24"/>
          <w:rtl/>
        </w:rPr>
        <w:t xml:space="preserve"> </w:t>
      </w:r>
      <w:r w:rsidRPr="001F2586">
        <w:rPr>
          <w:rFonts w:eastAsia="Calibri" w:hint="eastAsia"/>
          <w:bCs/>
          <w:sz w:val="24"/>
          <w:rtl/>
        </w:rPr>
        <w:t>בעולם</w:t>
      </w:r>
    </w:p>
    <w:tbl>
      <w:tblPr>
        <w:tblStyle w:val="TableGrid"/>
        <w:bidiVisual/>
        <w:tblW w:w="8214" w:type="dxa"/>
        <w:jc w:val="center"/>
        <w:tblLook w:val="04A0"/>
      </w:tblPr>
      <w:tblGrid>
        <w:gridCol w:w="1694"/>
        <w:gridCol w:w="2410"/>
        <w:gridCol w:w="2129"/>
        <w:gridCol w:w="1981"/>
      </w:tblGrid>
      <w:tr w:rsidTr="00EB64F7">
        <w:tblPrEx>
          <w:tblW w:w="8214" w:type="dxa"/>
          <w:tblLook w:val="04A0"/>
        </w:tblPrEx>
        <w:trPr>
          <w:trHeight w:val="905"/>
        </w:trPr>
        <w:tc>
          <w:tcPr>
            <w:tcW w:w="1694" w:type="dxa"/>
          </w:tcPr>
          <w:p w:rsidR="001F2586" w:rsidRPr="001F2586" w:rsidP="001F2586">
            <w:pPr>
              <w:spacing w:line="269" w:lineRule="auto"/>
              <w:jc w:val="center"/>
              <w:rPr>
                <w:rFonts w:eastAsia="Calibri"/>
                <w:sz w:val="18"/>
                <w:szCs w:val="22"/>
                <w:rtl/>
              </w:rPr>
            </w:pPr>
            <w:r w:rsidRPr="001F2586">
              <w:rPr>
                <w:rFonts w:eastAsia="Calibri" w:hint="eastAsia"/>
                <w:b/>
                <w:bCs/>
                <w:sz w:val="18"/>
                <w:szCs w:val="22"/>
                <w:rtl/>
              </w:rPr>
              <w:t>דרישות</w:t>
            </w:r>
            <w:r w:rsidRPr="001F2586">
              <w:rPr>
                <w:rFonts w:eastAsia="Calibri"/>
                <w:b/>
                <w:bCs/>
                <w:sz w:val="18"/>
                <w:szCs w:val="22"/>
                <w:rtl/>
              </w:rPr>
              <w:t xml:space="preserve"> </w:t>
            </w:r>
            <w:r w:rsidRPr="001F2586">
              <w:rPr>
                <w:rFonts w:eastAsia="Calibri" w:hint="eastAsia"/>
                <w:b/>
                <w:bCs/>
                <w:sz w:val="18"/>
                <w:szCs w:val="22"/>
                <w:rtl/>
              </w:rPr>
              <w:t>ההון</w:t>
            </w:r>
          </w:p>
        </w:tc>
        <w:tc>
          <w:tcPr>
            <w:tcW w:w="2410" w:type="dxa"/>
          </w:tcPr>
          <w:p w:rsidR="001F2586" w:rsidRPr="001F2586" w:rsidP="001F2586">
            <w:pPr>
              <w:spacing w:line="269" w:lineRule="auto"/>
              <w:jc w:val="center"/>
              <w:rPr>
                <w:rFonts w:eastAsia="Calibri"/>
                <w:sz w:val="18"/>
                <w:szCs w:val="22"/>
                <w:rtl/>
              </w:rPr>
            </w:pPr>
            <w:r w:rsidRPr="001F2586">
              <w:rPr>
                <w:rFonts w:eastAsia="Calibri" w:hint="eastAsia"/>
                <w:b/>
                <w:bCs/>
                <w:sz w:val="18"/>
                <w:szCs w:val="22"/>
                <w:rtl/>
              </w:rPr>
              <w:t>דרישות</w:t>
            </w:r>
            <w:r w:rsidRPr="001F2586">
              <w:rPr>
                <w:rFonts w:eastAsia="Calibri"/>
                <w:b/>
                <w:bCs/>
                <w:sz w:val="18"/>
                <w:szCs w:val="22"/>
                <w:rtl/>
              </w:rPr>
              <w:t xml:space="preserve"> </w:t>
            </w:r>
            <w:r w:rsidRPr="001F2586">
              <w:rPr>
                <w:rFonts w:eastAsia="Calibri" w:hint="eastAsia"/>
                <w:b/>
                <w:bCs/>
                <w:sz w:val="18"/>
                <w:szCs w:val="22"/>
                <w:rtl/>
              </w:rPr>
              <w:t>ההון</w:t>
            </w:r>
            <w:r w:rsidRPr="001F2586">
              <w:rPr>
                <w:rFonts w:eastAsia="Calibri"/>
                <w:b/>
                <w:bCs/>
                <w:sz w:val="18"/>
                <w:szCs w:val="22"/>
                <w:rtl/>
              </w:rPr>
              <w:t xml:space="preserve"> </w:t>
            </w:r>
            <w:r w:rsidRPr="001F2586">
              <w:rPr>
                <w:rFonts w:eastAsia="Calibri" w:hint="eastAsia"/>
                <w:b/>
                <w:bCs/>
                <w:sz w:val="18"/>
                <w:szCs w:val="22"/>
                <w:rtl/>
              </w:rPr>
              <w:t>בישראל</w:t>
            </w:r>
          </w:p>
        </w:tc>
        <w:tc>
          <w:tcPr>
            <w:tcW w:w="2129" w:type="dxa"/>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דרישות</w:t>
            </w:r>
            <w:r w:rsidRPr="001F2586">
              <w:rPr>
                <w:rFonts w:eastAsia="Calibri"/>
                <w:b/>
                <w:bCs/>
                <w:sz w:val="18"/>
                <w:szCs w:val="22"/>
                <w:rtl/>
              </w:rPr>
              <w:t xml:space="preserve"> </w:t>
            </w:r>
            <w:r w:rsidRPr="001F2586">
              <w:rPr>
                <w:rFonts w:eastAsia="Calibri" w:hint="eastAsia"/>
                <w:b/>
                <w:bCs/>
                <w:sz w:val="18"/>
                <w:szCs w:val="22"/>
                <w:rtl/>
              </w:rPr>
              <w:t>ההון</w:t>
            </w:r>
            <w:r w:rsidRPr="001F2586">
              <w:rPr>
                <w:rFonts w:eastAsia="Calibri"/>
                <w:b/>
                <w:bCs/>
                <w:sz w:val="18"/>
                <w:szCs w:val="22"/>
                <w:rtl/>
              </w:rPr>
              <w:t xml:space="preserve"> </w:t>
            </w:r>
            <w:r w:rsidRPr="001F2586">
              <w:rPr>
                <w:rFonts w:eastAsia="Calibri" w:hint="eastAsia"/>
                <w:b/>
                <w:bCs/>
                <w:sz w:val="18"/>
                <w:szCs w:val="22"/>
                <w:rtl/>
              </w:rPr>
              <w:t>במדינות</w:t>
            </w:r>
            <w:r w:rsidRPr="001F2586">
              <w:rPr>
                <w:rFonts w:eastAsia="Calibri"/>
                <w:b/>
                <w:bCs/>
                <w:sz w:val="18"/>
                <w:szCs w:val="22"/>
                <w:rtl/>
              </w:rPr>
              <w:t xml:space="preserve"> </w:t>
            </w:r>
            <w:r w:rsidRPr="001F2586">
              <w:rPr>
                <w:rFonts w:eastAsia="Calibri" w:hint="eastAsia"/>
                <w:b/>
                <w:bCs/>
                <w:sz w:val="18"/>
                <w:szCs w:val="22"/>
                <w:rtl/>
              </w:rPr>
              <w:t>בעולם</w:t>
            </w:r>
          </w:p>
        </w:tc>
        <w:tc>
          <w:tcPr>
            <w:tcW w:w="1981" w:type="dxa"/>
          </w:tcPr>
          <w:p w:rsidR="001F2586" w:rsidRPr="001F2586" w:rsidP="001F2586">
            <w:pPr>
              <w:spacing w:line="269" w:lineRule="auto"/>
              <w:jc w:val="center"/>
              <w:rPr>
                <w:rFonts w:eastAsia="Calibri"/>
                <w:sz w:val="18"/>
                <w:szCs w:val="22"/>
                <w:rtl/>
              </w:rPr>
            </w:pPr>
            <w:r w:rsidRPr="001F2586">
              <w:rPr>
                <w:rFonts w:eastAsia="Calibri" w:hint="eastAsia"/>
                <w:b/>
                <w:bCs/>
                <w:sz w:val="18"/>
                <w:szCs w:val="22"/>
                <w:rtl/>
              </w:rPr>
              <w:t>אופן</w:t>
            </w:r>
            <w:r w:rsidRPr="001F2586">
              <w:rPr>
                <w:rFonts w:eastAsia="Calibri"/>
                <w:b/>
                <w:bCs/>
                <w:sz w:val="18"/>
                <w:szCs w:val="22"/>
                <w:rtl/>
              </w:rPr>
              <w:t xml:space="preserve"> </w:t>
            </w:r>
            <w:r w:rsidRPr="001F2586">
              <w:rPr>
                <w:rFonts w:eastAsia="Calibri" w:hint="eastAsia"/>
                <w:b/>
                <w:bCs/>
                <w:sz w:val="18"/>
                <w:szCs w:val="22"/>
                <w:rtl/>
              </w:rPr>
              <w:t>יישום</w:t>
            </w:r>
            <w:r w:rsidRPr="001F2586">
              <w:rPr>
                <w:rFonts w:eastAsia="Calibri"/>
                <w:b/>
                <w:bCs/>
                <w:sz w:val="18"/>
                <w:szCs w:val="22"/>
                <w:rtl/>
              </w:rPr>
              <w:t xml:space="preserve"> </w:t>
            </w:r>
            <w:r w:rsidRPr="001F2586">
              <w:rPr>
                <w:rFonts w:eastAsia="Calibri" w:hint="eastAsia"/>
                <w:b/>
                <w:bCs/>
                <w:sz w:val="18"/>
                <w:szCs w:val="22"/>
                <w:rtl/>
              </w:rPr>
              <w:t>דרישת</w:t>
            </w:r>
            <w:r w:rsidRPr="001F2586">
              <w:rPr>
                <w:rFonts w:eastAsia="Calibri"/>
                <w:b/>
                <w:bCs/>
                <w:sz w:val="18"/>
                <w:szCs w:val="22"/>
                <w:rtl/>
              </w:rPr>
              <w:t xml:space="preserve"> </w:t>
            </w:r>
            <w:r w:rsidRPr="001F2586">
              <w:rPr>
                <w:rFonts w:eastAsia="Calibri" w:hint="eastAsia"/>
                <w:b/>
                <w:bCs/>
                <w:sz w:val="18"/>
                <w:szCs w:val="22"/>
                <w:rtl/>
              </w:rPr>
              <w:t>ההון</w:t>
            </w:r>
            <w:r w:rsidRPr="001F2586">
              <w:rPr>
                <w:rFonts w:eastAsia="Calibri"/>
                <w:b/>
                <w:bCs/>
                <w:sz w:val="18"/>
                <w:szCs w:val="22"/>
                <w:rtl/>
              </w:rPr>
              <w:t xml:space="preserve"> </w:t>
            </w:r>
            <w:r w:rsidRPr="001F2586">
              <w:rPr>
                <w:rFonts w:eastAsia="Calibri" w:hint="eastAsia"/>
                <w:b/>
                <w:bCs/>
                <w:sz w:val="18"/>
                <w:szCs w:val="22"/>
                <w:rtl/>
              </w:rPr>
              <w:t>על</w:t>
            </w:r>
            <w:r w:rsidRPr="001F2586">
              <w:rPr>
                <w:rFonts w:eastAsia="Calibri"/>
                <w:b/>
                <w:bCs/>
                <w:sz w:val="18"/>
                <w:szCs w:val="22"/>
                <w:rtl/>
              </w:rPr>
              <w:t xml:space="preserve"> </w:t>
            </w:r>
            <w:r w:rsidRPr="001F2586">
              <w:rPr>
                <w:rFonts w:eastAsia="Calibri" w:hint="eastAsia"/>
                <w:b/>
                <w:bCs/>
                <w:sz w:val="18"/>
                <w:szCs w:val="22"/>
                <w:rtl/>
              </w:rPr>
              <w:t>ידי</w:t>
            </w:r>
            <w:r w:rsidRPr="001F2586">
              <w:rPr>
                <w:rFonts w:eastAsia="Calibri"/>
                <w:b/>
                <w:bCs/>
                <w:sz w:val="18"/>
                <w:szCs w:val="22"/>
                <w:rtl/>
              </w:rPr>
              <w:t xml:space="preserve"> </w:t>
            </w:r>
            <w:r w:rsidRPr="001F2586">
              <w:rPr>
                <w:rFonts w:eastAsia="Calibri" w:hint="eastAsia"/>
                <w:b/>
                <w:bCs/>
                <w:sz w:val="18"/>
                <w:szCs w:val="22"/>
                <w:rtl/>
              </w:rPr>
              <w:t>הפיקוח</w:t>
            </w:r>
            <w:r w:rsidRPr="001F2586">
              <w:rPr>
                <w:rFonts w:eastAsia="Calibri"/>
                <w:b/>
                <w:bCs/>
                <w:sz w:val="18"/>
                <w:szCs w:val="22"/>
                <w:rtl/>
              </w:rPr>
              <w:t xml:space="preserve"> </w:t>
            </w:r>
            <w:r w:rsidRPr="001F2586">
              <w:rPr>
                <w:rFonts w:eastAsia="Calibri" w:hint="eastAsia"/>
                <w:b/>
                <w:bCs/>
                <w:sz w:val="18"/>
                <w:szCs w:val="22"/>
                <w:rtl/>
              </w:rPr>
              <w:t>על</w:t>
            </w:r>
            <w:r w:rsidRPr="001F2586">
              <w:rPr>
                <w:rFonts w:eastAsia="Calibri"/>
                <w:b/>
                <w:bCs/>
                <w:sz w:val="18"/>
                <w:szCs w:val="22"/>
                <w:rtl/>
              </w:rPr>
              <w:t xml:space="preserve"> </w:t>
            </w:r>
            <w:r w:rsidRPr="001F2586">
              <w:rPr>
                <w:rFonts w:eastAsia="Calibri" w:hint="eastAsia"/>
                <w:b/>
                <w:bCs/>
                <w:sz w:val="18"/>
                <w:szCs w:val="22"/>
                <w:rtl/>
              </w:rPr>
              <w:t>הבנקים</w:t>
            </w:r>
            <w:r w:rsidRPr="001F2586">
              <w:rPr>
                <w:rFonts w:eastAsia="Calibri"/>
                <w:sz w:val="18"/>
                <w:szCs w:val="22"/>
                <w:rtl/>
              </w:rPr>
              <w:t xml:space="preserve"> </w:t>
            </w:r>
            <w:r w:rsidRPr="001F2586">
              <w:rPr>
                <w:rFonts w:eastAsia="Calibri" w:hint="eastAsia"/>
                <w:b/>
                <w:bCs/>
                <w:sz w:val="18"/>
                <w:szCs w:val="22"/>
                <w:rtl/>
              </w:rPr>
              <w:t>בישראל</w:t>
            </w:r>
          </w:p>
        </w:tc>
      </w:tr>
      <w:tr w:rsidTr="00EB64F7">
        <w:tblPrEx>
          <w:tblW w:w="8214" w:type="dxa"/>
          <w:tblLook w:val="04A0"/>
        </w:tblPrEx>
        <w:trPr>
          <w:trHeight w:val="598"/>
        </w:trPr>
        <w:tc>
          <w:tcPr>
            <w:tcW w:w="169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התאמת משקלי סיכון (</w:t>
            </w:r>
            <w:r w:rsidRPr="001F2586">
              <w:rPr>
                <w:rFonts w:ascii="David" w:eastAsia="Calibri" w:hAnsi="David"/>
                <w:sz w:val="22"/>
                <w:szCs w:val="22"/>
              </w:rPr>
              <w:t>RWA</w:t>
            </w:r>
            <w:r w:rsidRPr="001F2586">
              <w:rPr>
                <w:rFonts w:ascii="David" w:eastAsia="Calibri" w:hAnsi="David"/>
                <w:sz w:val="22"/>
                <w:szCs w:val="22"/>
                <w:rtl/>
              </w:rPr>
              <w:t>)</w:t>
            </w:r>
          </w:p>
        </w:tc>
        <w:tc>
          <w:tcPr>
            <w:tcW w:w="2410"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Pr>
              <w:t xml:space="preserve">LTV </w:t>
            </w:r>
            <w:r w:rsidRPr="001F2586">
              <w:rPr>
                <w:rFonts w:ascii="Arial" w:eastAsia="Calibri" w:hAnsi="Arial" w:cs="Arial"/>
                <w:sz w:val="22"/>
                <w:szCs w:val="22"/>
              </w:rPr>
              <w:t>≤</w:t>
            </w:r>
            <w:r w:rsidRPr="001F2586">
              <w:rPr>
                <w:rFonts w:ascii="David" w:eastAsia="Calibri" w:hAnsi="David"/>
                <w:sz w:val="22"/>
                <w:szCs w:val="22"/>
              </w:rPr>
              <w:t xml:space="preserve"> 45%</w:t>
            </w:r>
            <w:r w:rsidRPr="001F2586">
              <w:rPr>
                <w:rFonts w:ascii="David" w:eastAsia="Calibri" w:hAnsi="David"/>
                <w:sz w:val="22"/>
                <w:szCs w:val="22"/>
                <w:rtl/>
              </w:rPr>
              <w:t xml:space="preserve"> - 35%</w:t>
            </w: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Pr>
              <w:t xml:space="preserve">LTV </w:t>
            </w:r>
            <w:r w:rsidRPr="001F2586">
              <w:rPr>
                <w:rFonts w:ascii="Arial" w:eastAsia="Calibri" w:hAnsi="Arial" w:cs="Arial"/>
                <w:sz w:val="22"/>
                <w:szCs w:val="22"/>
              </w:rPr>
              <w:t>≤</w:t>
            </w:r>
            <w:r w:rsidRPr="001F2586">
              <w:rPr>
                <w:rFonts w:ascii="David" w:eastAsia="Calibri" w:hAnsi="David"/>
                <w:sz w:val="22"/>
                <w:szCs w:val="22"/>
              </w:rPr>
              <w:t xml:space="preserve"> 60%</w:t>
            </w:r>
            <w:r w:rsidRPr="001F2586">
              <w:rPr>
                <w:rFonts w:ascii="David" w:eastAsia="Calibri" w:hAnsi="David"/>
                <w:sz w:val="22"/>
                <w:szCs w:val="22"/>
                <w:rtl/>
              </w:rPr>
              <w:t xml:space="preserve"> </w:t>
            </w:r>
            <w:r w:rsidRPr="001F2586">
              <w:rPr>
                <w:rFonts w:ascii="Arial" w:eastAsia="Calibri" w:hAnsi="Arial" w:cs="Arial"/>
                <w:sz w:val="22"/>
                <w:szCs w:val="22"/>
              </w:rPr>
              <w:t>≤</w:t>
            </w:r>
            <w:r w:rsidRPr="001F2586">
              <w:rPr>
                <w:rFonts w:ascii="David" w:eastAsia="Calibri" w:hAnsi="David"/>
                <w:sz w:val="22"/>
                <w:szCs w:val="22"/>
                <w:rtl/>
              </w:rPr>
              <w:t xml:space="preserve"> 45% - 50%</w:t>
            </w: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Pr>
              <w:t>LTV &gt; 60%</w:t>
            </w:r>
            <w:r w:rsidRPr="001F2586">
              <w:rPr>
                <w:rFonts w:ascii="David" w:eastAsia="Calibri" w:hAnsi="David"/>
                <w:sz w:val="22"/>
                <w:szCs w:val="22"/>
                <w:rtl/>
              </w:rPr>
              <w:t xml:space="preserve"> - 60%</w:t>
            </w: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Pr>
              <w:t xml:space="preserve">40% &lt; PTI </w:t>
            </w:r>
            <w:r w:rsidRPr="001F2586">
              <w:rPr>
                <w:rFonts w:ascii="Arial" w:eastAsia="Calibri" w:hAnsi="Arial" w:cs="Arial"/>
                <w:sz w:val="22"/>
                <w:szCs w:val="22"/>
              </w:rPr>
              <w:t>≤</w:t>
            </w:r>
            <w:r w:rsidRPr="001F2586">
              <w:rPr>
                <w:rFonts w:ascii="David" w:eastAsia="Calibri" w:hAnsi="David"/>
                <w:sz w:val="22"/>
                <w:szCs w:val="22"/>
              </w:rPr>
              <w:t xml:space="preserve"> 50%</w:t>
            </w:r>
            <w:r w:rsidRPr="001F2586">
              <w:rPr>
                <w:rFonts w:ascii="David" w:eastAsia="Calibri" w:hAnsi="David"/>
                <w:sz w:val="22"/>
                <w:szCs w:val="22"/>
                <w:rtl/>
              </w:rPr>
              <w:t xml:space="preserve"> - 100%</w:t>
            </w:r>
          </w:p>
        </w:tc>
        <w:tc>
          <w:tcPr>
            <w:tcW w:w="2129" w:type="dxa"/>
          </w:tcPr>
          <w:p w:rsidR="001F2586" w:rsidRPr="001F2586" w:rsidP="001F2586">
            <w:pPr>
              <w:numPr>
                <w:ilvl w:val="0"/>
                <w:numId w:val="18"/>
              </w:numPr>
              <w:spacing w:line="269" w:lineRule="auto"/>
              <w:ind w:left="176" w:hanging="176"/>
              <w:contextualSpacing/>
              <w:jc w:val="left"/>
              <w:rPr>
                <w:rFonts w:ascii="David" w:eastAsia="Calibri" w:hAnsi="David"/>
                <w:sz w:val="22"/>
                <w:szCs w:val="22"/>
                <w:rtl/>
              </w:rPr>
            </w:pPr>
            <w:r w:rsidRPr="001F2586">
              <w:rPr>
                <w:rFonts w:ascii="David" w:eastAsia="Calibri" w:hAnsi="David"/>
                <w:sz w:val="22"/>
                <w:szCs w:val="22"/>
                <w:rtl/>
              </w:rPr>
              <w:t>רצפת משקל סיכון של 25% או תוספת 5% לפי גישת המודלים הפנימיים (</w:t>
            </w:r>
            <w:r w:rsidRPr="001F2586">
              <w:rPr>
                <w:rFonts w:ascii="David" w:eastAsia="Calibri" w:hAnsi="David"/>
                <w:sz w:val="22"/>
                <w:szCs w:val="22"/>
              </w:rPr>
              <w:t>IRB</w:t>
            </w:r>
            <w:r w:rsidRPr="001F2586">
              <w:rPr>
                <w:rFonts w:ascii="David" w:eastAsia="Calibri" w:hAnsi="David"/>
                <w:sz w:val="22"/>
                <w:szCs w:val="22"/>
                <w:rtl/>
              </w:rPr>
              <w:t>)</w:t>
            </w:r>
          </w:p>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 למשל: 50% עבור שיעור מימון מעל 66%</w:t>
            </w:r>
          </w:p>
          <w:p w:rsidR="001F2586" w:rsidRPr="001F2586" w:rsidP="001F2586">
            <w:pPr>
              <w:spacing w:line="269" w:lineRule="auto"/>
              <w:jc w:val="left"/>
              <w:rPr>
                <w:rFonts w:ascii="David" w:eastAsia="Calibri" w:hAnsi="David"/>
                <w:sz w:val="22"/>
                <w:szCs w:val="22"/>
                <w:rtl/>
              </w:rPr>
            </w:pPr>
          </w:p>
        </w:tc>
        <w:tc>
          <w:tcPr>
            <w:tcW w:w="1981" w:type="dxa"/>
          </w:tcPr>
          <w:p w:rsidR="001F2586" w:rsidRPr="001F2586" w:rsidP="001F2586">
            <w:pPr>
              <w:spacing w:line="269" w:lineRule="auto"/>
              <w:jc w:val="center"/>
              <w:rPr>
                <w:rFonts w:eastAsia="Calibri"/>
                <w:sz w:val="18"/>
                <w:szCs w:val="22"/>
                <w:rtl/>
              </w:rPr>
            </w:pPr>
            <w:r w:rsidRPr="001F2586">
              <w:rPr>
                <w:rFonts w:eastAsia="Calibri" w:hint="eastAsia"/>
                <w:sz w:val="18"/>
                <w:szCs w:val="22"/>
                <w:rtl/>
              </w:rPr>
              <w:t>יישום</w:t>
            </w:r>
            <w:r w:rsidRPr="001F2586">
              <w:rPr>
                <w:rFonts w:eastAsia="Calibri"/>
                <w:sz w:val="18"/>
                <w:szCs w:val="22"/>
                <w:rtl/>
              </w:rPr>
              <w:t xml:space="preserve"> </w:t>
            </w:r>
            <w:r w:rsidRPr="001F2586">
              <w:rPr>
                <w:rFonts w:eastAsia="Calibri" w:hint="eastAsia"/>
                <w:sz w:val="18"/>
                <w:szCs w:val="22"/>
                <w:rtl/>
              </w:rPr>
              <w:t>שמרני</w:t>
            </w:r>
          </w:p>
        </w:tc>
      </w:tr>
      <w:tr w:rsidTr="00EB64F7">
        <w:tblPrEx>
          <w:tblW w:w="8214" w:type="dxa"/>
          <w:tblLook w:val="04A0"/>
        </w:tblPrEx>
        <w:trPr>
          <w:trHeight w:val="905"/>
        </w:trPr>
        <w:tc>
          <w:tcPr>
            <w:tcW w:w="169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דרישות הון נוספות</w:t>
            </w:r>
          </w:p>
        </w:tc>
        <w:tc>
          <w:tcPr>
            <w:tcW w:w="2410" w:type="dxa"/>
          </w:tcPr>
          <w:p w:rsidR="001F2586" w:rsidRPr="001F2586" w:rsidP="001F2586">
            <w:pPr>
              <w:spacing w:line="269" w:lineRule="auto"/>
              <w:jc w:val="left"/>
              <w:rPr>
                <w:rFonts w:ascii="David" w:eastAsia="Calibri" w:hAnsi="David"/>
                <w:sz w:val="22"/>
                <w:szCs w:val="22"/>
              </w:rPr>
            </w:pPr>
            <w:r w:rsidRPr="001F2586">
              <w:rPr>
                <w:rFonts w:ascii="David" w:eastAsia="Calibri" w:hAnsi="David"/>
                <w:sz w:val="22"/>
                <w:szCs w:val="22"/>
                <w:rtl/>
              </w:rPr>
              <w:t>הגדלת יעד הון העצמי רובד 1 בשיעור המבטא 1% מיתרת תיק האשראי</w:t>
            </w:r>
            <w:r w:rsidRPr="001F2586">
              <w:rPr>
                <w:rFonts w:ascii="David" w:eastAsia="Calibri" w:hAnsi="David"/>
                <w:sz w:val="22"/>
                <w:szCs w:val="22"/>
              </w:rPr>
              <w:t xml:space="preserve"> </w:t>
            </w:r>
            <w:r w:rsidRPr="001F2586">
              <w:rPr>
                <w:rFonts w:ascii="David" w:eastAsia="Calibri" w:hAnsi="David"/>
                <w:sz w:val="22"/>
                <w:szCs w:val="22"/>
                <w:rtl/>
              </w:rPr>
              <w:t>לדיור</w:t>
            </w:r>
          </w:p>
        </w:tc>
        <w:tc>
          <w:tcPr>
            <w:tcW w:w="2129"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מכפיל של 1.3 על משקל הסיכון</w:t>
            </w:r>
          </w:p>
        </w:tc>
        <w:tc>
          <w:tcPr>
            <w:tcW w:w="1981" w:type="dxa"/>
          </w:tcPr>
          <w:p w:rsidR="001F2586" w:rsidRPr="001F2586" w:rsidP="001F2586">
            <w:pPr>
              <w:spacing w:line="269" w:lineRule="auto"/>
              <w:rPr>
                <w:rFonts w:eastAsia="Calibri"/>
                <w:sz w:val="18"/>
                <w:szCs w:val="22"/>
                <w:rtl/>
              </w:rPr>
            </w:pPr>
            <w:r w:rsidRPr="001F2586">
              <w:rPr>
                <w:rFonts w:eastAsia="Calibri"/>
                <w:sz w:val="18"/>
                <w:szCs w:val="22"/>
                <w:rtl/>
              </w:rPr>
              <w:t xml:space="preserve">דומה למקובל בעולם </w:t>
            </w:r>
            <w:r w:rsidRPr="001F2586">
              <w:rPr>
                <w:rFonts w:eastAsia="Calibri" w:hint="cs"/>
                <w:sz w:val="18"/>
                <w:szCs w:val="22"/>
                <w:rtl/>
              </w:rPr>
              <w:t>-</w:t>
            </w:r>
            <w:r w:rsidRPr="001F2586">
              <w:rPr>
                <w:rFonts w:eastAsia="Calibri"/>
                <w:sz w:val="18"/>
                <w:szCs w:val="22"/>
                <w:rtl/>
              </w:rPr>
              <w:t xml:space="preserve"> מנגנון החישוב שונה</w:t>
            </w:r>
          </w:p>
        </w:tc>
      </w:tr>
      <w:tr w:rsidTr="00EB64F7">
        <w:tblPrEx>
          <w:tblW w:w="8214" w:type="dxa"/>
          <w:tblLook w:val="04A0"/>
        </w:tblPrEx>
        <w:trPr>
          <w:trHeight w:val="905"/>
        </w:trPr>
        <w:tc>
          <w:tcPr>
            <w:tcW w:w="169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כרית סיכון סקטוריאלית*</w:t>
            </w:r>
          </w:p>
        </w:tc>
        <w:tc>
          <w:tcPr>
            <w:tcW w:w="2410" w:type="dxa"/>
          </w:tcPr>
          <w:p w:rsidR="001F2586" w:rsidRPr="001F2586" w:rsidP="001F2586">
            <w:pPr>
              <w:spacing w:line="269" w:lineRule="auto"/>
              <w:jc w:val="left"/>
              <w:rPr>
                <w:rFonts w:ascii="David" w:eastAsia="Calibri" w:hAnsi="David"/>
                <w:sz w:val="22"/>
                <w:szCs w:val="22"/>
                <w:rtl/>
              </w:rPr>
            </w:pPr>
          </w:p>
          <w:p w:rsidR="001F2586" w:rsidRPr="001F2586" w:rsidP="001F2586">
            <w:pPr>
              <w:spacing w:line="269" w:lineRule="auto"/>
              <w:jc w:val="left"/>
              <w:rPr>
                <w:rFonts w:ascii="David" w:eastAsia="Calibri" w:hAnsi="David"/>
                <w:sz w:val="22"/>
                <w:szCs w:val="22"/>
              </w:rPr>
            </w:pPr>
            <w:r w:rsidRPr="001F2586">
              <w:rPr>
                <w:rFonts w:ascii="David" w:eastAsia="Calibri" w:hAnsi="David"/>
                <w:sz w:val="22"/>
                <w:szCs w:val="22"/>
                <w:rtl/>
              </w:rPr>
              <w:t>דרישה זו לא מיושמת</w:t>
            </w:r>
          </w:p>
        </w:tc>
        <w:tc>
          <w:tcPr>
            <w:tcW w:w="2129" w:type="dxa"/>
          </w:tcPr>
          <w:p w:rsidR="001F2586" w:rsidRPr="001F2586" w:rsidP="001F2586">
            <w:pPr>
              <w:numPr>
                <w:ilvl w:val="0"/>
                <w:numId w:val="18"/>
              </w:numPr>
              <w:spacing w:line="269" w:lineRule="auto"/>
              <w:ind w:left="205" w:hanging="205"/>
              <w:contextualSpacing/>
              <w:jc w:val="left"/>
              <w:rPr>
                <w:rFonts w:ascii="David" w:eastAsia="Calibri" w:hAnsi="David"/>
                <w:sz w:val="22"/>
                <w:szCs w:val="22"/>
              </w:rPr>
            </w:pPr>
            <w:r w:rsidRPr="001F2586">
              <w:rPr>
                <w:rFonts w:ascii="David" w:eastAsia="Calibri" w:hAnsi="David"/>
                <w:sz w:val="22"/>
                <w:szCs w:val="22"/>
                <w:rtl/>
              </w:rPr>
              <w:t>כרית של 1.5% - 6% בחשיפות קמעונאיות המובטחות בנדל"ן למגורים</w:t>
            </w:r>
          </w:p>
          <w:p w:rsidR="001F2586" w:rsidRPr="001F2586" w:rsidP="00EB64F7">
            <w:pPr>
              <w:numPr>
                <w:ilvl w:val="0"/>
                <w:numId w:val="18"/>
              </w:numPr>
              <w:spacing w:line="269" w:lineRule="auto"/>
              <w:ind w:left="205" w:hanging="205"/>
              <w:contextualSpacing/>
              <w:jc w:val="left"/>
              <w:rPr>
                <w:rFonts w:ascii="David" w:eastAsia="Calibri" w:hAnsi="David"/>
                <w:sz w:val="22"/>
                <w:szCs w:val="22"/>
                <w:rtl/>
              </w:rPr>
            </w:pPr>
            <w:r w:rsidRPr="001F2586">
              <w:rPr>
                <w:rFonts w:ascii="David" w:eastAsia="Calibri" w:hAnsi="David"/>
                <w:sz w:val="22"/>
                <w:szCs w:val="22"/>
                <w:rtl/>
              </w:rPr>
              <w:t>כרית של 2.5% מחשיפות האשראי לדיור</w:t>
            </w:r>
          </w:p>
        </w:tc>
        <w:tc>
          <w:tcPr>
            <w:tcW w:w="1981" w:type="dxa"/>
          </w:tcPr>
          <w:p w:rsidR="001F2586" w:rsidRPr="001F2586" w:rsidP="001F2586">
            <w:pPr>
              <w:spacing w:line="269" w:lineRule="auto"/>
              <w:jc w:val="center"/>
              <w:rPr>
                <w:rFonts w:eastAsia="Calibri"/>
                <w:sz w:val="18"/>
                <w:szCs w:val="22"/>
                <w:rtl/>
              </w:rPr>
            </w:pPr>
            <w:r w:rsidRPr="001F2586">
              <w:rPr>
                <w:rFonts w:eastAsia="Calibri" w:hint="eastAsia"/>
                <w:sz w:val="18"/>
                <w:szCs w:val="22"/>
                <w:rtl/>
              </w:rPr>
              <w:t>דרישה</w:t>
            </w:r>
            <w:r w:rsidRPr="001F2586">
              <w:rPr>
                <w:rFonts w:eastAsia="Calibri"/>
                <w:sz w:val="18"/>
                <w:szCs w:val="22"/>
                <w:rtl/>
              </w:rPr>
              <w:t xml:space="preserve"> זו לא מיושמת </w:t>
            </w:r>
          </w:p>
          <w:p w:rsidR="001F2586" w:rsidRPr="001F2586" w:rsidP="001F2586">
            <w:pPr>
              <w:spacing w:line="269" w:lineRule="auto"/>
              <w:rPr>
                <w:rFonts w:eastAsia="Calibri"/>
                <w:sz w:val="18"/>
                <w:szCs w:val="22"/>
                <w:rtl/>
              </w:rPr>
            </w:pPr>
          </w:p>
        </w:tc>
      </w:tr>
    </w:tbl>
    <w:p w:rsidR="001F2586" w:rsidRPr="001F2586" w:rsidP="001F2586">
      <w:pPr>
        <w:spacing w:line="269" w:lineRule="auto"/>
        <w:jc w:val="left"/>
        <w:rPr>
          <w:rFonts w:ascii="David" w:eastAsia="Calibri" w:hAnsi="David"/>
          <w:szCs w:val="20"/>
          <w:rtl/>
        </w:rPr>
      </w:pPr>
      <w:r w:rsidRPr="001F2586">
        <w:rPr>
          <w:rFonts w:ascii="David" w:eastAsia="Calibri" w:hAnsi="David"/>
          <w:szCs w:val="20"/>
          <w:rtl/>
        </w:rPr>
        <w:t xml:space="preserve">על פי נתוני בנק ישראל, בעיבוד משרד מבקר המדינה. </w:t>
      </w:r>
    </w:p>
    <w:p w:rsidR="001F2586" w:rsidRPr="001F2586" w:rsidP="001F2586">
      <w:pPr>
        <w:spacing w:line="269" w:lineRule="auto"/>
        <w:rPr>
          <w:rFonts w:eastAsia="Calibri"/>
          <w:sz w:val="16"/>
          <w:szCs w:val="20"/>
          <w:rtl/>
        </w:rPr>
      </w:pPr>
      <w:r w:rsidRPr="001F2586">
        <w:rPr>
          <w:rFonts w:eastAsia="Calibri" w:hint="cs"/>
          <w:sz w:val="16"/>
          <w:szCs w:val="20"/>
          <w:rtl/>
        </w:rPr>
        <w:t>* דרישת הון נוספת המחושבת כמכפלה של שיעור הכרית בסך נכסי סיכון בגין משכנתאות.</w:t>
      </w:r>
    </w:p>
    <w:p w:rsidR="0053373A" w:rsidRPr="00C65945" w:rsidP="00B748E3">
      <w:pPr>
        <w:pStyle w:val="a"/>
        <w:spacing w:line="288" w:lineRule="auto"/>
        <w:ind w:left="0"/>
        <w:rPr>
          <w:sz w:val="24"/>
          <w:szCs w:val="24"/>
          <w:rtl/>
        </w:rPr>
      </w:pPr>
      <w:r w:rsidRPr="000375A4">
        <w:rPr>
          <w:rFonts w:hint="cs"/>
          <w:sz w:val="24"/>
          <w:szCs w:val="24"/>
          <w:rtl/>
        </w:rPr>
        <w:t>מניתוח ההשוואה שביצע הפיקוח על הבנקים לצעדים מקרו-</w:t>
      </w:r>
      <w:r w:rsidRPr="000375A4">
        <w:rPr>
          <w:rFonts w:hint="cs"/>
          <w:sz w:val="24"/>
          <w:szCs w:val="24"/>
          <w:rtl/>
        </w:rPr>
        <w:t>יציבותיים</w:t>
      </w:r>
      <w:r w:rsidRPr="000375A4">
        <w:rPr>
          <w:rFonts w:hint="cs"/>
          <w:sz w:val="24"/>
          <w:szCs w:val="24"/>
          <w:rtl/>
        </w:rPr>
        <w:t xml:space="preserve"> עולה כי הפיקוח עושה שימוש ברוב הצעדים הנהוגים בעולם בתחום האשראי לדיור. הפיקוח עושה שימוש בחמישה צעדים מגבילים בצד הלווים ובשני צעדים בנוגע לדר</w:t>
      </w:r>
      <w:r>
        <w:rPr>
          <w:rFonts w:hint="cs"/>
          <w:sz w:val="24"/>
          <w:szCs w:val="24"/>
          <w:rtl/>
        </w:rPr>
        <w:t>י</w:t>
      </w:r>
      <w:r w:rsidRPr="000375A4">
        <w:rPr>
          <w:rFonts w:hint="cs"/>
          <w:sz w:val="24"/>
          <w:szCs w:val="24"/>
          <w:rtl/>
        </w:rPr>
        <w:t xml:space="preserve">שות ההון של </w:t>
      </w:r>
      <w:r>
        <w:rPr>
          <w:rFonts w:hint="cs"/>
          <w:sz w:val="24"/>
          <w:szCs w:val="24"/>
          <w:rtl/>
        </w:rPr>
        <w:t>המערכת הבנקאית</w:t>
      </w:r>
      <w:r w:rsidRPr="000375A4">
        <w:rPr>
          <w:rFonts w:hint="cs"/>
          <w:sz w:val="24"/>
          <w:szCs w:val="24"/>
          <w:rtl/>
        </w:rPr>
        <w:t xml:space="preserve">. לעומת זאת, בעולם מרבית המדינות מאמצות בין 2 - 3 צעדים מגבילים בצד הלווים. בנוסף עולה כי היישום של הכלים על ידי הפיקוח על הבנקים הוא שמרני בהשוואה לעולם בעיקר במגבלת שיעור המימון, </w:t>
      </w:r>
      <w:r>
        <w:rPr>
          <w:rFonts w:hint="cs"/>
          <w:sz w:val="24"/>
          <w:szCs w:val="24"/>
          <w:rtl/>
        </w:rPr>
        <w:t>ב</w:t>
      </w:r>
      <w:r w:rsidRPr="000375A4">
        <w:rPr>
          <w:rFonts w:hint="cs"/>
          <w:sz w:val="24"/>
          <w:szCs w:val="24"/>
          <w:rtl/>
        </w:rPr>
        <w:t>חלק ההלוואה בריבית משתנה</w:t>
      </w:r>
      <w:r>
        <w:rPr>
          <w:rFonts w:hint="cs"/>
          <w:sz w:val="24"/>
          <w:szCs w:val="24"/>
          <w:rtl/>
        </w:rPr>
        <w:t>,</w:t>
      </w:r>
      <w:r w:rsidRPr="000375A4">
        <w:rPr>
          <w:rFonts w:hint="cs"/>
          <w:sz w:val="24"/>
          <w:szCs w:val="24"/>
          <w:rtl/>
        </w:rPr>
        <w:t xml:space="preserve"> ו</w:t>
      </w:r>
      <w:r>
        <w:rPr>
          <w:rFonts w:hint="cs"/>
          <w:sz w:val="24"/>
          <w:szCs w:val="24"/>
          <w:rtl/>
        </w:rPr>
        <w:t>ב</w:t>
      </w:r>
      <w:r w:rsidRPr="000375A4">
        <w:rPr>
          <w:rFonts w:hint="cs"/>
          <w:sz w:val="24"/>
          <w:szCs w:val="24"/>
          <w:rtl/>
        </w:rPr>
        <w:t xml:space="preserve">אופן שקלול נכסי הסיכון. </w:t>
      </w:r>
      <w:r>
        <w:rPr>
          <w:rFonts w:hint="cs"/>
          <w:sz w:val="24"/>
          <w:szCs w:val="24"/>
          <w:rtl/>
        </w:rPr>
        <w:t xml:space="preserve">למשל, </w:t>
      </w:r>
      <w:r w:rsidRPr="000375A4">
        <w:rPr>
          <w:rFonts w:hint="cs"/>
          <w:sz w:val="24"/>
          <w:szCs w:val="24"/>
          <w:rtl/>
        </w:rPr>
        <w:t>מגבלת ההלו</w:t>
      </w:r>
      <w:r>
        <w:rPr>
          <w:rFonts w:hint="cs"/>
          <w:sz w:val="24"/>
          <w:szCs w:val="24"/>
          <w:rtl/>
        </w:rPr>
        <w:t>ו</w:t>
      </w:r>
      <w:r w:rsidRPr="000375A4">
        <w:rPr>
          <w:rFonts w:hint="cs"/>
          <w:sz w:val="24"/>
          <w:szCs w:val="24"/>
          <w:rtl/>
        </w:rPr>
        <w:t>אה בריבית משתנה, שנכון למועד הביקורת היא עד שני שליש מההלוואה, היא מגבלה ייחודית שקיימת בישראל ואינה קיימת במדינות אחרות בעולם</w:t>
      </w:r>
      <w:r>
        <w:rPr>
          <w:rFonts w:hint="cs"/>
          <w:sz w:val="24"/>
          <w:szCs w:val="24"/>
          <w:rtl/>
        </w:rPr>
        <w:t>, ו</w:t>
      </w:r>
      <w:r w:rsidRPr="000375A4">
        <w:rPr>
          <w:rFonts w:hint="cs"/>
          <w:sz w:val="24"/>
          <w:szCs w:val="24"/>
          <w:rtl/>
        </w:rPr>
        <w:t>שקלול נכסי הסיכון בישראל הוא מחמיר לעומת מדינות אחרות בעולם</w:t>
      </w:r>
      <w:r>
        <w:rPr>
          <w:rFonts w:hint="cs"/>
          <w:sz w:val="24"/>
          <w:szCs w:val="24"/>
          <w:rtl/>
        </w:rPr>
        <w:t xml:space="preserve"> כפי שמתבטא בכך שהמערכת הבנקאית בישראל מקצה יותר הון בגין הלוואות לדיור לעומת מדינות אחרות בעולם</w:t>
      </w:r>
      <w:r>
        <w:rPr>
          <w:rStyle w:val="FootnoteReference1"/>
          <w:rtl/>
        </w:rPr>
        <w:footnoteReference w:id="84"/>
      </w:r>
      <w:r>
        <w:rPr>
          <w:rFonts w:hint="cs"/>
          <w:sz w:val="24"/>
          <w:szCs w:val="24"/>
          <w:rtl/>
        </w:rPr>
        <w:t>. בנוסף, מניתוח השוואתי שביצע הפיקוח על הבנקים בנוגע למגבלות</w:t>
      </w:r>
      <w:r w:rsidRPr="002D1723">
        <w:rPr>
          <w:sz w:val="24"/>
          <w:szCs w:val="24"/>
          <w:rtl/>
        </w:rPr>
        <w:t xml:space="preserve"> הנוגע</w:t>
      </w:r>
      <w:r>
        <w:rPr>
          <w:rFonts w:hint="cs"/>
          <w:sz w:val="24"/>
          <w:szCs w:val="24"/>
          <w:rtl/>
        </w:rPr>
        <w:t>ו</w:t>
      </w:r>
      <w:r w:rsidRPr="002D1723">
        <w:rPr>
          <w:sz w:val="24"/>
          <w:szCs w:val="24"/>
          <w:rtl/>
        </w:rPr>
        <w:t xml:space="preserve">ת להכנסה </w:t>
      </w:r>
      <w:r>
        <w:rPr>
          <w:rFonts w:hint="cs"/>
          <w:sz w:val="24"/>
          <w:szCs w:val="24"/>
          <w:rtl/>
        </w:rPr>
        <w:t>בהלוואות לדיור</w:t>
      </w:r>
      <w:r w:rsidRPr="002D1723">
        <w:rPr>
          <w:sz w:val="24"/>
          <w:szCs w:val="24"/>
          <w:rtl/>
        </w:rPr>
        <w:t xml:space="preserve"> עולה</w:t>
      </w:r>
      <w:r>
        <w:rPr>
          <w:rFonts w:hint="cs"/>
          <w:sz w:val="24"/>
          <w:szCs w:val="24"/>
          <w:rtl/>
        </w:rPr>
        <w:t xml:space="preserve"> כי </w:t>
      </w:r>
      <w:r w:rsidRPr="002D1723">
        <w:rPr>
          <w:sz w:val="24"/>
          <w:szCs w:val="24"/>
          <w:rtl/>
        </w:rPr>
        <w:t xml:space="preserve">במרבית מדינות העולם המגבלה הקיימת היא </w:t>
      </w:r>
      <w:r>
        <w:rPr>
          <w:rFonts w:hint="cs"/>
          <w:sz w:val="24"/>
          <w:szCs w:val="24"/>
          <w:rtl/>
        </w:rPr>
        <w:t>יחס שירות החוב להכנסה (</w:t>
      </w:r>
      <w:r>
        <w:rPr>
          <w:rFonts w:hint="cs"/>
          <w:sz w:val="24"/>
          <w:szCs w:val="24"/>
        </w:rPr>
        <w:t>DSTI</w:t>
      </w:r>
      <w:r>
        <w:rPr>
          <w:rFonts w:hint="cs"/>
          <w:sz w:val="24"/>
          <w:szCs w:val="24"/>
          <w:rtl/>
        </w:rPr>
        <w:t xml:space="preserve">) </w:t>
      </w:r>
      <w:r w:rsidRPr="002D1723">
        <w:rPr>
          <w:sz w:val="24"/>
          <w:szCs w:val="24"/>
          <w:rtl/>
        </w:rPr>
        <w:t xml:space="preserve">הכוללת </w:t>
      </w:r>
      <w:r>
        <w:rPr>
          <w:rFonts w:hint="cs"/>
          <w:sz w:val="24"/>
          <w:szCs w:val="24"/>
          <w:rtl/>
        </w:rPr>
        <w:t>לעיתים ב</w:t>
      </w:r>
      <w:r w:rsidRPr="002D1723">
        <w:rPr>
          <w:sz w:val="24"/>
          <w:szCs w:val="24"/>
          <w:rtl/>
        </w:rPr>
        <w:t>חישוב</w:t>
      </w:r>
      <w:r>
        <w:rPr>
          <w:rFonts w:hint="cs"/>
          <w:sz w:val="24"/>
          <w:szCs w:val="24"/>
          <w:rtl/>
        </w:rPr>
        <w:t xml:space="preserve"> ההוצאות</w:t>
      </w:r>
      <w:r w:rsidRPr="002D1723">
        <w:rPr>
          <w:sz w:val="24"/>
          <w:szCs w:val="24"/>
          <w:rtl/>
        </w:rPr>
        <w:t xml:space="preserve"> גם את החוב שאינו </w:t>
      </w:r>
      <w:r>
        <w:rPr>
          <w:rFonts w:hint="cs"/>
          <w:sz w:val="24"/>
          <w:szCs w:val="24"/>
          <w:rtl/>
        </w:rPr>
        <w:t xml:space="preserve">לדיור והטווח בה </w:t>
      </w:r>
      <w:r w:rsidRPr="000D7F48">
        <w:rPr>
          <w:rFonts w:hint="cs"/>
          <w:sz w:val="24"/>
          <w:szCs w:val="24"/>
          <w:rtl/>
        </w:rPr>
        <w:t>עומד ברוב המדינות על 40% -50%, אך לעיתים עומד על 60% ואף 80</w:t>
      </w:r>
      <w:r w:rsidRPr="00C65945">
        <w:rPr>
          <w:rFonts w:hint="cs"/>
          <w:sz w:val="24"/>
          <w:szCs w:val="24"/>
          <w:rtl/>
        </w:rPr>
        <w:t>%</w:t>
      </w:r>
      <w:r w:rsidRPr="005D0BAA">
        <w:rPr>
          <w:sz w:val="24"/>
          <w:szCs w:val="24"/>
          <w:rtl/>
        </w:rPr>
        <w:t xml:space="preserve">, </w:t>
      </w:r>
      <w:r w:rsidRPr="005D0BAA">
        <w:rPr>
          <w:rFonts w:hint="eastAsia"/>
          <w:sz w:val="24"/>
          <w:szCs w:val="24"/>
          <w:rtl/>
        </w:rPr>
        <w:t>כך</w:t>
      </w:r>
      <w:r w:rsidRPr="005D0BAA">
        <w:rPr>
          <w:sz w:val="24"/>
          <w:szCs w:val="24"/>
          <w:rtl/>
        </w:rPr>
        <w:t xml:space="preserve"> </w:t>
      </w:r>
      <w:r w:rsidRPr="005D0BAA">
        <w:rPr>
          <w:rFonts w:hint="eastAsia"/>
          <w:sz w:val="24"/>
          <w:szCs w:val="24"/>
          <w:rtl/>
        </w:rPr>
        <w:t>שמגבלת</w:t>
      </w:r>
      <w:r w:rsidRPr="005D0BAA">
        <w:rPr>
          <w:sz w:val="24"/>
          <w:szCs w:val="24"/>
          <w:rtl/>
        </w:rPr>
        <w:t xml:space="preserve"> </w:t>
      </w:r>
      <w:r w:rsidRPr="005D0BAA">
        <w:rPr>
          <w:rFonts w:hint="eastAsia"/>
          <w:sz w:val="24"/>
          <w:szCs w:val="24"/>
          <w:rtl/>
        </w:rPr>
        <w:t>שיעור</w:t>
      </w:r>
      <w:r w:rsidRPr="005D0BAA">
        <w:rPr>
          <w:sz w:val="24"/>
          <w:szCs w:val="24"/>
          <w:rtl/>
        </w:rPr>
        <w:t xml:space="preserve"> </w:t>
      </w:r>
      <w:r w:rsidRPr="005D0BAA">
        <w:rPr>
          <w:rFonts w:hint="eastAsia"/>
          <w:sz w:val="24"/>
          <w:szCs w:val="24"/>
          <w:rtl/>
        </w:rPr>
        <w:t>מהכנסה</w:t>
      </w:r>
      <w:r w:rsidRPr="005D0BAA">
        <w:rPr>
          <w:sz w:val="24"/>
          <w:szCs w:val="24"/>
          <w:rtl/>
        </w:rPr>
        <w:t xml:space="preserve"> </w:t>
      </w:r>
      <w:r w:rsidRPr="005D0BAA">
        <w:rPr>
          <w:rFonts w:hint="eastAsia"/>
          <w:sz w:val="24"/>
          <w:szCs w:val="24"/>
          <w:rtl/>
        </w:rPr>
        <w:t>בישראל</w:t>
      </w:r>
      <w:r w:rsidRPr="005D0BAA">
        <w:rPr>
          <w:sz w:val="24"/>
          <w:szCs w:val="24"/>
          <w:rtl/>
        </w:rPr>
        <w:t xml:space="preserve"> </w:t>
      </w:r>
      <w:r w:rsidRPr="005D0BAA">
        <w:rPr>
          <w:rFonts w:hint="eastAsia"/>
          <w:sz w:val="24"/>
          <w:szCs w:val="24"/>
          <w:rtl/>
        </w:rPr>
        <w:t>דווקא</w:t>
      </w:r>
      <w:r w:rsidRPr="005D0BAA">
        <w:rPr>
          <w:sz w:val="24"/>
          <w:szCs w:val="24"/>
          <w:rtl/>
        </w:rPr>
        <w:t xml:space="preserve"> </w:t>
      </w:r>
      <w:r w:rsidRPr="005D0BAA">
        <w:rPr>
          <w:rFonts w:hint="eastAsia"/>
          <w:sz w:val="24"/>
          <w:szCs w:val="24"/>
          <w:rtl/>
        </w:rPr>
        <w:t>מקלה</w:t>
      </w:r>
      <w:r w:rsidRPr="00C65945">
        <w:rPr>
          <w:rFonts w:hint="cs"/>
          <w:sz w:val="24"/>
          <w:szCs w:val="24"/>
          <w:rtl/>
        </w:rPr>
        <w:t xml:space="preserve"> </w:t>
      </w:r>
      <w:r>
        <w:rPr>
          <w:rStyle w:val="FootnoteReference1"/>
          <w:sz w:val="24"/>
          <w:szCs w:val="24"/>
          <w:rtl/>
        </w:rPr>
        <w:footnoteReference w:id="85"/>
      </w:r>
      <w:r w:rsidRPr="00C65945">
        <w:rPr>
          <w:rFonts w:hint="cs"/>
          <w:sz w:val="24"/>
          <w:szCs w:val="24"/>
          <w:rtl/>
        </w:rPr>
        <w:t>.</w:t>
      </w:r>
    </w:p>
    <w:p w:rsidR="0053373A" w:rsidP="001F2586">
      <w:pPr>
        <w:spacing w:line="269" w:lineRule="auto"/>
        <w:rPr>
          <w:rFonts w:eastAsia="Calibri"/>
          <w:b/>
          <w:bCs/>
          <w:rtl/>
        </w:rPr>
      </w:pPr>
    </w:p>
    <w:p w:rsidR="001F2586" w:rsidRPr="001F2586" w:rsidP="001F2586">
      <w:pPr>
        <w:spacing w:line="269" w:lineRule="auto"/>
        <w:rPr>
          <w:rFonts w:eastAsia="Calibri"/>
          <w:b/>
          <w:bCs/>
          <w:rtl/>
        </w:rPr>
      </w:pPr>
      <w:r w:rsidRPr="001F2586">
        <w:rPr>
          <w:rFonts w:eastAsia="Calibri" w:hint="cs"/>
          <w:b/>
          <w:bCs/>
          <w:rtl/>
        </w:rPr>
        <w:t>נמצא כי הפיקוח על הבנקים משתמש במספר גדול יותר של כלים מגבילים על משכנתאות לעומת מספר הכלים שמפעילות רשויות פיקוח פיננסיות במדינות אחרות בעולם (חמישה בישראל לעומת 2 - 3 ברוב המדינות). כמו כן נמצא כי הפיקוח מיישם כלים אלו באופן שמרני ביחס למרבית המדינות בעולם. היישום השמרני מתבטא בעיקר במגבלות על שיעור המימון (בישראל המגבלה המקסימאלית היא 75% לעומת 80-90% במרבית המדינות בעולם) ועל חלק ההלוואה בריבית משתנה הייחודית לישראל,</w:t>
      </w:r>
      <w:r w:rsidRPr="001F2586">
        <w:rPr>
          <w:rFonts w:eastAsia="Calibri"/>
          <w:b/>
          <w:bCs/>
          <w:rtl/>
        </w:rPr>
        <w:t xml:space="preserve"> </w:t>
      </w:r>
      <w:r w:rsidRPr="001F2586">
        <w:rPr>
          <w:rFonts w:eastAsia="Calibri" w:hint="cs"/>
          <w:b/>
          <w:bCs/>
          <w:rtl/>
        </w:rPr>
        <w:t>ובמשקלי הסיכון על הלוואות לדיור (משקל הסיכון הממוצע בגין אשראי לדיור במערכת הבנקאית בישראל הוא 54% לעומת שיעור ממוצע של 37%)</w:t>
      </w:r>
      <w:r w:rsidRPr="001F2586">
        <w:rPr>
          <w:rFonts w:eastAsia="Calibri"/>
          <w:b/>
          <w:bCs/>
          <w:rtl/>
        </w:rPr>
        <w:t>.</w:t>
      </w:r>
      <w:r w:rsidRPr="001F2586">
        <w:rPr>
          <w:rFonts w:eastAsia="Calibri" w:hint="cs"/>
          <w:b/>
          <w:bCs/>
          <w:rtl/>
        </w:rPr>
        <w:t xml:space="preserve"> באופן זה הפיקוח על הבנקים מצמצם את האפשרות להתפתחות סיכונים גבוהים בתיק האשראי לדיור ומסייע לשפר את היציבות של הבנקים ואף להגן על הלווים מלקיחת משכנתאות ממונפות, ובכך תורם להגשמת יעדי היציבות וההוגנות. עם זאת, השימוש </w:t>
      </w:r>
      <w:r w:rsidRPr="001F2586">
        <w:rPr>
          <w:rFonts w:eastAsia="Calibri" w:hint="eastAsia"/>
          <w:b/>
          <w:bCs/>
          <w:rtl/>
        </w:rPr>
        <w:t>השמרני</w:t>
      </w:r>
      <w:r w:rsidRPr="001F2586">
        <w:rPr>
          <w:rFonts w:eastAsia="Calibri" w:hint="cs"/>
          <w:b/>
          <w:bCs/>
          <w:rtl/>
        </w:rPr>
        <w:t xml:space="preserve"> שעושה הפיקוח על הבנקים בכלים אלו עלול לייצר חסמים לאוכלוסיות מסוימות מנגישות לאשראי לרכישת דירה במערכת הבנקאית</w:t>
      </w:r>
      <w:r w:rsidRPr="001F2586">
        <w:rPr>
          <w:rFonts w:eastAsia="Calibri"/>
          <w:b/>
          <w:bCs/>
          <w:rtl/>
        </w:rPr>
        <w:t xml:space="preserve">, </w:t>
      </w:r>
      <w:r w:rsidRPr="001F2586">
        <w:rPr>
          <w:rFonts w:eastAsia="Calibri" w:hint="cs"/>
          <w:b/>
          <w:bCs/>
          <w:rtl/>
        </w:rPr>
        <w:t>באופן שעלול לפגוע ביעדי ההוגנות והתחרות.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מומלץ כי הפיקוח על הבנקים ימשיך לבחון באופן עתי את ההשפעה של השימוש בכלים המקרו-</w:t>
      </w:r>
      <w:r w:rsidRPr="001F2586">
        <w:rPr>
          <w:rFonts w:eastAsia="Calibri" w:hint="cs"/>
          <w:b/>
          <w:bCs/>
          <w:rtl/>
        </w:rPr>
        <w:t>יציבותיים</w:t>
      </w:r>
      <w:r w:rsidRPr="001F2586">
        <w:rPr>
          <w:rFonts w:eastAsia="Calibri" w:hint="cs"/>
          <w:b/>
          <w:bCs/>
          <w:rtl/>
        </w:rPr>
        <w:t xml:space="preserve"> על שוק המשכנתאות בישראל, בהשוואה לעולם, ובתוך כך יבחן את ההשפעה שלהם על יציבות המערכת הבנקאית ועל יעדי ההוגנות והתחרות בתחום המשכנתאות.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בתשובת בנק ישראל צוין כי הפיקוח מבצע בחינה שוטפת של המגבלות ומתאים אותם לשוק הדיור המשתנה.</w:t>
      </w:r>
    </w:p>
    <w:p w:rsidR="001F2586" w:rsidRPr="001F2586" w:rsidP="001F2586">
      <w:pPr>
        <w:spacing w:line="269" w:lineRule="auto"/>
        <w:rPr>
          <w:rFonts w:eastAsia="Calibri"/>
        </w:rPr>
      </w:pPr>
    </w:p>
    <w:p w:rsidR="001F2586" w:rsidRPr="001F2586" w:rsidP="001F2586">
      <w:pPr>
        <w:keepNext/>
        <w:keepLines/>
        <w:spacing w:line="269" w:lineRule="auto"/>
        <w:outlineLvl w:val="3"/>
        <w:rPr>
          <w:rFonts w:eastAsia="Times New Roman"/>
          <w:bCs/>
          <w:szCs w:val="26"/>
          <w:rtl/>
        </w:rPr>
      </w:pPr>
      <w:r w:rsidRPr="001F2586">
        <w:rPr>
          <w:rFonts w:eastAsia="Times New Roman" w:hint="eastAsia"/>
          <w:bCs/>
          <w:szCs w:val="26"/>
          <w:rtl/>
        </w:rPr>
        <w:t>צעדים</w:t>
      </w:r>
      <w:r w:rsidRPr="001F2586">
        <w:rPr>
          <w:rFonts w:eastAsia="Times New Roman"/>
          <w:bCs/>
          <w:szCs w:val="26"/>
          <w:rtl/>
        </w:rPr>
        <w:t xml:space="preserve"> </w:t>
      </w:r>
      <w:r w:rsidRPr="001F2586">
        <w:rPr>
          <w:rFonts w:eastAsia="Times New Roman" w:hint="eastAsia"/>
          <w:bCs/>
          <w:szCs w:val="26"/>
          <w:rtl/>
        </w:rPr>
        <w:t>מגבילים</w:t>
      </w:r>
      <w:r w:rsidRPr="001F2586">
        <w:rPr>
          <w:rFonts w:eastAsia="Times New Roman"/>
          <w:bCs/>
          <w:szCs w:val="26"/>
          <w:rtl/>
        </w:rPr>
        <w:t xml:space="preserve"> </w:t>
      </w:r>
      <w:r w:rsidRPr="001F2586">
        <w:rPr>
          <w:rFonts w:eastAsia="Times New Roman" w:hint="eastAsia"/>
          <w:bCs/>
          <w:szCs w:val="26"/>
          <w:rtl/>
        </w:rPr>
        <w:t>עבור</w:t>
      </w:r>
      <w:r w:rsidRPr="001F2586">
        <w:rPr>
          <w:rFonts w:eastAsia="Times New Roman"/>
          <w:bCs/>
          <w:szCs w:val="26"/>
          <w:rtl/>
        </w:rPr>
        <w:t xml:space="preserve"> </w:t>
      </w:r>
      <w:r w:rsidRPr="001F2586">
        <w:rPr>
          <w:rFonts w:eastAsia="Times New Roman" w:hint="eastAsia"/>
          <w:bCs/>
          <w:szCs w:val="26"/>
          <w:rtl/>
        </w:rPr>
        <w:t>הלווים</w:t>
      </w:r>
      <w:r w:rsidRPr="001F2586">
        <w:rPr>
          <w:rFonts w:eastAsia="Times New Roman"/>
          <w:bCs/>
          <w:szCs w:val="26"/>
          <w:rtl/>
        </w:rPr>
        <w:t xml:space="preserve"> - </w:t>
      </w:r>
      <w:r w:rsidRPr="001F2586">
        <w:rPr>
          <w:rFonts w:eastAsia="Times New Roman" w:hint="eastAsia"/>
          <w:bCs/>
          <w:szCs w:val="26"/>
          <w:rtl/>
        </w:rPr>
        <w:t>מגבלות</w:t>
      </w:r>
      <w:r w:rsidRPr="001F2586">
        <w:rPr>
          <w:rFonts w:eastAsia="Times New Roman"/>
          <w:bCs/>
          <w:szCs w:val="26"/>
          <w:rtl/>
        </w:rPr>
        <w:t xml:space="preserve"> </w:t>
      </w:r>
      <w:r w:rsidRPr="001F2586">
        <w:rPr>
          <w:rFonts w:eastAsia="Times New Roman" w:hint="eastAsia"/>
          <w:bCs/>
          <w:szCs w:val="26"/>
          <w:rtl/>
        </w:rPr>
        <w:t>למתן</w:t>
      </w:r>
      <w:r w:rsidRPr="001F2586">
        <w:rPr>
          <w:rFonts w:eastAsia="Times New Roman"/>
          <w:bCs/>
          <w:szCs w:val="26"/>
          <w:rtl/>
        </w:rPr>
        <w:t xml:space="preserve"> </w:t>
      </w:r>
      <w:r w:rsidRPr="001F2586">
        <w:rPr>
          <w:rFonts w:eastAsia="Times New Roman" w:hint="eastAsia"/>
          <w:bCs/>
          <w:szCs w:val="26"/>
          <w:rtl/>
        </w:rPr>
        <w:t>הלוואות</w:t>
      </w:r>
      <w:r w:rsidRPr="001F2586">
        <w:rPr>
          <w:rFonts w:eastAsia="Times New Roman"/>
          <w:bCs/>
          <w:szCs w:val="26"/>
          <w:rtl/>
        </w:rPr>
        <w:t xml:space="preserve"> </w:t>
      </w:r>
      <w:r w:rsidRPr="001F2586">
        <w:rPr>
          <w:rFonts w:eastAsia="Times New Roman" w:hint="eastAsia"/>
          <w:bCs/>
          <w:szCs w:val="26"/>
          <w:rtl/>
        </w:rPr>
        <w:t>לדיור</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מגבלת שיעור המימון (</w:t>
      </w:r>
      <w:r w:rsidRPr="001F2586">
        <w:rPr>
          <w:rFonts w:eastAsia="Times New Roman" w:hint="cs"/>
          <w:b/>
          <w:spacing w:val="40"/>
        </w:rPr>
        <w:t>LTV</w:t>
      </w:r>
      <w:r w:rsidRPr="001F2586">
        <w:rPr>
          <w:rFonts w:eastAsia="Times New Roman" w:hint="cs"/>
          <w:bCs/>
          <w:spacing w:val="40"/>
          <w:rtl/>
        </w:rPr>
        <w:t>)</w:t>
      </w:r>
    </w:p>
    <w:p w:rsidR="001F2586" w:rsidRPr="001F2586" w:rsidP="001F2586">
      <w:pPr>
        <w:spacing w:line="269" w:lineRule="auto"/>
        <w:ind w:left="-567"/>
        <w:rPr>
          <w:rFonts w:eastAsia="Calibri"/>
          <w:szCs w:val="20"/>
          <w:rtl/>
        </w:rPr>
      </w:pPr>
    </w:p>
    <w:p w:rsidR="00B748E3" w:rsidP="00635027">
      <w:pPr>
        <w:pStyle w:val="a"/>
        <w:spacing w:line="288" w:lineRule="auto"/>
        <w:ind w:left="0"/>
        <w:rPr>
          <w:sz w:val="24"/>
          <w:szCs w:val="24"/>
          <w:rtl/>
        </w:rPr>
      </w:pPr>
      <w:r w:rsidRPr="00B748E3">
        <w:rPr>
          <w:rFonts w:hint="eastAsia"/>
          <w:rtl/>
        </w:rPr>
        <w:t>בסעיף</w:t>
      </w:r>
      <w:r w:rsidRPr="00B748E3">
        <w:rPr>
          <w:rtl/>
        </w:rPr>
        <w:t xml:space="preserve"> </w:t>
      </w:r>
      <w:r w:rsidRPr="004A60A7">
        <w:rPr>
          <w:sz w:val="24"/>
          <w:szCs w:val="24"/>
          <w:rtl/>
        </w:rPr>
        <w:t xml:space="preserve">12 </w:t>
      </w:r>
      <w:hyperlink r:id="rId22" w:history="1">
        <w:r w:rsidRPr="004A60A7">
          <w:rPr>
            <w:sz w:val="24"/>
            <w:szCs w:val="24"/>
            <w:rtl/>
          </w:rPr>
          <w:t>להוראת הדיווח לפיקוח מס' 876</w:t>
        </w:r>
      </w:hyperlink>
      <w:r w:rsidRPr="004A60A7">
        <w:rPr>
          <w:sz w:val="24"/>
          <w:szCs w:val="24"/>
          <w:rtl/>
        </w:rPr>
        <w:t xml:space="preserve"> - "דוח על הלוואות לדיור" נקבע </w:t>
      </w:r>
      <w:r w:rsidRPr="004A60A7">
        <w:rPr>
          <w:rFonts w:hint="cs"/>
          <w:sz w:val="24"/>
          <w:szCs w:val="24"/>
          <w:rtl/>
        </w:rPr>
        <w:t xml:space="preserve">כאמור </w:t>
      </w:r>
      <w:r w:rsidRPr="004A60A7">
        <w:rPr>
          <w:sz w:val="24"/>
          <w:szCs w:val="24"/>
          <w:rtl/>
        </w:rPr>
        <w:t xml:space="preserve">כי שיעור המימון בהלוואה לדיור </w:t>
      </w:r>
      <w:r w:rsidRPr="004A60A7">
        <w:rPr>
          <w:rFonts w:hint="cs"/>
          <w:sz w:val="24"/>
          <w:szCs w:val="24"/>
          <w:rtl/>
        </w:rPr>
        <w:t>(</w:t>
      </w:r>
      <w:r w:rsidRPr="004A60A7">
        <w:rPr>
          <w:rFonts w:hint="cs"/>
          <w:sz w:val="24"/>
          <w:szCs w:val="24"/>
        </w:rPr>
        <w:t>LTV</w:t>
      </w:r>
      <w:r w:rsidRPr="004A60A7">
        <w:rPr>
          <w:sz w:val="24"/>
          <w:szCs w:val="24"/>
        </w:rPr>
        <w:t xml:space="preserve"> - Loan To Value</w:t>
      </w:r>
      <w:r w:rsidRPr="004A60A7">
        <w:rPr>
          <w:rFonts w:hint="cs"/>
          <w:sz w:val="24"/>
          <w:szCs w:val="24"/>
          <w:rtl/>
        </w:rPr>
        <w:t>)</w:t>
      </w:r>
      <w:r w:rsidRPr="004A60A7">
        <w:rPr>
          <w:rFonts w:hint="cs"/>
          <w:sz w:val="24"/>
          <w:szCs w:val="24"/>
        </w:rPr>
        <w:t xml:space="preserve"> </w:t>
      </w:r>
      <w:r w:rsidRPr="004A60A7">
        <w:rPr>
          <w:sz w:val="24"/>
          <w:szCs w:val="24"/>
          <w:rtl/>
        </w:rPr>
        <w:t>הוא היחס בין סכום ההלוואה לבין שווי הנכס כפי שאושר על ידי הבנק בעת העמדת מסגרת האשראי וכפי שמחושב לצורך מדידה והלימות הון</w:t>
      </w:r>
      <w:r w:rsidRPr="004A60A7">
        <w:rPr>
          <w:rFonts w:hint="cs"/>
          <w:sz w:val="24"/>
          <w:szCs w:val="24"/>
          <w:rtl/>
        </w:rPr>
        <w:t xml:space="preserve"> </w:t>
      </w:r>
      <w:r w:rsidRPr="004A60A7">
        <w:rPr>
          <w:rFonts w:hint="cs"/>
          <w:sz w:val="24"/>
          <w:szCs w:val="24"/>
          <w:rtl/>
        </w:rPr>
        <w:t>(להלן - מגבלת שיעור המימון)</w:t>
      </w:r>
      <w:r w:rsidRPr="004A60A7">
        <w:rPr>
          <w:sz w:val="24"/>
          <w:szCs w:val="24"/>
          <w:rtl/>
        </w:rPr>
        <w:t>.</w:t>
      </w:r>
      <w:r w:rsidRPr="004A60A7">
        <w:rPr>
          <w:rFonts w:hint="cs"/>
          <w:sz w:val="24"/>
          <w:szCs w:val="24"/>
        </w:rPr>
        <w:t xml:space="preserve"> </w:t>
      </w:r>
      <w:r w:rsidRPr="004A60A7">
        <w:rPr>
          <w:rFonts w:hint="cs"/>
          <w:sz w:val="24"/>
          <w:szCs w:val="24"/>
          <w:rtl/>
        </w:rPr>
        <w:t>שיעור המימון משפיע על הערכת הסיכון של העסקה, וככל שהשיעור גבוה יותר כך הסיכון בהלוואה הוא גבוה יותר והבנק נדרש להקצות יותר הון כנגדו.</w:t>
      </w:r>
    </w:p>
    <w:p w:rsidR="00B748E3" w:rsidP="00635027">
      <w:pPr>
        <w:pStyle w:val="a"/>
        <w:spacing w:line="288" w:lineRule="auto"/>
        <w:ind w:left="0"/>
        <w:rPr>
          <w:sz w:val="24"/>
          <w:szCs w:val="24"/>
          <w:rtl/>
        </w:rPr>
      </w:pPr>
    </w:p>
    <w:p w:rsidR="00B748E3" w:rsidRPr="004F3E4D" w:rsidP="00635027">
      <w:pPr>
        <w:pStyle w:val="a"/>
        <w:spacing w:line="288" w:lineRule="auto"/>
        <w:ind w:left="0"/>
        <w:rPr>
          <w:sz w:val="24"/>
          <w:rtl/>
        </w:rPr>
      </w:pPr>
      <w:r w:rsidRPr="004F3E4D">
        <w:rPr>
          <w:rFonts w:hint="cs"/>
          <w:sz w:val="24"/>
          <w:szCs w:val="24"/>
          <w:rtl/>
        </w:rPr>
        <w:t xml:space="preserve">בשנים 2000 - 2008 לפני </w:t>
      </w:r>
      <w:r>
        <w:rPr>
          <w:rFonts w:hint="cs"/>
          <w:sz w:val="24"/>
          <w:szCs w:val="24"/>
          <w:rtl/>
        </w:rPr>
        <w:t xml:space="preserve">משבר </w:t>
      </w:r>
      <w:r>
        <w:rPr>
          <w:rFonts w:hint="cs"/>
          <w:sz w:val="24"/>
          <w:szCs w:val="24"/>
          <w:rtl/>
        </w:rPr>
        <w:t>הסאב</w:t>
      </w:r>
      <w:r>
        <w:rPr>
          <w:rFonts w:hint="cs"/>
          <w:sz w:val="24"/>
          <w:szCs w:val="24"/>
          <w:rtl/>
        </w:rPr>
        <w:t xml:space="preserve"> פריים</w:t>
      </w:r>
      <w:r w:rsidRPr="004F3E4D">
        <w:rPr>
          <w:rFonts w:hint="cs"/>
          <w:sz w:val="24"/>
          <w:szCs w:val="24"/>
          <w:rtl/>
        </w:rPr>
        <w:t xml:space="preserve"> </w:t>
      </w:r>
      <w:r w:rsidRPr="004F3E4D">
        <w:rPr>
          <w:sz w:val="24"/>
          <w:szCs w:val="24"/>
          <w:rtl/>
        </w:rPr>
        <w:t>שוק הדיור בישראל התאפיין ביציבות במחירי הדירות. כמו כן משקי הבית נמנעו ממינוף יתר בהלוואות, ובכלל זה בנטילת משכנתאות בסיכון גבוה.</w:t>
      </w:r>
      <w:r w:rsidRPr="004F3E4D">
        <w:rPr>
          <w:rFonts w:hint="cs"/>
          <w:sz w:val="24"/>
          <w:szCs w:val="24"/>
          <w:rtl/>
        </w:rPr>
        <w:t xml:space="preserve"> בשנים אלו הפיקוח על הבנקים לא הטיל מגבלה על שיעור המשכנתא מערך הדירה, אך שיעור מימון גבוה היה כרוך בדרישת הון גבוהה יותר כלפי הבנק</w:t>
      </w:r>
      <w:r>
        <w:rPr>
          <w:rStyle w:val="FootnoteReference1"/>
          <w:sz w:val="24"/>
          <w:szCs w:val="24"/>
          <w:rtl/>
        </w:rPr>
        <w:footnoteReference w:id="86"/>
      </w:r>
      <w:r w:rsidRPr="004F3E4D">
        <w:rPr>
          <w:rFonts w:hint="cs"/>
          <w:sz w:val="24"/>
          <w:szCs w:val="24"/>
          <w:rtl/>
        </w:rPr>
        <w:t>. הפיקוח עודד לקיחת משכנתא של עד 70% מערך הדירה באמצעות הקצאת הון נמוכה יחסית</w:t>
      </w:r>
      <w:r>
        <w:rPr>
          <w:sz w:val="24"/>
          <w:szCs w:val="24"/>
          <w:vertAlign w:val="superscript"/>
          <w:rtl/>
        </w:rPr>
        <w:footnoteReference w:id="87"/>
      </w:r>
      <w:r w:rsidRPr="004F3E4D">
        <w:rPr>
          <w:rFonts w:hint="cs"/>
          <w:sz w:val="24"/>
          <w:szCs w:val="24"/>
          <w:rtl/>
        </w:rPr>
        <w:t xml:space="preserve">, כך ששיעור המימון המקובל בזמנו על משכנתאות מבנקים נע בין 60% - 70% מערך הדירה הנרכשת בנוסף, הוראות בנק ישראל אפשרו ללווים </w:t>
      </w:r>
      <w:r w:rsidRPr="004F3E4D">
        <w:rPr>
          <w:sz w:val="24"/>
          <w:szCs w:val="24"/>
          <w:rtl/>
        </w:rPr>
        <w:t>לבטח את המשכנתא</w:t>
      </w:r>
      <w:r w:rsidRPr="004F3E4D">
        <w:rPr>
          <w:rFonts w:hint="cs"/>
          <w:sz w:val="24"/>
          <w:szCs w:val="24"/>
          <w:rtl/>
        </w:rPr>
        <w:t xml:space="preserve"> </w:t>
      </w:r>
      <w:r w:rsidRPr="004F3E4D">
        <w:rPr>
          <w:sz w:val="24"/>
          <w:szCs w:val="24"/>
          <w:rtl/>
        </w:rPr>
        <w:t>בחברת ביטוח חיצונית</w:t>
      </w:r>
      <w:r>
        <w:rPr>
          <w:sz w:val="24"/>
          <w:szCs w:val="24"/>
          <w:vertAlign w:val="superscript"/>
          <w:rtl/>
        </w:rPr>
        <w:footnoteReference w:id="88"/>
      </w:r>
      <w:r w:rsidRPr="004F3E4D">
        <w:rPr>
          <w:sz w:val="24"/>
          <w:szCs w:val="24"/>
          <w:rtl/>
        </w:rPr>
        <w:t xml:space="preserve"> </w:t>
      </w:r>
      <w:r w:rsidRPr="004F3E4D">
        <w:rPr>
          <w:rFonts w:hint="cs"/>
          <w:sz w:val="24"/>
          <w:szCs w:val="24"/>
          <w:rtl/>
        </w:rPr>
        <w:t>בעסקאות בהן שיעור המימון היה מעל 60% ולהגדיל את שיעור המימון עד 80% ממחיר הנכס בתמורה לתשלום נוסף לחברת ביטוח</w:t>
      </w:r>
      <w:r>
        <w:rPr>
          <w:rFonts w:hint="cs"/>
          <w:sz w:val="24"/>
          <w:szCs w:val="24"/>
        </w:rPr>
        <w:t xml:space="preserve"> </w:t>
      </w:r>
      <w:r>
        <w:rPr>
          <w:rStyle w:val="FootnoteReference1"/>
        </w:rPr>
        <w:footnoteReference w:id="89"/>
      </w:r>
      <w:r w:rsidRPr="004F3E4D">
        <w:rPr>
          <w:rFonts w:hint="cs"/>
          <w:sz w:val="24"/>
          <w:szCs w:val="24"/>
          <w:rtl/>
        </w:rPr>
        <w:t>.</w:t>
      </w:r>
    </w:p>
    <w:p w:rsidR="00B748E3"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בנובמבר</w:t>
      </w:r>
      <w:r w:rsidRPr="001F2586">
        <w:rPr>
          <w:rFonts w:eastAsia="Calibri"/>
          <w:rtl/>
        </w:rPr>
        <w:t xml:space="preserve"> 2012 הפיקוח על הבנקים הגביל</w:t>
      </w:r>
      <w:r w:rsidRPr="001F2586">
        <w:rPr>
          <w:rFonts w:eastAsia="Calibri" w:hint="cs"/>
          <w:rtl/>
        </w:rPr>
        <w:t xml:space="preserve"> כאמור </w:t>
      </w:r>
      <w:r w:rsidRPr="001F2586">
        <w:rPr>
          <w:rFonts w:eastAsia="Calibri"/>
          <w:rtl/>
        </w:rPr>
        <w:t xml:space="preserve">את שיעור המימון </w:t>
      </w:r>
      <w:r w:rsidRPr="001F2586">
        <w:rPr>
          <w:rFonts w:eastAsia="Calibri"/>
          <w:rtl/>
        </w:rPr>
        <w:t>לרוכשי</w:t>
      </w:r>
      <w:r w:rsidRPr="001F2586">
        <w:rPr>
          <w:rFonts w:eastAsia="Calibri"/>
          <w:rtl/>
        </w:rPr>
        <w:t xml:space="preserve"> הדירות על הלוואות </w:t>
      </w:r>
      <w:r w:rsidRPr="001F2586">
        <w:rPr>
          <w:rFonts w:eastAsia="Calibri" w:hint="cs"/>
          <w:rtl/>
        </w:rPr>
        <w:t xml:space="preserve">לדיור בהתאם לסוג הנכס הנרכש בשל גידול בהלוואות לדיור בשיעורי מימון גבוהים. </w:t>
      </w:r>
      <w:r w:rsidRPr="001F2586">
        <w:rPr>
          <w:rFonts w:eastAsia="Calibri"/>
          <w:sz w:val="24"/>
          <w:rtl/>
        </w:rPr>
        <w:t>מגבלת שיעור המימון כאמור לא השתנתה משנת 2012 למעט הקלות כאמור שניתנו במקרים מסוימים של הלוואות לזכאים לדירה במחיר מופחת ובהלוואות לכל מטרה</w:t>
      </w:r>
      <w:r>
        <w:rPr>
          <w:rFonts w:eastAsia="Calibri"/>
          <w:vertAlign w:val="superscript"/>
          <w:rtl/>
        </w:rPr>
        <w:footnoteReference w:id="90"/>
      </w:r>
      <w:r w:rsidRPr="001F2586">
        <w:rPr>
          <w:rFonts w:eastAsia="Calibri" w:hint="cs"/>
          <w:sz w:val="24"/>
          <w:rtl/>
        </w:rPr>
        <w:t xml:space="preserve">. </w:t>
      </w:r>
      <w:r w:rsidRPr="001F2586">
        <w:rPr>
          <w:rFonts w:eastAsia="Calibri" w:hint="cs"/>
          <w:rtl/>
        </w:rPr>
        <w:t xml:space="preserve">באוקטובר 2016 קבע המפקח על הבנקים כי </w:t>
      </w:r>
      <w:r w:rsidRPr="001F2586">
        <w:rPr>
          <w:rFonts w:eastAsia="Calibri"/>
          <w:rtl/>
        </w:rPr>
        <w:t xml:space="preserve">משכנתא ללווים </w:t>
      </w:r>
      <w:r w:rsidRPr="001F2586">
        <w:rPr>
          <w:rFonts w:eastAsia="Calibri" w:hint="cs"/>
          <w:rtl/>
        </w:rPr>
        <w:t xml:space="preserve">הרוכשים דירה במחיר מופחת </w:t>
      </w:r>
      <w:r w:rsidRPr="001F2586">
        <w:rPr>
          <w:rFonts w:eastAsia="Calibri"/>
          <w:rtl/>
        </w:rPr>
        <w:t xml:space="preserve">תחושב לפי שווי השוק של הדירה ולא מחיר הרכישה בפועל, ובלבד שההון העצמי הוא לפחות 100 אלף ש"ח ושווי הדירה אינו גבוה </w:t>
      </w:r>
      <w:r w:rsidRPr="001F2586">
        <w:rPr>
          <w:rFonts w:eastAsia="Calibri"/>
          <w:rtl/>
        </w:rPr>
        <w:br/>
        <w:t>מ-1.8 מ</w:t>
      </w:r>
      <w:r w:rsidRPr="001F2586">
        <w:rPr>
          <w:rFonts w:eastAsia="Calibri" w:hint="cs"/>
          <w:rtl/>
        </w:rPr>
        <w:t>י</w:t>
      </w:r>
      <w:r w:rsidRPr="001F2586">
        <w:rPr>
          <w:rFonts w:eastAsia="Calibri"/>
          <w:rtl/>
        </w:rPr>
        <w:t xml:space="preserve">ליון ש"ח. </w:t>
      </w:r>
      <w:r w:rsidRPr="001F2586">
        <w:rPr>
          <w:rFonts w:eastAsia="Calibri" w:hint="cs"/>
          <w:rtl/>
        </w:rPr>
        <w:t>במהלך הביקורת הפיקוח על הבנקים עדכן את סכום תקרת שווי הנכס הנרכש מ-1.8 מיליון ש"ח לסך של 2.1 מיליון ש"ח, וזאת "...בהתאמה לשיעור עליית מדד המחירים לצרכן". בשנת 2020 במשבר הקורונה הפיקוח על הבנקים אפשר לבנקים באופן זמני להעניק הלוואות לכל מטרה בשיעור מימון של עד 70% במקום שיעור מימון של 50%</w:t>
      </w:r>
      <w:r>
        <w:rPr>
          <w:rFonts w:eastAsia="Calibri"/>
          <w:vertAlign w:val="superscript"/>
          <w:rtl/>
        </w:rPr>
        <w:footnoteReference w:id="91"/>
      </w:r>
      <w:r w:rsidRPr="001F2586">
        <w:rPr>
          <w:rFonts w:eastAsia="Calibri" w:hint="cs"/>
          <w:rtl/>
        </w:rPr>
        <w:t>, וכך גם במהלך מלחמת חרבות ברזל כאמור. הפיקוח קבע הקלה זו בשיעור המימון "...</w:t>
      </w:r>
      <w:r w:rsidRPr="001F2586">
        <w:rPr>
          <w:rFonts w:eastAsia="Calibri"/>
          <w:rtl/>
        </w:rPr>
        <w:t>במטרה לסייע לציבור ולתת</w:t>
      </w:r>
      <w:r w:rsidRPr="001F2586">
        <w:rPr>
          <w:rFonts w:eastAsia="Calibri" w:hint="cs"/>
          <w:rtl/>
        </w:rPr>
        <w:t xml:space="preserve"> </w:t>
      </w:r>
      <w:r w:rsidRPr="001F2586">
        <w:rPr>
          <w:rFonts w:eastAsia="Calibri"/>
          <w:rtl/>
        </w:rPr>
        <w:t>מענה לצורכי האשראי של משקי הבית</w:t>
      </w:r>
      <w:r w:rsidRPr="001F2586">
        <w:rPr>
          <w:rFonts w:eastAsia="Calibri" w:hint="cs"/>
          <w:rtl/>
        </w:rPr>
        <w:t xml:space="preserve">...". יצוין כאמור כי בתקופת הביקורת החליט הפיקוח על הבנקים לקבע </w:t>
      </w:r>
      <w:r w:rsidRPr="001F2586">
        <w:rPr>
          <w:rFonts w:eastAsia="Calibri"/>
          <w:rtl/>
        </w:rPr>
        <w:t>הקלה זו</w:t>
      </w:r>
      <w:r w:rsidRPr="001F2586">
        <w:rPr>
          <w:rFonts w:eastAsia="Calibri" w:hint="cs"/>
          <w:rtl/>
        </w:rPr>
        <w:t xml:space="preserve"> כך שלווה יוכל לקבל הלוואה נוספת על הנכס - הלוואה לכל מטרה - בשיעור מימון של עד 70% במקום 50%, ובלבד שסכום ההלוואה שמעל שיעור מימון של 50% לא יעלה על 200,000 ש"ח</w:t>
      </w:r>
      <w:r>
        <w:rPr>
          <w:rFonts w:eastAsia="Calibri"/>
          <w:vertAlign w:val="superscript"/>
          <w:rtl/>
        </w:rPr>
        <w:footnoteReference w:id="92"/>
      </w:r>
      <w:r w:rsidRPr="001F2586">
        <w:rPr>
          <w:rFonts w:eastAsia="Calibri"/>
          <w:rtl/>
        </w:rPr>
        <w:t>.</w:t>
      </w:r>
    </w:p>
    <w:p w:rsidR="001F2586" w:rsidRPr="001F2586" w:rsidP="001F2586">
      <w:pPr>
        <w:spacing w:line="269" w:lineRule="auto"/>
        <w:rPr>
          <w:rFonts w:eastAsia="Calibri"/>
          <w:rtl/>
        </w:rPr>
      </w:pPr>
    </w:p>
    <w:p w:rsidR="001F2586" w:rsidRPr="001F2586" w:rsidP="001F2586">
      <w:pPr>
        <w:keepNext/>
        <w:keepLines/>
        <w:spacing w:line="269" w:lineRule="auto"/>
        <w:outlineLvl w:val="5"/>
        <w:rPr>
          <w:rFonts w:eastAsia="Times New Roman"/>
          <w:spacing w:val="40"/>
          <w:rtl/>
        </w:rPr>
      </w:pPr>
      <w:r w:rsidRPr="001F2586">
        <w:rPr>
          <w:rFonts w:eastAsia="Times New Roman" w:hint="cs"/>
          <w:spacing w:val="40"/>
          <w:rtl/>
        </w:rPr>
        <w:t>סנכרון ופיקוח במערכת הבנקאית ומחוצה לה בנוגע להון העצמי הנדרש</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תכלית מגבלת שיעור המימון היא חיזוק חוסן הלווים וצמצום הפסדים למערכת הבנקאית בתקופות של שפל באמצעות דרישה להון עצמי בשיעור גבוה המפחית את שיעור המינוף. הגבלת שיעור המימון מפחיתה את הסיכון בתיק האשראי לדיור ומצמצמת את הסיכון המובנה בנטילת הלוואה לדיור עם שיעור מימון גבוה, בכך מפחיתה את הסבירות להתממשות משבר בשוק הנדל"ן</w:t>
      </w:r>
      <w:r>
        <w:rPr>
          <w:rFonts w:eastAsia="Calibri"/>
          <w:vertAlign w:val="superscript"/>
          <w:rtl/>
        </w:rPr>
        <w:footnoteReference w:id="93"/>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חוזר הפיקוח שהופץ ב-6.10.21 מספק תשובות לשאלות שהעלו תאגידים בנקאיים בנוגע למתן הלוואות לדיור. בחוזר זה הובהר בין היתר כי תאגיד בנקאי אינו רשאי להעמיד ללווה הלוואה נוספת ללווה המיועדת לשמש הון עצמי לצורך רכישת דירה</w:t>
      </w:r>
      <w:r>
        <w:rPr>
          <w:rFonts w:eastAsia="Calibri"/>
          <w:vertAlign w:val="superscript"/>
          <w:rtl/>
        </w:rPr>
        <w:footnoteReference w:id="94"/>
      </w:r>
      <w:r w:rsidRPr="001F2586">
        <w:rPr>
          <w:rFonts w:eastAsia="Calibri" w:hint="cs"/>
          <w:rtl/>
        </w:rPr>
        <w:t>. כלומר כל אשראי נוסף שיעמיד בנק ללווה יהיה במנותק מעסקת רכישת הדירה וייבחן על פי תבחינים הנהוגים בבנקים ביחס לסוג האשראי הנוסף. אף על פי כן נקבעו כמה הקלות בנוגע לרכישת דירה חליפית</w:t>
      </w:r>
      <w:r>
        <w:rPr>
          <w:rFonts w:eastAsia="Calibri"/>
          <w:vertAlign w:val="superscript"/>
          <w:rtl/>
        </w:rPr>
        <w:footnoteReference w:id="95"/>
      </w:r>
      <w:r w:rsidRPr="001F2586">
        <w:rPr>
          <w:rFonts w:eastAsia="Calibri" w:hint="cs"/>
          <w:rtl/>
        </w:rPr>
        <w:t xml:space="preserve"> ולמתן סיוע לצורך השלמת מימון בהון עצמי מצד שלישי ובלבד שמדובר על קרוב משפחה מדרגה ראשונה</w:t>
      </w:r>
      <w:r>
        <w:rPr>
          <w:rFonts w:eastAsia="Calibri"/>
          <w:vertAlign w:val="superscript"/>
          <w:rtl/>
        </w:rPr>
        <w:footnoteReference w:id="96"/>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בהוראת דיווח 878</w:t>
      </w:r>
      <w:r>
        <w:rPr>
          <w:rFonts w:eastAsia="Calibri"/>
          <w:vertAlign w:val="superscript"/>
          <w:rtl/>
        </w:rPr>
        <w:footnoteReference w:id="97"/>
      </w:r>
      <w:r w:rsidRPr="001F2586">
        <w:rPr>
          <w:rFonts w:eastAsia="Calibri" w:hint="cs"/>
          <w:rtl/>
        </w:rPr>
        <w:t xml:space="preserve"> קבע הפיקוח על הבנקים חובות דיווח החלות על כל תאגיד בנקאי שיתרת האשראי לדיור שהעמיד עולה על חמישה מיליארד ש"ח. במסגרת זו נדרשים הבנקים להעביר לפיקוח בין היתר דיווח על סך הנכסים המשועבדים לצורך חישוב שיעור המימון ואת יחס ההלוואה לשווי הנכסים המשועבדים. נוסף על כך הפיקוח פועל במגוון רחב של כלים לצורך ניטור שוטף וביצוע ביקורות, סקירות, מבחני קיצון והערכות תקופתיות. הפיקוח מנחה באופן תדיר את הבנקים בנושאים שונים, לרבות ניהול סיכונים זהיר, ציות להוראות והוגנות כלפי לקוחות. פעילות הפיקוח מעוררת את המודעות לגבי תחומים שבהם מועברים מסרים לבנקים באמצעים שונים, בהם פרסומים של מכתבים פיקוחיים ושאלות ותשובות להוראות ניהול בנקאי תקין. שימוש במגוון כלי הפיקוח מאפשר לפיקוח לעקוב אחר יישום הוראותיו בקרב הבנקים ולזהות בין היתר את השינויים בהתפלגות שיעורי המימון בעסקאות מסוגים שונים כדי לבחון את העמידה בשיעורי המימון, כפי שקבע בהוראה 329.</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כל בנק רשאי להציע תנאים שונים או מגבלות נוספות לאלה שנקבעו בהוראה 329 להעמדת הלוואות לדיור. עם זאת, ככלל, תהליך בחינת מתן הלוואות לדיור זהה בבנקים וכולל שני שלבים. השלב הראשון, מתן אישור עקרוני, מתבסס על הצהרות הרוכשים, בעוד שבשלב השני, בו ניתן האישור הסופי להעמדת ההלוואה, כולל בדיקה מקיפה של מסמכי הרוכשים והנכס כדי להעריך את יכולת הרוכשים לעמוד בהחזר ההלוואה לדיור שנטלו ולאורך תקופת ההלוואה</w:t>
      </w:r>
      <w:r>
        <w:rPr>
          <w:rFonts w:eastAsia="Calibri"/>
          <w:vertAlign w:val="superscript"/>
          <w:rtl/>
        </w:rPr>
        <w:footnoteReference w:id="98"/>
      </w:r>
      <w:r w:rsidRPr="001F2586">
        <w:rPr>
          <w:rFonts w:eastAsia="Calibri" w:hint="cs"/>
          <w:rtl/>
        </w:rPr>
        <w:t>. במסגרת זו בנקים משתמשים במערכות שונות, בהן מערכת נתוני אשראי של בנק ישראל, כדי להצליב מידע פיננסי על לווים ולהבטיח עמידה בהוראות הפיקוח.</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בסעיף 19א להוראה 451 נקבע כי תאגיד בנקאי לא יסרב סירוב בלתי סביר לבקשת לווה למתן הסכמתו לשעבוד נכס בדרגה שנייה לטובת גורם אחר. נטילת הלוואה מדרגה שנייה אינה פוגעת בתנאי ההלוואה שהועמדה מדרגה ראשונה ויכולה לסייע במקרים שונים, בייחוד בהשלמת מקורות מימון להשלמת עסקה. אף על פי כן הפרקטיקה הנהוגה במערכת הבנקאית מבוססת על ניהול סיכונים קפדני ואינה תומכת ברישום שעבוד של כמה הלוואות לדיור על נכס מסוים.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להבדיל מן המערכת הבנקאית, גופים חוץ-בנקאיים, ובהם בין היתר חברות ביטוח, קרנות פנסיה וגופי מימון פרטיים, מציעים פתרונות אשראי מגוונים לאוכלוסיות שונות, במיוחד </w:t>
      </w:r>
      <w:r w:rsidRPr="001F2586">
        <w:rPr>
          <w:rFonts w:eastAsia="Calibri" w:hint="cs"/>
          <w:rtl/>
        </w:rPr>
        <w:t>לרוכשי</w:t>
      </w:r>
      <w:r w:rsidRPr="001F2586">
        <w:rPr>
          <w:rFonts w:eastAsia="Calibri" w:hint="cs"/>
          <w:rtl/>
        </w:rPr>
        <w:t xml:space="preserve"> דירות שמיצו את מקורות האשראי האפשריים במערכת הבנקאית ונדרשים למקורות כספיים נוספים להשלמת הרכישה. גופים חוץ-בנקאיים אינם כפופים להוראות הפיקוח על הבנקים ומגלים גמישות רבה בקריטריונים לאישור מינוף בשיעור גבוה מזה שהוגבל בהוראת הפיקוח וברישום שעבוד מדרגה שנייה. עם זאת, לנוכח הסיכון העומד לאותם גופים בהעמדת הלוואה בשעבוד </w:t>
      </w:r>
      <w:r w:rsidRPr="001F2586">
        <w:rPr>
          <w:rFonts w:eastAsia="Calibri" w:hint="cs"/>
          <w:rtl/>
        </w:rPr>
        <w:t>מדרגה שנייה, מדובר ככלל על הלוואות בשיעורי ריביות גבוהים מאלה הנהוגים במערכת הבנקאית. לא זאת בלבד אלא שפרק הזמן לפירעון ההלוואה עלול להיות קצר יותר ולהגדיל את סך ההחזר החודשי בהשוואה לפריסת החזר הלוואה על פני תקופת זמן ארוכה.</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b/>
          <w:bCs/>
          <w:rtl/>
        </w:rPr>
      </w:pPr>
      <w:bookmarkStart w:id="23" w:name="_Hlk222765228"/>
      <w:r w:rsidRPr="001F2586">
        <w:rPr>
          <w:rFonts w:ascii="David" w:eastAsia="Calibri" w:hAnsi="David" w:hint="cs"/>
          <w:b/>
          <w:bCs/>
          <w:rtl/>
        </w:rPr>
        <w:t xml:space="preserve">נמצא כי הפיקוח על הבנקים מקיים מערך של דיווח ובקרה על עמידה של הלווים בדרישת ההון העצמי המינימאלי במתן משכנתאות. עם זאת העמדת אשראי נוסף ללווים על ידי גופים </w:t>
      </w:r>
      <w:r w:rsidRPr="001F2586">
        <w:rPr>
          <w:rFonts w:ascii="David" w:eastAsia="Calibri" w:hAnsi="David"/>
          <w:b/>
          <w:bCs/>
          <w:rtl/>
        </w:rPr>
        <w:t>חוץ-בנקאיים</w:t>
      </w:r>
      <w:r w:rsidRPr="001F2586">
        <w:rPr>
          <w:rFonts w:ascii="David" w:eastAsia="Calibri" w:hAnsi="David" w:hint="cs"/>
          <w:b/>
          <w:bCs/>
          <w:rtl/>
        </w:rPr>
        <w:t>, לאחר שמיצו את מקורות האשראי במערכת הבנקאית,</w:t>
      </w:r>
      <w:r w:rsidRPr="001F2586">
        <w:rPr>
          <w:rFonts w:ascii="David" w:eastAsia="Calibri" w:hAnsi="David"/>
          <w:b/>
          <w:bCs/>
          <w:rtl/>
        </w:rPr>
        <w:t xml:space="preserve"> </w:t>
      </w:r>
      <w:r w:rsidRPr="001F2586">
        <w:rPr>
          <w:rFonts w:ascii="David" w:eastAsia="Calibri" w:hAnsi="David" w:hint="cs"/>
          <w:b/>
          <w:bCs/>
          <w:rtl/>
        </w:rPr>
        <w:t>מגדילה את שיעורי</w:t>
      </w:r>
      <w:r w:rsidRPr="001F2586">
        <w:rPr>
          <w:rFonts w:ascii="David" w:eastAsia="Calibri" w:hAnsi="David"/>
          <w:b/>
          <w:bCs/>
          <w:rtl/>
        </w:rPr>
        <w:t xml:space="preserve"> </w:t>
      </w:r>
      <w:r w:rsidRPr="001F2586">
        <w:rPr>
          <w:rFonts w:ascii="David" w:eastAsia="Calibri" w:hAnsi="David" w:hint="cs"/>
          <w:b/>
          <w:bCs/>
          <w:rtl/>
        </w:rPr>
        <w:t>המימון</w:t>
      </w:r>
      <w:r w:rsidRPr="001F2586">
        <w:rPr>
          <w:rFonts w:ascii="David" w:eastAsia="Calibri" w:hAnsi="David"/>
          <w:b/>
          <w:bCs/>
          <w:rtl/>
        </w:rPr>
        <w:t xml:space="preserve"> </w:t>
      </w:r>
      <w:r w:rsidRPr="001F2586">
        <w:rPr>
          <w:rFonts w:ascii="David" w:eastAsia="Calibri" w:hAnsi="David" w:hint="cs"/>
          <w:b/>
          <w:bCs/>
          <w:rtl/>
        </w:rPr>
        <w:t>הקבועים</w:t>
      </w:r>
      <w:r w:rsidRPr="001F2586">
        <w:rPr>
          <w:rFonts w:ascii="David" w:eastAsia="Calibri" w:hAnsi="David"/>
          <w:b/>
          <w:bCs/>
          <w:rtl/>
        </w:rPr>
        <w:t xml:space="preserve"> ב</w:t>
      </w:r>
      <w:r w:rsidRPr="001F2586">
        <w:rPr>
          <w:rFonts w:ascii="David" w:eastAsia="Calibri" w:hAnsi="David" w:hint="cs"/>
          <w:b/>
          <w:bCs/>
          <w:rtl/>
        </w:rPr>
        <w:t>הוראת הפיקוח על הבנקים</w:t>
      </w:r>
      <w:r w:rsidRPr="001F2586">
        <w:rPr>
          <w:rFonts w:ascii="David" w:eastAsia="Calibri" w:hAnsi="David"/>
          <w:b/>
          <w:bCs/>
          <w:rtl/>
        </w:rPr>
        <w:t>, אגב הטלת סיכון גדול על הרוכשים</w:t>
      </w:r>
      <w:r w:rsidRPr="001F2586">
        <w:rPr>
          <w:rFonts w:ascii="David" w:eastAsia="Calibri" w:hAnsi="David" w:hint="cs"/>
          <w:b/>
          <w:bCs/>
          <w:rtl/>
        </w:rPr>
        <w:t xml:space="preserve">, התייקרות מחיר האשראי למגורים, </w:t>
      </w:r>
      <w:bookmarkEnd w:id="23"/>
      <w:r w:rsidRPr="001F2586">
        <w:rPr>
          <w:rFonts w:ascii="David" w:eastAsia="Calibri" w:hAnsi="David" w:hint="cs"/>
          <w:b/>
          <w:bCs/>
          <w:rtl/>
        </w:rPr>
        <w:t>והגדלת ה</w:t>
      </w:r>
      <w:r w:rsidRPr="001F2586">
        <w:rPr>
          <w:rFonts w:ascii="David" w:eastAsia="Calibri" w:hAnsi="David"/>
          <w:b/>
          <w:bCs/>
          <w:rtl/>
        </w:rPr>
        <w:t xml:space="preserve">סבירות להתממשות משבר בשוק </w:t>
      </w:r>
      <w:r w:rsidRPr="001F2586">
        <w:rPr>
          <w:rFonts w:ascii="David" w:eastAsia="Calibri" w:hAnsi="David" w:hint="cs"/>
          <w:b/>
          <w:bCs/>
          <w:rtl/>
        </w:rPr>
        <w:t>הדיור</w:t>
      </w:r>
      <w:r w:rsidRPr="001F2586">
        <w:rPr>
          <w:rFonts w:ascii="David" w:eastAsia="Calibri" w:hAnsi="David"/>
          <w:b/>
          <w:bCs/>
          <w:rtl/>
        </w:rPr>
        <w:t>.</w:t>
      </w:r>
      <w:r w:rsidRPr="001F2586">
        <w:rPr>
          <w:rFonts w:ascii="David" w:eastAsia="Calibri" w:hAnsi="David" w:hint="cs"/>
          <w:b/>
          <w:bCs/>
          <w:rtl/>
        </w:rPr>
        <w:t xml:space="preserve"> כמו כן, לא נמצא כי קיים תיאום של הפיקוח על הבנקים ורשות שוק ההון בעניי</w:t>
      </w:r>
      <w:r w:rsidRPr="001F2586">
        <w:rPr>
          <w:rFonts w:ascii="David" w:eastAsia="Calibri" w:hAnsi="David" w:hint="eastAsia"/>
          <w:b/>
          <w:bCs/>
          <w:rtl/>
        </w:rPr>
        <w:t>ן</w:t>
      </w:r>
      <w:r w:rsidRPr="001F2586">
        <w:rPr>
          <w:rFonts w:ascii="David" w:eastAsia="Calibri" w:hAnsi="David" w:hint="cs"/>
          <w:b/>
          <w:bCs/>
          <w:rtl/>
        </w:rPr>
        <w:t xml:space="preserve"> עמידת הלווים במגבלת ההון עצמי המינימאלי שקבע הפיקוח, כך שלווים יכולים לקחת הלוואות משלימות מגופים חוץ בנקאיים ולא לעמוד בדרישות ההון העצמי.</w:t>
      </w:r>
      <w:r w:rsidRPr="001F2586">
        <w:rPr>
          <w:rFonts w:ascii="David" w:eastAsia="Calibri" w:hAnsi="David"/>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ascii="David" w:eastAsia="Calibri" w:hAnsi="David" w:hint="cs"/>
          <w:b/>
          <w:bCs/>
          <w:rtl/>
        </w:rPr>
        <w:t xml:space="preserve">מומלץ כי הפיקוח על הבנקים ורשות שוק ההון יבחנו במשותף דרכים </w:t>
      </w:r>
      <w:r w:rsidRPr="001F2586">
        <w:rPr>
          <w:rFonts w:ascii="David" w:eastAsia="Calibri" w:hAnsi="David" w:hint="eastAsia"/>
          <w:b/>
          <w:bCs/>
          <w:rtl/>
        </w:rPr>
        <w:t>להבטחת</w:t>
      </w:r>
      <w:r w:rsidRPr="001F2586">
        <w:rPr>
          <w:rFonts w:ascii="David" w:eastAsia="Calibri" w:hAnsi="David"/>
          <w:b/>
          <w:bCs/>
          <w:rtl/>
        </w:rPr>
        <w:t xml:space="preserve"> </w:t>
      </w:r>
      <w:r w:rsidRPr="001F2586">
        <w:rPr>
          <w:rFonts w:ascii="David" w:eastAsia="Calibri" w:hAnsi="David" w:hint="cs"/>
          <w:b/>
          <w:bCs/>
          <w:rtl/>
        </w:rPr>
        <w:t xml:space="preserve">אפקטיביות הוראת הפיקוח, וכן יקדמו מהלכי הוגנות בקרב לווים </w:t>
      </w:r>
      <w:r w:rsidRPr="001F2586">
        <w:rPr>
          <w:rFonts w:ascii="David" w:eastAsia="Calibri" w:hAnsi="David" w:hint="eastAsia"/>
          <w:b/>
          <w:bCs/>
          <w:rtl/>
        </w:rPr>
        <w:t>על</w:t>
      </w:r>
      <w:r w:rsidRPr="001F2586">
        <w:rPr>
          <w:rFonts w:ascii="David" w:eastAsia="Calibri" w:hAnsi="David"/>
          <w:b/>
          <w:bCs/>
          <w:rtl/>
        </w:rPr>
        <w:t xml:space="preserve"> </w:t>
      </w:r>
      <w:r w:rsidRPr="001F2586">
        <w:rPr>
          <w:rFonts w:ascii="David" w:eastAsia="Calibri" w:hAnsi="David" w:hint="eastAsia"/>
          <w:b/>
          <w:bCs/>
          <w:rtl/>
        </w:rPr>
        <w:t>מנת</w:t>
      </w:r>
      <w:r w:rsidRPr="001F2586">
        <w:rPr>
          <w:rFonts w:ascii="David" w:eastAsia="Calibri" w:hAnsi="David"/>
          <w:b/>
          <w:bCs/>
          <w:rtl/>
        </w:rPr>
        <w:t xml:space="preserve"> </w:t>
      </w:r>
      <w:r w:rsidRPr="001F2586">
        <w:rPr>
          <w:rFonts w:ascii="David" w:eastAsia="Calibri" w:hAnsi="David" w:hint="eastAsia"/>
          <w:b/>
          <w:bCs/>
          <w:rtl/>
        </w:rPr>
        <w:t>להפחית</w:t>
      </w:r>
      <w:r w:rsidRPr="001F2586">
        <w:rPr>
          <w:rFonts w:ascii="David" w:eastAsia="Calibri" w:hAnsi="David" w:hint="cs"/>
          <w:b/>
          <w:bCs/>
          <w:rtl/>
        </w:rPr>
        <w:t xml:space="preserve"> את הסיכון המערכתי להתממשות משבר בשוק הדיור.</w:t>
      </w:r>
    </w:p>
    <w:p w:rsidR="001F2586" w:rsidRPr="001F2586" w:rsidP="001F2586">
      <w:pPr>
        <w:spacing w:line="269" w:lineRule="auto"/>
        <w:rPr>
          <w:rFonts w:eastAsia="Calibri"/>
          <w:rtl/>
        </w:rPr>
      </w:pPr>
    </w:p>
    <w:p w:rsidR="001F2586" w:rsidRPr="001F2586" w:rsidP="001F2586">
      <w:pPr>
        <w:keepNext/>
        <w:keepLines/>
        <w:spacing w:line="269" w:lineRule="auto"/>
        <w:outlineLvl w:val="5"/>
        <w:rPr>
          <w:rFonts w:eastAsia="Times New Roman"/>
          <w:spacing w:val="40"/>
          <w:rtl/>
        </w:rPr>
      </w:pPr>
      <w:r w:rsidRPr="001F2586">
        <w:rPr>
          <w:rFonts w:eastAsia="Times New Roman" w:hint="cs"/>
          <w:spacing w:val="40"/>
          <w:rtl/>
        </w:rPr>
        <w:t>עדכון שיעור המימון לזכאים לדירות במחיר מופחת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שיעור המימון הוגדר כאמור בהוראת הדיווח לפיקוח מספר 876, כיחס בין מסגרת האשראי המאושרת בעת העמדתה לבין שווי הנכס כפי שאישר הבנק בעת העמדת המסגרת וכפי שמחושב לצורך מדידה והלימות הון. לפי הוראת הדיווח שווי הנכס לא יעלה על הנמוך מבין הערכת השמאי ועלות הנכס בהסכם הרכישה, או על עלות צפויה בנכס בבניה או קבוצת רכישה</w:t>
      </w:r>
      <w:r>
        <w:rPr>
          <w:rFonts w:eastAsia="Calibri"/>
          <w:vertAlign w:val="superscript"/>
          <w:rtl/>
        </w:rPr>
        <w:footnoteReference w:id="99"/>
      </w:r>
      <w:r w:rsidRPr="001F2586">
        <w:rPr>
          <w:rFonts w:eastAsia="Calibri" w:hint="cs"/>
          <w:rtl/>
        </w:rPr>
        <w:t>. כאמור, לשיעור המימון השפעה מכרעת על היכולת של רוכשים להשלים עסקאות. שיעור המימון קובע את גובה המסגרת ביחס לשווי הנכס, ולכן משפיע על רמת הסיכון הכרוכה בעסקה, על גובה הריביות במסלולי ההלוואה לדיור ועל גובה ההחזר החודשי. רוכשים שיעמידו הון עצמי גבוה לטובת עסקה מסוימת יידרשו לשיעור מימון נמוך באופן יחסי, שיתבטא לרוב בתנאים טובים יותר בבנקים, במיוחד בשיעור הריביות ובהחזרים החודשיים הנגזרים מהלוואת הדיור שנטלו.</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דירה במחיר מופחת מציעה לזכאים אפשרות לרכוש דירה במחיר נמוך משווי שוק, כך שמחיר הרכישה יהיה נמוך משווי הנכס שצפוי להתקבל לפי הערכת השמאי. ב-1.5.16 עדכן הפיקוח על הבנקים את הוראה 329 בחוזר שהופץ לתאגידים הבנקאיים (להלן - חוזר עדכון ההוראה)</w:t>
      </w:r>
      <w:r>
        <w:rPr>
          <w:rFonts w:eastAsia="Calibri"/>
          <w:vertAlign w:val="superscript"/>
          <w:rtl/>
        </w:rPr>
        <w:footnoteReference w:id="100"/>
      </w:r>
      <w:r w:rsidRPr="001F2586">
        <w:rPr>
          <w:rFonts w:eastAsia="Calibri" w:hint="cs"/>
          <w:rtl/>
        </w:rPr>
        <w:t xml:space="preserve">. בחוזר עדכון ההוראה נוסף סעיף 4א ובו נקבעו כללים לחישוב שווי נכס להלוואה לדירה במחיר מופחת, במטרה לתמוך ביכולת זכאים להשתתף בפרויקטים לרכישת דירה במחיר מופחת באמצעות עדכון חישוב שיעור המימון לרכישת דירה.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הכללים שנוספו בהתאם לחוזר עדכון ההוראה: (א) תאגיד בנקאי רשאי לבסס את שווי הנכס על הערכת שמאי במקום על מחיר הרכישה בפועל, ובלבד ששווין אינו עולה על 1.8 מיליון ש"ח; (ב) בדירות ששווין עולה על 1.8 מיליון ש"ח יבוסס השווי על הגבוה מבין 1.8 מיליון ש"ח ועלות הרכישה; (ג) על הרוכש לשלם לכל הפחות 100,000 ש"ח ממקורותיו; (ד) כאשר התוכנית כוללת קנס בגין הפרת תנאי התוכנית, יש להפחית סכום זה משווי הדירה אם במימוש הנכס לא קיימת לבנק זכות הקודמת לזכות המדינה לקבלת הקנס.</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בהתאם לחוזר עדכון ההוראה, במקרים בהם שווי הנכס לפי הערכת השמאי אינו עולה על 1.8 מיליון ש"ח החוזר מיטיב עם הזכאים, בכך שהערכת השמאי היא המוכרת כשווי הנכס חלף מחיר הרכישה. הפער בין מחיר הרכישה לבין הערכת השמאי מוכר כהון עצמי של הרוכש ועל כן מקטין את שיעור המימון לו יידרש ומסייע בעמידה בשיעור המימון המינימלי לרכישת הדירה. לעומת זאת, במקרים בהם שווי הנכס לפי הערכת השמאי עולה על 1.8 מיליון ש"ח, חוזר ההוראה אינו </w:t>
      </w:r>
      <w:r w:rsidRPr="001F2586">
        <w:rPr>
          <w:rFonts w:eastAsia="Calibri" w:hint="cs"/>
          <w:rtl/>
        </w:rPr>
        <w:t>מטיב באופן דומה עם הזכאים. כלומר, במקרים שבהם מחיר הרכישה נמוך מ-1.8 מיליון ש"ח שווי הנכס מוכר בסכום של 1.8 מיליון ש"ח, ואילו במקרים שבהם מחיר הרכישה גבוה מ-1.8 מיליון ש"ח שווי הנכס מוכר בהתאם למחיר הרכישה ולא לפי הערכת השמאי. התרשים להלן מציג את שווי הנכס להלוואה בהתאם להוראה 329 לפי הוראת הדיווח לפיקוח מספר 876 ולפי עדכון חוזר ההוראה מ-1.5.16.</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ind w:left="283" w:hanging="360"/>
        <w:jc w:val="center"/>
        <w:outlineLvl w:val="4"/>
        <w:rPr>
          <w:rFonts w:eastAsia="Calibri"/>
          <w:bCs/>
          <w:sz w:val="24"/>
          <w:rtl/>
        </w:rPr>
      </w:pPr>
      <w:r w:rsidRPr="001F2586">
        <w:rPr>
          <w:rFonts w:eastAsia="Calibri" w:hint="cs"/>
          <w:b/>
          <w:sz w:val="24"/>
          <w:rtl/>
        </w:rPr>
        <w:t>תרשים 12:</w:t>
      </w:r>
      <w:r w:rsidRPr="001F2586">
        <w:rPr>
          <w:rFonts w:eastAsia="Calibri" w:hint="cs"/>
          <w:bCs/>
          <w:sz w:val="24"/>
          <w:rtl/>
        </w:rPr>
        <w:t xml:space="preserve"> </w:t>
      </w:r>
      <w:r w:rsidRPr="001F2586">
        <w:rPr>
          <w:rFonts w:eastAsia="Calibri" w:hint="eastAsia"/>
          <w:bCs/>
          <w:sz w:val="24"/>
          <w:rtl/>
        </w:rPr>
        <w:t>שווי</w:t>
      </w:r>
      <w:r w:rsidRPr="001F2586">
        <w:rPr>
          <w:rFonts w:eastAsia="Calibri"/>
          <w:bCs/>
          <w:sz w:val="24"/>
          <w:rtl/>
        </w:rPr>
        <w:t xml:space="preserve"> </w:t>
      </w:r>
      <w:r w:rsidRPr="001F2586">
        <w:rPr>
          <w:rFonts w:eastAsia="Calibri" w:hint="eastAsia"/>
          <w:bCs/>
          <w:sz w:val="24"/>
          <w:rtl/>
        </w:rPr>
        <w:t>הנכס</w:t>
      </w:r>
      <w:r w:rsidRPr="001F2586">
        <w:rPr>
          <w:rFonts w:eastAsia="Calibri"/>
          <w:bCs/>
          <w:sz w:val="24"/>
          <w:rtl/>
        </w:rPr>
        <w:t xml:space="preserve"> </w:t>
      </w:r>
      <w:r w:rsidRPr="001F2586">
        <w:rPr>
          <w:rFonts w:eastAsia="Calibri" w:hint="eastAsia"/>
          <w:bCs/>
          <w:sz w:val="24"/>
          <w:rtl/>
        </w:rPr>
        <w:t>להלוואה</w:t>
      </w:r>
      <w:r w:rsidRPr="001F2586">
        <w:rPr>
          <w:rFonts w:eastAsia="Calibri"/>
          <w:bCs/>
          <w:sz w:val="24"/>
          <w:rtl/>
        </w:rPr>
        <w:t xml:space="preserve"> </w:t>
      </w:r>
      <w:r w:rsidRPr="001F2586">
        <w:rPr>
          <w:rFonts w:eastAsia="Calibri" w:hint="eastAsia"/>
          <w:bCs/>
          <w:sz w:val="24"/>
          <w:rtl/>
        </w:rPr>
        <w:t>בהתאם</w:t>
      </w:r>
      <w:r w:rsidRPr="001F2586">
        <w:rPr>
          <w:rFonts w:eastAsia="Calibri"/>
          <w:bCs/>
          <w:sz w:val="24"/>
          <w:rtl/>
        </w:rPr>
        <w:t xml:space="preserve"> </w:t>
      </w:r>
      <w:r w:rsidRPr="001F2586">
        <w:rPr>
          <w:rFonts w:eastAsia="Calibri" w:hint="eastAsia"/>
          <w:bCs/>
          <w:sz w:val="24"/>
          <w:rtl/>
        </w:rPr>
        <w:t>להוראה</w:t>
      </w:r>
      <w:r w:rsidRPr="001F2586">
        <w:rPr>
          <w:rFonts w:eastAsia="Calibri"/>
          <w:bCs/>
          <w:sz w:val="24"/>
          <w:rtl/>
        </w:rPr>
        <w:t xml:space="preserve"> 329 </w:t>
      </w:r>
      <w:r w:rsidRPr="001F2586">
        <w:rPr>
          <w:rFonts w:eastAsia="Calibri" w:hint="eastAsia"/>
          <w:bCs/>
          <w:sz w:val="24"/>
          <w:rtl/>
        </w:rPr>
        <w:t>לפי</w:t>
      </w:r>
      <w:r w:rsidRPr="001F2586">
        <w:rPr>
          <w:rFonts w:eastAsia="Calibri"/>
          <w:bCs/>
          <w:sz w:val="24"/>
          <w:rtl/>
        </w:rPr>
        <w:t xml:space="preserve"> </w:t>
      </w:r>
      <w:r w:rsidRPr="001F2586">
        <w:rPr>
          <w:rFonts w:eastAsia="Calibri" w:hint="eastAsia"/>
          <w:bCs/>
          <w:sz w:val="24"/>
          <w:rtl/>
        </w:rPr>
        <w:t>הוראת</w:t>
      </w:r>
      <w:r w:rsidRPr="001F2586">
        <w:rPr>
          <w:rFonts w:eastAsia="Calibri"/>
          <w:bCs/>
          <w:sz w:val="24"/>
          <w:rtl/>
        </w:rPr>
        <w:t xml:space="preserve"> </w:t>
      </w:r>
      <w:r w:rsidRPr="001F2586">
        <w:rPr>
          <w:rFonts w:eastAsia="Calibri" w:hint="eastAsia"/>
          <w:bCs/>
          <w:sz w:val="24"/>
          <w:rtl/>
        </w:rPr>
        <w:t>הדיווח</w:t>
      </w:r>
      <w:r w:rsidRPr="001F2586">
        <w:rPr>
          <w:rFonts w:eastAsia="Calibri"/>
          <w:bCs/>
          <w:sz w:val="24"/>
          <w:rtl/>
        </w:rPr>
        <w:t xml:space="preserve"> </w:t>
      </w:r>
      <w:r w:rsidRPr="001F2586">
        <w:rPr>
          <w:rFonts w:eastAsia="Calibri" w:hint="eastAsia"/>
          <w:bCs/>
          <w:sz w:val="24"/>
          <w:rtl/>
        </w:rPr>
        <w:t>ולפי</w:t>
      </w:r>
      <w:r w:rsidRPr="001F2586">
        <w:rPr>
          <w:rFonts w:eastAsia="Calibri"/>
          <w:bCs/>
          <w:sz w:val="24"/>
          <w:rtl/>
        </w:rPr>
        <w:t xml:space="preserve"> </w:t>
      </w:r>
      <w:r w:rsidRPr="001F2586">
        <w:rPr>
          <w:rFonts w:eastAsia="Calibri" w:hint="eastAsia"/>
          <w:bCs/>
          <w:sz w:val="24"/>
          <w:rtl/>
        </w:rPr>
        <w:t>עדכון</w:t>
      </w:r>
      <w:r w:rsidRPr="001F2586">
        <w:rPr>
          <w:rFonts w:eastAsia="Calibri"/>
          <w:bCs/>
          <w:sz w:val="24"/>
          <w:rtl/>
        </w:rPr>
        <w:t xml:space="preserve"> </w:t>
      </w:r>
      <w:r w:rsidRPr="001F2586">
        <w:rPr>
          <w:rFonts w:eastAsia="Calibri" w:hint="eastAsia"/>
          <w:bCs/>
          <w:sz w:val="24"/>
          <w:rtl/>
        </w:rPr>
        <w:t>חוזר</w:t>
      </w:r>
      <w:r w:rsidRPr="001F2586">
        <w:rPr>
          <w:rFonts w:eastAsia="Calibri"/>
          <w:bCs/>
          <w:sz w:val="24"/>
          <w:rtl/>
        </w:rPr>
        <w:t xml:space="preserve"> </w:t>
      </w:r>
      <w:r w:rsidRPr="001F2586">
        <w:rPr>
          <w:rFonts w:eastAsia="Calibri" w:hint="eastAsia"/>
          <w:bCs/>
          <w:sz w:val="24"/>
          <w:rtl/>
        </w:rPr>
        <w:t>ההוראה</w:t>
      </w:r>
    </w:p>
    <w:p w:rsidR="001F2586" w:rsidRPr="001F2586" w:rsidP="001F2586">
      <w:pPr>
        <w:spacing w:line="269" w:lineRule="auto"/>
        <w:jc w:val="center"/>
        <w:rPr>
          <w:rFonts w:eastAsia="Calibri"/>
          <w:sz w:val="16"/>
          <w:szCs w:val="20"/>
          <w:rtl/>
        </w:rPr>
      </w:pPr>
      <w:r w:rsidRPr="001F2586">
        <w:rPr>
          <w:rFonts w:eastAsia="Calibri"/>
          <w:noProof/>
        </w:rPr>
        <w:drawing>
          <wp:inline distT="0" distB="0" distL="0" distR="0">
            <wp:extent cx="5220335" cy="4094480"/>
            <wp:effectExtent l="0" t="0" r="0" b="1270"/>
            <wp:docPr id="509749582" name="תמונה 61" descr="לפי שלוש דוגמאות כאשר מחיר הרכישה הוא בטווח של 1.6- 1.8 מליון ש&quot;ח, והערכת השמאי היא בטווח של 1.8- 2.1 מליון ש&quot;ח שווי הנכס להלוואה שונה בין הוראה 329 (בהתאם להוראת הדיווח לפיקוח) לבין הוראה 329 (בהתאם לעדכון חוזר ההוראה והוא בכל הדגומאות לא יותר מ-1.8 מליון ש&quot;ח.&#10;בהתאם לכך התוספת להון עצמי משתנה מ&quot;אין תוספת&quot; ל-100 אלף ש&quot;ח להון עצמי ל-200 אלף ש&quot;ח להון עצמ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9582" name=""/>
                    <pic:cNvPicPr/>
                  </pic:nvPicPr>
                  <pic:blipFill>
                    <a:blip xmlns:r="http://schemas.openxmlformats.org/officeDocument/2006/relationships" r:embed="rId23"/>
                    <a:stretch>
                      <a:fillRect/>
                    </a:stretch>
                  </pic:blipFill>
                  <pic:spPr>
                    <a:xfrm>
                      <a:off x="0" y="0"/>
                      <a:ext cx="5220335" cy="4094480"/>
                    </a:xfrm>
                    <a:prstGeom prst="rect">
                      <a:avLst/>
                    </a:prstGeom>
                  </pic:spPr>
                </pic:pic>
              </a:graphicData>
            </a:graphic>
          </wp:inline>
        </w:drawing>
      </w:r>
    </w:p>
    <w:p w:rsidR="001F2586" w:rsidP="001F2586">
      <w:pPr>
        <w:spacing w:line="269" w:lineRule="auto"/>
        <w:jc w:val="left"/>
        <w:rPr>
          <w:rFonts w:eastAsia="Calibri"/>
          <w:sz w:val="16"/>
          <w:szCs w:val="20"/>
          <w:rtl/>
        </w:rPr>
      </w:pPr>
      <w:r w:rsidRPr="001F2586">
        <w:rPr>
          <w:rFonts w:eastAsia="Calibri" w:hint="cs"/>
          <w:sz w:val="16"/>
          <w:szCs w:val="20"/>
          <w:rtl/>
        </w:rPr>
        <w:t>נתוני הוראות של הפיקוח על הבנקים, בעיבוד משרד מבקר המדינה.</w:t>
      </w:r>
    </w:p>
    <w:p w:rsidR="00FC7E53" w:rsidRPr="001F2586" w:rsidP="001F2586">
      <w:pPr>
        <w:spacing w:line="269" w:lineRule="auto"/>
        <w:jc w:val="left"/>
        <w:rPr>
          <w:rFonts w:eastAsia="Calibri"/>
          <w:sz w:val="16"/>
          <w:szCs w:val="20"/>
          <w:rtl/>
        </w:rPr>
      </w:pPr>
    </w:p>
    <w:p w:rsidR="001F2586" w:rsidRPr="001F2586" w:rsidP="001F2586">
      <w:pPr>
        <w:spacing w:line="269" w:lineRule="auto"/>
        <w:rPr>
          <w:rFonts w:eastAsia="Calibri"/>
          <w:rtl/>
        </w:rPr>
      </w:pPr>
      <w:r w:rsidRPr="001F2586">
        <w:rPr>
          <w:rFonts w:eastAsia="Calibri" w:hint="cs"/>
          <w:rtl/>
        </w:rPr>
        <w:t xml:space="preserve">ניתן לראות בתרשים כי ההטבה לזכאים עשויה להקנות תוספת של מאות אלפי ש"ח להון עצמי ולהוביל להפחתה ניכרת בשיעור המימון בקרב </w:t>
      </w:r>
      <w:r w:rsidRPr="001F2586">
        <w:rPr>
          <w:rFonts w:eastAsia="Calibri" w:hint="cs"/>
          <w:rtl/>
        </w:rPr>
        <w:t>רוכשי</w:t>
      </w:r>
      <w:r w:rsidRPr="001F2586">
        <w:rPr>
          <w:rFonts w:eastAsia="Calibri" w:hint="cs"/>
          <w:rtl/>
        </w:rPr>
        <w:t xml:space="preserve"> דירות במחירים הנמוכים מ-1.8 מיליון ש"ח. עם זאת במקרים שבהם הערכת השמאי גבוהה מ-1.8 מיליון ש"ח ההטבה פוחתת משמעותית וייתכן כי לא תתקיים. כלומר עבור קבוצת זכאים זו אין שינוי בין ההוראה המקורית לעדכון חוזר ההוראה.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מאז עדכון ההוראה ועד אוגוסט 2025 עלה מדד מחירי הדירות ב-52.2%</w:t>
      </w:r>
      <w:r>
        <w:rPr>
          <w:rFonts w:eastAsia="Calibri"/>
          <w:vertAlign w:val="superscript"/>
          <w:rtl/>
        </w:rPr>
        <w:footnoteReference w:id="101"/>
      </w:r>
      <w:r w:rsidRPr="001F2586">
        <w:rPr>
          <w:rFonts w:eastAsia="Calibri" w:hint="cs"/>
          <w:rtl/>
        </w:rPr>
        <w:t xml:space="preserve">. לא זאת בלבד אלא שלפי נתוני </w:t>
      </w:r>
      <w:r w:rsidRPr="001F2586">
        <w:rPr>
          <w:rFonts w:eastAsia="Calibri" w:hint="cs"/>
          <w:rtl/>
        </w:rPr>
        <w:t>הלמ"ס</w:t>
      </w:r>
      <w:r w:rsidRPr="001F2586">
        <w:rPr>
          <w:rFonts w:eastAsia="Calibri" w:hint="cs"/>
          <w:rtl/>
        </w:rPr>
        <w:t xml:space="preserve"> המחיר הממוצע השנתי של דירות בשנת 2017 עמד על כ-1.53 מיליון ש"ח ואילו בשנת 2024 עמד על כ-2.34 מיליון ש"ח, לאחר עלייה שנמשכה מדי שנה בשנה לאורך התקופה, כך שהמחיר הממוצע חצה את הרף שנקבע למתן הטבה בעדכון ההוראה. נתונים אלה מבטאים ירידה משמעותית בהיקף הזכאים שיכולים לממש את ההטבה ומעלים את הצורך בקיום דיון בעדכון הסכומים שנקבעו בעדכון הוראה כדי לתמוך בהשגת מטרתה.</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b/>
          <w:bCs/>
          <w:rtl/>
        </w:rPr>
      </w:pPr>
      <w:r w:rsidRPr="001F2586">
        <w:rPr>
          <w:rFonts w:ascii="David" w:eastAsia="Calibri" w:hAnsi="David" w:hint="cs"/>
          <w:b/>
          <w:bCs/>
          <w:rtl/>
        </w:rPr>
        <w:t xml:space="preserve">במאי 2016 עדכן הפיקוח על הבנקים את הוראה 329 כדי </w:t>
      </w:r>
      <w:r w:rsidRPr="001F2586">
        <w:rPr>
          <w:rFonts w:ascii="David" w:eastAsia="Calibri" w:hAnsi="David"/>
          <w:b/>
          <w:bCs/>
          <w:rtl/>
        </w:rPr>
        <w:t>לתמוך ביכולת זכאים להשתתף בפרויקטים לרכישת דירה במחיר מופחת באמצעות עדכון חישוב שיעור המימון לרכישת דירה</w:t>
      </w:r>
      <w:r w:rsidRPr="001F2586">
        <w:rPr>
          <w:rFonts w:ascii="David" w:eastAsia="Calibri" w:hAnsi="David" w:hint="cs"/>
          <w:b/>
          <w:bCs/>
          <w:rtl/>
        </w:rPr>
        <w:t xml:space="preserve">. </w:t>
      </w:r>
      <w:r w:rsidRPr="001F2586">
        <w:rPr>
          <w:rFonts w:ascii="David" w:eastAsia="Calibri" w:hAnsi="David"/>
          <w:b/>
          <w:bCs/>
          <w:sz w:val="24"/>
          <w:rtl/>
        </w:rPr>
        <w:t>תמיכה זו מאפשרת להם להביא הון עצמי נמוך יותר לרכישת דירה במחיר מופחת לעומת רכישה של דירה בשוק החופשי.</w:t>
      </w:r>
      <w:r w:rsidRPr="001F2586">
        <w:rPr>
          <w:rFonts w:ascii="Tahoma" w:eastAsia="Calibri" w:hAnsi="Tahoma" w:cs="Tahoma" w:hint="cs"/>
          <w:sz w:val="19"/>
          <w:szCs w:val="19"/>
          <w:rtl/>
        </w:rPr>
        <w:t xml:space="preserve"> </w:t>
      </w:r>
      <w:r w:rsidRPr="001F2586">
        <w:rPr>
          <w:rFonts w:ascii="David" w:eastAsia="Calibri" w:hAnsi="David" w:hint="cs"/>
          <w:b/>
          <w:bCs/>
          <w:rtl/>
        </w:rPr>
        <w:t>גובה ההנחה, וקיומה בכלל, תלוי בגובה מחיר הרכישה והוגבל לסכום של 1.8 מיליון ש"ח. מדד מחירי הדירות עלה מאז ועד אוגוסט 2025 ב-52.2% ומחירן הממוצע של דירות עלה מ-1.53 בשנת 2017 ל-2.34 בשנת 2024 וחצה את הרף שנקבע בהוראה. עם זאת, בביקורת עלה כי הפיקוח על הבנקים לא ביצע בחינה חוזרת במשך 9 שנים של הצורך בעדכון ההוראה כדי לתמוך בהשגת מטרתה. כתוצאה מכך ש</w:t>
      </w:r>
      <w:r w:rsidRPr="001F2586">
        <w:rPr>
          <w:rFonts w:ascii="David" w:eastAsia="Calibri" w:hAnsi="David"/>
          <w:b/>
          <w:bCs/>
          <w:rtl/>
        </w:rPr>
        <w:t>ציבור הזכאים נדרש להעמיד הון עצמי בסכומים גבוהים יותר,</w:t>
      </w:r>
      <w:r w:rsidRPr="001F2586">
        <w:rPr>
          <w:rFonts w:ascii="David" w:eastAsia="Calibri" w:hAnsi="David" w:hint="cs"/>
          <w:b/>
          <w:bCs/>
          <w:rtl/>
        </w:rPr>
        <w:t xml:space="preserve"> עלולה להיפגע יכולתו לקבל תנאים מטיבים בבנקים בעת נטילת הלוואה לדיור</w:t>
      </w:r>
      <w:r w:rsidRPr="001F2586">
        <w:rPr>
          <w:rFonts w:ascii="David" w:eastAsia="Calibri" w:hAnsi="David"/>
          <w:b/>
          <w:bCs/>
          <w:rtl/>
        </w:rPr>
        <w:t xml:space="preserve"> ו</w:t>
      </w:r>
      <w:r w:rsidRPr="001F2586">
        <w:rPr>
          <w:rFonts w:ascii="David" w:eastAsia="Calibri" w:hAnsi="David" w:hint="cs"/>
          <w:b/>
          <w:bCs/>
          <w:rtl/>
        </w:rPr>
        <w:t xml:space="preserve">אף </w:t>
      </w:r>
      <w:r w:rsidRPr="001F2586">
        <w:rPr>
          <w:rFonts w:ascii="David" w:eastAsia="Calibri" w:hAnsi="David"/>
          <w:b/>
          <w:bCs/>
          <w:rtl/>
        </w:rPr>
        <w:t xml:space="preserve">בחלק מהמקרים נפגעת יכולתו לממש את </w:t>
      </w:r>
      <w:r w:rsidRPr="001F2586">
        <w:rPr>
          <w:rFonts w:ascii="David" w:eastAsia="Calibri" w:hAnsi="David" w:hint="cs"/>
          <w:b/>
          <w:bCs/>
          <w:rtl/>
        </w:rPr>
        <w:t>זכאותו לרכישת דירה במחיר מופחת</w:t>
      </w:r>
      <w:r w:rsidRPr="001F2586">
        <w:rPr>
          <w:rFonts w:ascii="David" w:eastAsia="Calibri" w:hAnsi="David"/>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b/>
          <w:bCs/>
          <w:rtl/>
        </w:rPr>
      </w:pPr>
      <w:r w:rsidRPr="001F2586">
        <w:rPr>
          <w:rFonts w:ascii="David" w:eastAsia="Calibri" w:hAnsi="David" w:hint="eastAsia"/>
          <w:b/>
          <w:bCs/>
          <w:rtl/>
        </w:rPr>
        <w:t>יצוין</w:t>
      </w:r>
      <w:r w:rsidRPr="001F2586">
        <w:rPr>
          <w:rFonts w:ascii="David" w:eastAsia="Calibri" w:hAnsi="David"/>
          <w:b/>
          <w:bCs/>
          <w:rtl/>
        </w:rPr>
        <w:t xml:space="preserve"> כי במהלך תקופת הביקורת, </w:t>
      </w:r>
      <w:r w:rsidRPr="001F2586">
        <w:rPr>
          <w:rFonts w:ascii="David" w:eastAsia="Calibri" w:hAnsi="David" w:hint="eastAsia"/>
          <w:b/>
          <w:bCs/>
          <w:rtl/>
        </w:rPr>
        <w:t>בפברואר</w:t>
      </w:r>
      <w:r w:rsidRPr="001F2586">
        <w:rPr>
          <w:rFonts w:ascii="David" w:eastAsia="Calibri" w:hAnsi="David"/>
          <w:b/>
          <w:bCs/>
          <w:rtl/>
        </w:rPr>
        <w:t xml:space="preserve"> 2026, בנק ישראל פרסם תיקון </w:t>
      </w:r>
      <w:r w:rsidRPr="001F2586">
        <w:rPr>
          <w:rFonts w:ascii="David" w:eastAsia="Calibri" w:hAnsi="David" w:hint="eastAsia"/>
          <w:b/>
          <w:bCs/>
          <w:rtl/>
        </w:rPr>
        <w:t>לנב</w:t>
      </w:r>
      <w:r w:rsidRPr="001F2586">
        <w:rPr>
          <w:rFonts w:ascii="David" w:eastAsia="Calibri" w:hAnsi="David"/>
          <w:b/>
          <w:bCs/>
          <w:rtl/>
        </w:rPr>
        <w:t>"ת</w:t>
      </w:r>
      <w:r w:rsidRPr="001F2586">
        <w:rPr>
          <w:rFonts w:ascii="David" w:eastAsia="Calibri" w:hAnsi="David"/>
          <w:b/>
          <w:bCs/>
          <w:rtl/>
        </w:rPr>
        <w:t xml:space="preserve"> 329 לפי</w:t>
      </w:r>
      <w:r w:rsidRPr="001F2586">
        <w:rPr>
          <w:rFonts w:ascii="David" w:eastAsia="Calibri" w:hAnsi="David" w:hint="eastAsia"/>
          <w:b/>
          <w:bCs/>
          <w:rtl/>
        </w:rPr>
        <w:t>ו</w:t>
      </w:r>
      <w:r w:rsidRPr="001F2586">
        <w:rPr>
          <w:rFonts w:ascii="David" w:eastAsia="Calibri" w:hAnsi="David"/>
          <w:b/>
          <w:bCs/>
          <w:rtl/>
        </w:rPr>
        <w:t xml:space="preserve"> הסכום </w:t>
      </w:r>
      <w:r w:rsidRPr="001F2586">
        <w:rPr>
          <w:rFonts w:ascii="David" w:eastAsia="Calibri" w:hAnsi="David" w:hint="eastAsia"/>
          <w:b/>
          <w:bCs/>
          <w:rtl/>
        </w:rPr>
        <w:t>לתקרת</w:t>
      </w:r>
      <w:r w:rsidRPr="001F2586">
        <w:rPr>
          <w:rFonts w:ascii="David" w:eastAsia="Calibri" w:hAnsi="David"/>
          <w:b/>
          <w:bCs/>
          <w:rtl/>
        </w:rPr>
        <w:t xml:space="preserve"> שווי הנכס </w:t>
      </w:r>
      <w:r w:rsidRPr="001F2586">
        <w:rPr>
          <w:rFonts w:ascii="David" w:eastAsia="Calibri" w:hAnsi="David" w:hint="eastAsia"/>
          <w:b/>
          <w:bCs/>
          <w:rtl/>
        </w:rPr>
        <w:t>יעו</w:t>
      </w:r>
      <w:r w:rsidRPr="001F2586">
        <w:rPr>
          <w:rFonts w:ascii="David" w:eastAsia="Calibri" w:hAnsi="David" w:hint="cs"/>
          <w:b/>
          <w:bCs/>
          <w:rtl/>
        </w:rPr>
        <w:t>ד</w:t>
      </w:r>
      <w:r w:rsidRPr="001F2586">
        <w:rPr>
          <w:rFonts w:ascii="David" w:eastAsia="Calibri" w:hAnsi="David" w:hint="eastAsia"/>
          <w:b/>
          <w:bCs/>
          <w:rtl/>
        </w:rPr>
        <w:t>כן</w:t>
      </w:r>
      <w:r w:rsidRPr="001F2586">
        <w:rPr>
          <w:rFonts w:ascii="David" w:eastAsia="Calibri" w:hAnsi="David"/>
          <w:b/>
          <w:bCs/>
          <w:rtl/>
        </w:rPr>
        <w:t xml:space="preserve"> </w:t>
      </w:r>
      <w:r w:rsidRPr="001F2586">
        <w:rPr>
          <w:rFonts w:ascii="David" w:eastAsia="Calibri" w:hAnsi="David" w:hint="eastAsia"/>
          <w:b/>
          <w:bCs/>
          <w:rtl/>
        </w:rPr>
        <w:t>ל</w:t>
      </w:r>
      <w:r w:rsidRPr="001F2586">
        <w:rPr>
          <w:rFonts w:ascii="David" w:eastAsia="Calibri" w:hAnsi="David"/>
          <w:b/>
          <w:bCs/>
          <w:rtl/>
        </w:rPr>
        <w:t xml:space="preserve">-2.1 מיליון ש"ח. </w:t>
      </w:r>
      <w:r w:rsidRPr="001F2586">
        <w:rPr>
          <w:rFonts w:eastAsia="Calibri" w:hint="eastAsia"/>
          <w:b/>
          <w:bCs/>
          <w:rtl/>
        </w:rPr>
        <w:t>בהוראה</w:t>
      </w:r>
      <w:r w:rsidRPr="001F2586">
        <w:rPr>
          <w:rFonts w:eastAsia="Calibri"/>
          <w:b/>
          <w:bCs/>
          <w:rtl/>
        </w:rPr>
        <w:t xml:space="preserve"> </w:t>
      </w:r>
      <w:r w:rsidRPr="001F2586">
        <w:rPr>
          <w:rFonts w:eastAsia="Calibri" w:hint="eastAsia"/>
          <w:b/>
          <w:bCs/>
          <w:rtl/>
        </w:rPr>
        <w:t>זו</w:t>
      </w:r>
      <w:r w:rsidRPr="001F2586">
        <w:rPr>
          <w:rFonts w:eastAsia="Calibri"/>
          <w:b/>
          <w:bCs/>
          <w:rtl/>
        </w:rPr>
        <w:t xml:space="preserve"> </w:t>
      </w:r>
      <w:r w:rsidRPr="001F2586">
        <w:rPr>
          <w:rFonts w:eastAsia="Calibri" w:hint="eastAsia"/>
          <w:b/>
          <w:bCs/>
          <w:rtl/>
        </w:rPr>
        <w:t>צוין</w:t>
      </w:r>
      <w:r w:rsidRPr="001F2586">
        <w:rPr>
          <w:rFonts w:eastAsia="Calibri"/>
          <w:b/>
          <w:bCs/>
          <w:rtl/>
        </w:rPr>
        <w:t xml:space="preserve"> </w:t>
      </w:r>
      <w:r w:rsidRPr="001F2586">
        <w:rPr>
          <w:rFonts w:eastAsia="Calibri" w:hint="eastAsia"/>
          <w:b/>
          <w:bCs/>
          <w:rtl/>
        </w:rPr>
        <w:t>כי</w:t>
      </w:r>
      <w:r w:rsidRPr="001F2586">
        <w:rPr>
          <w:rFonts w:ascii="David" w:eastAsia="Calibri" w:hAnsi="David"/>
          <w:b/>
          <w:bCs/>
          <w:rtl/>
        </w:rPr>
        <w:t xml:space="preserve"> "נוכח חלוף השנים, המפקח על הבנקים </w:t>
      </w:r>
      <w:r w:rsidRPr="001F2586">
        <w:rPr>
          <w:rFonts w:ascii="David" w:eastAsia="Calibri" w:hAnsi="David" w:hint="eastAsia"/>
          <w:b/>
          <w:bCs/>
          <w:rtl/>
        </w:rPr>
        <w:t>מצא</w:t>
      </w:r>
      <w:r w:rsidRPr="001F2586">
        <w:rPr>
          <w:rFonts w:ascii="David" w:eastAsia="Calibri" w:hAnsi="David"/>
          <w:b/>
          <w:bCs/>
          <w:rtl/>
        </w:rPr>
        <w:t xml:space="preserve"> לנכון לעדכן את </w:t>
      </w:r>
      <w:r w:rsidRPr="001F2586">
        <w:rPr>
          <w:rFonts w:ascii="David" w:eastAsia="Calibri" w:hAnsi="David" w:hint="eastAsia"/>
          <w:b/>
          <w:bCs/>
          <w:rtl/>
        </w:rPr>
        <w:t>ה</w:t>
      </w:r>
      <w:r w:rsidRPr="001F2586">
        <w:rPr>
          <w:rFonts w:ascii="David" w:eastAsia="Calibri" w:hAnsi="David"/>
          <w:b/>
          <w:bCs/>
          <w:rtl/>
        </w:rPr>
        <w:t>סכום בהתאמה לשיעור עליית מדד המחירים לצרכן".</w:t>
      </w:r>
      <w:r w:rsidRPr="001F2586">
        <w:rPr>
          <w:rFonts w:ascii="David" w:eastAsia="Calibri" w:hAnsi="David" w:hint="cs"/>
          <w:b/>
          <w:bCs/>
          <w:rtl/>
        </w:rPr>
        <w:t xml:space="preserve"> </w:t>
      </w:r>
      <w:r w:rsidRPr="001F2586">
        <w:rPr>
          <w:rFonts w:ascii="David" w:eastAsia="Calibri" w:hAnsi="David" w:hint="eastAsia"/>
          <w:b/>
          <w:bCs/>
          <w:rtl/>
        </w:rPr>
        <w:t>ועם</w:t>
      </w:r>
      <w:r w:rsidRPr="001F2586">
        <w:rPr>
          <w:rFonts w:ascii="David" w:eastAsia="Calibri" w:hAnsi="David"/>
          <w:b/>
          <w:bCs/>
          <w:rtl/>
        </w:rPr>
        <w:t xml:space="preserve"> זאת, </w:t>
      </w:r>
      <w:r w:rsidRPr="001F2586">
        <w:rPr>
          <w:rFonts w:ascii="David" w:eastAsia="Calibri" w:hAnsi="David" w:hint="cs"/>
          <w:b/>
          <w:bCs/>
          <w:rtl/>
        </w:rPr>
        <w:t>מדד המחירים לצרכן עלה בשיעור של כ-21% לעומת מדד מחירי הדירות שעלה כאמור בכ-52% בשנים 2016 - 2025, כך שעולה ספק אם הצמדת הסכום של תקרת שווי הנכס למדד המחירים לצרכן תומך באופן מספק ביכולת של זכאים לרכוש דירה.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בנק ישראל צוין כי ההתייחסות לשווי הנכס </w:t>
      </w:r>
      <w:r w:rsidRPr="001F2586">
        <w:rPr>
          <w:rFonts w:eastAsia="Calibri" w:hint="cs"/>
          <w:rtl/>
        </w:rPr>
        <w:t>בנב"ת</w:t>
      </w:r>
      <w:r w:rsidRPr="001F2586">
        <w:rPr>
          <w:rFonts w:eastAsia="Calibri" w:hint="cs"/>
          <w:rtl/>
        </w:rPr>
        <w:t xml:space="preserve"> 329 היא חריג שנקבע כדי לתמוך ביכולתם של </w:t>
      </w:r>
      <w:r w:rsidRPr="001F2586">
        <w:rPr>
          <w:rFonts w:eastAsia="Calibri" w:hint="cs"/>
          <w:rtl/>
        </w:rPr>
        <w:t>רוכשי</w:t>
      </w:r>
      <w:r w:rsidRPr="001F2586">
        <w:rPr>
          <w:rFonts w:eastAsia="Calibri" w:hint="cs"/>
          <w:rtl/>
        </w:rPr>
        <w:t xml:space="preserve"> "דירה במחיר מופחת", וכי ההחלטה להצמיד את תקרת השווי למדד המחירים לצרכן משקפת את התאמתו לעליית המחירים הכללית במשק.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כי הפיקוח על הבנקים </w:t>
      </w:r>
      <w:r w:rsidRPr="001F2586">
        <w:rPr>
          <w:rFonts w:eastAsia="Calibri" w:hint="eastAsia"/>
          <w:b/>
          <w:bCs/>
          <w:rtl/>
        </w:rPr>
        <w:t>יבחן</w:t>
      </w:r>
      <w:r w:rsidRPr="001F2586">
        <w:rPr>
          <w:rFonts w:eastAsia="Calibri" w:hint="cs"/>
          <w:b/>
          <w:bCs/>
          <w:rtl/>
        </w:rPr>
        <w:t xml:space="preserve"> באופן עיתי את הצורך בעדכון של גובה הסכום הקובע </w:t>
      </w:r>
      <w:r w:rsidRPr="001F2586">
        <w:rPr>
          <w:rFonts w:eastAsia="Calibri" w:hint="eastAsia"/>
          <w:b/>
          <w:bCs/>
          <w:rtl/>
        </w:rPr>
        <w:t>לחישוב</w:t>
      </w:r>
      <w:r w:rsidRPr="001F2586">
        <w:rPr>
          <w:rFonts w:eastAsia="Calibri"/>
          <w:b/>
          <w:bCs/>
          <w:rtl/>
        </w:rPr>
        <w:t xml:space="preserve"> </w:t>
      </w:r>
      <w:r w:rsidRPr="001F2586">
        <w:rPr>
          <w:rFonts w:eastAsia="Calibri" w:hint="eastAsia"/>
          <w:b/>
          <w:bCs/>
          <w:rtl/>
        </w:rPr>
        <w:t>שווי</w:t>
      </w:r>
      <w:r w:rsidRPr="001F2586">
        <w:rPr>
          <w:rFonts w:eastAsia="Calibri"/>
          <w:b/>
          <w:bCs/>
          <w:rtl/>
        </w:rPr>
        <w:t xml:space="preserve"> </w:t>
      </w:r>
      <w:r w:rsidRPr="001F2586">
        <w:rPr>
          <w:rFonts w:eastAsia="Calibri" w:hint="eastAsia"/>
          <w:b/>
          <w:bCs/>
          <w:rtl/>
        </w:rPr>
        <w:t>נכס</w:t>
      </w:r>
      <w:r w:rsidRPr="001F2586">
        <w:rPr>
          <w:rFonts w:eastAsia="Calibri"/>
          <w:b/>
          <w:bCs/>
          <w:rtl/>
        </w:rPr>
        <w:t xml:space="preserve"> </w:t>
      </w:r>
      <w:r w:rsidRPr="001F2586">
        <w:rPr>
          <w:rFonts w:eastAsia="Calibri" w:hint="eastAsia"/>
          <w:b/>
          <w:bCs/>
          <w:rtl/>
        </w:rPr>
        <w:t>להלוואה</w:t>
      </w:r>
      <w:r w:rsidRPr="001F2586">
        <w:rPr>
          <w:rFonts w:eastAsia="Calibri"/>
          <w:b/>
          <w:bCs/>
          <w:rtl/>
        </w:rPr>
        <w:t xml:space="preserve"> </w:t>
      </w:r>
      <w:r w:rsidRPr="001F2586">
        <w:rPr>
          <w:rFonts w:eastAsia="Calibri" w:hint="eastAsia"/>
          <w:b/>
          <w:bCs/>
          <w:rtl/>
        </w:rPr>
        <w:t>לדירה</w:t>
      </w:r>
      <w:r w:rsidRPr="001F2586">
        <w:rPr>
          <w:rFonts w:eastAsia="Calibri"/>
          <w:b/>
          <w:bCs/>
          <w:rtl/>
        </w:rPr>
        <w:t xml:space="preserve"> </w:t>
      </w:r>
      <w:r w:rsidRPr="001F2586">
        <w:rPr>
          <w:rFonts w:eastAsia="Calibri" w:hint="eastAsia"/>
          <w:b/>
          <w:bCs/>
          <w:rtl/>
        </w:rPr>
        <w:t>במחיר</w:t>
      </w:r>
      <w:r w:rsidRPr="001F2586">
        <w:rPr>
          <w:rFonts w:eastAsia="Calibri"/>
          <w:b/>
          <w:bCs/>
          <w:rtl/>
        </w:rPr>
        <w:t xml:space="preserve"> </w:t>
      </w:r>
      <w:r w:rsidRPr="001F2586">
        <w:rPr>
          <w:rFonts w:eastAsia="Calibri" w:hint="eastAsia"/>
          <w:b/>
          <w:bCs/>
          <w:rtl/>
        </w:rPr>
        <w:t>מופחת</w:t>
      </w:r>
      <w:r w:rsidRPr="001F2586">
        <w:rPr>
          <w:rFonts w:eastAsia="Calibri"/>
          <w:b/>
          <w:bCs/>
          <w:rtl/>
        </w:rPr>
        <w:t xml:space="preserve">, </w:t>
      </w:r>
      <w:r w:rsidRPr="001F2586">
        <w:rPr>
          <w:rFonts w:eastAsia="Calibri" w:hint="cs"/>
          <w:b/>
          <w:bCs/>
          <w:rtl/>
        </w:rPr>
        <w:t>ובמסגרת זו יבחן את מנגנון ההצמדה למדד הרלוונטי, כגון מדד מחירי הדירות או מדד המחירים לצרכן</w:t>
      </w:r>
      <w:r w:rsidRPr="001F2586">
        <w:rPr>
          <w:rFonts w:eastAsia="Calibri"/>
          <w:b/>
          <w:bCs/>
          <w:rtl/>
        </w:rPr>
        <w:t xml:space="preserve">, </w:t>
      </w:r>
      <w:r w:rsidRPr="001F2586">
        <w:rPr>
          <w:rFonts w:eastAsia="Calibri" w:hint="cs"/>
          <w:b/>
          <w:bCs/>
          <w:rtl/>
        </w:rPr>
        <w:t>תוך מימוש התכלית של עדכון חוזר ההוראה משנת 2016 -</w:t>
      </w:r>
      <w:r w:rsidRPr="001F2586">
        <w:rPr>
          <w:rFonts w:eastAsia="Calibri"/>
          <w:b/>
          <w:bCs/>
          <w:rtl/>
        </w:rPr>
        <w:t xml:space="preserve"> </w:t>
      </w:r>
      <w:r w:rsidRPr="001F2586">
        <w:rPr>
          <w:rFonts w:eastAsia="Calibri" w:hint="cs"/>
          <w:b/>
          <w:bCs/>
          <w:rtl/>
        </w:rPr>
        <w:t>תמיכה</w:t>
      </w:r>
      <w:r w:rsidRPr="001F2586">
        <w:rPr>
          <w:rFonts w:eastAsia="Calibri"/>
          <w:b/>
          <w:bCs/>
          <w:rtl/>
        </w:rPr>
        <w:t xml:space="preserve"> </w:t>
      </w:r>
      <w:r w:rsidRPr="001F2586">
        <w:rPr>
          <w:rFonts w:eastAsia="Calibri" w:hint="eastAsia"/>
          <w:b/>
          <w:bCs/>
          <w:rtl/>
        </w:rPr>
        <w:t>ביכולת</w:t>
      </w:r>
      <w:r w:rsidRPr="001F2586">
        <w:rPr>
          <w:rFonts w:eastAsia="Calibri"/>
          <w:b/>
          <w:bCs/>
          <w:rtl/>
        </w:rPr>
        <w:t xml:space="preserve"> </w:t>
      </w:r>
      <w:r w:rsidRPr="001F2586">
        <w:rPr>
          <w:rFonts w:eastAsia="Calibri" w:hint="eastAsia"/>
          <w:b/>
          <w:bCs/>
          <w:rtl/>
        </w:rPr>
        <w:t>זכאים</w:t>
      </w:r>
      <w:r w:rsidRPr="001F2586">
        <w:rPr>
          <w:rFonts w:eastAsia="Calibri"/>
          <w:b/>
          <w:bCs/>
          <w:rtl/>
        </w:rPr>
        <w:t xml:space="preserve"> </w:t>
      </w:r>
      <w:r w:rsidRPr="001F2586">
        <w:rPr>
          <w:rFonts w:eastAsia="Calibri" w:hint="eastAsia"/>
          <w:b/>
          <w:bCs/>
          <w:rtl/>
        </w:rPr>
        <w:t>להשתתף</w:t>
      </w:r>
      <w:r w:rsidRPr="001F2586">
        <w:rPr>
          <w:rFonts w:eastAsia="Calibri"/>
          <w:b/>
          <w:bCs/>
          <w:rtl/>
        </w:rPr>
        <w:t xml:space="preserve"> </w:t>
      </w:r>
      <w:r w:rsidRPr="001F2586">
        <w:rPr>
          <w:rFonts w:eastAsia="Calibri" w:hint="eastAsia"/>
          <w:b/>
          <w:bCs/>
          <w:rtl/>
        </w:rPr>
        <w:t>בפרויקטים</w:t>
      </w:r>
      <w:r w:rsidRPr="001F2586">
        <w:rPr>
          <w:rFonts w:eastAsia="Calibri"/>
          <w:b/>
          <w:bCs/>
          <w:rtl/>
        </w:rPr>
        <w:t xml:space="preserve"> </w:t>
      </w:r>
      <w:r w:rsidRPr="001F2586">
        <w:rPr>
          <w:rFonts w:eastAsia="Calibri" w:hint="eastAsia"/>
          <w:b/>
          <w:bCs/>
          <w:rtl/>
        </w:rPr>
        <w:t>לרכישת</w:t>
      </w:r>
      <w:r w:rsidRPr="001F2586">
        <w:rPr>
          <w:rFonts w:eastAsia="Calibri"/>
          <w:b/>
          <w:bCs/>
          <w:rtl/>
        </w:rPr>
        <w:t xml:space="preserve"> </w:t>
      </w:r>
      <w:r w:rsidRPr="001F2586">
        <w:rPr>
          <w:rFonts w:eastAsia="Calibri" w:hint="eastAsia"/>
          <w:b/>
          <w:bCs/>
          <w:rtl/>
        </w:rPr>
        <w:t>דירה</w:t>
      </w:r>
      <w:r w:rsidRPr="001F2586">
        <w:rPr>
          <w:rFonts w:eastAsia="Calibri"/>
          <w:b/>
          <w:bCs/>
          <w:rtl/>
        </w:rPr>
        <w:t>.</w:t>
      </w:r>
      <w:r w:rsidRPr="001F2586">
        <w:rPr>
          <w:rFonts w:eastAsia="Calibri" w:hint="cs"/>
          <w:b/>
          <w:bCs/>
          <w:rtl/>
        </w:rPr>
        <w:t xml:space="preserve"> </w:t>
      </w:r>
    </w:p>
    <w:p w:rsidR="001F2586" w:rsidRPr="001F2586" w:rsidP="001F2586">
      <w:pPr>
        <w:spacing w:line="269" w:lineRule="auto"/>
        <w:rPr>
          <w:rFonts w:eastAsia="Calibri"/>
          <w:b/>
          <w:bCs/>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מגבלת שיעור החזר מהכנסה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bookmarkStart w:id="24" w:name="_Hlk225172055"/>
      <w:r w:rsidRPr="001F2586">
        <w:rPr>
          <w:rFonts w:ascii="David" w:eastAsia="Calibri" w:hAnsi="David" w:hint="cs"/>
          <w:sz w:val="24"/>
          <w:rtl/>
        </w:rPr>
        <w:t>בנ</w:t>
      </w:r>
      <w:r w:rsidRPr="001F2586">
        <w:rPr>
          <w:rFonts w:ascii="David" w:eastAsia="Calibri" w:hAnsi="David"/>
          <w:sz w:val="24"/>
          <w:rtl/>
        </w:rPr>
        <w:t>ב"ת</w:t>
      </w:r>
      <w:r w:rsidRPr="001F2586">
        <w:rPr>
          <w:rFonts w:ascii="David" w:eastAsia="Calibri" w:hAnsi="David"/>
          <w:sz w:val="24"/>
          <w:rtl/>
        </w:rPr>
        <w:t xml:space="preserve"> 329</w:t>
      </w:r>
      <w:r w:rsidRPr="001F2586">
        <w:rPr>
          <w:rFonts w:eastAsia="Calibri" w:hint="cs"/>
          <w:rtl/>
        </w:rPr>
        <w:t xml:space="preserve"> נקבע כאמור כי "שיעור החזר מהכנסה" הוא היחס בין ההחזר החודשי לבין ההכנסה החודשית הפנויה של הלווה. החזר חודשי הוא התשלום המשמש את הלווה לפירעון של הלוואה לדיור. </w:t>
      </w:r>
      <w:r w:rsidRPr="001F2586">
        <w:rPr>
          <w:rFonts w:eastAsia="Calibri" w:hint="eastAsia"/>
          <w:sz w:val="24"/>
          <w:rtl/>
        </w:rPr>
        <w:t>הכנסה</w:t>
      </w:r>
      <w:r w:rsidRPr="001F2586">
        <w:rPr>
          <w:rFonts w:eastAsia="Calibri"/>
          <w:sz w:val="24"/>
          <w:rtl/>
        </w:rPr>
        <w:t xml:space="preserve"> חודשית פנויה היא ההכנסה החודשית נטו בניכוי הוצאות קבועות. </w:t>
      </w:r>
      <w:bookmarkEnd w:id="24"/>
      <w:r w:rsidRPr="001F2586">
        <w:rPr>
          <w:rFonts w:eastAsia="Calibri"/>
          <w:sz w:val="24"/>
          <w:rtl/>
        </w:rPr>
        <w:t xml:space="preserve">הכנסה חודשית נטו מוגדרת ככל הכנסה של לווה העומדת בכל שלושת תנאים אלו: </w:t>
      </w:r>
      <w:r w:rsidRPr="001F2586">
        <w:rPr>
          <w:rFonts w:eastAsia="Calibri"/>
          <w:rtl/>
        </w:rPr>
        <w:t>ההכנסה משולמת באופן קבוע ועל בסיס שוטף</w:t>
      </w:r>
      <w:r w:rsidRPr="001F2586">
        <w:rPr>
          <w:rFonts w:eastAsia="Calibri"/>
          <w:sz w:val="24"/>
          <w:rtl/>
        </w:rPr>
        <w:t>;</w:t>
      </w:r>
      <w:r w:rsidRPr="001F2586">
        <w:rPr>
          <w:rFonts w:eastAsia="Calibri"/>
          <w:rtl/>
        </w:rPr>
        <w:t xml:space="preserve"> </w:t>
      </w:r>
      <w:r w:rsidRPr="001F2586">
        <w:rPr>
          <w:rFonts w:eastAsia="Calibri" w:hint="eastAsia"/>
          <w:sz w:val="24"/>
          <w:rtl/>
        </w:rPr>
        <w:t>לבנק</w:t>
      </w:r>
      <w:r w:rsidRPr="001F2586">
        <w:rPr>
          <w:rFonts w:eastAsia="Calibri"/>
          <w:sz w:val="24"/>
          <w:rtl/>
        </w:rPr>
        <w:t xml:space="preserve"> </w:t>
      </w:r>
      <w:r w:rsidRPr="001F2586">
        <w:rPr>
          <w:rFonts w:eastAsia="Calibri" w:hint="eastAsia"/>
          <w:sz w:val="24"/>
          <w:rtl/>
        </w:rPr>
        <w:t>יש</w:t>
      </w:r>
      <w:r w:rsidRPr="001F2586">
        <w:rPr>
          <w:rFonts w:eastAsia="Calibri"/>
          <w:rtl/>
        </w:rPr>
        <w:t xml:space="preserve"> אסמכתה מתאימה התומכת בהכנסה או בזכות לקבלתה;</w:t>
      </w:r>
      <w:r w:rsidRPr="001F2586">
        <w:rPr>
          <w:rFonts w:eastAsia="Calibri"/>
          <w:sz w:val="24"/>
          <w:rtl/>
        </w:rPr>
        <w:t xml:space="preserve"> ולבנק יש הוכחת תשלום, כגון הפקדות או העברות לחשבון הבנק של הלווה. הוצאה קבועה היא "הוצאה שמקורה בהתחייבות של הלווה שיתרת תקופתה עולה על 18 חודשים", ובכלל זה תשלום דמי מזונות או החזרים חודשיים על כל הלוואה שיתרת תקופתה היא 18 חודשים לפחות, וכן תשלום שכר דירה, גם אם תקופת השכירות </w:t>
      </w:r>
      <w:r w:rsidRPr="001F2586">
        <w:rPr>
          <w:rFonts w:eastAsia="Calibri"/>
          <w:rtl/>
        </w:rPr>
        <w:t>קצרה מ-18 חודשי</w:t>
      </w:r>
      <w:r w:rsidRPr="001F2586">
        <w:rPr>
          <w:rFonts w:eastAsia="Calibri" w:hint="eastAsia"/>
          <w:sz w:val="24"/>
          <w:rtl/>
        </w:rPr>
        <w:t>ם</w:t>
      </w:r>
      <w:r w:rsidRPr="001F2586">
        <w:rPr>
          <w:rFonts w:eastAsia="Calibri"/>
          <w:sz w:val="24"/>
          <w:rtl/>
        </w:rPr>
        <w:t xml:space="preserve">, </w:t>
      </w:r>
      <w:r w:rsidRPr="001F2586">
        <w:rPr>
          <w:rFonts w:eastAsia="Calibri" w:hint="eastAsia"/>
          <w:sz w:val="24"/>
          <w:rtl/>
        </w:rPr>
        <w:t>במקרה</w:t>
      </w:r>
      <w:r w:rsidRPr="001F2586">
        <w:rPr>
          <w:rFonts w:eastAsia="Calibri"/>
          <w:sz w:val="24"/>
          <w:rtl/>
        </w:rPr>
        <w:t xml:space="preserve"> </w:t>
      </w:r>
      <w:r w:rsidRPr="001F2586">
        <w:rPr>
          <w:rFonts w:eastAsia="Calibri" w:hint="cs"/>
          <w:sz w:val="24"/>
          <w:rtl/>
        </w:rPr>
        <w:t>ש</w:t>
      </w:r>
      <w:r w:rsidRPr="001F2586">
        <w:rPr>
          <w:rFonts w:eastAsia="Calibri" w:hint="eastAsia"/>
          <w:sz w:val="24"/>
          <w:rtl/>
        </w:rPr>
        <w:t>הלווה</w:t>
      </w:r>
      <w:r w:rsidRPr="001F2586">
        <w:rPr>
          <w:rFonts w:eastAsia="Calibri"/>
          <w:sz w:val="24"/>
          <w:rtl/>
        </w:rPr>
        <w:t xml:space="preserve"> </w:t>
      </w:r>
      <w:r w:rsidRPr="001F2586">
        <w:rPr>
          <w:rFonts w:eastAsia="Calibri" w:hint="eastAsia"/>
          <w:sz w:val="24"/>
          <w:rtl/>
        </w:rPr>
        <w:t>אינו</w:t>
      </w:r>
      <w:r w:rsidRPr="001F2586">
        <w:rPr>
          <w:rFonts w:eastAsia="Calibri"/>
          <w:sz w:val="24"/>
          <w:rtl/>
        </w:rPr>
        <w:t xml:space="preserve"> </w:t>
      </w:r>
      <w:r w:rsidRPr="001F2586">
        <w:rPr>
          <w:rFonts w:eastAsia="Calibri" w:hint="eastAsia"/>
          <w:sz w:val="24"/>
          <w:rtl/>
        </w:rPr>
        <w:t>עתיד</w:t>
      </w:r>
      <w:r w:rsidRPr="001F2586">
        <w:rPr>
          <w:rFonts w:eastAsia="Calibri"/>
          <w:sz w:val="24"/>
          <w:rtl/>
        </w:rPr>
        <w:t xml:space="preserve"> </w:t>
      </w:r>
      <w:r w:rsidRPr="001F2586">
        <w:rPr>
          <w:rFonts w:eastAsia="Calibri" w:hint="eastAsia"/>
          <w:sz w:val="24"/>
          <w:rtl/>
        </w:rPr>
        <w:t>להתגורר</w:t>
      </w:r>
      <w:r w:rsidRPr="001F2586">
        <w:rPr>
          <w:rFonts w:eastAsia="Calibri"/>
          <w:sz w:val="24"/>
          <w:rtl/>
        </w:rPr>
        <w:t xml:space="preserve"> </w:t>
      </w:r>
      <w:r w:rsidRPr="001F2586">
        <w:rPr>
          <w:rFonts w:eastAsia="Calibri" w:hint="eastAsia"/>
          <w:sz w:val="24"/>
          <w:rtl/>
        </w:rPr>
        <w:t>בדירה</w:t>
      </w:r>
      <w:r w:rsidRPr="001F2586">
        <w:rPr>
          <w:rFonts w:eastAsia="Calibri"/>
          <w:sz w:val="24"/>
          <w:rtl/>
        </w:rPr>
        <w:t xml:space="preserve"> </w:t>
      </w:r>
      <w:r w:rsidRPr="001F2586">
        <w:rPr>
          <w:rFonts w:eastAsia="Calibri" w:hint="eastAsia"/>
          <w:sz w:val="24"/>
          <w:rtl/>
        </w:rPr>
        <w:t>הנרכשת</w:t>
      </w:r>
      <w:r w:rsidRPr="001F2586">
        <w:rPr>
          <w:rFonts w:eastAsia="Calibri"/>
          <w:rtl/>
        </w:rPr>
        <w:t>.</w:t>
      </w:r>
      <w:r w:rsidRPr="001F2586">
        <w:rPr>
          <w:rFonts w:eastAsia="Calibri" w:hint="cs"/>
          <w:rtl/>
        </w:rPr>
        <w:t xml:space="preserve"> המגבלה נקבעה באוגוסט 2013 והוסדרה כאמור </w:t>
      </w:r>
      <w:r w:rsidRPr="001F2586">
        <w:rPr>
          <w:rFonts w:eastAsia="Calibri" w:hint="cs"/>
          <w:rtl/>
        </w:rPr>
        <w:t>בנב"ת</w:t>
      </w:r>
      <w:r w:rsidRPr="001F2586">
        <w:rPr>
          <w:rFonts w:eastAsia="Calibri" w:hint="cs"/>
          <w:rtl/>
        </w:rPr>
        <w:t xml:space="preserve"> 329 ביולי 2014, ומאז לא שונתה.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bookmarkStart w:id="25" w:name="_Hlk225172338"/>
      <w:r w:rsidRPr="001F2586">
        <w:rPr>
          <w:rFonts w:eastAsia="Calibri" w:hint="cs"/>
          <w:rtl/>
        </w:rPr>
        <w:t>קיימות שלוש חלופות לחישוב שיעור החזר מהכנסה</w:t>
      </w:r>
      <w:r>
        <w:rPr>
          <w:rFonts w:eastAsia="Calibri"/>
          <w:vertAlign w:val="superscript"/>
          <w:rtl/>
        </w:rPr>
        <w:footnoteReference w:id="102"/>
      </w:r>
      <w:r w:rsidRPr="001F2586">
        <w:rPr>
          <w:rFonts w:eastAsia="Calibri" w:hint="cs"/>
          <w:rtl/>
        </w:rPr>
        <w:t xml:space="preserve"> בעת מתן אשראי נוסף</w:t>
      </w:r>
      <w:r>
        <w:rPr>
          <w:rFonts w:eastAsia="Calibri"/>
          <w:vertAlign w:val="superscript"/>
          <w:rtl/>
        </w:rPr>
        <w:footnoteReference w:id="103"/>
      </w:r>
      <w:r w:rsidRPr="001F2586">
        <w:rPr>
          <w:rFonts w:eastAsia="Calibri" w:hint="cs"/>
          <w:rtl/>
        </w:rPr>
        <w:t xml:space="preserve"> לדיור: חלופת הלוואה - המצב כיום שבו חישוב המגבלה הוא ברמת ההלוואה באופן המאפשר גישה לאשראי נוסף עקב פערי עיתוי בלקיחת האשראי; חלופת נכס -המגבלה מחושבת לכל נכס בנפרד, באופן המשפיע על אשראי נוסף בלבד; וחלופת לווה - </w:t>
      </w:r>
      <w:bookmarkStart w:id="26" w:name="_Hlk225172437"/>
      <w:r w:rsidRPr="001F2586">
        <w:rPr>
          <w:rFonts w:eastAsia="Calibri" w:hint="cs"/>
          <w:rtl/>
        </w:rPr>
        <w:t xml:space="preserve">חישוב המגבלה המודד את עומס החוב (בגין אשראי לדיור) המוטל על הלווה, באופן שמשפיע על </w:t>
      </w:r>
      <w:r w:rsidRPr="001F2586">
        <w:rPr>
          <w:rFonts w:eastAsia="Calibri" w:hint="cs"/>
          <w:rtl/>
        </w:rPr>
        <w:t>רוכשי</w:t>
      </w:r>
      <w:r w:rsidRPr="001F2586">
        <w:rPr>
          <w:rFonts w:eastAsia="Calibri" w:hint="cs"/>
          <w:rtl/>
        </w:rPr>
        <w:t xml:space="preserve"> דירה חליפית ומשקיעים בעלי משכנתא</w:t>
      </w:r>
      <w:bookmarkEnd w:id="25"/>
      <w:bookmarkEnd w:id="26"/>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בהתאם </w:t>
      </w:r>
      <w:r w:rsidRPr="001F2586">
        <w:rPr>
          <w:rFonts w:eastAsia="Calibri" w:hint="cs"/>
          <w:rtl/>
        </w:rPr>
        <w:t>לנב"ת</w:t>
      </w:r>
      <w:r w:rsidRPr="001F2586">
        <w:rPr>
          <w:rFonts w:eastAsia="Calibri" w:hint="cs"/>
          <w:rtl/>
        </w:rPr>
        <w:t xml:space="preserve"> כיום, מגבלת שיעור החזר מהכנסה חלה על הלוואה ספציפית ומחושבת לפי חלופת הלוואה. לפיכך אם נלקחת הלוואה נוספת המגובה על ידי אותו נכס, הרי המגבלה תחושב מחדש, וייתכן שלמרות שהמינוף עולה שיעור ההחזר מההכנסה דווקא יורד בהלוואה הנוספת. כמו כן אף </w:t>
      </w:r>
      <w:r w:rsidRPr="001F2586">
        <w:rPr>
          <w:rFonts w:eastAsia="Calibri" w:hint="cs"/>
          <w:rtl/>
        </w:rPr>
        <w:t xml:space="preserve">אם נלקחת הלוואה נוספת לנכס אחר (להשקעה) שיעור ההחזר מהכנסה יישאר דומה על אף המינוף שגדל עד מאוד. לכן, בנק ישראל קבע בבחינה שביצע באפריל 2025 </w:t>
      </w:r>
      <w:r>
        <w:rPr>
          <w:rFonts w:eastAsia="Calibri"/>
          <w:vertAlign w:val="superscript"/>
          <w:rtl/>
        </w:rPr>
        <w:footnoteReference w:id="104"/>
      </w:r>
      <w:r w:rsidRPr="001F2586">
        <w:rPr>
          <w:rFonts w:eastAsia="Calibri" w:hint="cs"/>
          <w:rtl/>
        </w:rPr>
        <w:t xml:space="preserve">, במהלך הביקורת, כי המגבלה לפי חלופת ההלוואה אינה אפקטיבית בנטילת אשראי נוסף על אשראי קיים. אפשרויות אחרות למגבלה שנבחנו על ידי בנק ישראל בתקופת הביקורת הן מגבלת לפי חלופת נכס בו שיעור החזר מהכנסה מחושב על כל ההלוואות שנלקחו עבור רכישת הנכס, ומגבלת לפי חלופת לווה בו שיעור החזר מהכנסה מחושב ביחס לכלל ההלוואות של הלווה. אפשרויות אלה, ובייחוד האחרונה, מתאימה את המגבלה לרמת המינוף.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sz w:val="24"/>
          <w:rtl/>
        </w:rPr>
      </w:pPr>
      <w:r w:rsidRPr="001F2586">
        <w:rPr>
          <w:rFonts w:eastAsia="Calibri" w:hint="cs"/>
          <w:sz w:val="24"/>
          <w:rtl/>
        </w:rPr>
        <w:t xml:space="preserve">יצוין כי </w:t>
      </w:r>
      <w:bookmarkStart w:id="27" w:name="_Hlk225172496"/>
      <w:r w:rsidRPr="001F2586">
        <w:rPr>
          <w:rFonts w:eastAsia="Calibri" w:hint="cs"/>
          <w:sz w:val="24"/>
          <w:rtl/>
        </w:rPr>
        <w:t xml:space="preserve">במהלך הביקורת עדכן הפיקוח על הבנקים את מגבלת שיעור החזר מהכנסה לפי חלופת הנכס כך שהיא תחושב על כל ההלוואות שנלקחו עבור רכישת הנכס החל מיום 1.7.26. </w:t>
      </w:r>
      <w:bookmarkEnd w:id="27"/>
      <w:r w:rsidRPr="001F2586">
        <w:rPr>
          <w:rFonts w:eastAsia="Calibri" w:hint="cs"/>
          <w:sz w:val="24"/>
          <w:rtl/>
        </w:rPr>
        <w:t>הפיקוח על הבנקים ציין כי "...</w:t>
      </w:r>
      <w:r w:rsidRPr="001F2586">
        <w:rPr>
          <w:rFonts w:eastAsia="Calibri"/>
          <w:sz w:val="24"/>
          <w:rtl/>
        </w:rPr>
        <w:t xml:space="preserve">ולאחר בחינה, הוחלט להבהיר את אופן חישוב מגבלת שיעור ההחזר מההכנסה </w:t>
      </w:r>
      <w:r w:rsidRPr="001F2586">
        <w:rPr>
          <w:rFonts w:eastAsia="Calibri" w:hint="cs"/>
          <w:sz w:val="24"/>
          <w:rtl/>
        </w:rPr>
        <w:t>(</w:t>
      </w:r>
      <w:r w:rsidRPr="001F2586">
        <w:rPr>
          <w:rFonts w:eastAsia="Calibri"/>
          <w:sz w:val="24"/>
        </w:rPr>
        <w:t>PTI</w:t>
      </w:r>
      <w:r w:rsidRPr="001F2586">
        <w:rPr>
          <w:rFonts w:eastAsia="Calibri"/>
          <w:sz w:val="24"/>
          <w:rtl/>
        </w:rPr>
        <w:t>)</w:t>
      </w:r>
      <w:r w:rsidRPr="001F2586">
        <w:rPr>
          <w:rFonts w:eastAsia="Calibri" w:hint="cs"/>
          <w:sz w:val="24"/>
          <w:rtl/>
        </w:rPr>
        <w:t xml:space="preserve"> </w:t>
      </w:r>
      <w:r w:rsidRPr="001F2586">
        <w:rPr>
          <w:rFonts w:eastAsia="Calibri"/>
          <w:sz w:val="24"/>
          <w:rtl/>
        </w:rPr>
        <w:t>בעת נטילת הלוואה לדיור נוספת על הלוואה לדיור קיימת המובטחות בשעבוד אותו הנכס</w:t>
      </w:r>
      <w:r w:rsidRPr="001F2586">
        <w:rPr>
          <w:rFonts w:eastAsia="Calibri" w:hint="cs"/>
          <w:sz w:val="24"/>
          <w:rtl/>
        </w:rPr>
        <w:t>". להלן לוח המציג השוואה בין ההגדרה של החזר חודשי הקיימת כיום לבין ההגדרה של החזר חודשי החל מיום 1.7.26:</w:t>
      </w:r>
    </w:p>
    <w:p w:rsidR="001F2586" w:rsidRPr="001F2586" w:rsidP="001F2586">
      <w:pPr>
        <w:spacing w:line="269" w:lineRule="auto"/>
        <w:ind w:left="-567"/>
        <w:rPr>
          <w:rFonts w:eastAsia="Calibri"/>
          <w:szCs w:val="20"/>
          <w:rtl/>
        </w:rPr>
      </w:pPr>
    </w:p>
    <w:p w:rsidR="001F2586" w:rsidRPr="001F2586" w:rsidP="001A0C9C">
      <w:pPr>
        <w:keepNext/>
        <w:keepLines/>
        <w:spacing w:line="269" w:lineRule="auto"/>
        <w:ind w:left="-2"/>
        <w:jc w:val="center"/>
        <w:outlineLvl w:val="4"/>
        <w:rPr>
          <w:rFonts w:eastAsia="Calibri"/>
          <w:sz w:val="24"/>
          <w:rtl/>
        </w:rPr>
      </w:pPr>
      <w:r w:rsidRPr="001F2586">
        <w:rPr>
          <w:rFonts w:eastAsia="Calibri" w:hint="eastAsia"/>
          <w:b/>
          <w:sz w:val="24"/>
          <w:rtl/>
        </w:rPr>
        <w:t>לוח</w:t>
      </w:r>
      <w:r w:rsidRPr="001F2586">
        <w:rPr>
          <w:rFonts w:eastAsia="Calibri"/>
          <w:b/>
          <w:sz w:val="24"/>
          <w:rtl/>
        </w:rPr>
        <w:t xml:space="preserve"> </w:t>
      </w:r>
      <w:r w:rsidRPr="001F2586">
        <w:rPr>
          <w:rFonts w:eastAsia="Calibri" w:hint="cs"/>
          <w:b/>
          <w:sz w:val="24"/>
          <w:rtl/>
        </w:rPr>
        <w:t>4</w:t>
      </w:r>
      <w:r w:rsidRPr="001F2586">
        <w:rPr>
          <w:rFonts w:eastAsia="Calibri"/>
          <w:b/>
          <w:sz w:val="24"/>
          <w:rtl/>
        </w:rPr>
        <w:t>:</w:t>
      </w:r>
      <w:r w:rsidRPr="001F2586">
        <w:rPr>
          <w:rFonts w:eastAsia="Calibri"/>
          <w:bCs/>
          <w:sz w:val="24"/>
          <w:rtl/>
        </w:rPr>
        <w:t xml:space="preserve"> </w:t>
      </w:r>
      <w:r w:rsidRPr="001F2586">
        <w:rPr>
          <w:rFonts w:eastAsia="Calibri" w:hint="eastAsia"/>
          <w:bCs/>
          <w:sz w:val="24"/>
          <w:rtl/>
        </w:rPr>
        <w:t>השוואה</w:t>
      </w:r>
      <w:r w:rsidRPr="001F2586">
        <w:rPr>
          <w:rFonts w:eastAsia="Calibri"/>
          <w:bCs/>
          <w:sz w:val="24"/>
          <w:rtl/>
        </w:rPr>
        <w:t xml:space="preserve"> </w:t>
      </w:r>
      <w:r w:rsidRPr="001F2586">
        <w:rPr>
          <w:rFonts w:eastAsia="Calibri" w:hint="eastAsia"/>
          <w:bCs/>
          <w:sz w:val="24"/>
          <w:rtl/>
        </w:rPr>
        <w:t>בין</w:t>
      </w:r>
      <w:r w:rsidRPr="001F2586">
        <w:rPr>
          <w:rFonts w:eastAsia="Calibri"/>
          <w:bCs/>
          <w:sz w:val="24"/>
          <w:rtl/>
        </w:rPr>
        <w:t xml:space="preserve"> </w:t>
      </w:r>
      <w:r w:rsidRPr="001F2586">
        <w:rPr>
          <w:rFonts w:eastAsia="Calibri" w:hint="eastAsia"/>
          <w:bCs/>
          <w:sz w:val="24"/>
          <w:rtl/>
        </w:rPr>
        <w:t>החזר</w:t>
      </w:r>
      <w:r w:rsidRPr="001F2586">
        <w:rPr>
          <w:rFonts w:eastAsia="Calibri"/>
          <w:bCs/>
          <w:sz w:val="24"/>
          <w:rtl/>
        </w:rPr>
        <w:t xml:space="preserve"> </w:t>
      </w:r>
      <w:r w:rsidRPr="001F2586">
        <w:rPr>
          <w:rFonts w:eastAsia="Calibri" w:hint="eastAsia"/>
          <w:bCs/>
          <w:sz w:val="24"/>
          <w:rtl/>
        </w:rPr>
        <w:t>חודשי</w:t>
      </w:r>
      <w:r w:rsidRPr="001F2586">
        <w:rPr>
          <w:rFonts w:eastAsia="Calibri"/>
          <w:bCs/>
          <w:sz w:val="24"/>
          <w:rtl/>
        </w:rPr>
        <w:t xml:space="preserve"> </w:t>
      </w:r>
      <w:r w:rsidRPr="001F2586">
        <w:rPr>
          <w:rFonts w:eastAsia="Calibri" w:hint="eastAsia"/>
          <w:bCs/>
          <w:sz w:val="24"/>
          <w:rtl/>
        </w:rPr>
        <w:t>במגבלת</w:t>
      </w:r>
      <w:r w:rsidRPr="001F2586">
        <w:rPr>
          <w:rFonts w:eastAsia="Calibri"/>
          <w:bCs/>
          <w:sz w:val="24"/>
          <w:rtl/>
        </w:rPr>
        <w:t xml:space="preserve"> </w:t>
      </w:r>
      <w:r w:rsidRPr="001F2586">
        <w:rPr>
          <w:rFonts w:eastAsia="Calibri" w:hint="eastAsia"/>
          <w:bCs/>
          <w:sz w:val="24"/>
          <w:rtl/>
        </w:rPr>
        <w:t>שיעור</w:t>
      </w:r>
      <w:r w:rsidRPr="001F2586">
        <w:rPr>
          <w:rFonts w:eastAsia="Calibri"/>
          <w:bCs/>
          <w:sz w:val="24"/>
          <w:rtl/>
        </w:rPr>
        <w:t xml:space="preserve"> </w:t>
      </w:r>
      <w:r w:rsidRPr="001F2586">
        <w:rPr>
          <w:rFonts w:eastAsia="Calibri" w:hint="eastAsia"/>
          <w:bCs/>
          <w:sz w:val="24"/>
          <w:rtl/>
        </w:rPr>
        <w:t>החזר</w:t>
      </w:r>
      <w:r w:rsidRPr="001F2586">
        <w:rPr>
          <w:rFonts w:eastAsia="Calibri"/>
          <w:bCs/>
          <w:sz w:val="24"/>
          <w:rtl/>
        </w:rPr>
        <w:t xml:space="preserve"> </w:t>
      </w:r>
      <w:r w:rsidRPr="001F2586">
        <w:rPr>
          <w:rFonts w:eastAsia="Calibri" w:hint="eastAsia"/>
          <w:bCs/>
          <w:sz w:val="24"/>
          <w:rtl/>
        </w:rPr>
        <w:t>מהכנסה</w:t>
      </w:r>
      <w:r w:rsidRPr="001F2586">
        <w:rPr>
          <w:rFonts w:eastAsia="Calibri"/>
          <w:bCs/>
          <w:sz w:val="24"/>
          <w:rtl/>
        </w:rPr>
        <w:t xml:space="preserve"> </w:t>
      </w:r>
      <w:r w:rsidRPr="001F2586">
        <w:rPr>
          <w:rFonts w:eastAsia="Calibri" w:hint="eastAsia"/>
          <w:bCs/>
          <w:sz w:val="24"/>
          <w:rtl/>
        </w:rPr>
        <w:t>כיום</w:t>
      </w:r>
      <w:r w:rsidRPr="001F2586">
        <w:rPr>
          <w:rFonts w:eastAsia="Calibri"/>
          <w:bCs/>
          <w:sz w:val="24"/>
          <w:rtl/>
        </w:rPr>
        <w:t xml:space="preserve"> </w:t>
      </w:r>
      <w:r w:rsidRPr="001F2586">
        <w:rPr>
          <w:rFonts w:eastAsia="Calibri" w:hint="eastAsia"/>
          <w:bCs/>
          <w:sz w:val="24"/>
          <w:rtl/>
        </w:rPr>
        <w:t>לבין</w:t>
      </w:r>
      <w:r w:rsidRPr="001F2586">
        <w:rPr>
          <w:rFonts w:eastAsia="Calibri"/>
          <w:bCs/>
          <w:sz w:val="24"/>
          <w:rtl/>
        </w:rPr>
        <w:t xml:space="preserve"> </w:t>
      </w:r>
      <w:r w:rsidRPr="001F2586">
        <w:rPr>
          <w:rFonts w:eastAsia="Calibri" w:hint="eastAsia"/>
          <w:bCs/>
          <w:sz w:val="24"/>
          <w:rtl/>
        </w:rPr>
        <w:t>החזר</w:t>
      </w:r>
      <w:r w:rsidRPr="001F2586">
        <w:rPr>
          <w:rFonts w:eastAsia="Calibri"/>
          <w:bCs/>
          <w:sz w:val="24"/>
          <w:rtl/>
        </w:rPr>
        <w:t xml:space="preserve"> </w:t>
      </w:r>
      <w:r w:rsidRPr="001F2586">
        <w:rPr>
          <w:rFonts w:eastAsia="Calibri" w:hint="eastAsia"/>
          <w:bCs/>
          <w:sz w:val="24"/>
          <w:rtl/>
        </w:rPr>
        <w:t>חודשי</w:t>
      </w:r>
      <w:r w:rsidRPr="001F2586">
        <w:rPr>
          <w:rFonts w:eastAsia="Calibri"/>
          <w:bCs/>
          <w:sz w:val="24"/>
          <w:rtl/>
        </w:rPr>
        <w:t xml:space="preserve"> </w:t>
      </w:r>
      <w:r w:rsidRPr="001F2586">
        <w:rPr>
          <w:rFonts w:eastAsia="Calibri" w:hint="eastAsia"/>
          <w:bCs/>
          <w:sz w:val="24"/>
          <w:rtl/>
        </w:rPr>
        <w:t>במגבלת</w:t>
      </w:r>
      <w:r w:rsidRPr="001F2586">
        <w:rPr>
          <w:rFonts w:eastAsia="Calibri"/>
          <w:bCs/>
          <w:sz w:val="24"/>
          <w:rtl/>
        </w:rPr>
        <w:t xml:space="preserve"> </w:t>
      </w:r>
      <w:r w:rsidRPr="001F2586">
        <w:rPr>
          <w:rFonts w:eastAsia="Calibri" w:hint="eastAsia"/>
          <w:bCs/>
          <w:sz w:val="24"/>
          <w:rtl/>
        </w:rPr>
        <w:t>שיעור</w:t>
      </w:r>
      <w:r w:rsidRPr="001F2586">
        <w:rPr>
          <w:rFonts w:eastAsia="Calibri"/>
          <w:bCs/>
          <w:sz w:val="24"/>
          <w:rtl/>
        </w:rPr>
        <w:t xml:space="preserve"> </w:t>
      </w:r>
      <w:r w:rsidRPr="001F2586">
        <w:rPr>
          <w:rFonts w:eastAsia="Calibri" w:hint="eastAsia"/>
          <w:bCs/>
          <w:sz w:val="24"/>
          <w:rtl/>
        </w:rPr>
        <w:t>החזר</w:t>
      </w:r>
      <w:r w:rsidRPr="001F2586">
        <w:rPr>
          <w:rFonts w:eastAsia="Calibri"/>
          <w:bCs/>
          <w:sz w:val="24"/>
          <w:rtl/>
        </w:rPr>
        <w:t xml:space="preserve"> </w:t>
      </w:r>
      <w:r w:rsidRPr="001F2586">
        <w:rPr>
          <w:rFonts w:eastAsia="Calibri" w:hint="eastAsia"/>
          <w:bCs/>
          <w:sz w:val="24"/>
          <w:rtl/>
        </w:rPr>
        <w:t>מהכנסה</w:t>
      </w:r>
      <w:r w:rsidRPr="001F2586">
        <w:rPr>
          <w:rFonts w:eastAsia="Calibri"/>
          <w:bCs/>
          <w:sz w:val="24"/>
          <w:rtl/>
        </w:rPr>
        <w:t xml:space="preserve"> </w:t>
      </w:r>
      <w:r w:rsidRPr="001F2586">
        <w:rPr>
          <w:rFonts w:eastAsia="Calibri" w:hint="eastAsia"/>
          <w:bCs/>
          <w:sz w:val="24"/>
          <w:rtl/>
        </w:rPr>
        <w:t>החל</w:t>
      </w:r>
      <w:r w:rsidRPr="001F2586">
        <w:rPr>
          <w:rFonts w:eastAsia="Calibri"/>
          <w:bCs/>
          <w:sz w:val="24"/>
          <w:rtl/>
        </w:rPr>
        <w:t xml:space="preserve"> </w:t>
      </w:r>
      <w:r w:rsidRPr="001F2586">
        <w:rPr>
          <w:rFonts w:eastAsia="Calibri" w:hint="cs"/>
          <w:bCs/>
          <w:sz w:val="24"/>
          <w:rtl/>
        </w:rPr>
        <w:t>ב</w:t>
      </w:r>
      <w:r w:rsidRPr="001F2586">
        <w:rPr>
          <w:rFonts w:eastAsia="Calibri" w:hint="eastAsia"/>
          <w:bCs/>
          <w:sz w:val="24"/>
          <w:rtl/>
        </w:rPr>
        <w:t>יום</w:t>
      </w:r>
      <w:r w:rsidRPr="001F2586">
        <w:rPr>
          <w:rFonts w:eastAsia="Calibri"/>
          <w:bCs/>
          <w:sz w:val="24"/>
          <w:rtl/>
        </w:rPr>
        <w:t xml:space="preserve"> 1.7.26</w:t>
      </w:r>
    </w:p>
    <w:tbl>
      <w:tblPr>
        <w:tblStyle w:val="TableGrid"/>
        <w:bidiVisual/>
        <w:tblW w:w="8203" w:type="dxa"/>
        <w:tblInd w:w="131" w:type="dxa"/>
        <w:tblLook w:val="04A0"/>
      </w:tblPr>
      <w:tblGrid>
        <w:gridCol w:w="2026"/>
        <w:gridCol w:w="2158"/>
        <w:gridCol w:w="4019"/>
      </w:tblGrid>
      <w:tr w:rsidTr="001A0C9C">
        <w:tblPrEx>
          <w:tblW w:w="8203" w:type="dxa"/>
          <w:tblInd w:w="131" w:type="dxa"/>
          <w:tblLook w:val="04A0"/>
        </w:tblPrEx>
        <w:trPr>
          <w:trHeight w:val="627"/>
        </w:trPr>
        <w:tc>
          <w:tcPr>
            <w:tcW w:w="2026" w:type="dxa"/>
          </w:tcPr>
          <w:p w:rsidR="001F2586" w:rsidRPr="001F2586" w:rsidP="001F2586">
            <w:pPr>
              <w:spacing w:line="269" w:lineRule="auto"/>
              <w:rPr>
                <w:rFonts w:eastAsia="Calibri"/>
                <w:sz w:val="24"/>
                <w:rtl/>
              </w:rPr>
            </w:pPr>
          </w:p>
        </w:tc>
        <w:tc>
          <w:tcPr>
            <w:tcW w:w="2158" w:type="dxa"/>
          </w:tcPr>
          <w:p w:rsidR="001F2586" w:rsidRPr="001F2586" w:rsidP="001F2586">
            <w:pPr>
              <w:spacing w:line="269" w:lineRule="auto"/>
              <w:jc w:val="center"/>
              <w:rPr>
                <w:rFonts w:ascii="David" w:eastAsia="Calibri" w:hAnsi="David"/>
                <w:sz w:val="22"/>
                <w:szCs w:val="22"/>
                <w:rtl/>
              </w:rPr>
            </w:pPr>
            <w:r w:rsidRPr="001F2586">
              <w:rPr>
                <w:rFonts w:ascii="David" w:eastAsia="Calibri" w:hAnsi="David"/>
                <w:sz w:val="22"/>
                <w:szCs w:val="22"/>
                <w:rtl/>
              </w:rPr>
              <w:t>מגבלת שיעור החזר מהכנסה כיום-לפי הלוואה*</w:t>
            </w:r>
          </w:p>
        </w:tc>
        <w:tc>
          <w:tcPr>
            <w:tcW w:w="4019" w:type="dxa"/>
          </w:tcPr>
          <w:p w:rsidR="001F2586" w:rsidRPr="001F2586" w:rsidP="001F2586">
            <w:pPr>
              <w:spacing w:line="269" w:lineRule="auto"/>
              <w:jc w:val="center"/>
              <w:rPr>
                <w:rFonts w:ascii="David" w:eastAsia="Calibri" w:hAnsi="David"/>
                <w:sz w:val="22"/>
                <w:szCs w:val="22"/>
                <w:rtl/>
              </w:rPr>
            </w:pPr>
            <w:r w:rsidRPr="001F2586">
              <w:rPr>
                <w:rFonts w:ascii="David" w:eastAsia="Calibri" w:hAnsi="David"/>
                <w:sz w:val="22"/>
                <w:szCs w:val="22"/>
                <w:rtl/>
              </w:rPr>
              <w:t>מגבלת שיעור החזר מהכנסה החל מיום 1.7.26 - לפי נכס**</w:t>
            </w:r>
          </w:p>
        </w:tc>
      </w:tr>
      <w:tr w:rsidTr="0070405E">
        <w:tblPrEx>
          <w:tblW w:w="8203" w:type="dxa"/>
          <w:tblInd w:w="131" w:type="dxa"/>
          <w:tblLook w:val="04A0"/>
        </w:tblPrEx>
        <w:trPr>
          <w:trHeight w:val="1599"/>
        </w:trPr>
        <w:tc>
          <w:tcPr>
            <w:tcW w:w="2026" w:type="dxa"/>
          </w:tcPr>
          <w:p w:rsidR="001F2586" w:rsidRPr="001F2586" w:rsidP="001F2586">
            <w:pPr>
              <w:spacing w:line="269" w:lineRule="auto"/>
              <w:jc w:val="left"/>
              <w:rPr>
                <w:rFonts w:eastAsia="Calibri"/>
                <w:sz w:val="22"/>
                <w:szCs w:val="22"/>
                <w:rtl/>
              </w:rPr>
            </w:pPr>
          </w:p>
          <w:p w:rsidR="001F2586" w:rsidRPr="001F2586" w:rsidP="001F2586">
            <w:pPr>
              <w:spacing w:line="269" w:lineRule="auto"/>
              <w:jc w:val="left"/>
              <w:rPr>
                <w:rFonts w:eastAsia="Calibri"/>
                <w:sz w:val="22"/>
                <w:szCs w:val="22"/>
                <w:rtl/>
              </w:rPr>
            </w:pPr>
            <w:r w:rsidRPr="001F2586">
              <w:rPr>
                <w:rFonts w:eastAsia="Calibri" w:hint="cs"/>
                <w:sz w:val="22"/>
                <w:szCs w:val="22"/>
                <w:rtl/>
              </w:rPr>
              <w:t>הגדרת "החזר חודשי"</w:t>
            </w:r>
          </w:p>
        </w:tc>
        <w:tc>
          <w:tcPr>
            <w:tcW w:w="2158" w:type="dxa"/>
          </w:tcPr>
          <w:p w:rsidR="001F2586" w:rsidRPr="001F2586" w:rsidP="001F2586">
            <w:pPr>
              <w:spacing w:line="269" w:lineRule="auto"/>
              <w:jc w:val="left"/>
              <w:rPr>
                <w:rFonts w:eastAsia="Calibri"/>
                <w:sz w:val="22"/>
                <w:szCs w:val="22"/>
                <w:rtl/>
              </w:rPr>
            </w:pPr>
            <w:r w:rsidRPr="001F2586">
              <w:rPr>
                <w:rFonts w:eastAsia="Calibri"/>
                <w:sz w:val="22"/>
                <w:szCs w:val="22"/>
                <w:rtl/>
              </w:rPr>
              <w:t>התשלום החודשי המשמש לפירעון של הלוואה לדיור המבוקשת ע"י</w:t>
            </w:r>
            <w:r w:rsidRPr="001F2586">
              <w:rPr>
                <w:rFonts w:eastAsia="Calibri" w:hint="cs"/>
                <w:sz w:val="22"/>
                <w:szCs w:val="22"/>
                <w:rtl/>
              </w:rPr>
              <w:t xml:space="preserve"> </w:t>
            </w:r>
            <w:r w:rsidRPr="001F2586">
              <w:rPr>
                <w:rFonts w:eastAsia="Calibri"/>
                <w:sz w:val="22"/>
                <w:szCs w:val="22"/>
                <w:rtl/>
              </w:rPr>
              <w:t>לקוח</w:t>
            </w:r>
          </w:p>
        </w:tc>
        <w:tc>
          <w:tcPr>
            <w:tcW w:w="4019" w:type="dxa"/>
          </w:tcPr>
          <w:p w:rsidR="001F2586" w:rsidRPr="001F2586" w:rsidP="001F2586">
            <w:pPr>
              <w:spacing w:line="269" w:lineRule="auto"/>
              <w:jc w:val="left"/>
              <w:rPr>
                <w:rFonts w:eastAsia="Calibri"/>
                <w:sz w:val="22"/>
                <w:szCs w:val="22"/>
                <w:rtl/>
              </w:rPr>
            </w:pPr>
            <w:r w:rsidRPr="001F2586">
              <w:rPr>
                <w:rFonts w:eastAsia="Calibri"/>
                <w:sz w:val="22"/>
                <w:szCs w:val="22"/>
                <w:rtl/>
              </w:rPr>
              <w:t>סך התשלומים החודשיים המשמשים לפירעון של הלוואה לדיור</w:t>
            </w:r>
            <w:r w:rsidRPr="001F2586">
              <w:rPr>
                <w:rFonts w:eastAsia="Calibri" w:hint="cs"/>
                <w:sz w:val="22"/>
                <w:szCs w:val="22"/>
                <w:rtl/>
              </w:rPr>
              <w:t xml:space="preserve"> </w:t>
            </w:r>
            <w:r w:rsidRPr="001F2586">
              <w:rPr>
                <w:rFonts w:eastAsia="Calibri"/>
                <w:sz w:val="22"/>
                <w:szCs w:val="22"/>
                <w:rtl/>
              </w:rPr>
              <w:t>המבוקשת ע"י לקוח, כולל הלוואות שהועמדו ללווה בעבר</w:t>
            </w:r>
            <w:r w:rsidRPr="001F2586">
              <w:rPr>
                <w:rFonts w:eastAsia="Calibri" w:hint="cs"/>
                <w:sz w:val="22"/>
                <w:szCs w:val="22"/>
                <w:rtl/>
              </w:rPr>
              <w:t xml:space="preserve"> על ידי כל מלווה</w:t>
            </w:r>
            <w:r w:rsidRPr="001F2586">
              <w:rPr>
                <w:rFonts w:eastAsia="Calibri"/>
                <w:sz w:val="22"/>
                <w:szCs w:val="22"/>
                <w:rtl/>
              </w:rPr>
              <w:t>, המובטחות בשעבוד אותו הנכס,</w:t>
            </w:r>
            <w:r w:rsidRPr="001F2586">
              <w:rPr>
                <w:rFonts w:eastAsia="Calibri" w:hint="cs"/>
                <w:sz w:val="22"/>
                <w:szCs w:val="22"/>
                <w:rtl/>
              </w:rPr>
              <w:t xml:space="preserve"> </w:t>
            </w:r>
            <w:r w:rsidRPr="001F2586">
              <w:rPr>
                <w:rFonts w:eastAsia="Calibri"/>
                <w:sz w:val="22"/>
                <w:szCs w:val="22"/>
                <w:rtl/>
              </w:rPr>
              <w:t>ובלבד</w:t>
            </w:r>
            <w:r w:rsidRPr="001F2586">
              <w:rPr>
                <w:rFonts w:eastAsia="Calibri" w:hint="cs"/>
                <w:sz w:val="22"/>
                <w:szCs w:val="22"/>
                <w:rtl/>
              </w:rPr>
              <w:t xml:space="preserve"> </w:t>
            </w:r>
            <w:r w:rsidRPr="001F2586">
              <w:rPr>
                <w:rFonts w:eastAsia="Calibri"/>
                <w:sz w:val="22"/>
                <w:szCs w:val="22"/>
                <w:rtl/>
              </w:rPr>
              <w:t>שמועד פירעונן של ההלוואות כאמור עולה על 18 חודשים.</w:t>
            </w:r>
          </w:p>
        </w:tc>
      </w:tr>
    </w:tbl>
    <w:p w:rsidR="001F2586" w:rsidRPr="001F2586" w:rsidP="001F2586">
      <w:pPr>
        <w:spacing w:line="269" w:lineRule="auto"/>
        <w:rPr>
          <w:rFonts w:ascii="David" w:eastAsia="Calibri" w:hAnsi="David"/>
          <w:szCs w:val="20"/>
          <w:rtl/>
        </w:rPr>
      </w:pPr>
      <w:r w:rsidRPr="001F2586">
        <w:rPr>
          <w:rFonts w:ascii="David" w:eastAsia="Calibri" w:hAnsi="David"/>
          <w:szCs w:val="20"/>
          <w:rtl/>
        </w:rPr>
        <w:t>על פי הוראות של הפיקוח על הבנקים, בעיבוד משרד מבקר המדינה.</w:t>
      </w:r>
    </w:p>
    <w:p w:rsidR="001F2586" w:rsidRPr="001F2586" w:rsidP="001F2586">
      <w:pPr>
        <w:spacing w:line="269" w:lineRule="auto"/>
        <w:rPr>
          <w:rFonts w:ascii="David" w:eastAsia="Calibri" w:hAnsi="David"/>
          <w:szCs w:val="20"/>
          <w:rtl/>
        </w:rPr>
      </w:pPr>
      <w:r w:rsidRPr="001F2586">
        <w:rPr>
          <w:rFonts w:ascii="David" w:eastAsia="Calibri" w:hAnsi="David"/>
          <w:szCs w:val="20"/>
          <w:rtl/>
        </w:rPr>
        <w:t>*</w:t>
      </w:r>
      <w:r w:rsidRPr="001F2586">
        <w:rPr>
          <w:rFonts w:ascii="David" w:eastAsia="Calibri" w:hAnsi="David" w:hint="cs"/>
          <w:szCs w:val="20"/>
          <w:rtl/>
        </w:rPr>
        <w:t xml:space="preserve"> </w:t>
      </w:r>
      <w:r w:rsidRPr="001F2586">
        <w:rPr>
          <w:rFonts w:ascii="David" w:eastAsia="Calibri" w:hAnsi="David"/>
          <w:szCs w:val="20"/>
          <w:rtl/>
        </w:rPr>
        <w:t xml:space="preserve">הפיקוח על הבנקים, </w:t>
      </w:r>
      <w:r w:rsidRPr="001F2586">
        <w:rPr>
          <w:rFonts w:ascii="David" w:eastAsia="Calibri" w:hAnsi="David"/>
          <w:szCs w:val="20"/>
          <w:rtl/>
        </w:rPr>
        <w:t>נב"ת</w:t>
      </w:r>
      <w:r w:rsidRPr="001F2586">
        <w:rPr>
          <w:rFonts w:ascii="David" w:eastAsia="Calibri" w:hAnsi="David"/>
          <w:szCs w:val="20"/>
          <w:rtl/>
        </w:rPr>
        <w:t xml:space="preserve"> 329 - "מגבלות למתן הלוואות לדיור" (4.25), עמ' 4 ו-8.</w:t>
      </w:r>
    </w:p>
    <w:p w:rsidR="001F2586" w:rsidRPr="001F2586" w:rsidP="001F2586">
      <w:pPr>
        <w:spacing w:line="269" w:lineRule="auto"/>
        <w:rPr>
          <w:rFonts w:ascii="David" w:eastAsia="Calibri" w:hAnsi="David"/>
          <w:szCs w:val="20"/>
          <w:rtl/>
        </w:rPr>
      </w:pPr>
      <w:r w:rsidRPr="001F2586">
        <w:rPr>
          <w:rFonts w:ascii="David" w:eastAsia="Calibri" w:hAnsi="David"/>
          <w:szCs w:val="20"/>
          <w:rtl/>
        </w:rPr>
        <w:t>** הפיקוח על הבנקים, חוזר מס' ח - 06 - 2840 (8.2.26), עמ' 1-3 ו-10.</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sz w:val="24"/>
          <w:rtl/>
        </w:rPr>
      </w:pPr>
      <w:r w:rsidRPr="001F2586">
        <w:rPr>
          <w:rFonts w:eastAsia="Calibri" w:hint="cs"/>
          <w:sz w:val="24"/>
          <w:rtl/>
        </w:rPr>
        <w:t xml:space="preserve">עולה מהלוח כי הגדרת "החזר חודשי" במגבלת שיעור ההחזר מהכנסה תשתנה ותהיה רלוונטית בעת לקיחת הלוואה נוספת, </w:t>
      </w:r>
      <w:bookmarkStart w:id="28" w:name="_Hlk225172663"/>
      <w:r w:rsidRPr="001F2586">
        <w:rPr>
          <w:rFonts w:eastAsia="Calibri" w:hint="cs"/>
          <w:sz w:val="24"/>
          <w:rtl/>
        </w:rPr>
        <w:t>כך שכאשר לווה ימנף את הנכס שלו שיעור ההחזר שלו יעלה וישקף מינוף גבוה יותר</w:t>
      </w:r>
      <w:bookmarkEnd w:id="28"/>
      <w:r w:rsidRPr="001F2586">
        <w:rPr>
          <w:rFonts w:eastAsia="Calibri" w:hint="cs"/>
          <w:sz w:val="24"/>
          <w:rtl/>
        </w:rPr>
        <w:t xml:space="preserve">. עם זאת, חישוב של מגבלת שיעור החזר מהכנסה לפי חלופת לווה, כלומר ביחס לכלל ההלוואות של הלווה, ולא רק עבור אותו נכס, היא מגבלה שמתאימה יותר את רמת המינוף של הלווה ומשקפת במידה רבה יותר את כושר ההחזר שלו בפועל. בחירה בשיטה זו עשויה לחזק את </w:t>
      </w:r>
      <w:r w:rsidRPr="001F2586">
        <w:rPr>
          <w:rFonts w:eastAsia="Calibri"/>
          <w:sz w:val="24"/>
          <w:rtl/>
        </w:rPr>
        <w:t xml:space="preserve">היציבות </w:t>
      </w:r>
      <w:r w:rsidRPr="001F2586">
        <w:rPr>
          <w:rFonts w:eastAsia="Calibri" w:hint="cs"/>
          <w:sz w:val="24"/>
          <w:rtl/>
        </w:rPr>
        <w:t>ולצמצם את</w:t>
      </w:r>
      <w:r w:rsidRPr="001F2586">
        <w:rPr>
          <w:rFonts w:eastAsia="Calibri"/>
          <w:sz w:val="24"/>
          <w:rtl/>
        </w:rPr>
        <w:t xml:space="preserve"> ההטיה </w:t>
      </w:r>
      <w:r w:rsidRPr="001F2586">
        <w:rPr>
          <w:rFonts w:eastAsia="Calibri" w:hint="cs"/>
          <w:sz w:val="24"/>
          <w:rtl/>
        </w:rPr>
        <w:t xml:space="preserve">הקיימת </w:t>
      </w:r>
      <w:r w:rsidRPr="001F2586">
        <w:rPr>
          <w:rFonts w:eastAsia="Calibri"/>
          <w:sz w:val="24"/>
          <w:rtl/>
        </w:rPr>
        <w:t xml:space="preserve">בחישוב נטל החוב </w:t>
      </w:r>
      <w:r w:rsidRPr="001F2586">
        <w:rPr>
          <w:rFonts w:eastAsia="Calibri" w:hint="cs"/>
          <w:sz w:val="24"/>
          <w:rtl/>
        </w:rPr>
        <w:t xml:space="preserve">הקיים בפועל </w:t>
      </w:r>
      <w:r w:rsidRPr="001F2586">
        <w:rPr>
          <w:rFonts w:eastAsia="Calibri"/>
          <w:sz w:val="24"/>
          <w:rtl/>
        </w:rPr>
        <w:t>על הלוו</w:t>
      </w:r>
      <w:r w:rsidRPr="001F2586">
        <w:rPr>
          <w:rFonts w:eastAsia="Calibri" w:hint="cs"/>
          <w:sz w:val="24"/>
          <w:rtl/>
        </w:rPr>
        <w:t>ה. עם זאת,</w:t>
      </w:r>
      <w:r w:rsidRPr="001F2586">
        <w:rPr>
          <w:rFonts w:eastAsia="Calibri"/>
          <w:sz w:val="24"/>
          <w:rtl/>
        </w:rPr>
        <w:t xml:space="preserve"> </w:t>
      </w:r>
      <w:r w:rsidRPr="001F2586">
        <w:rPr>
          <w:rFonts w:eastAsia="Calibri" w:hint="cs"/>
          <w:sz w:val="24"/>
          <w:rtl/>
        </w:rPr>
        <w:t xml:space="preserve">היא עשויה לצמצם </w:t>
      </w:r>
      <w:r w:rsidRPr="001F2586">
        <w:rPr>
          <w:rFonts w:eastAsia="Calibri"/>
          <w:sz w:val="24"/>
          <w:rtl/>
        </w:rPr>
        <w:t xml:space="preserve">את נגישות לאשראי לדיור </w:t>
      </w:r>
      <w:r w:rsidRPr="001F2586">
        <w:rPr>
          <w:rFonts w:eastAsia="Calibri" w:hint="cs"/>
          <w:sz w:val="24"/>
          <w:rtl/>
        </w:rPr>
        <w:t>ולהקטין</w:t>
      </w:r>
      <w:r w:rsidRPr="001F2586">
        <w:rPr>
          <w:rFonts w:eastAsia="Calibri"/>
          <w:sz w:val="24"/>
          <w:rtl/>
        </w:rPr>
        <w:t xml:space="preserve"> את חלק </w:t>
      </w:r>
      <w:r w:rsidRPr="001F2586">
        <w:rPr>
          <w:rFonts w:eastAsia="Calibri" w:hint="cs"/>
          <w:sz w:val="24"/>
          <w:rtl/>
        </w:rPr>
        <w:t>המשקיעים</w:t>
      </w:r>
      <w:r w:rsidRPr="001F2586">
        <w:rPr>
          <w:rFonts w:eastAsia="Calibri"/>
          <w:sz w:val="24"/>
          <w:rtl/>
        </w:rPr>
        <w:t xml:space="preserve"> באופן שעשוי </w:t>
      </w:r>
      <w:r w:rsidRPr="001F2586">
        <w:rPr>
          <w:rFonts w:eastAsia="Calibri" w:hint="cs"/>
          <w:sz w:val="24"/>
          <w:rtl/>
        </w:rPr>
        <w:t xml:space="preserve">להוריד את הביקוש לדירות ולמתן את עליית מחירי הדירות אך גם </w:t>
      </w:r>
      <w:r w:rsidRPr="001F2586">
        <w:rPr>
          <w:rFonts w:eastAsia="Calibri"/>
          <w:sz w:val="24"/>
          <w:rtl/>
        </w:rPr>
        <w:t xml:space="preserve">לצמצם </w:t>
      </w:r>
      <w:r w:rsidRPr="001F2586">
        <w:rPr>
          <w:rFonts w:eastAsia="Calibri" w:hint="cs"/>
          <w:sz w:val="24"/>
          <w:rtl/>
        </w:rPr>
        <w:t xml:space="preserve">גם </w:t>
      </w:r>
      <w:r w:rsidRPr="001F2586">
        <w:rPr>
          <w:rFonts w:eastAsia="Calibri"/>
          <w:sz w:val="24"/>
          <w:rtl/>
        </w:rPr>
        <w:t>את היצע הדירות להשכרה</w:t>
      </w:r>
      <w:r w:rsidRPr="001F2586">
        <w:rPr>
          <w:rFonts w:eastAsia="Calibri" w:hint="cs"/>
          <w:sz w:val="24"/>
          <w:rtl/>
        </w:rPr>
        <w:t xml:space="preserve"> ולהעלות את מחירי השכירות</w:t>
      </w:r>
      <w:r w:rsidRPr="001F2586">
        <w:rPr>
          <w:rFonts w:eastAsia="Calibri"/>
          <w:sz w:val="24"/>
          <w:rtl/>
        </w:rPr>
        <w:t>.</w:t>
      </w:r>
      <w:r w:rsidRPr="001F2586">
        <w:rPr>
          <w:rFonts w:eastAsia="Calibri" w:hint="cs"/>
          <w:sz w:val="24"/>
          <w:rtl/>
        </w:rPr>
        <w:t xml:space="preserve"> </w:t>
      </w:r>
    </w:p>
    <w:p w:rsidR="001F2586" w:rsidRPr="001F2586" w:rsidP="001F2586">
      <w:pPr>
        <w:spacing w:line="269" w:lineRule="auto"/>
        <w:ind w:left="-567"/>
        <w:rPr>
          <w:rFonts w:eastAsia="Calibri"/>
          <w:szCs w:val="20"/>
          <w:rtl/>
        </w:rPr>
      </w:pPr>
    </w:p>
    <w:p w:rsidR="001F2586" w:rsidP="001F2586">
      <w:pPr>
        <w:spacing w:line="269" w:lineRule="auto"/>
        <w:rPr>
          <w:rFonts w:eastAsia="Calibri"/>
          <w:sz w:val="24"/>
          <w:rtl/>
        </w:rPr>
      </w:pPr>
      <w:r w:rsidRPr="001F2586">
        <w:rPr>
          <w:rFonts w:eastAsia="Calibri" w:hint="cs"/>
          <w:sz w:val="24"/>
          <w:rtl/>
        </w:rPr>
        <w:t>יצוין כי המגבלה הקיימת ברוב המדינות בעולם</w:t>
      </w:r>
      <w:r>
        <w:rPr>
          <w:rFonts w:eastAsia="Calibri"/>
          <w:sz w:val="24"/>
          <w:vertAlign w:val="superscript"/>
          <w:rtl/>
        </w:rPr>
        <w:footnoteReference w:id="105"/>
      </w:r>
      <w:r w:rsidRPr="001F2586">
        <w:rPr>
          <w:rFonts w:eastAsia="Calibri" w:hint="cs"/>
          <w:sz w:val="24"/>
          <w:rtl/>
        </w:rPr>
        <w:t xml:space="preserve"> היא כאמור מגבלת יחס שירות חוב להכנסה (</w:t>
      </w:r>
      <w:r w:rsidRPr="001F2586">
        <w:rPr>
          <w:rFonts w:eastAsia="Calibri" w:hint="cs"/>
          <w:sz w:val="24"/>
        </w:rPr>
        <w:t>DSTI</w:t>
      </w:r>
      <w:r w:rsidRPr="001F2586">
        <w:rPr>
          <w:rFonts w:eastAsia="Calibri" w:hint="cs"/>
          <w:sz w:val="24"/>
          <w:rtl/>
        </w:rPr>
        <w:t xml:space="preserve">) המודד את היחס בין סך כל תשלומי החובות החודשיים של הלווה לבין ההכנסה החודשית שלו. בהתאם לכך בעת נטילת אשראי נוסף, על אותו נכס או על נכס נוסף, יעלה בהכרח היחס באופן שיבטא את נטל החוב האמתי של הלווה. לעומת זאת, הפיקוח על הבנקים קבע מגבלה קלה יותר ביחס למגבלה הנהוגה במרבית המדינות בעולם, המקלה על הלווה בקבלת אשראי נוסף אך יוצרת הטיה לגבי נטל החוב המוטל עליו בפועל. </w:t>
      </w:r>
    </w:p>
    <w:p w:rsidR="00AC277D" w:rsidP="001F2586">
      <w:pPr>
        <w:spacing w:line="269" w:lineRule="auto"/>
        <w:rPr>
          <w:rFonts w:eastAsia="Calibri"/>
          <w:sz w:val="24"/>
          <w:rtl/>
        </w:rPr>
      </w:pPr>
    </w:p>
    <w:p w:rsidR="00AC277D" w:rsidP="00AC277D">
      <w:pPr>
        <w:pStyle w:val="a"/>
        <w:spacing w:line="288" w:lineRule="auto"/>
        <w:ind w:left="0"/>
        <w:rPr>
          <w:b/>
          <w:bCs/>
          <w:sz w:val="24"/>
          <w:szCs w:val="24"/>
          <w:rtl/>
        </w:rPr>
      </w:pPr>
      <w:r w:rsidRPr="00E56793">
        <w:rPr>
          <w:rFonts w:hint="cs"/>
          <w:b/>
          <w:bCs/>
          <w:sz w:val="24"/>
          <w:szCs w:val="24"/>
          <w:rtl/>
        </w:rPr>
        <w:t xml:space="preserve">נמצא כי הפיקוח על הבנקים לא עדכן את מגבלת שיעור </w:t>
      </w:r>
      <w:r>
        <w:rPr>
          <w:rFonts w:hint="cs"/>
          <w:b/>
          <w:bCs/>
          <w:sz w:val="24"/>
          <w:szCs w:val="24"/>
          <w:rtl/>
        </w:rPr>
        <w:t>ה</w:t>
      </w:r>
      <w:r w:rsidRPr="00E56793">
        <w:rPr>
          <w:rFonts w:hint="cs"/>
          <w:b/>
          <w:bCs/>
          <w:sz w:val="24"/>
          <w:szCs w:val="24"/>
          <w:rtl/>
        </w:rPr>
        <w:t xml:space="preserve">החזר מהכנסה </w:t>
      </w:r>
      <w:r>
        <w:rPr>
          <w:rFonts w:hint="cs"/>
          <w:b/>
          <w:bCs/>
          <w:sz w:val="24"/>
          <w:szCs w:val="24"/>
          <w:rtl/>
        </w:rPr>
        <w:t xml:space="preserve">שנותרה על 50% </w:t>
      </w:r>
      <w:r w:rsidRPr="00E56793">
        <w:rPr>
          <w:rFonts w:hint="cs"/>
          <w:b/>
          <w:bCs/>
          <w:sz w:val="24"/>
          <w:szCs w:val="24"/>
          <w:rtl/>
        </w:rPr>
        <w:t xml:space="preserve">משנת </w:t>
      </w:r>
      <w:r>
        <w:rPr>
          <w:rFonts w:hint="cs"/>
          <w:b/>
          <w:bCs/>
          <w:sz w:val="24"/>
          <w:szCs w:val="24"/>
          <w:rtl/>
        </w:rPr>
        <w:t>2013</w:t>
      </w:r>
      <w:r w:rsidRPr="00E56793">
        <w:rPr>
          <w:rFonts w:hint="cs"/>
          <w:b/>
          <w:bCs/>
          <w:sz w:val="24"/>
          <w:szCs w:val="24"/>
          <w:rtl/>
        </w:rPr>
        <w:t xml:space="preserve"> ועד לתקופת הביקורת</w:t>
      </w:r>
      <w:r>
        <w:rPr>
          <w:rFonts w:hint="cs"/>
          <w:b/>
          <w:bCs/>
          <w:sz w:val="24"/>
          <w:szCs w:val="24"/>
          <w:rtl/>
        </w:rPr>
        <w:t xml:space="preserve">. מגבלה זו מחושבת מחדש בעת לקיחת ההלוואה נוספת כך שייתכן ושיעור ההחזר בגינה </w:t>
      </w:r>
      <w:r>
        <w:rPr>
          <w:rFonts w:hint="cs"/>
          <w:b/>
          <w:bCs/>
          <w:sz w:val="24"/>
          <w:szCs w:val="24"/>
          <w:rtl/>
        </w:rPr>
        <w:t>יירד</w:t>
      </w:r>
      <w:r>
        <w:rPr>
          <w:rFonts w:hint="cs"/>
          <w:b/>
          <w:bCs/>
          <w:sz w:val="24"/>
          <w:szCs w:val="24"/>
          <w:rtl/>
        </w:rPr>
        <w:t xml:space="preserve"> </w:t>
      </w:r>
      <w:r w:rsidRPr="00C34B16">
        <w:rPr>
          <w:b/>
          <w:bCs/>
          <w:sz w:val="24"/>
          <w:szCs w:val="24"/>
          <w:rtl/>
        </w:rPr>
        <w:t xml:space="preserve">למרות שהמינוף </w:t>
      </w:r>
      <w:r>
        <w:rPr>
          <w:rFonts w:hint="cs"/>
          <w:b/>
          <w:bCs/>
          <w:sz w:val="24"/>
          <w:szCs w:val="24"/>
          <w:rtl/>
        </w:rPr>
        <w:t xml:space="preserve">בפועל </w:t>
      </w:r>
      <w:r w:rsidRPr="00C34B16">
        <w:rPr>
          <w:b/>
          <w:bCs/>
          <w:sz w:val="24"/>
          <w:szCs w:val="24"/>
          <w:rtl/>
        </w:rPr>
        <w:t>עולה</w:t>
      </w:r>
      <w:r>
        <w:rPr>
          <w:rFonts w:hint="cs"/>
          <w:b/>
          <w:bCs/>
          <w:sz w:val="24"/>
          <w:szCs w:val="24"/>
          <w:rtl/>
        </w:rPr>
        <w:t xml:space="preserve">. כלומר קיימת הטיה בשיטת החישוב של המגבלה לפי חלופת הלוואה. הפיקוח על הבנקים </w:t>
      </w:r>
      <w:r w:rsidRPr="00E56793">
        <w:rPr>
          <w:rFonts w:hint="cs"/>
          <w:b/>
          <w:bCs/>
          <w:sz w:val="24"/>
          <w:szCs w:val="24"/>
          <w:rtl/>
        </w:rPr>
        <w:t xml:space="preserve">הגיע למסקנה </w:t>
      </w:r>
      <w:r>
        <w:rPr>
          <w:rFonts w:hint="cs"/>
          <w:b/>
          <w:bCs/>
          <w:sz w:val="24"/>
          <w:szCs w:val="24"/>
          <w:rtl/>
        </w:rPr>
        <w:t xml:space="preserve">באפריל 2025 </w:t>
      </w:r>
      <w:r w:rsidRPr="00E56793">
        <w:rPr>
          <w:rFonts w:hint="cs"/>
          <w:b/>
          <w:bCs/>
          <w:sz w:val="24"/>
          <w:szCs w:val="24"/>
          <w:rtl/>
        </w:rPr>
        <w:t>כי המגבלה אינה אפקטיבית</w:t>
      </w:r>
      <w:r>
        <w:rPr>
          <w:rFonts w:hint="cs"/>
          <w:b/>
          <w:bCs/>
          <w:sz w:val="24"/>
          <w:szCs w:val="24"/>
          <w:rtl/>
        </w:rPr>
        <w:t xml:space="preserve"> </w:t>
      </w:r>
      <w:r w:rsidRPr="00E56793">
        <w:rPr>
          <w:rFonts w:hint="cs"/>
          <w:b/>
          <w:bCs/>
          <w:sz w:val="24"/>
          <w:szCs w:val="24"/>
          <w:rtl/>
        </w:rPr>
        <w:t xml:space="preserve"> </w:t>
      </w:r>
      <w:r>
        <w:rPr>
          <w:rFonts w:hint="cs"/>
          <w:b/>
          <w:bCs/>
          <w:sz w:val="24"/>
          <w:szCs w:val="24"/>
          <w:rtl/>
        </w:rPr>
        <w:t>ו</w:t>
      </w:r>
      <w:r w:rsidRPr="00E56793">
        <w:rPr>
          <w:rFonts w:hint="cs"/>
          <w:b/>
          <w:bCs/>
          <w:sz w:val="24"/>
          <w:szCs w:val="24"/>
          <w:rtl/>
        </w:rPr>
        <w:t>עדכן את חישוב המגבלה בפברואר 2026</w:t>
      </w:r>
      <w:r>
        <w:rPr>
          <w:rFonts w:hint="cs"/>
          <w:b/>
          <w:bCs/>
          <w:sz w:val="24"/>
          <w:szCs w:val="24"/>
          <w:rtl/>
        </w:rPr>
        <w:t>, כך שהחל מיולי 2026 המגבלה תחושב לפי חלופת הנכס, המצמצמת את ההטיה בעת לקיחת הלוואה נוספת. עם זאת</w:t>
      </w:r>
      <w:r w:rsidRPr="00E56793">
        <w:rPr>
          <w:rFonts w:hint="cs"/>
          <w:b/>
          <w:bCs/>
          <w:sz w:val="24"/>
          <w:szCs w:val="24"/>
          <w:rtl/>
        </w:rPr>
        <w:t xml:space="preserve">, המגבלה הנהוגה במרבית המדינות </w:t>
      </w:r>
      <w:r>
        <w:rPr>
          <w:rFonts w:hint="cs"/>
          <w:b/>
          <w:bCs/>
          <w:sz w:val="24"/>
          <w:szCs w:val="24"/>
          <w:rtl/>
        </w:rPr>
        <w:t>בעולם היא יחס שירות חוב להכנסה (</w:t>
      </w:r>
      <w:r>
        <w:rPr>
          <w:rFonts w:hint="cs"/>
          <w:b/>
          <w:bCs/>
          <w:sz w:val="24"/>
          <w:szCs w:val="24"/>
        </w:rPr>
        <w:t>DSTI</w:t>
      </w:r>
      <w:r>
        <w:rPr>
          <w:rFonts w:hint="cs"/>
          <w:b/>
          <w:bCs/>
          <w:sz w:val="24"/>
          <w:szCs w:val="24"/>
          <w:rtl/>
        </w:rPr>
        <w:t>) הכוללת את כל החובות החודשיים של הלווה בחישוב המגבלה, באופן המצמצם את ההטיה כאמור ומשקף את נטל החוב האמיתי של הלווה</w:t>
      </w:r>
      <w:r w:rsidRPr="00E56793">
        <w:rPr>
          <w:rFonts w:hint="cs"/>
          <w:b/>
          <w:bCs/>
          <w:sz w:val="24"/>
          <w:szCs w:val="24"/>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b/>
          <w:bCs/>
          <w:rtl/>
        </w:rPr>
        <w:t xml:space="preserve">מומלץ כי בנק ישראל יתקף באופן עיתי את מגבלת שיעור ההחזר מהכנסה, ויתאימה לרציונל העומד בבסיסה - מגבלה על מינוף גבוה ביחס להכנסה, שעלול להביא לסיכון ללווה ולכשל יציבותי מערכתי. </w:t>
      </w:r>
    </w:p>
    <w:p w:rsidR="001F2586" w:rsidRPr="001F2586" w:rsidP="001F2586">
      <w:pPr>
        <w:spacing w:line="269" w:lineRule="auto"/>
        <w:rPr>
          <w:rFonts w:eastAsia="Calibri"/>
          <w:rtl/>
        </w:rPr>
      </w:pPr>
    </w:p>
    <w:p w:rsidR="001F2586" w:rsidRPr="001F2586" w:rsidP="001F2586">
      <w:pPr>
        <w:keepNext/>
        <w:keepLines/>
        <w:spacing w:line="269" w:lineRule="auto"/>
        <w:outlineLvl w:val="5"/>
        <w:rPr>
          <w:rFonts w:eastAsia="Times New Roman"/>
          <w:spacing w:val="40"/>
          <w:rtl/>
        </w:rPr>
      </w:pPr>
      <w:r w:rsidRPr="001F2586">
        <w:rPr>
          <w:rFonts w:eastAsia="Times New Roman" w:hint="cs"/>
          <w:spacing w:val="40"/>
          <w:rtl/>
        </w:rPr>
        <w:t>מגמות בשיעור החזר מהכנסה בשל עליית ריבית בנק ישראל ואינפלציה</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rtl/>
        </w:rPr>
        <w:t>שיעור החזר החוב מההכנסה הפנויה</w:t>
      </w:r>
      <w:r w:rsidRPr="001F2586">
        <w:rPr>
          <w:rFonts w:eastAsia="Calibri" w:hint="cs"/>
          <w:rtl/>
        </w:rPr>
        <w:t xml:space="preserve"> הוא מדד ש</w:t>
      </w:r>
      <w:r w:rsidRPr="001F2586">
        <w:rPr>
          <w:rFonts w:eastAsia="Calibri"/>
          <w:rtl/>
        </w:rPr>
        <w:t xml:space="preserve">עשוי לסייע בבחינה שוטפת של התפתחות חובות משקי הבית הנדרשת כדי לעקוב </w:t>
      </w:r>
      <w:r w:rsidRPr="001F2586">
        <w:rPr>
          <w:rFonts w:eastAsia="Calibri" w:hint="eastAsia"/>
          <w:rtl/>
        </w:rPr>
        <w:t>ולזהות</w:t>
      </w:r>
      <w:r w:rsidRPr="001F2586">
        <w:rPr>
          <w:rFonts w:eastAsia="Calibri"/>
          <w:rtl/>
        </w:rPr>
        <w:t xml:space="preserve"> סיכונים ליציבות הפיננסית. יצוין כי בנק ישראל ציין ב</w:t>
      </w:r>
      <w:r w:rsidRPr="001F2586">
        <w:rPr>
          <w:rFonts w:eastAsia="Calibri" w:hint="cs"/>
          <w:rtl/>
        </w:rPr>
        <w:t>דוח היציבות הפיננסית למחצית השנייה של שנת 2024 כי לווים שלקחו</w:t>
      </w:r>
      <w:r w:rsidRPr="001F2586">
        <w:rPr>
          <w:rFonts w:eastAsia="Calibri"/>
          <w:rtl/>
        </w:rPr>
        <w:t xml:space="preserve"> משכנתאות חדשות </w:t>
      </w:r>
      <w:r w:rsidRPr="001F2586">
        <w:rPr>
          <w:rFonts w:eastAsia="Calibri" w:hint="cs"/>
          <w:rtl/>
        </w:rPr>
        <w:t>ומשלמים</w:t>
      </w:r>
      <w:r w:rsidRPr="001F2586">
        <w:rPr>
          <w:rFonts w:eastAsia="Calibri"/>
          <w:rtl/>
        </w:rPr>
        <w:t xml:space="preserve"> מעל 30% מהכנסתם להחזר המשכנת</w:t>
      </w:r>
      <w:r w:rsidRPr="001F2586">
        <w:rPr>
          <w:rFonts w:eastAsia="Calibri" w:hint="eastAsia"/>
          <w:rtl/>
        </w:rPr>
        <w:t>א</w:t>
      </w:r>
      <w:r w:rsidRPr="001F2586">
        <w:rPr>
          <w:rFonts w:eastAsia="Calibri"/>
          <w:rtl/>
        </w:rPr>
        <w:t xml:space="preserve"> מהווים קרוב ל-42% מהלווים החדשים,</w:t>
      </w:r>
      <w:r w:rsidRPr="001F2586">
        <w:rPr>
          <w:rFonts w:eastAsia="Calibri" w:hint="cs"/>
          <w:rtl/>
        </w:rPr>
        <w:t xml:space="preserve"> וכי הם</w:t>
      </w:r>
      <w:r w:rsidRPr="001F2586">
        <w:rPr>
          <w:rFonts w:eastAsia="Calibri"/>
          <w:rtl/>
        </w:rPr>
        <w:t xml:space="preserve"> חשופים במיוחד לסיכון כתוצאה משינויים פוטנציאליים בהכנסה הפנויה או בהחזר החוב החודשי</w:t>
      </w:r>
      <w:r w:rsidRPr="001F2586">
        <w:rPr>
          <w:rFonts w:eastAsia="Calibri" w:hint="cs"/>
          <w:rtl/>
        </w:rPr>
        <w:t>. בדוח על משבר הדיור משנת 2015 ציין מבקר המדינה כי "...</w:t>
      </w:r>
      <w:r w:rsidRPr="001F2586">
        <w:rPr>
          <w:rFonts w:eastAsia="Calibri"/>
          <w:rtl/>
        </w:rPr>
        <w:t xml:space="preserve">נטל הוצאות דיור ששיעורו גבוה מ-30% מסך ההכנסה נטו נתפס כנטל העלול לפגוע ביכולת לממן צרכים חיוניים </w:t>
      </w:r>
      <w:r w:rsidRPr="001F2586">
        <w:rPr>
          <w:rFonts w:eastAsia="Calibri" w:hint="cs"/>
          <w:rtl/>
        </w:rPr>
        <w:t xml:space="preserve">ולכן עלול </w:t>
      </w:r>
      <w:r w:rsidRPr="001F2586">
        <w:rPr>
          <w:rFonts w:eastAsia="Calibri"/>
          <w:rtl/>
        </w:rPr>
        <w:t>לפגוע פגיעה של ממש ברמת חייו ובאיתנותו הפיננסית של משק הבית</w:t>
      </w:r>
      <w:r w:rsidRPr="001F2586">
        <w:rPr>
          <w:rFonts w:eastAsia="Calibri" w:hint="cs"/>
          <w:rtl/>
        </w:rPr>
        <w:t>".</w:t>
      </w:r>
    </w:p>
    <w:p w:rsidR="00744456" w:rsidP="001F2586">
      <w:pPr>
        <w:spacing w:line="269" w:lineRule="auto"/>
        <w:rPr>
          <w:rFonts w:eastAsia="Calibri"/>
          <w:rtl/>
        </w:rPr>
      </w:pPr>
    </w:p>
    <w:p w:rsidR="00744456" w:rsidP="00D87175">
      <w:pPr>
        <w:pStyle w:val="a"/>
        <w:spacing w:line="288" w:lineRule="auto"/>
        <w:ind w:left="0"/>
        <w:rPr>
          <w:sz w:val="24"/>
          <w:rtl/>
        </w:rPr>
      </w:pPr>
      <w:r>
        <w:rPr>
          <w:rFonts w:hint="cs"/>
          <w:szCs w:val="24"/>
          <w:rtl/>
        </w:rPr>
        <w:t>כאמור</w:t>
      </w:r>
      <w:r w:rsidRPr="007934D6">
        <w:rPr>
          <w:rFonts w:hint="cs"/>
          <w:szCs w:val="24"/>
          <w:rtl/>
        </w:rPr>
        <w:t xml:space="preserve"> בנק ישראל העלה את שיעור ריבית בנק ישראל בהדרגה מ-0.1% באפריל 2022 עד ל-4.75% במאי 2023. לעליה בשיעור הריבית לצד </w:t>
      </w:r>
      <w:r w:rsidRPr="007934D6">
        <w:rPr>
          <w:rFonts w:hint="cs"/>
          <w:szCs w:val="24"/>
          <w:rtl/>
        </w:rPr>
        <w:t>העליה</w:t>
      </w:r>
      <w:r w:rsidRPr="007934D6">
        <w:rPr>
          <w:rFonts w:hint="cs"/>
          <w:szCs w:val="24"/>
          <w:rtl/>
        </w:rPr>
        <w:t xml:space="preserve"> החדה באינפלציה הייתה השפעה על </w:t>
      </w:r>
      <w:r w:rsidRPr="007934D6">
        <w:rPr>
          <w:rFonts w:hint="cs"/>
          <w:szCs w:val="24"/>
          <w:rtl/>
        </w:rPr>
        <w:t>העליה</w:t>
      </w:r>
      <w:r w:rsidRPr="007934D6">
        <w:rPr>
          <w:rFonts w:hint="cs"/>
          <w:szCs w:val="24"/>
          <w:rtl/>
        </w:rPr>
        <w:t xml:space="preserve"> בסכום ההחזר החודשי במשכנתאות. </w:t>
      </w:r>
      <w:r>
        <w:rPr>
          <w:rFonts w:hint="cs"/>
          <w:szCs w:val="24"/>
          <w:rtl/>
        </w:rPr>
        <w:t>כאמור</w:t>
      </w:r>
      <w:r w:rsidRPr="007934D6">
        <w:rPr>
          <w:rFonts w:hint="cs"/>
          <w:szCs w:val="24"/>
          <w:rtl/>
        </w:rPr>
        <w:t>, סכום ההחזר החודשי הראשון עלה מסך 4,</w:t>
      </w:r>
      <w:r>
        <w:rPr>
          <w:rFonts w:hint="cs"/>
          <w:szCs w:val="24"/>
          <w:rtl/>
        </w:rPr>
        <w:t>200</w:t>
      </w:r>
      <w:r w:rsidRPr="007934D6">
        <w:rPr>
          <w:rFonts w:hint="cs"/>
          <w:szCs w:val="24"/>
          <w:rtl/>
        </w:rPr>
        <w:t xml:space="preserve"> ש"ח בהלוואות שנלקחו בשנת </w:t>
      </w:r>
      <w:r>
        <w:rPr>
          <w:rFonts w:hint="cs"/>
          <w:szCs w:val="24"/>
          <w:rtl/>
        </w:rPr>
        <w:t>2019</w:t>
      </w:r>
      <w:r w:rsidRPr="007934D6">
        <w:rPr>
          <w:rFonts w:hint="cs"/>
          <w:szCs w:val="24"/>
          <w:rtl/>
        </w:rPr>
        <w:t xml:space="preserve"> לסך של 5,776 ש"ח בהלוואות שנלקחו בשנת 2025</w:t>
      </w:r>
      <w:r>
        <w:rPr>
          <w:rStyle w:val="FootnoteReference1"/>
          <w:rtl/>
        </w:rPr>
        <w:footnoteReference w:id="106"/>
      </w:r>
      <w:r w:rsidRPr="007934D6">
        <w:rPr>
          <w:rFonts w:hint="cs"/>
          <w:szCs w:val="24"/>
          <w:rtl/>
        </w:rPr>
        <w:t>, כלומר עליה מצטברת של כ-38%. עם זאת, שיעור החזר מהכנסה ממוצע עלה בשיעור מתון של כ-3.4% בלבד משיעור של כ-26.3% בהלוואות לדיור שנלקחו בשנת 2020 לשיעור של כ-29.7% בהלוואות שנלקחו בשנת 2025</w:t>
      </w:r>
      <w:r>
        <w:rPr>
          <w:rStyle w:val="FootnoteReference1"/>
          <w:rtl/>
        </w:rPr>
        <w:footnoteReference w:id="107"/>
      </w:r>
      <w:r w:rsidRPr="007934D6">
        <w:rPr>
          <w:rFonts w:hint="cs"/>
          <w:szCs w:val="24"/>
          <w:rtl/>
        </w:rPr>
        <w:t xml:space="preserve">. </w:t>
      </w:r>
      <w:r w:rsidRPr="007934D6">
        <w:rPr>
          <w:rFonts w:hint="cs"/>
          <w:szCs w:val="24"/>
          <w:rtl/>
        </w:rPr>
        <w:t>העליה</w:t>
      </w:r>
      <w:r w:rsidRPr="007934D6">
        <w:rPr>
          <w:rFonts w:hint="cs"/>
          <w:szCs w:val="24"/>
          <w:rtl/>
        </w:rPr>
        <w:t xml:space="preserve"> המתונה בשיעור החזר מהכנסה התרחשה לנוכח עליה מצטברת בשכר של כ-32%. לווים בעלי משכנתאות שנלקחו בשנים 2018 -2021, לפני תקופת </w:t>
      </w:r>
      <w:r w:rsidRPr="007934D6">
        <w:rPr>
          <w:rFonts w:hint="cs"/>
          <w:szCs w:val="24"/>
          <w:rtl/>
        </w:rPr>
        <w:t>העליה</w:t>
      </w:r>
      <w:r w:rsidRPr="007934D6">
        <w:rPr>
          <w:rFonts w:hint="cs"/>
          <w:szCs w:val="24"/>
          <w:rtl/>
        </w:rPr>
        <w:t xml:space="preserve"> בריבית בנק ישראל והאינפלציה, נדרשו גם להתמודד עם עלייה בהחזר החודשי.</w:t>
      </w:r>
      <w:r>
        <w:rPr>
          <w:rFonts w:hint="cs"/>
          <w:rtl/>
        </w:rPr>
        <w:t xml:space="preserve"> </w:t>
      </w:r>
    </w:p>
    <w:p w:rsidR="0074445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בדוח היציבות הפיננסית למחצית הראשונה של שנת 2023 ציין בנק ישראל כי "עליית הריבית והאינפלציה בתקופה האחרונה הגדילו מאוד את ההחזר החודשי של מחזיקי משכנתאות...". כמו כן, בנק ישראל ציין בדוח כי לעלייה בריבית ובאינפלציה יכולות להיות השפעות נוספות על נטל החוב של משקי הבית, ובין היתר לעודד אותם למחזר הלוואות או להשתמש בחסכונות כדי לפרוע חלק מהחובות, וזאת במטרה לצמצם את החשיפה לעליות הריבית והאינפלציה. בנק ישראל הצביע על כך שבתקופה מאוקטובר 2022 ועד אפריל 2023, תקופה בה האינפלציה הייתה בשיאה וריבית בנק ישראל עלתה באופן עקבי ומתמשך, משכו משקי הבית כ-1.5 מיליארד ש"ח נטו מכספים בקופות הגמל והפיצויים, וכי "...</w:t>
      </w:r>
      <w:r w:rsidRPr="001F2586">
        <w:rPr>
          <w:rFonts w:eastAsia="Calibri"/>
          <w:rtl/>
        </w:rPr>
        <w:t>ככל הנראה שמשקי בית משתמשים בחסכונות אלה להחזר חובות או לצריכה</w:t>
      </w:r>
      <w:r w:rsidRPr="001F2586">
        <w:rPr>
          <w:rFonts w:eastAsia="Calibri" w:hint="cs"/>
          <w:rtl/>
        </w:rPr>
        <w:t xml:space="preserve"> </w:t>
      </w:r>
      <w:r w:rsidRPr="001F2586">
        <w:rPr>
          <w:rFonts w:eastAsia="Calibri"/>
          <w:rtl/>
        </w:rPr>
        <w:t>שוטפת</w:t>
      </w:r>
      <w:r w:rsidRPr="001F2586">
        <w:rPr>
          <w:rFonts w:eastAsia="Calibri" w:hint="cs"/>
          <w:rtl/>
        </w:rPr>
        <w:t>"</w:t>
      </w:r>
      <w:r>
        <w:rPr>
          <w:rFonts w:eastAsia="Calibri"/>
          <w:vertAlign w:val="superscript"/>
          <w:rtl/>
        </w:rPr>
        <w:footnoteReference w:id="108"/>
      </w:r>
      <w:r w:rsidRPr="001F2586">
        <w:rPr>
          <w:rFonts w:eastAsia="Calibri" w:hint="cs"/>
          <w:rtl/>
        </w:rPr>
        <w:t>. להלן תרשים המציג את</w:t>
      </w:r>
      <w:r w:rsidRPr="001F2586">
        <w:rPr>
          <w:rFonts w:eastAsia="Calibri"/>
          <w:rtl/>
        </w:rPr>
        <w:t xml:space="preserve"> </w:t>
      </w:r>
      <w:r w:rsidRPr="001F2586">
        <w:rPr>
          <w:rFonts w:eastAsia="Calibri" w:hint="cs"/>
          <w:rtl/>
        </w:rPr>
        <w:t>העלייה</w:t>
      </w:r>
      <w:r w:rsidRPr="001F2586">
        <w:rPr>
          <w:rFonts w:eastAsia="Calibri"/>
          <w:rtl/>
        </w:rPr>
        <w:t xml:space="preserve"> הממוצעת בהחזר החודשי</w:t>
      </w:r>
      <w:r w:rsidRPr="001F2586">
        <w:rPr>
          <w:rFonts w:eastAsia="Calibri" w:hint="cs"/>
          <w:rtl/>
        </w:rPr>
        <w:t xml:space="preserve"> בתקופה אפריל </w:t>
      </w:r>
      <w:r w:rsidRPr="001F2586">
        <w:rPr>
          <w:rFonts w:eastAsia="Calibri" w:hint="cs"/>
          <w:rtl/>
        </w:rPr>
        <w:t>2022 - אפריל 2023</w:t>
      </w:r>
      <w:r w:rsidRPr="001F2586">
        <w:rPr>
          <w:rFonts w:eastAsia="Calibri"/>
          <w:rtl/>
        </w:rPr>
        <w:t xml:space="preserve"> עבור כלל בעלי המשכנתאות, ו</w:t>
      </w:r>
      <w:r w:rsidRPr="001F2586">
        <w:rPr>
          <w:rFonts w:eastAsia="Calibri" w:hint="cs"/>
          <w:rtl/>
        </w:rPr>
        <w:t xml:space="preserve">כן עבור </w:t>
      </w:r>
      <w:r w:rsidRPr="001F2586">
        <w:rPr>
          <w:rFonts w:eastAsia="Calibri"/>
          <w:rtl/>
        </w:rPr>
        <w:t xml:space="preserve">בעלי משכנתאות </w:t>
      </w:r>
      <w:r w:rsidRPr="001F2586">
        <w:rPr>
          <w:rFonts w:eastAsia="Calibri" w:hint="cs"/>
          <w:rtl/>
        </w:rPr>
        <w:t xml:space="preserve">שנטלו את ההלוואות בשנים 2018 - 2021: </w:t>
      </w:r>
    </w:p>
    <w:p w:rsidR="001F2586" w:rsidRPr="001F2586" w:rsidP="001F2586">
      <w:pPr>
        <w:spacing w:line="269" w:lineRule="auto"/>
        <w:ind w:hanging="426"/>
        <w:rPr>
          <w:rFonts w:eastAsia="Calibri"/>
          <w:rtl/>
        </w:rPr>
      </w:pPr>
    </w:p>
    <w:p w:rsidR="001F2586" w:rsidRPr="001F2586" w:rsidP="00991ACF">
      <w:pPr>
        <w:keepNext/>
        <w:keepLines/>
        <w:spacing w:line="269" w:lineRule="auto"/>
        <w:ind w:left="-2"/>
        <w:jc w:val="center"/>
        <w:outlineLvl w:val="4"/>
        <w:rPr>
          <w:rFonts w:eastAsia="Calibri"/>
          <w:bCs/>
          <w:sz w:val="24"/>
          <w:rtl/>
        </w:rPr>
      </w:pPr>
      <w:r w:rsidRPr="001F2586">
        <w:rPr>
          <w:rFonts w:eastAsia="Calibri" w:hint="cs"/>
          <w:b/>
          <w:sz w:val="24"/>
          <w:rtl/>
        </w:rPr>
        <w:t>תרשים 13:</w:t>
      </w:r>
      <w:r w:rsidRPr="001F2586">
        <w:rPr>
          <w:rFonts w:eastAsia="Calibri" w:hint="cs"/>
          <w:bCs/>
          <w:sz w:val="24"/>
          <w:rtl/>
        </w:rPr>
        <w:t xml:space="preserve"> השינוי הממוצע בש"ח בהחזר החודשי מאפריל 2022 עד אפריל 2023 עבור כלל בעלי המשכנתאות, ועבור </w:t>
      </w:r>
      <w:r w:rsidRPr="001F2586">
        <w:rPr>
          <w:rFonts w:eastAsia="Calibri" w:hint="cs"/>
          <w:bCs/>
          <w:sz w:val="24"/>
          <w:rtl/>
        </w:rPr>
        <w:t>נוטלי</w:t>
      </w:r>
      <w:r w:rsidRPr="001F2586">
        <w:rPr>
          <w:rFonts w:eastAsia="Calibri" w:hint="cs"/>
          <w:bCs/>
          <w:sz w:val="24"/>
          <w:rtl/>
        </w:rPr>
        <w:t xml:space="preserve"> משכנתאות בשנים 2018 - 2021*</w:t>
      </w:r>
    </w:p>
    <w:p w:rsidR="001F2586" w:rsidRPr="001F2586" w:rsidP="001F2586">
      <w:pPr>
        <w:spacing w:line="269" w:lineRule="auto"/>
        <w:jc w:val="center"/>
        <w:rPr>
          <w:rFonts w:eastAsia="Calibri"/>
          <w:b/>
          <w:bCs/>
          <w:rtl/>
        </w:rPr>
      </w:pPr>
      <w:r w:rsidRPr="001F2586">
        <w:rPr>
          <w:rFonts w:eastAsia="Calibri"/>
          <w:b/>
          <w:bCs/>
          <w:noProof/>
        </w:rPr>
        <w:drawing>
          <wp:inline distT="0" distB="0" distL="0" distR="0">
            <wp:extent cx="4105615" cy="2927350"/>
            <wp:effectExtent l="0" t="0" r="9525" b="6350"/>
            <wp:docPr id="16" name="תמונה 16" descr="השינוי הממוצע לכלל בעלי המשכנתאות הוא 600 ש&quot;ח, לבעלי משכנתאות משנת 2018 הוא 737 ש&quot;ח, לבעלי משכנתאות משנת 2019 הוא 764 ש&quot;ח, משנת 2020 - 830 ש&quot;ח ולבעלי משכנתאות משנת 2021 הוא 1,047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66741" cy="2970934"/>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rPr>
          <w:rFonts w:eastAsia="Calibri"/>
          <w:sz w:val="16"/>
          <w:szCs w:val="20"/>
          <w:rtl/>
        </w:rPr>
      </w:pPr>
      <w:r w:rsidRPr="001F2586">
        <w:rPr>
          <w:rFonts w:eastAsia="Calibri" w:hint="cs"/>
          <w:sz w:val="16"/>
          <w:szCs w:val="20"/>
          <w:rtl/>
        </w:rPr>
        <w:t xml:space="preserve">* החישוב הוא </w:t>
      </w:r>
      <w:r w:rsidRPr="001F2586">
        <w:rPr>
          <w:rFonts w:eastAsia="Calibri"/>
          <w:sz w:val="16"/>
          <w:szCs w:val="20"/>
          <w:rtl/>
        </w:rPr>
        <w:t>עבור</w:t>
      </w:r>
      <w:r w:rsidRPr="001F2586">
        <w:rPr>
          <w:rFonts w:eastAsia="Calibri" w:hint="cs"/>
          <w:sz w:val="16"/>
          <w:szCs w:val="20"/>
          <w:rtl/>
        </w:rPr>
        <w:t xml:space="preserve"> </w:t>
      </w:r>
      <w:r w:rsidRPr="001F2586">
        <w:rPr>
          <w:rFonts w:eastAsia="Calibri"/>
          <w:sz w:val="16"/>
          <w:szCs w:val="20"/>
          <w:rtl/>
        </w:rPr>
        <w:t xml:space="preserve">לקוחות אשר הייתה להם משכנתא באפריל 2023 ולא סגרו מסלולים או הוסיפו מסלולי משכנתא חדשים </w:t>
      </w:r>
      <w:r w:rsidRPr="001F2586">
        <w:rPr>
          <w:rFonts w:eastAsia="Calibri" w:hint="cs"/>
          <w:sz w:val="16"/>
          <w:szCs w:val="20"/>
          <w:rtl/>
        </w:rPr>
        <w:t>בתקופה מאפריל 2022 - אפריל 2023</w:t>
      </w:r>
    </w:p>
    <w:p w:rsidR="001F2586" w:rsidRPr="001F2586" w:rsidP="001F2586">
      <w:pPr>
        <w:spacing w:line="269" w:lineRule="auto"/>
        <w:ind w:hanging="426"/>
        <w:rPr>
          <w:rFonts w:eastAsia="Calibri"/>
          <w:rtl/>
        </w:rPr>
      </w:pPr>
    </w:p>
    <w:p w:rsidR="001F2586" w:rsidRPr="001F2586" w:rsidP="001F2586">
      <w:pPr>
        <w:spacing w:line="269" w:lineRule="auto"/>
        <w:rPr>
          <w:rFonts w:eastAsia="Calibri"/>
          <w:b/>
          <w:bCs/>
          <w:rtl/>
        </w:rPr>
      </w:pPr>
      <w:r w:rsidRPr="001F2586">
        <w:rPr>
          <w:rFonts w:eastAsia="Calibri" w:hint="cs"/>
          <w:b/>
          <w:bCs/>
          <w:rtl/>
        </w:rPr>
        <w:t>מהתרשים עולה כי עבור כלל בעלי המשכנתאות</w:t>
      </w:r>
      <w:r>
        <w:rPr>
          <w:rFonts w:eastAsia="Calibri"/>
          <w:b/>
          <w:bCs/>
          <w:vertAlign w:val="superscript"/>
          <w:rtl/>
        </w:rPr>
        <w:footnoteReference w:id="109"/>
      </w:r>
      <w:r w:rsidRPr="001F2586">
        <w:rPr>
          <w:rFonts w:eastAsia="Calibri" w:hint="cs"/>
          <w:b/>
          <w:bCs/>
          <w:rtl/>
        </w:rPr>
        <w:t xml:space="preserve"> גדל ההחזר החודשי בכ-600 ש"ח בממוצע, וכי ההחזר החודשי גדל בסכום הנמוך ביותר שהוא כ-737 ש"ח בממוצע על הלוואות שנלקחו בשנת 2018, וכי הוא גדל בסכום הגבוה ביותר של כ-1,047 ש"ח בממוצע על הלוואות שנלקחו בשנת 2021.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יצוין כי בבדיקה שערך בנק ישראל בשנת 2023</w:t>
      </w:r>
      <w:r>
        <w:rPr>
          <w:rFonts w:eastAsia="Calibri"/>
          <w:vertAlign w:val="superscript"/>
          <w:rtl/>
        </w:rPr>
        <w:footnoteReference w:id="110"/>
      </w:r>
      <w:r w:rsidRPr="001F2586">
        <w:rPr>
          <w:rFonts w:eastAsia="Calibri" w:hint="cs"/>
          <w:rtl/>
        </w:rPr>
        <w:t xml:space="preserve"> על השינוי בשיעור החזר מהכנסה על הלוואות שנלקחו בשנים 2017 - 2022 בין שיעור החזר מהכנסה במועד לקיחת ההלוואה לבין שיעור החזר מהכנסה מעודכן (</w:t>
      </w:r>
      <w:r w:rsidRPr="001F2586">
        <w:rPr>
          <w:rFonts w:eastAsia="Calibri" w:hint="cs"/>
        </w:rPr>
        <w:t>PTI</w:t>
      </w:r>
      <w:r w:rsidRPr="001F2586">
        <w:rPr>
          <w:rFonts w:eastAsia="Calibri" w:hint="cs"/>
          <w:rtl/>
        </w:rPr>
        <w:t xml:space="preserve"> מתוקנן)</w:t>
      </w:r>
      <w:r>
        <w:rPr>
          <w:rFonts w:eastAsia="Calibri"/>
          <w:vertAlign w:val="superscript"/>
          <w:rtl/>
        </w:rPr>
        <w:footnoteReference w:id="111"/>
      </w:r>
      <w:r w:rsidRPr="001F2586">
        <w:rPr>
          <w:rFonts w:eastAsia="Calibri" w:hint="cs"/>
          <w:rtl/>
        </w:rPr>
        <w:t xml:space="preserve"> עלה כי בהלוואות שנלקחו בשנים 2017 - 2020 שיעור ההחזר מהכנסה ירד בטווח של כ-1.7% - 4.9% ועבור הלוואות שנלקחו בשנים 2021 - 2022 שיעור ההחזר מהכנסה עלה בטווח של כ-0.1% -1.1%. לכן, עולה כי במקביל לעליית ההחזר החודשי עלתה גם ההכנסה של הלווים, כך שבעבור לווים שלקחו הלוואות בשנים 2017 - 2020 ירד שיעור ההחזר מההכנסה בפועל (מאחר שההכנסה עלתה יותר מההחזרים) ועבור לווים שלקחו הלוואות בשנים 2021 - 2022 עלה מעט שיעור ההחזר מההכנסה בפועל, נוכח הגידול בהחזרים.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בנק ישראל ציין בדוח היציבות הפיננסית למחצית הראשונה של שנת 2023 כי </w:t>
      </w:r>
      <w:r w:rsidRPr="001F2586">
        <w:rPr>
          <w:rFonts w:eastAsia="Calibri"/>
          <w:rtl/>
        </w:rPr>
        <w:t xml:space="preserve">"העלייה בהחזר החודשי של בעלי המשכנתאות מעלה את החשש לפגיעה ביציבות של משקי הבית וביכולתם לעמוד בנטל החוב", וכי יש "קשר חיובי חזק יחסית בין שיעור </w:t>
      </w:r>
      <w:r w:rsidRPr="001F2586">
        <w:rPr>
          <w:rFonts w:eastAsia="Calibri"/>
          <w:rtl/>
        </w:rPr>
        <w:t>העליה</w:t>
      </w:r>
      <w:r w:rsidRPr="001F2586">
        <w:rPr>
          <w:rFonts w:eastAsia="Calibri"/>
          <w:rtl/>
        </w:rPr>
        <w:t xml:space="preserve"> בהחזר החודשי והכניסה של לקוחות לפיגור בתשלומים ולמשיכת יתר". עם זאת, בנק ישראל ציין כי יחס החזר חודשי של החוב מההכנסה לא עלה באופן משמעותי, וכי שיעור ההלוואות שבפיגור מעל 90 יום מבין ההלוואות לדיור של משקי הבית נותר נמוך יחסית. הסבר אפשרי לכך הוא שמשקי בית רבים ינסו דרכים שונות כדי להימנע מכניסה לפיגור בהחזרי המשכנתאות בטרם ישתקפו קשיי התשלום שלהם </w:t>
      </w:r>
      <w:r w:rsidRPr="001F2586">
        <w:rPr>
          <w:rFonts w:eastAsia="Calibri"/>
          <w:rtl/>
        </w:rPr>
        <w:t>בשיעורי המשכנתאות שבפיגור</w:t>
      </w:r>
      <w:r w:rsidRPr="001F2586">
        <w:rPr>
          <w:rFonts w:eastAsia="Calibri" w:hint="cs"/>
          <w:rtl/>
        </w:rPr>
        <w:t xml:space="preserve">. עוד יצוין כי </w:t>
      </w:r>
      <w:r w:rsidRPr="001F2586">
        <w:rPr>
          <w:rFonts w:eastAsia="Calibri"/>
          <w:rtl/>
        </w:rPr>
        <w:t>לפי מחקר של בנק ישראל, שיעור העלייה בהחזר המשכנת</w:t>
      </w:r>
      <w:r w:rsidRPr="001F2586">
        <w:rPr>
          <w:rFonts w:eastAsia="Calibri" w:hint="cs"/>
          <w:rtl/>
        </w:rPr>
        <w:t>א</w:t>
      </w:r>
      <w:r w:rsidRPr="001F2586">
        <w:rPr>
          <w:rFonts w:eastAsia="Calibri"/>
          <w:rtl/>
        </w:rPr>
        <w:t xml:space="preserve"> בעקבות עליית הריבית היה גבוה</w:t>
      </w:r>
      <w:r w:rsidRPr="001F2586">
        <w:rPr>
          <w:rFonts w:eastAsia="Calibri" w:hint="cs"/>
          <w:rtl/>
        </w:rPr>
        <w:t xml:space="preserve"> </w:t>
      </w:r>
      <w:r w:rsidRPr="001F2586">
        <w:rPr>
          <w:rFonts w:eastAsia="Calibri"/>
          <w:rtl/>
        </w:rPr>
        <w:t xml:space="preserve">יותר ככל שהדירוג הכלכלי חברתי של </w:t>
      </w:r>
      <w:r w:rsidRPr="001F2586">
        <w:rPr>
          <w:rFonts w:eastAsia="Calibri" w:hint="cs"/>
          <w:rtl/>
        </w:rPr>
        <w:t>יישוב ה</w:t>
      </w:r>
      <w:r w:rsidRPr="001F2586">
        <w:rPr>
          <w:rFonts w:eastAsia="Calibri"/>
          <w:rtl/>
        </w:rPr>
        <w:t>מגורי</w:t>
      </w:r>
      <w:r w:rsidRPr="001F2586">
        <w:rPr>
          <w:rFonts w:eastAsia="Calibri" w:hint="cs"/>
          <w:rtl/>
        </w:rPr>
        <w:t>ם של</w:t>
      </w:r>
      <w:r w:rsidRPr="001F2586">
        <w:rPr>
          <w:rFonts w:eastAsia="Calibri"/>
          <w:rtl/>
        </w:rPr>
        <w:t xml:space="preserve"> הלווה היה נמוך יותר. </w:t>
      </w:r>
      <w:r w:rsidRPr="001F2586">
        <w:rPr>
          <w:rFonts w:eastAsia="Calibri" w:hint="cs"/>
          <w:rtl/>
        </w:rPr>
        <w:t>להלן תרשים המציג את שיעור השינוי בהחזר החודשי הממוצע בין אפריל 2022 לספטמבר 2023 (להלן - תקופת ההידוק המוניטרי</w:t>
      </w:r>
      <w:r>
        <w:rPr>
          <w:rFonts w:eastAsia="Calibri"/>
          <w:vertAlign w:val="superscript"/>
          <w:rtl/>
        </w:rPr>
        <w:footnoteReference w:id="112"/>
      </w:r>
      <w:r w:rsidRPr="001F2586">
        <w:rPr>
          <w:rFonts w:eastAsia="Calibri" w:hint="cs"/>
          <w:rtl/>
        </w:rPr>
        <w:t>) ללווי משכנתא לפי דירוג כלכלי חברתי של מקום מגוריהם</w:t>
      </w:r>
      <w:r>
        <w:rPr>
          <w:rFonts w:eastAsia="Calibri"/>
          <w:vertAlign w:val="superscript"/>
          <w:rtl/>
        </w:rPr>
        <w:footnoteReference w:id="113"/>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991ACF">
      <w:pPr>
        <w:keepNext/>
        <w:keepLines/>
        <w:spacing w:line="269" w:lineRule="auto"/>
        <w:ind w:left="-2"/>
        <w:jc w:val="center"/>
        <w:outlineLvl w:val="4"/>
        <w:rPr>
          <w:rFonts w:eastAsia="Calibri"/>
          <w:bCs/>
          <w:sz w:val="24"/>
          <w:rtl/>
        </w:rPr>
      </w:pPr>
      <w:r w:rsidRPr="001F2586">
        <w:rPr>
          <w:rFonts w:eastAsia="Calibri" w:hint="cs"/>
          <w:b/>
          <w:sz w:val="24"/>
          <w:rtl/>
        </w:rPr>
        <w:t>תרשים</w:t>
      </w:r>
      <w:r w:rsidRPr="001F2586">
        <w:rPr>
          <w:rFonts w:eastAsia="Calibri"/>
          <w:b/>
          <w:sz w:val="24"/>
        </w:rPr>
        <w:t xml:space="preserve"> </w:t>
      </w:r>
      <w:r w:rsidRPr="00991ACF">
        <w:rPr>
          <w:rFonts w:eastAsia="Calibri" w:hint="cs"/>
          <w:b/>
          <w:sz w:val="24"/>
          <w:rtl/>
        </w:rPr>
        <w:t>14</w:t>
      </w:r>
      <w:r w:rsidRPr="001F2586">
        <w:rPr>
          <w:rFonts w:eastAsia="Calibri"/>
          <w:b/>
          <w:sz w:val="24"/>
          <w:rtl/>
        </w:rPr>
        <w:t>:</w:t>
      </w:r>
      <w:r w:rsidRPr="001F2586">
        <w:rPr>
          <w:rFonts w:eastAsia="Calibri" w:hint="cs"/>
          <w:bCs/>
          <w:sz w:val="24"/>
          <w:rtl/>
        </w:rPr>
        <w:t xml:space="preserve"> שיעור השינוי בהחזר החודשי הממוצע בין אפריל 2022 לספטמבר 2023 ללווי משכנתא לפי דירוג כלכלי-חברתי של מגורי הלווה (באחוזים)</w:t>
      </w:r>
    </w:p>
    <w:p w:rsidR="00260379" w:rsidP="001F2586">
      <w:pPr>
        <w:spacing w:line="269" w:lineRule="auto"/>
        <w:jc w:val="center"/>
        <w:rPr>
          <w:rFonts w:eastAsia="Calibri"/>
          <w:b/>
          <w:bCs/>
          <w:rtl/>
        </w:rPr>
      </w:pPr>
      <w:r w:rsidRPr="001F2586">
        <w:rPr>
          <w:rFonts w:eastAsia="Calibri"/>
          <w:b/>
          <w:bCs/>
          <w:noProof/>
        </w:rPr>
        <w:drawing>
          <wp:inline distT="0" distB="0" distL="0" distR="0">
            <wp:extent cx="4808063" cy="2256790"/>
            <wp:effectExtent l="0" t="0" r="0" b="0"/>
            <wp:docPr id="18" name="תמונה 18" descr="האומדן לשיעור השינוי הצפוי בגין העלאת ריבית הפריים הוא בטווח של 14 - 19 אחוזים ושיעור השינוי בפועל בטווח של 9 - 16 אחוזים ( בהתאם לדירוג  כלכלי-חברתי של 1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1283" t="13825" r="1843" b="6913"/>
                    <a:stretch>
                      <a:fillRect/>
                    </a:stretch>
                  </pic:blipFill>
                  <pic:spPr bwMode="auto">
                    <a:xfrm>
                      <a:off x="0" y="0"/>
                      <a:ext cx="4823748" cy="22641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before="60" w:line="269" w:lineRule="auto"/>
        <w:jc w:val="left"/>
        <w:rPr>
          <w:rFonts w:eastAsia="Calibri"/>
          <w:sz w:val="16"/>
          <w:szCs w:val="20"/>
          <w:rtl/>
        </w:rPr>
      </w:pPr>
      <w:r w:rsidRPr="001F2586">
        <w:rPr>
          <w:rFonts w:eastAsia="Calibri" w:hint="cs"/>
          <w:sz w:val="16"/>
          <w:szCs w:val="20"/>
          <w:rtl/>
        </w:rPr>
        <w:t xml:space="preserve">בנק ישראל, </w:t>
      </w:r>
      <w:r w:rsidRPr="001F2586">
        <w:rPr>
          <w:rFonts w:ascii="David" w:eastAsia="David" w:hAnsi="David" w:hint="cs"/>
          <w:szCs w:val="20"/>
          <w:rtl/>
        </w:rPr>
        <w:t>דין וחשבון 2023 (מרץ 2024), עמ' 105 - 110</w:t>
      </w:r>
      <w:r w:rsidRPr="001F2586">
        <w:rPr>
          <w:rFonts w:eastAsia="Calibri" w:hint="cs"/>
          <w:sz w:val="16"/>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color w:val="FF0000"/>
          <w:rtl/>
        </w:rPr>
      </w:pPr>
      <w:r w:rsidRPr="001F2586">
        <w:rPr>
          <w:rFonts w:eastAsia="Calibri"/>
          <w:rtl/>
        </w:rPr>
        <w:t xml:space="preserve">לפי הניתוח שביצע </w:t>
      </w:r>
      <w:r w:rsidRPr="001F2586">
        <w:rPr>
          <w:rFonts w:eastAsia="Calibri" w:hint="cs"/>
          <w:rtl/>
        </w:rPr>
        <w:t>בנק ישראל</w:t>
      </w:r>
      <w:r w:rsidRPr="001F2586">
        <w:rPr>
          <w:rFonts w:eastAsia="Calibri"/>
          <w:rtl/>
        </w:rPr>
        <w:t xml:space="preserve"> עולה</w:t>
      </w:r>
      <w:r w:rsidRPr="001F2586">
        <w:rPr>
          <w:rFonts w:eastAsia="Calibri" w:hint="cs"/>
          <w:rtl/>
        </w:rPr>
        <w:t xml:space="preserve"> כי בתקופת ההידוק המוניטרי עלה ההחזר החודשי של לווי משכנתא בכל הדירוגים וכי </w:t>
      </w:r>
      <w:r w:rsidRPr="001F2586">
        <w:rPr>
          <w:rFonts w:eastAsia="Calibri"/>
          <w:rtl/>
        </w:rPr>
        <w:t xml:space="preserve">שיעור עלייתו </w:t>
      </w:r>
      <w:r w:rsidRPr="001F2586">
        <w:rPr>
          <w:rFonts w:eastAsia="Calibri" w:hint="cs"/>
          <w:rtl/>
        </w:rPr>
        <w:t xml:space="preserve">היה </w:t>
      </w:r>
      <w:r w:rsidRPr="001F2586">
        <w:rPr>
          <w:rFonts w:eastAsia="Calibri"/>
          <w:rtl/>
        </w:rPr>
        <w:t xml:space="preserve">גבוה יותר ככל שהדירוג הכלכלי-חברתי של מגורי הלווה </w:t>
      </w:r>
      <w:r w:rsidRPr="001F2586">
        <w:rPr>
          <w:rFonts w:eastAsia="Calibri" w:hint="cs"/>
          <w:rtl/>
        </w:rPr>
        <w:t xml:space="preserve">הוא </w:t>
      </w:r>
      <w:r w:rsidRPr="001F2586">
        <w:rPr>
          <w:rFonts w:eastAsia="Calibri"/>
          <w:rtl/>
        </w:rPr>
        <w:t>נמוך יותר.</w:t>
      </w:r>
      <w:r w:rsidRPr="001F2586">
        <w:rPr>
          <w:rFonts w:eastAsia="Calibri" w:hint="cs"/>
          <w:rtl/>
        </w:rPr>
        <w:t xml:space="preserve"> כך, עבור לווים המתגוררים ביישובים בדירוג כלכלי-חברתי נמוך</w:t>
      </w:r>
      <w:r>
        <w:rPr>
          <w:rFonts w:eastAsia="Calibri"/>
          <w:vertAlign w:val="superscript"/>
          <w:rtl/>
        </w:rPr>
        <w:footnoteReference w:id="114"/>
      </w:r>
      <w:r w:rsidRPr="001F2586">
        <w:rPr>
          <w:rFonts w:eastAsia="Calibri" w:hint="cs"/>
          <w:rtl/>
        </w:rPr>
        <w:t xml:space="preserve"> עלה ההחזר החודשי בכ-16% ועבור לווים המתגוררים ביישובים בדירוג כלכלי -חברתי גבוה</w:t>
      </w:r>
      <w:r>
        <w:rPr>
          <w:rFonts w:eastAsia="Calibri"/>
          <w:vertAlign w:val="superscript"/>
          <w:rtl/>
        </w:rPr>
        <w:footnoteReference w:id="115"/>
      </w:r>
      <w:r w:rsidRPr="001F2586">
        <w:rPr>
          <w:rFonts w:eastAsia="Calibri" w:hint="cs"/>
          <w:rtl/>
        </w:rPr>
        <w:t xml:space="preserve"> עלה ההחזר החודשי בכ-9% או 10%. עוד עולה כי במידה והלווים לא היו מבצעים</w:t>
      </w:r>
      <w:r w:rsidRPr="001F2586">
        <w:rPr>
          <w:rFonts w:eastAsia="Calibri"/>
          <w:rtl/>
        </w:rPr>
        <w:t xml:space="preserve"> שינויים </w:t>
      </w:r>
      <w:r w:rsidRPr="001F2586">
        <w:rPr>
          <w:rFonts w:eastAsia="Calibri" w:hint="cs"/>
          <w:rtl/>
        </w:rPr>
        <w:t>במשכנתאות</w:t>
      </w:r>
      <w:r>
        <w:rPr>
          <w:rFonts w:eastAsia="Calibri"/>
          <w:vertAlign w:val="superscript"/>
          <w:rtl/>
        </w:rPr>
        <w:footnoteReference w:id="116"/>
      </w:r>
      <w:r w:rsidRPr="001F2586">
        <w:rPr>
          <w:rFonts w:eastAsia="Calibri"/>
          <w:rtl/>
        </w:rPr>
        <w:t xml:space="preserve"> שיעור העלייה של ההחזר החודשי עבור לווים המתגוררים ביישובים בדירוג כלכלי-חברתי גבוה היה גדול יותר</w:t>
      </w:r>
      <w:r w:rsidRPr="001F2586">
        <w:rPr>
          <w:rFonts w:eastAsia="Calibri" w:hint="cs"/>
          <w:rtl/>
        </w:rPr>
        <w:t xml:space="preserve"> לעומת לווים המתגוררים ביישובים המדורגים במדד כלכלי-חברתי נמוך</w:t>
      </w:r>
      <w:r>
        <w:rPr>
          <w:rFonts w:eastAsia="Calibri"/>
          <w:vertAlign w:val="superscript"/>
          <w:rtl/>
        </w:rPr>
        <w:footnoteReference w:id="117"/>
      </w:r>
      <w:r w:rsidRPr="001F2586">
        <w:rPr>
          <w:rFonts w:eastAsia="Calibri" w:hint="cs"/>
          <w:rtl/>
        </w:rPr>
        <w:t xml:space="preserve">. כך, </w:t>
      </w:r>
      <w:r w:rsidRPr="001F2586">
        <w:rPr>
          <w:rFonts w:eastAsia="Calibri"/>
          <w:rtl/>
        </w:rPr>
        <w:t xml:space="preserve">לווים </w:t>
      </w:r>
      <w:r w:rsidRPr="001F2586">
        <w:rPr>
          <w:rFonts w:eastAsia="Calibri" w:hint="cs"/>
          <w:rtl/>
        </w:rPr>
        <w:t>המתגוררים ביישובים בדירוג חברתי-כלכלי גבוה פעלו באופן אקטיבי כדי להתמודד עם הסיכון של עליית ההחזר החודשי וזאת באמצעות פירעון מוקדם של</w:t>
      </w:r>
      <w:r w:rsidRPr="001F2586">
        <w:rPr>
          <w:rFonts w:eastAsia="Calibri"/>
          <w:rtl/>
        </w:rPr>
        <w:t xml:space="preserve"> חלקים מהמשכנת</w:t>
      </w:r>
      <w:r w:rsidRPr="001F2586">
        <w:rPr>
          <w:rFonts w:eastAsia="Calibri" w:hint="cs"/>
          <w:rtl/>
        </w:rPr>
        <w:t>א</w:t>
      </w:r>
      <w:r w:rsidRPr="001F2586">
        <w:rPr>
          <w:rFonts w:eastAsia="Calibri"/>
          <w:rtl/>
        </w:rPr>
        <w:t xml:space="preserve"> שלהם</w:t>
      </w:r>
      <w:r>
        <w:rPr>
          <w:rFonts w:eastAsia="Calibri"/>
          <w:vertAlign w:val="superscript"/>
          <w:rtl/>
        </w:rPr>
        <w:footnoteReference w:id="118"/>
      </w:r>
      <w:r w:rsidRPr="001F2586">
        <w:rPr>
          <w:rFonts w:eastAsia="Calibri" w:hint="cs"/>
          <w:rtl/>
        </w:rPr>
        <w:t>. לעומת זאת, אצל לווים המתגוררים ביישובים בדירוג כלכלי-חברתי נמוך עלה ההחזר החודשי בשיעור גבוה יותר כנראה בשל כך שיכולתם לפרוע את ההלוואות בתקופת ההידוק המוניטרי היא קטנה יותר, כך שהסיכון עבורם להיקלע למצב בו הם לא עומדים בתשלומי המשכנתא הוא גבוה יותר.</w:t>
      </w:r>
      <w:r w:rsidRPr="001F2586">
        <w:rPr>
          <w:rFonts w:eastAsia="Calibri"/>
          <w:color w:val="FF0000"/>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b/>
          <w:bCs/>
          <w:rtl/>
        </w:rPr>
        <w:t>העליי</w:t>
      </w:r>
      <w:r w:rsidRPr="001F2586">
        <w:rPr>
          <w:rFonts w:eastAsia="Calibri" w:hint="eastAsia"/>
          <w:b/>
          <w:bCs/>
          <w:rtl/>
        </w:rPr>
        <w:t>ה</w:t>
      </w:r>
      <w:r w:rsidRPr="001F2586">
        <w:rPr>
          <w:rFonts w:eastAsia="Calibri" w:hint="cs"/>
          <w:b/>
          <w:bCs/>
          <w:rtl/>
        </w:rPr>
        <w:t xml:space="preserve"> החדה באינפלציה ובריבית בנק ישראל בשנים 2022 - 2023 גרמה לעלייה בהחזר החודשי בטווח של 600 -</w:t>
      </w:r>
      <w:r w:rsidR="00991ACF">
        <w:rPr>
          <w:rFonts w:eastAsia="Calibri" w:hint="cs"/>
          <w:b/>
          <w:bCs/>
          <w:rtl/>
        </w:rPr>
        <w:t xml:space="preserve"> </w:t>
      </w:r>
      <w:r w:rsidRPr="001F2586">
        <w:rPr>
          <w:rFonts w:eastAsia="Calibri" w:hint="cs"/>
          <w:b/>
          <w:bCs/>
          <w:rtl/>
        </w:rPr>
        <w:t xml:space="preserve">1,050 ש"ח (תלוי בשנת לקיחת ההלוואה). עם זאת, חלה גם עלייה בהכנסת הלווים כך ששיעור ההחזר מההכנסה הפנויה עלה בשיעורים נמוכים, כך שלא נוצרה פגיעה </w:t>
      </w:r>
      <w:r w:rsidRPr="001F2586">
        <w:rPr>
          <w:rFonts w:eastAsia="Calibri" w:hint="cs"/>
          <w:b/>
          <w:bCs/>
          <w:rtl/>
        </w:rPr>
        <w:t xml:space="preserve">משמעותית ביכולתם של משקי הבית לעמוד בתשלומים. </w:t>
      </w:r>
      <w:r w:rsidRPr="001F2586">
        <w:rPr>
          <w:rFonts w:eastAsia="Calibri" w:hint="eastAsia"/>
          <w:b/>
          <w:bCs/>
          <w:rtl/>
        </w:rPr>
        <w:t>לצד</w:t>
      </w:r>
      <w:r w:rsidRPr="001F2586">
        <w:rPr>
          <w:rFonts w:eastAsia="Calibri"/>
          <w:b/>
          <w:bCs/>
          <w:rtl/>
        </w:rPr>
        <w:t xml:space="preserve"> </w:t>
      </w:r>
      <w:r w:rsidRPr="001F2586">
        <w:rPr>
          <w:rFonts w:eastAsia="Calibri" w:hint="eastAsia"/>
          <w:b/>
          <w:bCs/>
          <w:rtl/>
        </w:rPr>
        <w:t>האמור</w:t>
      </w:r>
      <w:r w:rsidRPr="001F2586">
        <w:rPr>
          <w:rFonts w:eastAsia="Calibri" w:hint="cs"/>
          <w:b/>
          <w:bCs/>
          <w:rtl/>
        </w:rPr>
        <w:t xml:space="preserve">, נמצא כי פגיעה זו היא גבוהה יותר בקרב לווים בדירוג כלכלי חברתי נמוך שיכולתם לפרוע את ההלוואות בתקופת של עלייה בהחזר החודשי היא נמוכה ביחס ליכולת ללווים בדירוג גבוה. בהתאם לכך, עבור לווים המתגוררים ביישובים שהם בדירוג כלכלי חברתי נמוך (1-2), ההחזר החודשי עלה בכ-16% לעומת לווים המתגוררים ביישובים שהם בדירוג כלכלי חברתי גבוה (9-10) שעבורם ההחזר החודשי עלה בכ-9% -10%. כלומר, קיימת שונות משמעותית בין לווים בדירוגים כלכליים-חברתיים שונים, כך שהסיכון בעליית ההחזר החודשי ללוויים </w:t>
      </w:r>
      <w:r w:rsidRPr="001F2586">
        <w:rPr>
          <w:rFonts w:eastAsia="Calibri"/>
          <w:b/>
          <w:bCs/>
          <w:rtl/>
        </w:rPr>
        <w:t>שאינם בעלי אמצעים</w:t>
      </w:r>
      <w:r w:rsidRPr="001F2586">
        <w:rPr>
          <w:rFonts w:eastAsia="Calibri" w:hint="cs"/>
          <w:b/>
          <w:bCs/>
          <w:rtl/>
        </w:rPr>
        <w:t xml:space="preserve"> הוא גבוה יותר.</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מגבלת התקופה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sz w:val="16"/>
          <w:szCs w:val="20"/>
          <w:rtl/>
        </w:rPr>
      </w:pPr>
      <w:r w:rsidRPr="001F2586">
        <w:rPr>
          <w:rFonts w:eastAsia="Calibri" w:hint="cs"/>
          <w:rtl/>
        </w:rPr>
        <w:t xml:space="preserve">בסעיף 8 </w:t>
      </w:r>
      <w:r w:rsidRPr="001F2586">
        <w:rPr>
          <w:rFonts w:eastAsia="Calibri" w:hint="cs"/>
          <w:rtl/>
        </w:rPr>
        <w:t>בנב"ת</w:t>
      </w:r>
      <w:r w:rsidRPr="001F2586">
        <w:rPr>
          <w:rFonts w:eastAsia="Calibri" w:hint="cs"/>
          <w:rtl/>
        </w:rPr>
        <w:t xml:space="preserve"> 329 נקבע כי תאגיד בנקאי לא יבצע משכנתא עם תקופה לפירעון סופי העולה על 30 שנים. התקופה היא מרכיב משמעותי בפירעון הלוואה ארוכת טווח - משכנתא. לרוב תקופה ארוכה יותר תגדיל את שיעורי הריביות, שכן התשואות על מקורות הגיוס של הבנק גבוהות יותר ככל שתקופת הפירעון ארוכה יותר. לכן, עבור הלווה ככל שהוא לוקח הלוואה לתקופה ארוכה יותר סך התשלום הריבית הכוללת תהיה גבוהה יותר, אך כך הוא יכול להפחית את גובה ההחזר החודשי ולהוריד את משקל ההוצאה למשכנתא מהכנסתו. עבור המלווים שהמשכנתא נפרסת לתקופה ארוכה יותר גדלה אי הודאות לשינויים ועל כן גדל הסיכון, כך ששיעור הריבית המגלמת סיכונים אלו תהיה גבוהה יותר. עם זאת, הפריסה לתקופה ארוכה יותר של משכנתאות יכולה להפחית את שיעור החזר מהכנסה, ובכך לאזן את הסיכונים בתיק אשראי לדיור.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bookmarkStart w:id="29" w:name="_Hlk222838125"/>
      <w:r w:rsidRPr="001F2586">
        <w:rPr>
          <w:rFonts w:eastAsia="Calibri" w:hint="cs"/>
          <w:rtl/>
        </w:rPr>
        <w:t xml:space="preserve">כאמור בפרק הסקירה התקופה הממוצעת לפירעון בהלוואות שבוצעו עלתה מכ-24 שנים לכ-27 שנים בשנים 2020 - 2025. שינוי המגמה המשמעותי בהארכת משך התקופה החל במהלך שנת 2022 אז התארכה התקופה לכ-26 שנים, ככל הנראה בתגובה של הלווים לגידול שחל בריבית הבסיסית של בנק ישראל והעלייה בריבית הפריים. זאת על מנת להתמודד </w:t>
      </w:r>
      <w:r w:rsidR="00FF56A9">
        <w:rPr>
          <w:rFonts w:eastAsia="Calibri" w:hint="cs"/>
          <w:rtl/>
        </w:rPr>
        <w:t>עם</w:t>
      </w:r>
      <w:r w:rsidRPr="001F2586" w:rsidR="00FF56A9">
        <w:rPr>
          <w:rFonts w:eastAsia="Calibri" w:hint="cs"/>
          <w:rtl/>
        </w:rPr>
        <w:t xml:space="preserve"> </w:t>
      </w:r>
      <w:r w:rsidRPr="001F2586">
        <w:rPr>
          <w:rFonts w:eastAsia="Calibri" w:hint="cs"/>
          <w:rtl/>
        </w:rPr>
        <w:t xml:space="preserve">העלייה בהחזרים החודשיים ולהוריד את נטל החוב ואת שיעור ההחזר מהכנסה. הימשכות המגמה של הארכת תקופת המשכנתא הממוצעת לעבר התקופה המקסימלית של 30 שנים עלולה להגדיל את הסיכונים ללווים ולמערכת הבנקאית. </w:t>
      </w:r>
    </w:p>
    <w:bookmarkEnd w:id="29"/>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מגבלת חלק ההלוואה בריבית משתנה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בנב"ת</w:t>
      </w:r>
      <w:r w:rsidRPr="001F2586">
        <w:rPr>
          <w:rFonts w:eastAsia="Calibri" w:hint="cs"/>
          <w:rtl/>
        </w:rPr>
        <w:t xml:space="preserve"> 329 נקבע כי תאגיד בנקאי יבצע הלוואה לדיור רק בתנאי שהיחס בין חלק ההלוואה לדיור בריבית משתנה לבין סך ההלוואה אינו עולה על 66.66%. לחלק ההלוואה בריבית המשתנה במשכנתא יש השפעה ישירה על ההחזר החודשי של המשכנתא. בתקופה של עלייה בריבית בנק ישראל ההחזר החודשי של הלווים עולה, ובעיקר במשכנתאות שניתנו בשיעורים גבוהים יותר של ריבית הפריים. כמו כן לחלק ההלוואה בריבית משתנה יש השפעה על יכולות הצריכה של משקי הבית. מגבלה זו </w:t>
      </w:r>
      <w:r w:rsidRPr="001F2586">
        <w:rPr>
          <w:rFonts w:eastAsia="Calibri"/>
          <w:rtl/>
        </w:rPr>
        <w:t>נועדה להקטין את סיכון הריבית של הלווים על ידי הקטנת התנודתיות בהחזר החודשי</w:t>
      </w:r>
      <w:r w:rsidRPr="001F2586">
        <w:rPr>
          <w:rFonts w:eastAsia="Calibri" w:hint="cs"/>
          <w:rtl/>
        </w:rPr>
        <w:t xml:space="preserve"> ו</w:t>
      </w:r>
      <w:r w:rsidRPr="001F2586">
        <w:rPr>
          <w:rFonts w:eastAsia="Calibri"/>
          <w:rtl/>
        </w:rPr>
        <w:t>למתן את רמת המינוף של משקי הבית</w:t>
      </w:r>
      <w:r w:rsidRPr="001F2586">
        <w:rPr>
          <w:rFonts w:eastAsia="Calibri" w:hint="cs"/>
          <w:rtl/>
        </w:rPr>
        <w:t>,</w:t>
      </w:r>
      <w:r w:rsidRPr="001F2586">
        <w:rPr>
          <w:rFonts w:eastAsia="Calibri"/>
          <w:rtl/>
        </w:rPr>
        <w:t xml:space="preserve"> ולהבטיח שהם יישארו עם הכנסה פנויה שתאפשר להם לעמוד בתשלום המשכנתא גם כאשר חלה ירידה בהכנסתם</w:t>
      </w:r>
      <w:r w:rsidRPr="001F2586">
        <w:rPr>
          <w:rFonts w:eastAsia="Calibri" w:hint="cs"/>
          <w:rtl/>
        </w:rPr>
        <w:t xml:space="preserve"> או עלייה של ההחזר החודשי.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במחקר של בנק ישראל נמצא כי</w:t>
      </w:r>
      <w:r w:rsidRPr="001F2586">
        <w:rPr>
          <w:rFonts w:eastAsia="Calibri"/>
          <w:rtl/>
        </w:rPr>
        <w:t xml:space="preserve"> </w:t>
      </w:r>
      <w:r w:rsidRPr="001F2586">
        <w:rPr>
          <w:rFonts w:eastAsia="Calibri" w:hint="cs"/>
          <w:rtl/>
        </w:rPr>
        <w:t>בתקופה של הידוק מוניטרי בה חלה עלייה בריבית בנק ישראל,</w:t>
      </w:r>
      <w:r w:rsidRPr="001F2586">
        <w:rPr>
          <w:rFonts w:eastAsia="Calibri"/>
          <w:rtl/>
        </w:rPr>
        <w:t xml:space="preserve"> </w:t>
      </w:r>
      <w:r w:rsidRPr="001F2586">
        <w:rPr>
          <w:rFonts w:eastAsia="Calibri" w:hint="cs"/>
          <w:rtl/>
        </w:rPr>
        <w:t>לווים</w:t>
      </w:r>
      <w:r w:rsidRPr="001F2586">
        <w:rPr>
          <w:rFonts w:eastAsia="Calibri"/>
          <w:rtl/>
        </w:rPr>
        <w:t xml:space="preserve"> עם יחס גבוה יותר של </w:t>
      </w:r>
      <w:r w:rsidRPr="001F2586">
        <w:rPr>
          <w:rFonts w:eastAsia="Calibri" w:hint="cs"/>
          <w:rtl/>
        </w:rPr>
        <w:t>ריבית משתנה הגדילו את תשלומיהם למשכנתא בתמורה להורדת דפוסי הצריכה שלהם</w:t>
      </w:r>
      <w:r>
        <w:rPr>
          <w:rFonts w:eastAsia="Calibri"/>
          <w:vertAlign w:val="superscript"/>
          <w:rtl/>
        </w:rPr>
        <w:footnoteReference w:id="119"/>
      </w:r>
      <w:r w:rsidRPr="001F2586">
        <w:rPr>
          <w:rFonts w:eastAsia="Calibri"/>
          <w:rtl/>
        </w:rPr>
        <w:t xml:space="preserve">. השפעה זו </w:t>
      </w:r>
      <w:r w:rsidRPr="001F2586">
        <w:rPr>
          <w:rFonts w:eastAsia="Calibri" w:hint="cs"/>
          <w:rtl/>
        </w:rPr>
        <w:t xml:space="preserve">נמצאה חזקה במיוחד בקרב </w:t>
      </w:r>
      <w:r w:rsidRPr="001F2586">
        <w:rPr>
          <w:rFonts w:eastAsia="Calibri"/>
          <w:rtl/>
        </w:rPr>
        <w:t>משקי בית בעלי הכנסה בינונית-נמוכה וב</w:t>
      </w:r>
      <w:r w:rsidRPr="001F2586">
        <w:rPr>
          <w:rFonts w:eastAsia="Calibri" w:hint="cs"/>
          <w:rtl/>
        </w:rPr>
        <w:t>לווים</w:t>
      </w:r>
      <w:r w:rsidRPr="001F2586">
        <w:rPr>
          <w:rFonts w:eastAsia="Calibri"/>
          <w:rtl/>
        </w:rPr>
        <w:t xml:space="preserve"> עם </w:t>
      </w:r>
      <w:r w:rsidRPr="001F2586">
        <w:rPr>
          <w:rFonts w:eastAsia="Calibri" w:hint="cs"/>
          <w:rtl/>
        </w:rPr>
        <w:t>שיעור</w:t>
      </w:r>
      <w:r w:rsidRPr="001F2586">
        <w:rPr>
          <w:rFonts w:eastAsia="Calibri"/>
          <w:rtl/>
        </w:rPr>
        <w:t xml:space="preserve"> גבוה יותר של תשלומי משכנתא </w:t>
      </w:r>
      <w:r w:rsidRPr="001F2586">
        <w:rPr>
          <w:rFonts w:eastAsia="Calibri" w:hint="cs"/>
          <w:rtl/>
        </w:rPr>
        <w:t>ביחס להוצאותיהם</w:t>
      </w:r>
      <w:r w:rsidRPr="001F2586">
        <w:rPr>
          <w:rFonts w:eastAsia="Calibri"/>
          <w:rtl/>
        </w:rPr>
        <w:t>.</w:t>
      </w:r>
      <w:r w:rsidRPr="001F2586">
        <w:rPr>
          <w:rFonts w:eastAsia="Calibri" w:hint="cs"/>
          <w:rtl/>
        </w:rPr>
        <w:t xml:space="preserve"> לכן, ישנה חשיבות שבנק ישראל יבחן את</w:t>
      </w:r>
      <w:r w:rsidRPr="001F2586">
        <w:rPr>
          <w:rFonts w:eastAsia="Calibri"/>
          <w:rtl/>
        </w:rPr>
        <w:t xml:space="preserve"> </w:t>
      </w:r>
      <w:r w:rsidRPr="001F2586">
        <w:rPr>
          <w:rFonts w:eastAsia="Calibri" w:hint="cs"/>
          <w:rtl/>
        </w:rPr>
        <w:t>ההשפעה של</w:t>
      </w:r>
      <w:r w:rsidRPr="001F2586">
        <w:rPr>
          <w:rFonts w:eastAsia="Calibri"/>
          <w:rtl/>
        </w:rPr>
        <w:t xml:space="preserve"> המדיניות המוניטרית</w:t>
      </w:r>
      <w:r w:rsidRPr="001F2586">
        <w:rPr>
          <w:rFonts w:eastAsia="Calibri" w:hint="cs"/>
          <w:rtl/>
        </w:rPr>
        <w:t xml:space="preserve"> על המשכנתאות של משקי הבית </w:t>
      </w:r>
      <w:r w:rsidRPr="001F2586">
        <w:rPr>
          <w:rFonts w:eastAsia="Calibri"/>
          <w:rtl/>
        </w:rPr>
        <w:t xml:space="preserve">תוך </w:t>
      </w:r>
      <w:r w:rsidRPr="001F2586">
        <w:rPr>
          <w:rFonts w:eastAsia="Calibri" w:hint="cs"/>
          <w:rtl/>
        </w:rPr>
        <w:t>בחינה של השלכות המדיניות</w:t>
      </w:r>
      <w:r w:rsidRPr="001F2586">
        <w:rPr>
          <w:rFonts w:eastAsia="Calibri"/>
          <w:rtl/>
        </w:rPr>
        <w:t xml:space="preserve"> </w:t>
      </w:r>
      <w:r w:rsidRPr="001F2586">
        <w:rPr>
          <w:rFonts w:eastAsia="Calibri" w:hint="cs"/>
          <w:rtl/>
        </w:rPr>
        <w:t xml:space="preserve">גם </w:t>
      </w:r>
      <w:r w:rsidRPr="001F2586">
        <w:rPr>
          <w:rFonts w:eastAsia="Calibri"/>
          <w:rtl/>
        </w:rPr>
        <w:t>על</w:t>
      </w:r>
      <w:r w:rsidRPr="001F2586">
        <w:rPr>
          <w:rFonts w:eastAsia="Calibri" w:hint="cs"/>
          <w:rtl/>
        </w:rPr>
        <w:t xml:space="preserve"> היבטים של</w:t>
      </w:r>
      <w:r w:rsidRPr="001F2586">
        <w:rPr>
          <w:rFonts w:eastAsia="Calibri"/>
          <w:rtl/>
        </w:rPr>
        <w:t xml:space="preserve"> יציבות כלכלית ואי-שוויון</w:t>
      </w:r>
      <w:r>
        <w:rPr>
          <w:rFonts w:eastAsia="Calibri"/>
          <w:vertAlign w:val="superscript"/>
          <w:rtl/>
        </w:rPr>
        <w:footnoteReference w:id="120"/>
      </w:r>
      <w:r w:rsidRPr="001F2586">
        <w:rPr>
          <w:rFonts w:eastAsia="Calibri"/>
          <w:rtl/>
        </w:rPr>
        <w:t>.</w:t>
      </w:r>
      <w:r w:rsidRPr="001F2586">
        <w:rPr>
          <w:rFonts w:eastAsia="Calibri" w:hint="cs"/>
          <w:rtl/>
        </w:rPr>
        <w:t xml:space="preserve"> </w:t>
      </w:r>
      <w:r w:rsidRPr="001F2586">
        <w:rPr>
          <w:rFonts w:eastAsia="Calibri"/>
          <w:rtl/>
        </w:rPr>
        <w:t xml:space="preserve">הממצאים מדגישים את החשיבות של הבנת מבנה החוב של משקי הבית, הן ברמת המיקרו והן ברמת המקרו, ורגישותו לשינויים בריבית. </w:t>
      </w:r>
      <w:r w:rsidRPr="001F2586">
        <w:rPr>
          <w:rFonts w:eastAsia="Calibri" w:hint="cs"/>
          <w:rtl/>
        </w:rPr>
        <w:t>במבט רחב יותר</w:t>
      </w:r>
      <w:r w:rsidRPr="001F2586">
        <w:rPr>
          <w:rFonts w:eastAsia="Calibri"/>
          <w:rtl/>
        </w:rPr>
        <w:t>, הממצאים מרחיבים את ההבנה של הקשרים בין שוק הדיור, חוב משקי הבית, התפלגות ההכנסות והמדיניות המוניטרית בניתוח השפעות המדיניות המוניטרית על הכלכלה.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hint="cs"/>
          <w:rtl/>
        </w:rPr>
        <w:t>באוגוסט 2009 לנוכח גידול מהותי בהיקף הלוואות לדיור בריבית משתנה התבקשו הבנקים מן המפקח על הבנקים דאז "...לפעול בזהירות הראויה בעת שיווק ומתן הלוואות לדיור בריבית משתנה...".</w:t>
      </w:r>
      <w:r w:rsidRPr="001F2586">
        <w:rPr>
          <w:rFonts w:eastAsia="Calibri"/>
          <w:rtl/>
        </w:rPr>
        <w:t xml:space="preserve"> </w:t>
      </w:r>
      <w:r w:rsidRPr="001F2586">
        <w:rPr>
          <w:rFonts w:eastAsia="Calibri" w:hint="cs"/>
          <w:rtl/>
        </w:rPr>
        <w:t>באוקטובר 2010,</w:t>
      </w:r>
      <w:r w:rsidRPr="001F2586">
        <w:rPr>
          <w:rFonts w:eastAsia="Calibri"/>
          <w:rtl/>
        </w:rPr>
        <w:t xml:space="preserve"> </w:t>
      </w:r>
      <w:r w:rsidRPr="001F2586">
        <w:rPr>
          <w:rFonts w:eastAsia="Calibri" w:hint="cs"/>
          <w:rtl/>
        </w:rPr>
        <w:t xml:space="preserve">על רקע גידול במשכנתאות גבוהות ובלקיחת הלוואות בריבית משתנה, </w:t>
      </w:r>
      <w:r w:rsidRPr="001F2586">
        <w:rPr>
          <w:rFonts w:eastAsia="Calibri"/>
          <w:rtl/>
        </w:rPr>
        <w:t xml:space="preserve">קבע המפקח על הבנקים </w:t>
      </w:r>
      <w:r w:rsidRPr="001F2586">
        <w:rPr>
          <w:rFonts w:eastAsia="Calibri" w:hint="cs"/>
          <w:rtl/>
        </w:rPr>
        <w:t>דאז להקצות</w:t>
      </w:r>
      <w:r w:rsidRPr="001F2586">
        <w:rPr>
          <w:rFonts w:eastAsia="Calibri"/>
          <w:rtl/>
        </w:rPr>
        <w:t xml:space="preserve"> משקל סיכון של 100% על משכנתאות שהן בסכום </w:t>
      </w:r>
      <w:r w:rsidRPr="001F2586">
        <w:rPr>
          <w:rFonts w:eastAsia="Calibri" w:hint="cs"/>
          <w:rtl/>
        </w:rPr>
        <w:t xml:space="preserve">של </w:t>
      </w:r>
      <w:r w:rsidRPr="001F2586">
        <w:rPr>
          <w:rFonts w:eastAsia="Calibri"/>
          <w:rtl/>
        </w:rPr>
        <w:t xml:space="preserve">מעל 800 אלף </w:t>
      </w:r>
      <w:r w:rsidRPr="001F2586">
        <w:rPr>
          <w:rFonts w:eastAsia="Calibri" w:hint="cs"/>
          <w:rtl/>
        </w:rPr>
        <w:t>ש"ח</w:t>
      </w:r>
      <w:r w:rsidRPr="001F2586">
        <w:rPr>
          <w:rFonts w:eastAsia="Calibri"/>
          <w:rtl/>
        </w:rPr>
        <w:t xml:space="preserve"> בשיעור מימון גבוה (מעל 60%) ושחלק ההלוואה שלהן בריבית משתנה הוא 25% או יותר</w:t>
      </w:r>
      <w:r>
        <w:rPr>
          <w:rFonts w:eastAsia="Calibri"/>
          <w:vertAlign w:val="superscript"/>
          <w:rtl/>
        </w:rPr>
        <w:footnoteReference w:id="121"/>
      </w:r>
      <w:r w:rsidRPr="001F2586">
        <w:rPr>
          <w:rFonts w:eastAsia="Calibri"/>
          <w:rtl/>
        </w:rPr>
        <w:t>.</w:t>
      </w:r>
      <w:r w:rsidRPr="001F2586">
        <w:rPr>
          <w:rFonts w:eastAsia="Calibri" w:hint="cs"/>
          <w:rtl/>
        </w:rPr>
        <w:t xml:space="preserve"> צעד זה נועד להקטין את משקלן של הלוואות ממונפות ובין היתר לגרום ללווים להקטין את חלק ההלוואה בריבית משתנה.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לנוכח המשך גידול בביצועי הלוואות לדיור בריבית משתנה והסיכון שעליית שיעור הריבית תגדיל את ההחזר החודשי של הלווה הגביל הפיקוח על הבנקים במאי 2011 את חלק ההלוואה בריבית משתנה לעד 33.3% מסך ההלוואה לדיור. </w:t>
      </w:r>
      <w:bookmarkStart w:id="30" w:name="_Hlk225165180"/>
      <w:r w:rsidRPr="001F2586">
        <w:rPr>
          <w:rFonts w:eastAsia="Calibri" w:hint="cs"/>
          <w:rtl/>
        </w:rPr>
        <w:t xml:space="preserve">באוגוסט 2013 </w:t>
      </w:r>
      <w:bookmarkEnd w:id="30"/>
      <w:r w:rsidRPr="001F2586">
        <w:rPr>
          <w:rFonts w:eastAsia="Calibri" w:hint="cs"/>
          <w:rtl/>
        </w:rPr>
        <w:t xml:space="preserve">ציין המפקח על הבנקים דאז במכתב לתאגידים הבנקאיים בנושא "הגבלות על מתן הלוואות לדיור" כי "בתקופת האחרונה נמשך הגידול המהיר בהיקף תיקי ההלוואות בביטחון נכס למגורים, כאשר מרביתן של ההלוואות ניתן בריביות משתנות הנמצאות כיום ברמה נמוכה (לרבות ריביות המשתנות בתדירות הגבוהה מחמש שנים)...". בהתאם </w:t>
      </w:r>
      <w:bookmarkStart w:id="31" w:name="_Hlk225165193"/>
      <w:r w:rsidRPr="001F2586">
        <w:rPr>
          <w:rFonts w:eastAsia="Calibri" w:hint="cs"/>
          <w:rtl/>
        </w:rPr>
        <w:t>לכך קבע המפקח דאז כי היחס בין חלק ההלוואה לדיור בריבית משתנה לבין סך ההלוואה לא יעלה על 66.66% (שני שליש מסכום ההלוואה), וכי היחס בין חלק ההלוואה בריבית משתנה קצרה</w:t>
      </w:r>
      <w:bookmarkStart w:id="32" w:name="_Hlk225165241"/>
      <w:r>
        <w:rPr>
          <w:rFonts w:eastAsia="Calibri"/>
          <w:vertAlign w:val="superscript"/>
          <w:rtl/>
        </w:rPr>
        <w:footnoteReference w:id="122"/>
      </w:r>
      <w:r w:rsidRPr="001F2586">
        <w:rPr>
          <w:rFonts w:eastAsia="Calibri" w:hint="cs"/>
          <w:rtl/>
        </w:rPr>
        <w:t xml:space="preserve"> </w:t>
      </w:r>
      <w:bookmarkEnd w:id="32"/>
      <w:r w:rsidRPr="001F2586">
        <w:rPr>
          <w:rFonts w:eastAsia="Calibri" w:hint="cs"/>
          <w:rtl/>
        </w:rPr>
        <w:t xml:space="preserve">לסך ההלוואה לא יעלה על 33.33% (שליש מסכום ההלוואה). </w:t>
      </w:r>
      <w:bookmarkEnd w:id="31"/>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ביולי 2014 הפיקוח על הבנקים הסדיר מגבלה זו כאמור </w:t>
      </w:r>
      <w:r w:rsidRPr="001F2586">
        <w:rPr>
          <w:rFonts w:eastAsia="Calibri" w:hint="cs"/>
          <w:rtl/>
        </w:rPr>
        <w:t>בנב"ת</w:t>
      </w:r>
      <w:r w:rsidRPr="001F2586">
        <w:rPr>
          <w:rFonts w:eastAsia="Calibri" w:hint="cs"/>
          <w:rtl/>
        </w:rPr>
        <w:t xml:space="preserve"> 329 שהוגדרו בה שתי מגבלות על חלק ההלוואה בריבית משתנה: המגבלה </w:t>
      </w:r>
      <w:r w:rsidRPr="001F2586">
        <w:rPr>
          <w:rFonts w:eastAsia="Calibri"/>
          <w:rtl/>
        </w:rPr>
        <w:t>הראשונה קבעה שחלקה של ההלוואה בריבית</w:t>
      </w:r>
      <w:r w:rsidRPr="001F2586">
        <w:rPr>
          <w:rFonts w:eastAsia="Calibri" w:hint="cs"/>
          <w:rtl/>
        </w:rPr>
        <w:t xml:space="preserve"> משתנה קצרה (להלן - המגבלה על חלק ההלוואה בריבית משתנה קצרה), ובתוך כך ריבית</w:t>
      </w:r>
      <w:r w:rsidRPr="001F2586">
        <w:rPr>
          <w:rFonts w:eastAsia="Calibri"/>
          <w:rtl/>
        </w:rPr>
        <w:t xml:space="preserve"> </w:t>
      </w:r>
      <w:r w:rsidRPr="001F2586">
        <w:rPr>
          <w:rFonts w:eastAsia="Calibri" w:hint="cs"/>
          <w:rtl/>
        </w:rPr>
        <w:t>ה</w:t>
      </w:r>
      <w:r w:rsidRPr="001F2586">
        <w:rPr>
          <w:rFonts w:eastAsia="Calibri"/>
          <w:rtl/>
        </w:rPr>
        <w:t>פריים</w:t>
      </w:r>
      <w:r w:rsidRPr="001F2586">
        <w:rPr>
          <w:rFonts w:eastAsia="Calibri" w:hint="cs"/>
          <w:rtl/>
        </w:rPr>
        <w:t>,</w:t>
      </w:r>
      <w:r w:rsidRPr="001F2586">
        <w:rPr>
          <w:rFonts w:eastAsia="Calibri"/>
          <w:rtl/>
        </w:rPr>
        <w:t xml:space="preserve"> לא יעלה על שליש</w:t>
      </w:r>
      <w:r w:rsidRPr="001F2586">
        <w:rPr>
          <w:rFonts w:eastAsia="Calibri" w:hint="cs"/>
          <w:rtl/>
        </w:rPr>
        <w:t xml:space="preserve"> </w:t>
      </w:r>
      <w:r w:rsidRPr="001F2586">
        <w:rPr>
          <w:rFonts w:eastAsia="Calibri"/>
          <w:rtl/>
        </w:rPr>
        <w:t>מסך ההלוואה</w:t>
      </w:r>
      <w:r w:rsidRPr="001F2586">
        <w:rPr>
          <w:rFonts w:eastAsia="Calibri" w:hint="cs"/>
          <w:rtl/>
        </w:rPr>
        <w:t>;</w:t>
      </w:r>
      <w:r w:rsidRPr="001F2586">
        <w:rPr>
          <w:rFonts w:eastAsia="Calibri"/>
          <w:rtl/>
        </w:rPr>
        <w:t xml:space="preserve"> ו</w:t>
      </w:r>
      <w:r w:rsidRPr="001F2586">
        <w:rPr>
          <w:rFonts w:eastAsia="Calibri" w:hint="cs"/>
          <w:rtl/>
        </w:rPr>
        <w:t xml:space="preserve">המגבלה </w:t>
      </w:r>
      <w:r w:rsidRPr="001F2586">
        <w:rPr>
          <w:rFonts w:eastAsia="Calibri"/>
          <w:rtl/>
        </w:rPr>
        <w:t>השנייה קבעה שחלק</w:t>
      </w:r>
      <w:r w:rsidRPr="001F2586">
        <w:rPr>
          <w:rFonts w:eastAsia="Calibri" w:hint="cs"/>
          <w:rtl/>
        </w:rPr>
        <w:t>ם</w:t>
      </w:r>
      <w:r w:rsidRPr="001F2586">
        <w:rPr>
          <w:rFonts w:eastAsia="Calibri"/>
          <w:rtl/>
        </w:rPr>
        <w:t xml:space="preserve"> הכולל של </w:t>
      </w:r>
      <w:r w:rsidRPr="001F2586">
        <w:rPr>
          <w:rFonts w:eastAsia="Calibri" w:hint="cs"/>
          <w:rtl/>
        </w:rPr>
        <w:t xml:space="preserve">כל מסלולי </w:t>
      </w:r>
      <w:r w:rsidRPr="001F2586">
        <w:rPr>
          <w:rFonts w:eastAsia="Calibri"/>
          <w:rtl/>
        </w:rPr>
        <w:t>ההלוואה בריבית משתנה לא יעלה על שני שלישים</w:t>
      </w:r>
      <w:r w:rsidRPr="001F2586">
        <w:rPr>
          <w:rFonts w:eastAsia="Calibri" w:hint="cs"/>
          <w:rtl/>
        </w:rPr>
        <w:t xml:space="preserve"> </w:t>
      </w:r>
      <w:r w:rsidRPr="001F2586">
        <w:rPr>
          <w:rFonts w:eastAsia="Calibri"/>
          <w:rtl/>
        </w:rPr>
        <w:t>מסך ההלוואה</w:t>
      </w:r>
      <w:r w:rsidRPr="001F2586">
        <w:rPr>
          <w:rFonts w:eastAsia="Calibri" w:hint="cs"/>
          <w:rtl/>
        </w:rPr>
        <w:t xml:space="preserve"> (להלן - המגבלה על סך ההלוואה בריבית משתנה)</w:t>
      </w:r>
      <w:r w:rsidRPr="001F2586">
        <w:rPr>
          <w:rFonts w:eastAsia="Calibri"/>
          <w:rtl/>
        </w:rPr>
        <w:t>.</w:t>
      </w:r>
      <w:r w:rsidRPr="001F2586">
        <w:rPr>
          <w:rFonts w:eastAsia="Calibri" w:hint="cs"/>
          <w:rtl/>
        </w:rPr>
        <w:t xml:space="preserve"> שתי מגבלות אלו לא השתנו עד לדצמבר 2020.</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בחוזר ח-06- 2647 מיום 27.12.20 ציין המפקח על הבנקים דאז כי "...</w:t>
      </w:r>
      <w:r w:rsidRPr="001F2586">
        <w:rPr>
          <w:rFonts w:eastAsia="Calibri"/>
          <w:rtl/>
        </w:rPr>
        <w:t xml:space="preserve">ועל מנת לסייע ללווים </w:t>
      </w:r>
      <w:r w:rsidRPr="001F2586">
        <w:rPr>
          <w:rFonts w:eastAsia="Calibri"/>
          <w:rtl/>
        </w:rPr>
        <w:t>נוטלי</w:t>
      </w:r>
      <w:r w:rsidRPr="001F2586">
        <w:rPr>
          <w:rFonts w:eastAsia="Calibri"/>
          <w:rtl/>
        </w:rPr>
        <w:t xml:space="preserve"> המשכנתאות גמישות</w:t>
      </w:r>
      <w:r w:rsidRPr="001F2586">
        <w:rPr>
          <w:rFonts w:eastAsia="Calibri" w:hint="cs"/>
          <w:rtl/>
        </w:rPr>
        <w:t xml:space="preserve"> </w:t>
      </w:r>
      <w:r w:rsidRPr="001F2586">
        <w:rPr>
          <w:rFonts w:eastAsia="Calibri"/>
          <w:rtl/>
        </w:rPr>
        <w:t>בגיוון תמהיל מסלולי המשכנתא, עלה הצורך בעדכון מגבלות אלו</w:t>
      </w:r>
      <w:r w:rsidRPr="001F2586">
        <w:rPr>
          <w:rFonts w:eastAsia="Calibri" w:hint="cs"/>
          <w:rtl/>
        </w:rPr>
        <w:t xml:space="preserve">". בהתאם לכך החליט המפקח </w:t>
      </w:r>
      <w:bookmarkStart w:id="33" w:name="_Hlk225165310"/>
      <w:r w:rsidRPr="001F2586">
        <w:rPr>
          <w:rFonts w:eastAsia="Calibri" w:hint="cs"/>
          <w:rtl/>
        </w:rPr>
        <w:t xml:space="preserve">לבטל את </w:t>
      </w:r>
      <w:r w:rsidRPr="001F2586">
        <w:rPr>
          <w:rFonts w:eastAsia="Calibri"/>
          <w:rtl/>
        </w:rPr>
        <w:t>המגבלה על חלק ההלוואה בריבית משתנה קצרה</w:t>
      </w:r>
      <w:r w:rsidRPr="001F2586">
        <w:rPr>
          <w:rFonts w:eastAsia="Calibri" w:hint="cs"/>
          <w:rtl/>
        </w:rPr>
        <w:t xml:space="preserve"> ולהסתפק במגבלה על סך ההלוואה בריבית משתנה</w:t>
      </w:r>
      <w:bookmarkEnd w:id="33"/>
      <w:r w:rsidRPr="001F2586">
        <w:rPr>
          <w:rFonts w:eastAsia="Calibri" w:hint="cs"/>
          <w:rtl/>
        </w:rPr>
        <w:t xml:space="preserve">. המשמעות היא </w:t>
      </w:r>
      <w:bookmarkStart w:id="34" w:name="_Hlk225165336"/>
      <w:r w:rsidRPr="001F2586">
        <w:rPr>
          <w:rFonts w:eastAsia="Calibri" w:hint="cs"/>
          <w:rtl/>
        </w:rPr>
        <w:t>שלווים יכולים לקחת שיעור הגבוה מ-33.33% במסלולים של ריביות משתנות קצרות שתקופת השינוי בהן קצרה מחמש שנים, ובתוך כך במסלול ריבית הפריים, וכי לכל היותר יינתנו 66.66% מסכום ההלוואה בריביות משתנות</w:t>
      </w:r>
      <w:bookmarkEnd w:id="34"/>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בנק ישראל ציין בסקירת מערכת הבנקאות לשנת 2020 כי לא צפויה עלייה ניכרת בריבית בנק ישראל, לנוכח הריבית המוניטרית ששררה באותה עת בשווקים הבין-לאומיים שהייתה צפויה עוד מספר שנים</w:t>
      </w:r>
      <w:r>
        <w:rPr>
          <w:rFonts w:eastAsia="Calibri"/>
          <w:vertAlign w:val="superscript"/>
          <w:rtl/>
        </w:rPr>
        <w:footnoteReference w:id="123"/>
      </w:r>
      <w:r w:rsidRPr="001F2586">
        <w:rPr>
          <w:rFonts w:eastAsia="Calibri" w:hint="cs"/>
          <w:rtl/>
        </w:rPr>
        <w:t>, וזאת גם על רקע משבר הקורונה, כך שהריבית המוניטרית צפויה להישאר נמוכה כדי לתמוך בהתאוששות המשק. על כן ציין בנק ישראל בסקירה כי "...</w:t>
      </w:r>
      <w:r w:rsidRPr="001F2586">
        <w:rPr>
          <w:rFonts w:eastAsia="Calibri"/>
          <w:rtl/>
        </w:rPr>
        <w:t>עולה שסיכון הריבית הצפוי ללווים שיחשפו לשינויים בריבית בנק ישראל התמתן במידה רבה</w:t>
      </w:r>
      <w:r w:rsidRPr="001F2586">
        <w:rPr>
          <w:rFonts w:eastAsia="Calibri" w:hint="cs"/>
          <w:rtl/>
        </w:rPr>
        <w:t xml:space="preserve"> </w:t>
      </w:r>
      <w:r w:rsidRPr="001F2586">
        <w:rPr>
          <w:rFonts w:eastAsia="Calibri"/>
          <w:rtl/>
        </w:rPr>
        <w:t>ולכן הוחלט שניתן לה</w:t>
      </w:r>
      <w:r w:rsidRPr="001F2586">
        <w:rPr>
          <w:rFonts w:eastAsia="Calibri" w:hint="cs"/>
          <w:rtl/>
        </w:rPr>
        <w:t>ו</w:t>
      </w:r>
      <w:r w:rsidRPr="001F2586">
        <w:rPr>
          <w:rFonts w:eastAsia="Calibri"/>
          <w:rtl/>
        </w:rPr>
        <w:t>תיר את ההגבלה במתכונתה הנוכחית. ביטול ההגבלה מאפשר לציבור גמישות רחבה</w:t>
      </w:r>
      <w:r w:rsidRPr="001F2586">
        <w:rPr>
          <w:rFonts w:eastAsia="Calibri" w:hint="cs"/>
          <w:rtl/>
        </w:rPr>
        <w:t xml:space="preserve"> </w:t>
      </w:r>
      <w:r w:rsidRPr="001F2586">
        <w:rPr>
          <w:rFonts w:eastAsia="Calibri"/>
          <w:rtl/>
        </w:rPr>
        <w:t xml:space="preserve">יותר בקביעת תמהיל </w:t>
      </w:r>
      <w:r w:rsidRPr="001F2586">
        <w:rPr>
          <w:rFonts w:eastAsia="Calibri"/>
          <w:rtl/>
        </w:rPr>
        <w:t>ההלוואה וזה בהתאם לטעמים ולשנאת הסיכון של כל לווה</w:t>
      </w:r>
      <w:r w:rsidRPr="001F2586">
        <w:rPr>
          <w:rFonts w:eastAsia="Calibri" w:hint="cs"/>
          <w:rtl/>
        </w:rPr>
        <w:t>". עוד צוין כי לנוכח זאת שריבית הפריים היא הזולה ביותר, לווים שיבחרו שיעור גבוה יותר של ריבית זו בתמהיל ההלוואה שלהם "...</w:t>
      </w:r>
      <w:r w:rsidRPr="001F2586">
        <w:rPr>
          <w:rFonts w:eastAsia="Calibri"/>
          <w:rtl/>
        </w:rPr>
        <w:t>צפויים ליהנות מהוזלה של תשלומי הריבית הצפויים לאורך חיי ההלוואה</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כאמור, בנק ישראל העלה את שיעור הריבית המוניטרית באפריל 2022 מ-0.1% בהדרגה עד </w:t>
      </w:r>
      <w:r w:rsidRPr="001F2586">
        <w:rPr>
          <w:rFonts w:eastAsia="Calibri"/>
          <w:rtl/>
        </w:rPr>
        <w:br/>
      </w:r>
      <w:r w:rsidRPr="001F2586">
        <w:rPr>
          <w:rFonts w:eastAsia="Calibri" w:hint="cs"/>
          <w:rtl/>
        </w:rPr>
        <w:t>ל-4.75% במאי 2023. לפי נתוני בנק ישראל</w:t>
      </w:r>
      <w:r>
        <w:rPr>
          <w:rFonts w:eastAsia="Calibri"/>
          <w:vertAlign w:val="superscript"/>
          <w:rtl/>
        </w:rPr>
        <w:footnoteReference w:id="124"/>
      </w:r>
      <w:r w:rsidRPr="001F2586">
        <w:rPr>
          <w:rFonts w:eastAsia="Calibri" w:hint="cs"/>
          <w:rtl/>
        </w:rPr>
        <w:t xml:space="preserve"> ביטול המגבלה על חלק ההלוואה בריבית משתנה קצרה הביא לכך שחלה עלייה במשקל מסלול הפריים בביצועי הלוואות למטרת מגורים מ-28.8% בדצמבר 2020 לשיעור של כ-37.1% במרץ 2022 (עלייה של 8.3 נקודות האחוז). לכן, חלה כאמור עלייה חדה בהחזר החודשי בטווח של 600 - 1,050 ש"ח (תלוי בשנת לקיחת ההלוואה) במשכנתאות קיימות</w:t>
      </w:r>
      <w:r>
        <w:rPr>
          <w:rFonts w:eastAsia="Calibri"/>
          <w:vertAlign w:val="superscript"/>
          <w:rtl/>
        </w:rPr>
        <w:footnoteReference w:id="125"/>
      </w:r>
      <w:r w:rsidRPr="001F2586">
        <w:rPr>
          <w:rFonts w:eastAsia="Calibri" w:hint="cs"/>
          <w:rtl/>
        </w:rPr>
        <w:t xml:space="preserve"> בתקופה בין אפריל 2022 לספטמבר 2023 שאופיינה גם באינפלציה גבוהה. העלייה החדה ביותר בהחזר החודשי של לווים התרחשה במשכנתאות שנלקחו בשנת 2021, שכללו כאמור משקל גבוה יותר של ריבית הפריים, ועל כן עלו בסכום ממוצע של 1,047 ש"ח. יצוין כי הפיקוח על הבנקים בחן את השפעת העלייה בריבית ובאינפלציה על נטל החוב של המשכנתא בשנים 2022 - 2023. עם זאת מצופה היה כי יבצע בחינה זו גם טרם קבלת ההחלטה כאמור.</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נמצא כי הפיקוח על הבנקים לא בחן את ההשפעה של החלטתו לבטל את המגבלה על חלק ההלוואה בריבית משתנה קצרה לפני קבלתה בסוף שנת 2020. המשמעות של כך היא שהחל משנת 2021 לווים יכולים לקחת למעלה מ-33.33% מסכום ההלוואה ועד ל-66.66% ממנה במסלולים של ריביות משתנות קצרות. בשל כך לווים לקחו משכנתאות עם משקל גבוה יותר של ריביות משתנות קצרות, ובעיקר בריבית הפריים, בשנים 2021 - 2022 (משקלן במשכנתאות גדל מכ-28.8% בסוף שנת 2020 לכ-37.1% במרץ 2022). העלייה</w:t>
      </w:r>
      <w:r w:rsidRPr="001F2586">
        <w:rPr>
          <w:rFonts w:eastAsia="Calibri" w:hint="cs"/>
          <w:rtl/>
        </w:rPr>
        <w:t xml:space="preserve"> </w:t>
      </w:r>
      <w:r w:rsidRPr="001F2586">
        <w:rPr>
          <w:rFonts w:eastAsia="Calibri" w:hint="eastAsia"/>
          <w:b/>
          <w:bCs/>
          <w:rtl/>
        </w:rPr>
        <w:t>במשקל</w:t>
      </w:r>
      <w:r w:rsidRPr="001F2586">
        <w:rPr>
          <w:rFonts w:eastAsia="Calibri"/>
          <w:b/>
          <w:bCs/>
          <w:rtl/>
        </w:rPr>
        <w:t xml:space="preserve"> </w:t>
      </w:r>
      <w:r w:rsidRPr="001F2586">
        <w:rPr>
          <w:rFonts w:eastAsia="Calibri" w:hint="eastAsia"/>
          <w:b/>
          <w:bCs/>
          <w:rtl/>
        </w:rPr>
        <w:t>מסלול</w:t>
      </w:r>
      <w:r w:rsidRPr="001F2586">
        <w:rPr>
          <w:rFonts w:eastAsia="Calibri"/>
          <w:b/>
          <w:bCs/>
          <w:rtl/>
        </w:rPr>
        <w:t xml:space="preserve"> </w:t>
      </w:r>
      <w:r w:rsidRPr="001F2586">
        <w:rPr>
          <w:rFonts w:eastAsia="Calibri" w:hint="eastAsia"/>
          <w:b/>
          <w:bCs/>
          <w:rtl/>
        </w:rPr>
        <w:t>הפריים</w:t>
      </w:r>
      <w:r w:rsidRPr="001F2586">
        <w:rPr>
          <w:rFonts w:eastAsia="Calibri" w:hint="cs"/>
          <w:b/>
          <w:bCs/>
          <w:rtl/>
        </w:rPr>
        <w:t xml:space="preserve"> בביצועי ההלוואות</w:t>
      </w:r>
      <w:r w:rsidRPr="001F2586">
        <w:rPr>
          <w:rFonts w:eastAsia="Calibri"/>
          <w:b/>
          <w:bCs/>
          <w:rtl/>
        </w:rPr>
        <w:t xml:space="preserve"> </w:t>
      </w:r>
      <w:r w:rsidRPr="001F2586">
        <w:rPr>
          <w:rFonts w:eastAsia="Calibri" w:hint="cs"/>
          <w:b/>
          <w:bCs/>
          <w:rtl/>
        </w:rPr>
        <w:t xml:space="preserve">כאמור, שהיה פופולרי מאוד בשל שיעורי ריביות נמוכים במיוחד, הביאה לעלייה משמעותית בהחזר החודשי של הלווים (כ-1,047 </w:t>
      </w:r>
      <w:r w:rsidR="00480481">
        <w:rPr>
          <w:rFonts w:eastAsia="Calibri" w:hint="cs"/>
          <w:b/>
          <w:bCs/>
          <w:rtl/>
        </w:rPr>
        <w:t>ש</w:t>
      </w:r>
      <w:r w:rsidR="00480481">
        <w:rPr>
          <w:rFonts w:eastAsia="Calibri"/>
          <w:b/>
          <w:bCs/>
          <w:rtl/>
        </w:rPr>
        <w:t>"</w:t>
      </w:r>
      <w:r w:rsidR="00480481">
        <w:rPr>
          <w:rFonts w:eastAsia="Calibri" w:hint="cs"/>
          <w:b/>
          <w:bCs/>
          <w:rtl/>
        </w:rPr>
        <w:t>ח</w:t>
      </w:r>
      <w:r w:rsidRPr="001F2586">
        <w:rPr>
          <w:rFonts w:eastAsia="Calibri" w:hint="cs"/>
          <w:b/>
          <w:bCs/>
          <w:rtl/>
        </w:rPr>
        <w:t xml:space="preserve"> בממוצע עבור הלוואות שנלקחו בשנת 2021) כאשר בנק ישראל העלה את הריבית המוניטרית בשנים 2022 - 2023.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מומלץ כי הפיקוח על הבנקים יבחן בטרם כל החלטה על שינוי מגבלות על משכנתאות את ההשפעה הצפויה שלהם על נטל החוב של משקי הבית תוך פילוח רחב של ההשפעות והסיכונים הנלווים לכך על אוכלוסיות שונות.</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bookmarkStart w:id="35" w:name="_Hlk220412905"/>
      <w:r w:rsidRPr="001F2586">
        <w:rPr>
          <w:rFonts w:eastAsia="Times New Roman" w:hint="cs"/>
          <w:bCs/>
          <w:szCs w:val="26"/>
          <w:rtl/>
        </w:rPr>
        <w:t>צעדים מבוססי הון</w:t>
      </w:r>
    </w:p>
    <w:p w:rsidR="001F2586" w:rsidRPr="001F2586" w:rsidP="001F2586">
      <w:pPr>
        <w:spacing w:line="269" w:lineRule="auto"/>
        <w:ind w:left="-567"/>
        <w:rPr>
          <w:rFonts w:eastAsia="Times New Roman"/>
          <w:spacing w:val="40"/>
          <w:rtl/>
        </w:rPr>
      </w:pPr>
    </w:p>
    <w:p w:rsidR="001F2586" w:rsidRPr="001F2586" w:rsidP="001F2586">
      <w:pPr>
        <w:spacing w:line="269" w:lineRule="auto"/>
        <w:rPr>
          <w:rFonts w:eastAsia="Calibri"/>
          <w:rtl/>
        </w:rPr>
      </w:pPr>
      <w:bookmarkStart w:id="36" w:name="_Hlk217307437"/>
      <w:r w:rsidRPr="001F2586">
        <w:rPr>
          <w:rFonts w:eastAsia="Calibri" w:hint="cs"/>
          <w:rtl/>
        </w:rPr>
        <w:t xml:space="preserve">הבנקים </w:t>
      </w:r>
      <w:r w:rsidRPr="001F2586">
        <w:rPr>
          <w:rFonts w:eastAsia="Calibri"/>
          <w:rtl/>
        </w:rPr>
        <w:t>נדרשים לכללי ריתוק והקצאה של הון</w:t>
      </w:r>
      <w:r w:rsidRPr="001F2586">
        <w:rPr>
          <w:rFonts w:eastAsia="Calibri" w:hint="cs"/>
          <w:rtl/>
        </w:rPr>
        <w:t xml:space="preserve">, </w:t>
      </w:r>
      <w:r w:rsidRPr="001F2586">
        <w:rPr>
          <w:rFonts w:eastAsia="Calibri"/>
          <w:rtl/>
        </w:rPr>
        <w:t>כלומר שימור של הון עצמי ביחס לכל אשראי שהם נותנים. ככל שריתוק ההון גבוה יותר נוספות עלויות לבנק</w:t>
      </w:r>
      <w:r w:rsidRPr="001F2586">
        <w:rPr>
          <w:rFonts w:eastAsia="Calibri" w:hint="cs"/>
          <w:rtl/>
        </w:rPr>
        <w:t>,</w:t>
      </w:r>
      <w:r w:rsidRPr="001F2586">
        <w:rPr>
          <w:rFonts w:eastAsia="Calibri"/>
          <w:rtl/>
        </w:rPr>
        <w:t xml:space="preserve"> כך שמתן האשראי על ידי הבנק פחות כדאי. ריתוק ההון נועד להבטיח שההון הולם את הסיכונים הגלומים בפעילות הבנקים ובכך לחזק את יציבותם. להקצאות ההון יש השפעה על הריביות בהלוואות, כך שככל ש</w:t>
      </w:r>
      <w:r w:rsidRPr="001F2586">
        <w:rPr>
          <w:rFonts w:eastAsia="Calibri" w:hint="cs"/>
          <w:rtl/>
        </w:rPr>
        <w:t xml:space="preserve">ההקצאה </w:t>
      </w:r>
      <w:r w:rsidRPr="001F2586">
        <w:rPr>
          <w:rFonts w:eastAsia="Calibri"/>
          <w:rtl/>
        </w:rPr>
        <w:t>גבוה</w:t>
      </w:r>
      <w:r w:rsidRPr="001F2586">
        <w:rPr>
          <w:rFonts w:eastAsia="Calibri" w:hint="cs"/>
          <w:rtl/>
        </w:rPr>
        <w:t>ה</w:t>
      </w:r>
      <w:r w:rsidRPr="001F2586">
        <w:rPr>
          <w:rFonts w:eastAsia="Calibri"/>
          <w:rtl/>
        </w:rPr>
        <w:t xml:space="preserve"> יותר הבנקים סופגים יותר עלויות ובשל כך יעלו את מחיר האשראי הניתן.</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ועדת באזל, הפועלת במסגרת </w:t>
      </w:r>
      <w:r w:rsidRPr="001F2586">
        <w:rPr>
          <w:rFonts w:eastAsia="Calibri"/>
          <w:rtl/>
        </w:rPr>
        <w:t>הבנק להסדרי סליקה בי</w:t>
      </w:r>
      <w:r w:rsidRPr="001F2586">
        <w:rPr>
          <w:rFonts w:eastAsia="Calibri" w:hint="cs"/>
          <w:rtl/>
        </w:rPr>
        <w:t>ן-</w:t>
      </w:r>
      <w:r w:rsidRPr="001F2586">
        <w:rPr>
          <w:rFonts w:eastAsia="Calibri"/>
          <w:rtl/>
        </w:rPr>
        <w:t>לאומיים</w:t>
      </w:r>
      <w:r>
        <w:rPr>
          <w:rFonts w:eastAsia="Calibri"/>
          <w:vertAlign w:val="superscript"/>
        </w:rPr>
        <w:footnoteReference w:id="126"/>
      </w:r>
      <w:r w:rsidRPr="001F2586">
        <w:rPr>
          <w:rFonts w:eastAsia="Calibri"/>
        </w:rPr>
        <w:t xml:space="preserve"> (BIS - Bank of International Settlements)</w:t>
      </w:r>
      <w:r w:rsidRPr="001F2586">
        <w:rPr>
          <w:rFonts w:eastAsia="Calibri" w:hint="cs"/>
          <w:rtl/>
        </w:rPr>
        <w:t>),</w:t>
      </w:r>
      <w:r w:rsidRPr="001F2586">
        <w:rPr>
          <w:rFonts w:eastAsia="Calibri"/>
          <w:rtl/>
        </w:rPr>
        <w:t xml:space="preserve"> </w:t>
      </w:r>
      <w:r w:rsidRPr="001F2586">
        <w:rPr>
          <w:rFonts w:eastAsia="Calibri" w:hint="cs"/>
          <w:rtl/>
        </w:rPr>
        <w:t xml:space="preserve">פרסמה במשך השנים </w:t>
      </w:r>
      <w:r w:rsidRPr="001F2586">
        <w:rPr>
          <w:rFonts w:eastAsia="Calibri"/>
          <w:rtl/>
        </w:rPr>
        <w:t>כללים מפורטים בנושא ניהול סיכונים בבנקים</w:t>
      </w:r>
      <w:r w:rsidRPr="001F2586">
        <w:rPr>
          <w:rFonts w:eastAsia="Calibri" w:hint="cs"/>
          <w:rtl/>
        </w:rPr>
        <w:t xml:space="preserve"> -</w:t>
      </w:r>
      <w:r w:rsidRPr="001F2586">
        <w:rPr>
          <w:rFonts w:eastAsia="Calibri"/>
          <w:rtl/>
        </w:rPr>
        <w:t xml:space="preserve"> כללי באז</w:t>
      </w:r>
      <w:r w:rsidRPr="001F2586">
        <w:rPr>
          <w:rFonts w:eastAsia="Calibri" w:hint="cs"/>
          <w:rtl/>
        </w:rPr>
        <w:t>ל</w:t>
      </w:r>
      <w:r>
        <w:rPr>
          <w:rFonts w:eastAsia="Calibri"/>
          <w:vertAlign w:val="superscript"/>
          <w:rtl/>
        </w:rPr>
        <w:footnoteReference w:id="127"/>
      </w:r>
      <w:r w:rsidRPr="001F2586">
        <w:rPr>
          <w:rFonts w:eastAsia="Calibri" w:hint="cs"/>
          <w:rtl/>
        </w:rPr>
        <w:t xml:space="preserve">. </w:t>
      </w:r>
      <w:r w:rsidRPr="001F2586">
        <w:rPr>
          <w:rFonts w:eastAsia="Calibri" w:hint="cs"/>
          <w:rtl/>
        </w:rPr>
        <w:t>כללים אלו ממליצים</w:t>
      </w:r>
      <w:r w:rsidRPr="001F2586">
        <w:rPr>
          <w:rFonts w:eastAsia="Calibri"/>
          <w:rtl/>
        </w:rPr>
        <w:t xml:space="preserve"> </w:t>
      </w:r>
      <w:r w:rsidRPr="001F2586">
        <w:rPr>
          <w:rFonts w:eastAsia="Calibri" w:hint="cs"/>
          <w:rtl/>
        </w:rPr>
        <w:t>ל</w:t>
      </w:r>
      <w:r w:rsidRPr="001F2586">
        <w:rPr>
          <w:rFonts w:eastAsia="Calibri"/>
          <w:rtl/>
        </w:rPr>
        <w:t>בנקים מרכזיים בעולם להקים מערך פעולה שיטתי וממוסד של ניהול סיכונים ולפקח בצורה הדוקה על הלימות ההון</w:t>
      </w:r>
      <w:r>
        <w:rPr>
          <w:rFonts w:eastAsia="Calibri"/>
          <w:vertAlign w:val="superscript"/>
          <w:rtl/>
        </w:rPr>
        <w:footnoteReference w:id="128"/>
      </w:r>
      <w:r w:rsidRPr="001F2586">
        <w:rPr>
          <w:rFonts w:eastAsia="Calibri"/>
          <w:rtl/>
        </w:rPr>
        <w:t xml:space="preserve"> ו</w:t>
      </w:r>
      <w:r w:rsidRPr="001F2586">
        <w:rPr>
          <w:rFonts w:eastAsia="Calibri" w:hint="cs"/>
          <w:rtl/>
        </w:rPr>
        <w:t xml:space="preserve">על </w:t>
      </w:r>
      <w:r w:rsidRPr="001F2586">
        <w:rPr>
          <w:rFonts w:eastAsia="Calibri"/>
          <w:rtl/>
        </w:rPr>
        <w:t>רמת היציבות של הבנקים הנתונים לפיקוחם</w:t>
      </w:r>
      <w:r w:rsidRPr="001F2586">
        <w:rPr>
          <w:rFonts w:eastAsia="Calibri"/>
        </w:rPr>
        <w:t>.</w:t>
      </w:r>
      <w:r w:rsidRPr="001F2586">
        <w:rPr>
          <w:rFonts w:eastAsia="Calibri"/>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כללי באזל </w:t>
      </w:r>
      <w:r w:rsidRPr="001F2586">
        <w:rPr>
          <w:rFonts w:eastAsia="Calibri" w:hint="cs"/>
          <w:rtl/>
        </w:rPr>
        <w:t>הם בגדר קווים מנחים לא מחייבים, שבנקים מרכזיים</w:t>
      </w:r>
      <w:r w:rsidRPr="001F2586">
        <w:rPr>
          <w:rFonts w:eastAsia="Calibri"/>
          <w:rtl/>
        </w:rPr>
        <w:t xml:space="preserve"> </w:t>
      </w:r>
      <w:r w:rsidRPr="001F2586">
        <w:rPr>
          <w:rFonts w:eastAsia="Calibri" w:hint="cs"/>
          <w:rtl/>
        </w:rPr>
        <w:t xml:space="preserve">בעולם </w:t>
      </w:r>
      <w:r w:rsidRPr="001F2586">
        <w:rPr>
          <w:rFonts w:eastAsia="Calibri"/>
          <w:rtl/>
        </w:rPr>
        <w:t xml:space="preserve">אינם </w:t>
      </w:r>
      <w:r w:rsidRPr="001F2586">
        <w:rPr>
          <w:rFonts w:eastAsia="Calibri" w:hint="cs"/>
          <w:rtl/>
        </w:rPr>
        <w:t>מחויבים</w:t>
      </w:r>
      <w:r w:rsidRPr="001F2586">
        <w:rPr>
          <w:rFonts w:eastAsia="Calibri"/>
          <w:rtl/>
        </w:rPr>
        <w:t xml:space="preserve"> לאמץ אותם</w:t>
      </w:r>
      <w:r w:rsidRPr="001F2586">
        <w:rPr>
          <w:rFonts w:eastAsia="Calibri" w:hint="cs"/>
          <w:rtl/>
        </w:rPr>
        <w:t xml:space="preserve">, אך בפועל רבים מהם מאמצים אותם במדינות שלהם. בהתאם לכך, הפיקוח על הבנקים פועל במשך השנים </w:t>
      </w:r>
      <w:r w:rsidRPr="001F2586">
        <w:rPr>
          <w:rFonts w:eastAsia="Calibri"/>
          <w:rtl/>
        </w:rPr>
        <w:t xml:space="preserve">ליישום </w:t>
      </w:r>
      <w:r w:rsidRPr="001F2586">
        <w:rPr>
          <w:rFonts w:eastAsia="Calibri" w:hint="cs"/>
          <w:rtl/>
        </w:rPr>
        <w:t>כללי באזל</w:t>
      </w:r>
      <w:r w:rsidRPr="001F2586">
        <w:rPr>
          <w:rFonts w:eastAsia="Calibri"/>
          <w:rtl/>
        </w:rPr>
        <w:t xml:space="preserve"> באמצעות קביעת הוראות מחייבות לבנקים</w:t>
      </w:r>
      <w:r w:rsidRPr="001F2586">
        <w:rPr>
          <w:rFonts w:eastAsia="Calibri" w:hint="cs"/>
          <w:rtl/>
        </w:rPr>
        <w:t xml:space="preserve">, המגדירות את </w:t>
      </w:r>
      <w:r w:rsidRPr="001F2586">
        <w:rPr>
          <w:rFonts w:eastAsia="Calibri"/>
          <w:rtl/>
        </w:rPr>
        <w:t xml:space="preserve">יעדי ההון והמינוף </w:t>
      </w:r>
      <w:r w:rsidRPr="001F2586">
        <w:rPr>
          <w:rFonts w:eastAsia="Calibri" w:hint="cs"/>
          <w:rtl/>
        </w:rPr>
        <w:t xml:space="preserve">שהם צריכים לעמוד בהם, כך שההון שלהם ישקף את מכלול הסיכונים שהם חשופים להם בפעילותם. הפיקוח על הבנקים פרסם החל משנת 2010 סדרה של הוראות </w:t>
      </w:r>
      <w:r w:rsidRPr="001F2586">
        <w:rPr>
          <w:rFonts w:eastAsia="Calibri" w:hint="cs"/>
          <w:rtl/>
        </w:rPr>
        <w:t>נב"ת</w:t>
      </w:r>
      <w:r>
        <w:rPr>
          <w:rFonts w:eastAsia="Calibri"/>
          <w:vertAlign w:val="superscript"/>
          <w:rtl/>
        </w:rPr>
        <w:footnoteReference w:id="129"/>
      </w:r>
      <w:r w:rsidRPr="001F2586">
        <w:rPr>
          <w:rFonts w:eastAsia="Calibri"/>
          <w:rtl/>
        </w:rPr>
        <w:t xml:space="preserve"> </w:t>
      </w:r>
      <w:r w:rsidRPr="001F2586">
        <w:rPr>
          <w:rFonts w:eastAsia="Calibri" w:hint="cs"/>
          <w:rtl/>
        </w:rPr>
        <w:t>ה</w:t>
      </w:r>
      <w:r w:rsidRPr="001F2586">
        <w:rPr>
          <w:rFonts w:eastAsia="Calibri"/>
          <w:rtl/>
        </w:rPr>
        <w:t>מאמצות את המלצות באזל</w:t>
      </w:r>
      <w:r w:rsidRPr="001F2586">
        <w:rPr>
          <w:rFonts w:eastAsia="Calibri"/>
        </w:rPr>
        <w:t xml:space="preserve"> II </w:t>
      </w:r>
      <w:r w:rsidRPr="001F2586">
        <w:rPr>
          <w:rFonts w:eastAsia="Calibri"/>
          <w:rtl/>
        </w:rPr>
        <w:t>ובאזל</w:t>
      </w:r>
      <w:r w:rsidRPr="001F2586">
        <w:rPr>
          <w:rFonts w:eastAsia="Calibri"/>
        </w:rPr>
        <w:t xml:space="preserve"> III </w:t>
      </w:r>
      <w:r w:rsidRPr="001F2586">
        <w:rPr>
          <w:rFonts w:eastAsia="Calibri"/>
          <w:rtl/>
        </w:rPr>
        <w:t>במערכת הבנקאית בישראל</w:t>
      </w:r>
      <w:r w:rsidRPr="001F2586">
        <w:rPr>
          <w:rFonts w:eastAsia="Calibri" w:hint="cs"/>
          <w:rtl/>
        </w:rPr>
        <w:t xml:space="preserve">. </w:t>
      </w:r>
      <w:r w:rsidRPr="001F2586">
        <w:rPr>
          <w:rFonts w:eastAsia="Calibri"/>
          <w:rtl/>
        </w:rPr>
        <w:t>ההוראות משקפות את עמדת המפקח</w:t>
      </w:r>
      <w:r w:rsidRPr="001F2586">
        <w:rPr>
          <w:rFonts w:eastAsia="Calibri" w:hint="cs"/>
          <w:rtl/>
        </w:rPr>
        <w:t xml:space="preserve"> לגבי ההמלצות בכללי באזל</w:t>
      </w:r>
      <w:r w:rsidRPr="001F2586">
        <w:rPr>
          <w:rFonts w:eastAsia="Calibri"/>
          <w:rtl/>
        </w:rPr>
        <w:t xml:space="preserve"> </w:t>
      </w:r>
      <w:r w:rsidRPr="001F2586">
        <w:rPr>
          <w:rFonts w:eastAsia="Calibri" w:hint="cs"/>
          <w:rtl/>
        </w:rPr>
        <w:t>ו</w:t>
      </w:r>
      <w:r w:rsidRPr="001F2586">
        <w:rPr>
          <w:rFonts w:eastAsia="Calibri"/>
          <w:rtl/>
        </w:rPr>
        <w:t>כוללות את ההנחיות ל</w:t>
      </w:r>
      <w:r w:rsidRPr="001F2586">
        <w:rPr>
          <w:rFonts w:eastAsia="Calibri" w:hint="cs"/>
          <w:rtl/>
        </w:rPr>
        <w:t>תאגידים הבנקאיים ב</w:t>
      </w:r>
      <w:r w:rsidRPr="001F2586">
        <w:rPr>
          <w:rFonts w:eastAsia="Calibri"/>
          <w:rtl/>
        </w:rPr>
        <w:t xml:space="preserve">יישום גישות מתקדמות </w:t>
      </w:r>
      <w:r w:rsidRPr="001F2586">
        <w:rPr>
          <w:rFonts w:eastAsia="Calibri" w:hint="cs"/>
          <w:rtl/>
        </w:rPr>
        <w:t xml:space="preserve">לניהול סיכונים הקשורים בין היתר במתן אשראי לציבור, ובפרט בתחום אשראי לדיור. </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hint="cs"/>
          <w:rtl/>
        </w:rPr>
        <w:t xml:space="preserve">כאמור, לפני משבר </w:t>
      </w:r>
      <w:r w:rsidRPr="001F2586">
        <w:rPr>
          <w:rFonts w:eastAsia="Calibri" w:hint="cs"/>
          <w:rtl/>
        </w:rPr>
        <w:t>הסאב</w:t>
      </w:r>
      <w:r w:rsidRPr="001F2586">
        <w:rPr>
          <w:rFonts w:eastAsia="Calibri" w:hint="cs"/>
          <w:rtl/>
        </w:rPr>
        <w:t xml:space="preserve"> פריים הפיקוח על הבנקים</w:t>
      </w:r>
      <w:r w:rsidRPr="001F2586">
        <w:rPr>
          <w:rFonts w:eastAsia="Calibri"/>
          <w:rtl/>
        </w:rPr>
        <w:t xml:space="preserve"> </w:t>
      </w:r>
      <w:r w:rsidRPr="001F2586">
        <w:rPr>
          <w:rFonts w:eastAsia="Calibri" w:hint="cs"/>
          <w:rtl/>
        </w:rPr>
        <w:t>הקל בהקצאות ההון שהבנקים חויבו בהן על משכנתאות שניתנו בשיעור מימון של עד 60% משווי הנכס, ש</w:t>
      </w:r>
      <w:r w:rsidRPr="001F2586">
        <w:rPr>
          <w:rFonts w:eastAsia="Calibri"/>
          <w:rtl/>
        </w:rPr>
        <w:t>נחשבו לאשראי בעל סיכון נמוך יחסית</w:t>
      </w:r>
      <w:r w:rsidRPr="001F2586">
        <w:rPr>
          <w:rFonts w:eastAsia="Calibri" w:hint="cs"/>
          <w:rtl/>
        </w:rPr>
        <w:t xml:space="preserve"> בהשוואה למשכנתאות שניתנו בשיעור מימון גבוה מ-60% שנחשבו מסוכנות יותר</w:t>
      </w:r>
      <w:r>
        <w:rPr>
          <w:rFonts w:eastAsia="Calibri"/>
          <w:vertAlign w:val="superscript"/>
          <w:rtl/>
        </w:rPr>
        <w:footnoteReference w:id="130"/>
      </w:r>
      <w:r w:rsidRPr="001F2586">
        <w:rPr>
          <w:rFonts w:eastAsia="Calibri" w:hint="cs"/>
          <w:rtl/>
        </w:rPr>
        <w:t>. כמו כן, במקרה של הלוואה בשיעור מימון של 60% - 80% יכול היה הלווה לשלם תשלום נוסף לחברת ביטוח ובתמורה ניתנה לבנק הקלה לפיה הקצאת ההון נמוכה יותר, ואילו במשכנתאות בשיעור מימון מעל 80% הקצאת ההון עולה</w:t>
      </w:r>
      <w:r>
        <w:rPr>
          <w:rFonts w:eastAsia="Calibri"/>
          <w:vertAlign w:val="superscript"/>
          <w:rtl/>
        </w:rPr>
        <w:footnoteReference w:id="131"/>
      </w:r>
      <w:r w:rsidRPr="001F2586">
        <w:rPr>
          <w:rFonts w:eastAsia="Calibri" w:hint="cs"/>
          <w:rtl/>
        </w:rPr>
        <w:t>.</w:t>
      </w:r>
    </w:p>
    <w:p w:rsidR="00FF56A9" w:rsidP="001F2586">
      <w:pPr>
        <w:spacing w:line="269" w:lineRule="auto"/>
        <w:rPr>
          <w:rFonts w:eastAsia="Calibri"/>
          <w:rtl/>
        </w:rPr>
      </w:pPr>
    </w:p>
    <w:p w:rsidR="00FF56A9" w:rsidP="0070405E">
      <w:pPr>
        <w:pStyle w:val="a"/>
        <w:spacing w:line="269" w:lineRule="auto"/>
        <w:ind w:left="0"/>
        <w:rPr>
          <w:sz w:val="24"/>
          <w:szCs w:val="24"/>
          <w:rtl/>
        </w:rPr>
      </w:pPr>
      <w:r>
        <w:rPr>
          <w:rFonts w:hint="cs"/>
          <w:sz w:val="24"/>
          <w:szCs w:val="24"/>
          <w:rtl/>
        </w:rPr>
        <w:t xml:space="preserve">לאחר המשבר החל </w:t>
      </w:r>
      <w:r w:rsidRPr="0031726F">
        <w:rPr>
          <w:rFonts w:hint="cs"/>
          <w:sz w:val="24"/>
          <w:szCs w:val="24"/>
          <w:rtl/>
        </w:rPr>
        <w:t>הפיקוח על הבנק</w:t>
      </w:r>
      <w:r>
        <w:rPr>
          <w:rFonts w:hint="cs"/>
          <w:sz w:val="24"/>
          <w:szCs w:val="24"/>
          <w:rtl/>
        </w:rPr>
        <w:t>ים</w:t>
      </w:r>
      <w:r w:rsidRPr="0031726F">
        <w:rPr>
          <w:rFonts w:hint="cs"/>
          <w:sz w:val="24"/>
          <w:szCs w:val="24"/>
          <w:rtl/>
        </w:rPr>
        <w:t xml:space="preserve"> </w:t>
      </w:r>
      <w:r>
        <w:rPr>
          <w:rFonts w:hint="cs"/>
          <w:sz w:val="24"/>
          <w:szCs w:val="24"/>
          <w:rtl/>
        </w:rPr>
        <w:t>ל</w:t>
      </w:r>
      <w:r w:rsidRPr="0031726F">
        <w:rPr>
          <w:rFonts w:hint="cs"/>
          <w:sz w:val="24"/>
          <w:szCs w:val="24"/>
          <w:rtl/>
        </w:rPr>
        <w:t>נק</w:t>
      </w:r>
      <w:r>
        <w:rPr>
          <w:rFonts w:hint="cs"/>
          <w:sz w:val="24"/>
          <w:szCs w:val="24"/>
          <w:rtl/>
        </w:rPr>
        <w:t>ו</w:t>
      </w:r>
      <w:r w:rsidRPr="0031726F">
        <w:rPr>
          <w:rFonts w:hint="cs"/>
          <w:sz w:val="24"/>
          <w:szCs w:val="24"/>
          <w:rtl/>
        </w:rPr>
        <w:t xml:space="preserve">ט צעדים </w:t>
      </w:r>
      <w:r>
        <w:rPr>
          <w:rFonts w:hint="cs"/>
          <w:sz w:val="24"/>
          <w:szCs w:val="24"/>
          <w:rtl/>
        </w:rPr>
        <w:t>שמטרתם</w:t>
      </w:r>
      <w:r w:rsidRPr="0031726F">
        <w:rPr>
          <w:rFonts w:hint="cs"/>
          <w:sz w:val="24"/>
          <w:szCs w:val="24"/>
          <w:rtl/>
        </w:rPr>
        <w:t xml:space="preserve"> לחזק </w:t>
      </w:r>
      <w:r w:rsidRPr="0031726F">
        <w:rPr>
          <w:sz w:val="24"/>
          <w:szCs w:val="24"/>
          <w:rtl/>
        </w:rPr>
        <w:t xml:space="preserve">את כריות ההון של הבנקים לספיגת הפסדים </w:t>
      </w:r>
      <w:r w:rsidRPr="0031726F">
        <w:rPr>
          <w:rFonts w:hint="cs"/>
          <w:sz w:val="24"/>
          <w:szCs w:val="24"/>
          <w:rtl/>
        </w:rPr>
        <w:t>ב</w:t>
      </w:r>
      <w:r w:rsidRPr="0031726F">
        <w:rPr>
          <w:sz w:val="24"/>
          <w:szCs w:val="24"/>
          <w:rtl/>
        </w:rPr>
        <w:t>תיק האשראי</w:t>
      </w:r>
      <w:r w:rsidRPr="0031726F">
        <w:rPr>
          <w:rFonts w:hint="cs"/>
          <w:sz w:val="24"/>
          <w:szCs w:val="24"/>
          <w:rtl/>
        </w:rPr>
        <w:t xml:space="preserve"> </w:t>
      </w:r>
      <w:r w:rsidRPr="0031726F">
        <w:rPr>
          <w:sz w:val="24"/>
          <w:szCs w:val="24"/>
          <w:rtl/>
        </w:rPr>
        <w:t>לדיור</w:t>
      </w:r>
      <w:r>
        <w:rPr>
          <w:rFonts w:hint="cs"/>
          <w:sz w:val="24"/>
          <w:szCs w:val="24"/>
          <w:rtl/>
        </w:rPr>
        <w:t xml:space="preserve">, בין היתר </w:t>
      </w:r>
      <w:r w:rsidRPr="0031726F">
        <w:rPr>
          <w:rFonts w:hint="cs"/>
          <w:sz w:val="24"/>
          <w:szCs w:val="24"/>
          <w:rtl/>
        </w:rPr>
        <w:t xml:space="preserve">באמצעות </w:t>
      </w:r>
      <w:r>
        <w:rPr>
          <w:rFonts w:hint="cs"/>
          <w:sz w:val="24"/>
          <w:szCs w:val="24"/>
          <w:rtl/>
        </w:rPr>
        <w:t>כריות הוניות</w:t>
      </w:r>
      <w:r>
        <w:rPr>
          <w:rFonts w:hint="cs"/>
          <w:rtl/>
        </w:rPr>
        <w:t>.</w:t>
      </w:r>
      <w:r>
        <w:rPr>
          <w:rFonts w:hint="cs"/>
          <w:sz w:val="24"/>
          <w:szCs w:val="24"/>
          <w:rtl/>
        </w:rPr>
        <w:t xml:space="preserve"> דרישות ההון מחייבות כאמור את הבנקים </w:t>
      </w:r>
      <w:r w:rsidRPr="002C3B87">
        <w:rPr>
          <w:rFonts w:hint="cs"/>
          <w:sz w:val="24"/>
          <w:szCs w:val="24"/>
          <w:rtl/>
        </w:rPr>
        <w:t>להקצ</w:t>
      </w:r>
      <w:r>
        <w:rPr>
          <w:rFonts w:hint="cs"/>
          <w:sz w:val="24"/>
          <w:szCs w:val="24"/>
          <w:rtl/>
        </w:rPr>
        <w:t>ו</w:t>
      </w:r>
      <w:r w:rsidRPr="002C3B87">
        <w:rPr>
          <w:rFonts w:hint="cs"/>
          <w:sz w:val="24"/>
          <w:szCs w:val="24"/>
          <w:rtl/>
        </w:rPr>
        <w:t xml:space="preserve">ת הון כנגד כל הלוואה לדיור </w:t>
      </w:r>
      <w:r>
        <w:rPr>
          <w:rFonts w:hint="cs"/>
          <w:sz w:val="24"/>
          <w:szCs w:val="24"/>
          <w:rtl/>
        </w:rPr>
        <w:t xml:space="preserve">בהתאם למשקלי סיכון שקובע הפיקוח על הבנקים. כמו כן דרישות ההון מחייבות כאמור כל בנק לשמור כרית הון נוספת על ידי </w:t>
      </w:r>
      <w:r w:rsidRPr="00AD5CBA">
        <w:rPr>
          <w:rFonts w:hint="cs"/>
          <w:sz w:val="24"/>
          <w:szCs w:val="24"/>
          <w:rtl/>
        </w:rPr>
        <w:t>הגדלת הון עצמי רובד 1</w:t>
      </w:r>
      <w:r>
        <w:rPr>
          <w:rStyle w:val="FootnoteReference1"/>
          <w:sz w:val="24"/>
          <w:szCs w:val="24"/>
          <w:rtl/>
        </w:rPr>
        <w:footnoteReference w:id="132"/>
      </w:r>
      <w:r>
        <w:rPr>
          <w:rFonts w:hint="cs"/>
          <w:sz w:val="24"/>
          <w:szCs w:val="24"/>
          <w:rtl/>
        </w:rPr>
        <w:t xml:space="preserve"> </w:t>
      </w:r>
      <w:r w:rsidRPr="00AD5CBA">
        <w:rPr>
          <w:rFonts w:hint="cs"/>
          <w:sz w:val="24"/>
          <w:szCs w:val="24"/>
          <w:rtl/>
        </w:rPr>
        <w:t>בשיעור של 1% מיתרת תיק האשראי לדיור.</w:t>
      </w:r>
      <w:r w:rsidRPr="00AD5CBA">
        <w:rPr>
          <w:rFonts w:hint="cs"/>
          <w:b/>
          <w:bCs/>
          <w:sz w:val="24"/>
          <w:szCs w:val="24"/>
          <w:rtl/>
        </w:rPr>
        <w:t xml:space="preserve"> </w:t>
      </w:r>
      <w:r w:rsidRPr="000210AF">
        <w:rPr>
          <w:sz w:val="24"/>
          <w:szCs w:val="24"/>
          <w:rtl/>
        </w:rPr>
        <w:t xml:space="preserve">הצעדים לשיפור </w:t>
      </w:r>
      <w:r>
        <w:rPr>
          <w:rFonts w:hint="cs"/>
          <w:sz w:val="24"/>
          <w:szCs w:val="24"/>
          <w:rtl/>
        </w:rPr>
        <w:t>כריות ההון</w:t>
      </w:r>
      <w:r w:rsidRPr="000210AF">
        <w:rPr>
          <w:sz w:val="24"/>
          <w:szCs w:val="24"/>
          <w:rtl/>
        </w:rPr>
        <w:t xml:space="preserve"> הם אנטי</w:t>
      </w:r>
      <w:r w:rsidR="0070405E">
        <w:rPr>
          <w:rFonts w:hint="cs"/>
          <w:sz w:val="24"/>
          <w:szCs w:val="24"/>
          <w:rtl/>
        </w:rPr>
        <w:t>-</w:t>
      </w:r>
      <w:r w:rsidRPr="000210AF">
        <w:rPr>
          <w:sz w:val="24"/>
          <w:szCs w:val="24"/>
          <w:rtl/>
        </w:rPr>
        <w:t>מחזוריים</w:t>
      </w:r>
      <w:r>
        <w:rPr>
          <w:rFonts w:hint="cs"/>
          <w:sz w:val="24"/>
          <w:szCs w:val="24"/>
          <w:rtl/>
        </w:rPr>
        <w:t xml:space="preserve"> ה</w:t>
      </w:r>
      <w:r w:rsidRPr="002C3B87">
        <w:rPr>
          <w:rFonts w:hint="cs"/>
          <w:sz w:val="24"/>
          <w:szCs w:val="24"/>
          <w:rtl/>
        </w:rPr>
        <w:t>מעודדים את הבנקים לצבור כריות הון בזמן גאות וצמיחה בשוק הדיור, כך שבזמן משבר הבנקים יכולים לשחוק את כריות ההון ולהמשיך להעמיד אשראי</w:t>
      </w:r>
      <w:r>
        <w:rPr>
          <w:rStyle w:val="FootnoteReference1"/>
          <w:sz w:val="24"/>
          <w:szCs w:val="24"/>
          <w:rtl/>
        </w:rPr>
        <w:footnoteReference w:id="133"/>
      </w:r>
      <w:r w:rsidRPr="0031726F">
        <w:rPr>
          <w:rFonts w:hint="cs"/>
          <w:sz w:val="24"/>
          <w:szCs w:val="24"/>
          <w:rtl/>
        </w:rPr>
        <w:t>.</w:t>
      </w:r>
      <w:r>
        <w:rPr>
          <w:rFonts w:hint="cs"/>
          <w:sz w:val="24"/>
          <w:szCs w:val="24"/>
          <w:rtl/>
        </w:rPr>
        <w:t xml:space="preserve"> </w:t>
      </w:r>
    </w:p>
    <w:p w:rsidR="00FF56A9" w:rsidRPr="001F2586" w:rsidP="001F2586">
      <w:pPr>
        <w:spacing w:line="269" w:lineRule="auto"/>
        <w:rPr>
          <w:rFonts w:eastAsia="Calibri"/>
          <w:rtl/>
        </w:rPr>
      </w:pPr>
    </w:p>
    <w:bookmarkEnd w:id="36"/>
    <w:p w:rsidR="001F2586" w:rsidRPr="001F2586" w:rsidP="001F2586">
      <w:pPr>
        <w:spacing w:line="269" w:lineRule="auto"/>
        <w:rPr>
          <w:rFonts w:eastAsia="Calibri"/>
          <w:rtl/>
        </w:rPr>
      </w:pPr>
      <w:r w:rsidRPr="001F2586">
        <w:rPr>
          <w:rFonts w:eastAsia="Calibri" w:hint="cs"/>
          <w:rtl/>
        </w:rPr>
        <w:t>בנב"ת</w:t>
      </w:r>
      <w:r w:rsidRPr="001F2586">
        <w:rPr>
          <w:rFonts w:eastAsia="Calibri" w:hint="cs"/>
          <w:rtl/>
        </w:rPr>
        <w:t xml:space="preserve"> </w:t>
      </w:r>
      <w:r w:rsidRPr="001F2586">
        <w:rPr>
          <w:rFonts w:eastAsia="Calibri"/>
          <w:rtl/>
        </w:rPr>
        <w:t xml:space="preserve">203 קבע הפיקוח על הבנקים </w:t>
      </w:r>
      <w:r w:rsidRPr="001F2586">
        <w:rPr>
          <w:rFonts w:eastAsia="Calibri" w:hint="cs"/>
          <w:rtl/>
        </w:rPr>
        <w:t xml:space="preserve">כאמור </w:t>
      </w:r>
      <w:r w:rsidRPr="001F2586">
        <w:rPr>
          <w:rFonts w:eastAsia="Calibri"/>
          <w:rtl/>
        </w:rPr>
        <w:t xml:space="preserve">את משקלי הסיכון </w:t>
      </w:r>
      <w:r w:rsidRPr="001F2586">
        <w:rPr>
          <w:rFonts w:eastAsia="Calibri" w:hint="cs"/>
          <w:rtl/>
        </w:rPr>
        <w:t xml:space="preserve">המופחתים על הלוואות </w:t>
      </w:r>
      <w:r w:rsidRPr="001F2586">
        <w:rPr>
          <w:rFonts w:eastAsia="Calibri"/>
          <w:rtl/>
        </w:rPr>
        <w:t>בביטחון נכס למגורים, לפיה</w:t>
      </w:r>
      <w:r w:rsidRPr="001F2586">
        <w:rPr>
          <w:rFonts w:eastAsia="Calibri" w:hint="cs"/>
          <w:rtl/>
        </w:rPr>
        <w:t>ם</w:t>
      </w:r>
      <w:r w:rsidRPr="001F2586">
        <w:rPr>
          <w:rFonts w:eastAsia="Calibri"/>
          <w:rtl/>
        </w:rPr>
        <w:t xml:space="preserve"> נדרשים תאגידים בנקאיים לשקלל את הסיכון בהתאם לשיעור המימון בכל הלוואה. </w:t>
      </w:r>
    </w:p>
    <w:bookmarkEnd w:id="35"/>
    <w:p w:rsidR="001F2586" w:rsidRPr="001F2586" w:rsidP="001F2586">
      <w:pPr>
        <w:spacing w:line="269" w:lineRule="auto"/>
        <w:ind w:left="-1"/>
        <w:rPr>
          <w:rFonts w:eastAsia="Calibri"/>
          <w:sz w:val="24"/>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משקלי סיכון בהלוואות לדיור בסיכון גבוה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באוקטובר 2010</w:t>
      </w:r>
      <w:r w:rsidRPr="001F2586">
        <w:rPr>
          <w:rFonts w:eastAsia="Calibri"/>
          <w:rtl/>
        </w:rPr>
        <w:t xml:space="preserve"> </w:t>
      </w:r>
      <w:r w:rsidRPr="001F2586">
        <w:rPr>
          <w:rFonts w:eastAsia="Calibri" w:hint="cs"/>
          <w:rtl/>
        </w:rPr>
        <w:t xml:space="preserve">על רקע גידול במשכנתאות גבוהות ובלקיחת הלוואות בריבית משתנה </w:t>
      </w:r>
      <w:bookmarkStart w:id="37" w:name="_Hlk225166443"/>
      <w:r w:rsidRPr="001F2586">
        <w:rPr>
          <w:rFonts w:eastAsia="Calibri"/>
          <w:rtl/>
        </w:rPr>
        <w:t xml:space="preserve">קבע המפקח על הבנקים כי יוקצה משקל סיכון של 100% על משכנתאות בסכום </w:t>
      </w:r>
      <w:r w:rsidRPr="001F2586">
        <w:rPr>
          <w:rFonts w:eastAsia="Calibri" w:hint="cs"/>
          <w:rtl/>
        </w:rPr>
        <w:t>ש</w:t>
      </w:r>
      <w:r w:rsidRPr="001F2586">
        <w:rPr>
          <w:rFonts w:eastAsia="Calibri"/>
          <w:rtl/>
        </w:rPr>
        <w:t xml:space="preserve">מעל 800 אלף </w:t>
      </w:r>
      <w:r w:rsidRPr="001F2586">
        <w:rPr>
          <w:rFonts w:eastAsia="Calibri" w:hint="cs"/>
          <w:rtl/>
        </w:rPr>
        <w:t>ש"ח</w:t>
      </w:r>
      <w:r w:rsidRPr="001F2586">
        <w:rPr>
          <w:rFonts w:eastAsia="Calibri"/>
          <w:rtl/>
        </w:rPr>
        <w:t xml:space="preserve"> </w:t>
      </w:r>
      <w:r w:rsidRPr="001F2586">
        <w:rPr>
          <w:rFonts w:eastAsia="Calibri"/>
          <w:rtl/>
        </w:rPr>
        <w:t>בשיעור מימון גבוה (מעל 60%)</w:t>
      </w:r>
      <w:r w:rsidRPr="001F2586">
        <w:rPr>
          <w:rFonts w:eastAsia="Calibri" w:hint="cs"/>
          <w:rtl/>
        </w:rPr>
        <w:t>,</w:t>
      </w:r>
      <w:r w:rsidRPr="001F2586">
        <w:rPr>
          <w:rFonts w:eastAsia="Calibri"/>
          <w:rtl/>
        </w:rPr>
        <w:t xml:space="preserve"> ושחלק ההלוואה שלהן בריבית משתנה הוא 25% או יותר</w:t>
      </w:r>
      <w:bookmarkEnd w:id="37"/>
      <w:r>
        <w:rPr>
          <w:rFonts w:eastAsia="Calibri"/>
          <w:vertAlign w:val="superscript"/>
          <w:rtl/>
        </w:rPr>
        <w:footnoteReference w:id="134"/>
      </w:r>
      <w:r w:rsidRPr="001F2586">
        <w:rPr>
          <w:rFonts w:eastAsia="Calibri"/>
          <w:rtl/>
        </w:rPr>
        <w:t>.</w:t>
      </w:r>
      <w:r w:rsidRPr="001F2586">
        <w:rPr>
          <w:rFonts w:eastAsia="Calibri" w:hint="cs"/>
          <w:rtl/>
        </w:rPr>
        <w:t xml:space="preserve"> </w:t>
      </w:r>
      <w:r w:rsidRPr="001F2586">
        <w:rPr>
          <w:rFonts w:eastAsia="Calibri"/>
          <w:rtl/>
        </w:rPr>
        <w:t xml:space="preserve">צעד זה נקבע במטרה לייקר את המשכנתאות על הלוואות ממונפות ובכך להביא לצמצום שלהן. בספטמבר 2014 </w:t>
      </w:r>
      <w:r w:rsidRPr="001F2586">
        <w:rPr>
          <w:rFonts w:eastAsia="Calibri" w:hint="cs"/>
          <w:rtl/>
        </w:rPr>
        <w:t>הקל</w:t>
      </w:r>
      <w:r w:rsidRPr="001F2586">
        <w:rPr>
          <w:rFonts w:eastAsia="Calibri"/>
          <w:rtl/>
        </w:rPr>
        <w:t xml:space="preserve"> הפיקוח על הבנקים </w:t>
      </w:r>
      <w:r w:rsidRPr="001F2586">
        <w:rPr>
          <w:rFonts w:eastAsia="Calibri" w:hint="cs"/>
          <w:rtl/>
        </w:rPr>
        <w:t>על</w:t>
      </w:r>
      <w:r w:rsidRPr="001F2586">
        <w:rPr>
          <w:rFonts w:eastAsia="Calibri"/>
          <w:rtl/>
        </w:rPr>
        <w:t xml:space="preserve"> תאגידים בנקאיים </w:t>
      </w:r>
      <w:r w:rsidRPr="001F2586">
        <w:rPr>
          <w:rFonts w:eastAsia="Calibri" w:hint="cs"/>
          <w:rtl/>
        </w:rPr>
        <w:t xml:space="preserve">ואפשר להם </w:t>
      </w:r>
      <w:r w:rsidRPr="001F2586">
        <w:rPr>
          <w:rFonts w:eastAsia="Calibri"/>
          <w:rtl/>
        </w:rPr>
        <w:t xml:space="preserve">להפחית את משקל הסיכון על הלוואות אלו מ-100% ל-75%. </w:t>
      </w:r>
      <w:r w:rsidRPr="001F2586">
        <w:rPr>
          <w:rFonts w:eastAsia="Calibri" w:hint="cs"/>
          <w:rtl/>
        </w:rPr>
        <w:t>יצוין כי בהמשך נקבעו משקלי סיכון מופחתים כאמור.</w:t>
      </w:r>
    </w:p>
    <w:p w:rsidR="001F2586" w:rsidRPr="001F2586" w:rsidP="001F2586">
      <w:pPr>
        <w:spacing w:line="269" w:lineRule="auto"/>
        <w:ind w:left="-567"/>
        <w:rPr>
          <w:rFonts w:eastAsia="Calibri"/>
          <w:szCs w:val="20"/>
          <w:rtl/>
        </w:rPr>
      </w:pPr>
    </w:p>
    <w:p w:rsidR="001F2586" w:rsidRPr="001F2586" w:rsidP="001F2586">
      <w:pPr>
        <w:autoSpaceDE w:val="0"/>
        <w:autoSpaceDN w:val="0"/>
        <w:adjustRightInd w:val="0"/>
        <w:spacing w:line="269" w:lineRule="auto"/>
        <w:rPr>
          <w:rFonts w:ascii="David" w:eastAsia="Calibri" w:hAnsi="David"/>
          <w:sz w:val="24"/>
        </w:rPr>
      </w:pPr>
      <w:r w:rsidRPr="001F2586">
        <w:rPr>
          <w:rFonts w:ascii="David" w:eastAsia="Calibri" w:hAnsi="David"/>
          <w:sz w:val="24"/>
          <w:rtl/>
        </w:rPr>
        <w:t xml:space="preserve">להלן תרשים המציג את משקל ביצועי ההלוואות למטרת מגורים בשיעור החזר מהכנסה הגבוה מ-30% עבור התקופה מאוקטובר 2011 </w:t>
      </w:r>
      <w:r w:rsidRPr="001F2586">
        <w:rPr>
          <w:rFonts w:ascii="David" w:eastAsia="Calibri" w:hAnsi="David" w:hint="cs"/>
          <w:sz w:val="24"/>
          <w:rtl/>
        </w:rPr>
        <w:t>-</w:t>
      </w:r>
      <w:r w:rsidRPr="001F2586">
        <w:rPr>
          <w:rFonts w:ascii="David" w:eastAsia="Calibri" w:hAnsi="David"/>
          <w:sz w:val="24"/>
          <w:rtl/>
        </w:rPr>
        <w:t xml:space="preserve"> יולי 2025:</w:t>
      </w:r>
    </w:p>
    <w:p w:rsidR="001F2586" w:rsidRPr="001F2586" w:rsidP="001F2586">
      <w:pPr>
        <w:spacing w:line="269" w:lineRule="auto"/>
        <w:ind w:left="-567"/>
        <w:rPr>
          <w:rFonts w:eastAsia="Calibri"/>
          <w:szCs w:val="20"/>
          <w:rtl/>
        </w:rPr>
      </w:pPr>
    </w:p>
    <w:p w:rsidR="001F2586" w:rsidRPr="001F2586" w:rsidP="00205AE7">
      <w:pPr>
        <w:keepNext/>
        <w:keepLines/>
        <w:spacing w:line="269" w:lineRule="auto"/>
        <w:ind w:left="-2"/>
        <w:jc w:val="center"/>
        <w:outlineLvl w:val="4"/>
        <w:rPr>
          <w:rFonts w:eastAsia="Calibri"/>
          <w:sz w:val="24"/>
          <w:rtl/>
        </w:rPr>
      </w:pPr>
      <w:r w:rsidRPr="001F2586">
        <w:rPr>
          <w:rFonts w:eastAsia="Calibri" w:hint="cs"/>
          <w:b/>
          <w:sz w:val="24"/>
          <w:rtl/>
        </w:rPr>
        <w:t>תרשים 15</w:t>
      </w:r>
      <w:r w:rsidRPr="001F2586">
        <w:rPr>
          <w:rFonts w:eastAsia="Calibri"/>
          <w:b/>
          <w:sz w:val="24"/>
          <w:rtl/>
        </w:rPr>
        <w:t>:</w:t>
      </w:r>
      <w:r w:rsidRPr="001F2586">
        <w:rPr>
          <w:rFonts w:eastAsia="Calibri"/>
          <w:bCs/>
          <w:sz w:val="24"/>
          <w:rtl/>
        </w:rPr>
        <w:t xml:space="preserve"> משקל ביצועי הלוואות למטרת מגורים בשיעור</w:t>
      </w:r>
      <w:r w:rsidRPr="001F2586">
        <w:rPr>
          <w:rFonts w:eastAsia="Calibri" w:hint="eastAsia"/>
          <w:bCs/>
          <w:sz w:val="24"/>
          <w:rtl/>
        </w:rPr>
        <w:t>י</w:t>
      </w:r>
      <w:r w:rsidRPr="001F2586">
        <w:rPr>
          <w:rFonts w:eastAsia="Calibri"/>
          <w:bCs/>
          <w:sz w:val="24"/>
          <w:rtl/>
        </w:rPr>
        <w:t xml:space="preserve"> החזר מהכנסה </w:t>
      </w:r>
      <w:r w:rsidRPr="001F2586">
        <w:rPr>
          <w:rFonts w:eastAsia="Calibri" w:hint="eastAsia"/>
          <w:bCs/>
          <w:sz w:val="24"/>
          <w:rtl/>
        </w:rPr>
        <w:t>בטווח</w:t>
      </w:r>
      <w:r w:rsidRPr="001F2586">
        <w:rPr>
          <w:rFonts w:eastAsia="Calibri"/>
          <w:bCs/>
          <w:sz w:val="24"/>
          <w:rtl/>
        </w:rPr>
        <w:t xml:space="preserve"> </w:t>
      </w:r>
      <w:r w:rsidRPr="001F2586">
        <w:rPr>
          <w:rFonts w:eastAsia="Calibri" w:hint="eastAsia"/>
          <w:bCs/>
          <w:sz w:val="24"/>
          <w:rtl/>
        </w:rPr>
        <w:t>של</w:t>
      </w:r>
      <w:r w:rsidRPr="001F2586">
        <w:rPr>
          <w:rFonts w:eastAsia="Calibri"/>
          <w:bCs/>
          <w:sz w:val="24"/>
          <w:rtl/>
        </w:rPr>
        <w:t xml:space="preserve"> 30% - 50</w:t>
      </w:r>
      <w:r w:rsidRPr="001F2586">
        <w:rPr>
          <w:rFonts w:eastAsia="Calibri" w:hint="cs"/>
          <w:bCs/>
          <w:sz w:val="24"/>
          <w:rtl/>
        </w:rPr>
        <w:t>%,</w:t>
      </w:r>
      <w:r w:rsidRPr="001F2586">
        <w:rPr>
          <w:rFonts w:eastAsia="Calibri"/>
          <w:bCs/>
          <w:sz w:val="24"/>
          <w:rtl/>
        </w:rPr>
        <w:t xml:space="preserve"> 2011 </w:t>
      </w:r>
      <w:r w:rsidRPr="001F2586">
        <w:rPr>
          <w:rFonts w:eastAsia="Calibri" w:hint="cs"/>
          <w:bCs/>
          <w:sz w:val="24"/>
          <w:rtl/>
        </w:rPr>
        <w:t>-</w:t>
      </w:r>
      <w:r w:rsidRPr="001F2586">
        <w:rPr>
          <w:rFonts w:eastAsia="Calibri"/>
          <w:bCs/>
          <w:sz w:val="24"/>
          <w:rtl/>
        </w:rPr>
        <w:t xml:space="preserve"> 2025</w:t>
      </w:r>
    </w:p>
    <w:p w:rsidR="001F2586" w:rsidRPr="001F2586" w:rsidP="001F2586">
      <w:pPr>
        <w:autoSpaceDE w:val="0"/>
        <w:autoSpaceDN w:val="0"/>
        <w:adjustRightInd w:val="0"/>
        <w:spacing w:line="269" w:lineRule="auto"/>
        <w:jc w:val="center"/>
        <w:rPr>
          <w:rFonts w:ascii="David" w:eastAsia="Calibri" w:hAnsi="David"/>
          <w:sz w:val="24"/>
          <w:rtl/>
        </w:rPr>
      </w:pPr>
      <w:r w:rsidRPr="001F2586">
        <w:rPr>
          <w:rFonts w:ascii="David" w:eastAsia="Calibri" w:hAnsi="David"/>
          <w:noProof/>
          <w:sz w:val="24"/>
        </w:rPr>
        <w:drawing>
          <wp:inline distT="0" distB="0" distL="0" distR="0">
            <wp:extent cx="5194336" cy="3743864"/>
            <wp:effectExtent l="0" t="0" r="6350" b="9525"/>
            <wp:docPr id="63" name="תמונה 63" descr="בשנים 2011 – 2025 משקל ביצועי ההלוואות בשיעור החזר מהכנסה השתנה כך: בטווח של 30% -40% הוא עלה מכ-24% לכ-56%; בטווח של 40% - 50% הוא ירד מכ- 13% לכ-0.3%; ומעל 50% הוא ירד מכ-12% לשיעורים אפס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1"/>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0155" cy="3755266"/>
                    </a:xfrm>
                    <a:prstGeom prst="rect">
                      <a:avLst/>
                    </a:prstGeom>
                    <a:noFill/>
                  </pic:spPr>
                </pic:pic>
              </a:graphicData>
            </a:graphic>
          </wp:inline>
        </w:drawing>
      </w:r>
    </w:p>
    <w:p w:rsidR="001F2586" w:rsidRPr="001F2586" w:rsidP="001F2586">
      <w:pPr>
        <w:autoSpaceDE w:val="0"/>
        <w:autoSpaceDN w:val="0"/>
        <w:adjustRightInd w:val="0"/>
        <w:spacing w:line="269" w:lineRule="auto"/>
        <w:rPr>
          <w:rFonts w:ascii="David" w:eastAsia="Calibri" w:hAnsi="David"/>
          <w:szCs w:val="20"/>
          <w:rtl/>
        </w:rPr>
      </w:pPr>
      <w:r w:rsidRPr="001F2586">
        <w:rPr>
          <w:rFonts w:ascii="David" w:eastAsia="Calibri" w:hAnsi="David" w:hint="cs"/>
          <w:szCs w:val="20"/>
          <w:rtl/>
        </w:rPr>
        <w:t>על פי נתוני בנק ישראל, ב</w:t>
      </w:r>
      <w:r w:rsidRPr="001F2586">
        <w:rPr>
          <w:rFonts w:ascii="David" w:eastAsia="Calibri" w:hAnsi="David"/>
          <w:szCs w:val="20"/>
          <w:rtl/>
        </w:rPr>
        <w:t>עיבוד משרד מבקר המדינה</w:t>
      </w:r>
      <w:r w:rsidRPr="001F2586">
        <w:rPr>
          <w:rFonts w:ascii="David" w:eastAsia="Calibri" w:hAnsi="David" w:hint="cs"/>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מהתרשים עולה כי </w:t>
      </w:r>
      <w:r w:rsidRPr="001F2586">
        <w:rPr>
          <w:rFonts w:eastAsia="Calibri" w:hint="cs"/>
          <w:rtl/>
        </w:rPr>
        <w:t>ב</w:t>
      </w:r>
      <w:r w:rsidRPr="001F2586">
        <w:rPr>
          <w:rFonts w:eastAsia="Calibri"/>
          <w:rtl/>
        </w:rPr>
        <w:t xml:space="preserve">שנים 2011 </w:t>
      </w:r>
      <w:r w:rsidRPr="001F2586">
        <w:rPr>
          <w:rFonts w:eastAsia="Calibri" w:hint="cs"/>
          <w:rtl/>
        </w:rPr>
        <w:t>-</w:t>
      </w:r>
      <w:r w:rsidRPr="001F2586">
        <w:rPr>
          <w:rFonts w:eastAsia="Calibri"/>
          <w:rtl/>
        </w:rPr>
        <w:t xml:space="preserve"> 2025 משקל ביצועי ההלוואות בשיעור החזר מהכנסה השתנה כך: בטווח של 30% -40% הוא עלה מכ-24% לכ-56%; בטווח של 40% - 50% הוא ירד מכ-13% לכ-0.3%; ומעל 50% הוא ירד מכ-12% לשיעורים אפסיים. הירידה במשקל של הלוואות בשיעור החזר מהכנסה </w:t>
      </w:r>
      <w:r w:rsidRPr="001F2586">
        <w:rPr>
          <w:rFonts w:eastAsia="Calibri" w:hint="cs"/>
          <w:rtl/>
        </w:rPr>
        <w:t>ה</w:t>
      </w:r>
      <w:r w:rsidRPr="001F2586">
        <w:rPr>
          <w:rFonts w:eastAsia="Calibri"/>
          <w:rtl/>
        </w:rPr>
        <w:t>גבוה מ-40% הוא מדד חיובי בשמירה על יציבות הבנקים וההגנה על הלווים. השימוש של המפקח על הבנקים בכלי של משקל סיכון מוגבר הביא לירידה חדה בהלוואות המאופיינות בשיעור החזר מהכנסה גבוה מ-40%. עם זאת העלי</w:t>
      </w:r>
      <w:r w:rsidRPr="001F2586">
        <w:rPr>
          <w:rFonts w:eastAsia="Calibri" w:hint="cs"/>
          <w:rtl/>
        </w:rPr>
        <w:t>י</w:t>
      </w:r>
      <w:r w:rsidRPr="001F2586">
        <w:rPr>
          <w:rFonts w:eastAsia="Calibri"/>
          <w:rtl/>
        </w:rPr>
        <w:t xml:space="preserve">ה החדה במשקל ביצועי ההלוואות </w:t>
      </w:r>
      <w:r w:rsidRPr="001F2586">
        <w:rPr>
          <w:rFonts w:eastAsia="Calibri" w:hint="cs"/>
          <w:rtl/>
        </w:rPr>
        <w:t xml:space="preserve">הניתנות </w:t>
      </w:r>
      <w:r w:rsidRPr="001F2586">
        <w:rPr>
          <w:rFonts w:eastAsia="Calibri"/>
          <w:rtl/>
        </w:rPr>
        <w:t xml:space="preserve">בשיעור החזר </w:t>
      </w:r>
      <w:r w:rsidRPr="001F2586">
        <w:rPr>
          <w:rFonts w:eastAsia="Calibri" w:hint="cs"/>
          <w:rtl/>
        </w:rPr>
        <w:t xml:space="preserve">של </w:t>
      </w:r>
      <w:r w:rsidRPr="001F2586">
        <w:rPr>
          <w:rFonts w:eastAsia="Calibri"/>
          <w:rtl/>
        </w:rPr>
        <w:t xml:space="preserve">מעל 30% מעידה כי חלה עלייה ברמת הסיכון של משכנתאות ומן הראוי </w:t>
      </w:r>
      <w:r w:rsidRPr="001F2586">
        <w:rPr>
          <w:rFonts w:eastAsia="Calibri" w:hint="cs"/>
          <w:rtl/>
        </w:rPr>
        <w:t>כי הפיקוח על הבנקים יבחן את הצורך לבטא סיכון זה בתיקי האשראי לדיור של הבנקים.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בדוח היציבות הפיננסית למחצית השנייה של שנת 2024 ציין בנק ישראל כי </w:t>
      </w:r>
      <w:r w:rsidRPr="001F2586">
        <w:rPr>
          <w:rFonts w:eastAsia="Calibri"/>
          <w:rtl/>
        </w:rPr>
        <w:t xml:space="preserve">משכנתאות </w:t>
      </w:r>
      <w:r w:rsidRPr="001F2586">
        <w:rPr>
          <w:rFonts w:eastAsia="Calibri" w:hint="cs"/>
          <w:rtl/>
        </w:rPr>
        <w:t>ששיעור המימון</w:t>
      </w:r>
      <w:r w:rsidRPr="001F2586">
        <w:rPr>
          <w:rFonts w:eastAsia="Calibri"/>
          <w:rtl/>
        </w:rPr>
        <w:t xml:space="preserve"> שלהן </w:t>
      </w:r>
      <w:r w:rsidRPr="001F2586">
        <w:rPr>
          <w:rFonts w:eastAsia="Calibri" w:hint="cs"/>
          <w:rtl/>
        </w:rPr>
        <w:t>הוא בטווח של</w:t>
      </w:r>
      <w:r w:rsidRPr="001F2586">
        <w:rPr>
          <w:rFonts w:eastAsia="Calibri"/>
          <w:rtl/>
        </w:rPr>
        <w:t xml:space="preserve"> 60% </w:t>
      </w:r>
      <w:r w:rsidRPr="001F2586">
        <w:rPr>
          <w:rFonts w:eastAsia="Calibri" w:hint="cs"/>
          <w:rtl/>
        </w:rPr>
        <w:t>-</w:t>
      </w:r>
      <w:r w:rsidRPr="001F2586">
        <w:rPr>
          <w:rFonts w:eastAsia="Calibri"/>
          <w:rtl/>
        </w:rPr>
        <w:t xml:space="preserve"> 75%</w:t>
      </w:r>
      <w:r w:rsidRPr="001F2586">
        <w:rPr>
          <w:rFonts w:eastAsia="Calibri" w:hint="cs"/>
          <w:rtl/>
        </w:rPr>
        <w:t xml:space="preserve"> משווי הנכס, ושיעור ההחזר מההכנסה הוא בטווח 30% - 40% מוגדרות כהלוואות בסיכון גבוה. כאמור, לווים ששיעור ההחזר מההכנסה שלהם גבוה </w:t>
      </w:r>
      <w:r w:rsidRPr="001F2586">
        <w:rPr>
          <w:rFonts w:eastAsia="Calibri"/>
          <w:rtl/>
        </w:rPr>
        <w:br/>
      </w:r>
      <w:r w:rsidRPr="001F2586">
        <w:rPr>
          <w:rFonts w:eastAsia="Calibri" w:hint="cs"/>
          <w:rtl/>
        </w:rPr>
        <w:t xml:space="preserve">מ-30% חשופים במיוחד לשינויים בהכנסתם הפנויה, בשל עלייה בהחזר החודשי או בשל גידול </w:t>
      </w:r>
      <w:r w:rsidRPr="001F2586">
        <w:rPr>
          <w:rFonts w:eastAsia="Calibri" w:hint="cs"/>
          <w:rtl/>
        </w:rPr>
        <w:t>בהוצאות אחרות או ירידה בהכנסות</w:t>
      </w:r>
      <w:r>
        <w:rPr>
          <w:rFonts w:eastAsia="Calibri"/>
          <w:vertAlign w:val="superscript"/>
          <w:rtl/>
        </w:rPr>
        <w:footnoteReference w:id="135"/>
      </w:r>
      <w:r w:rsidRPr="001F2586">
        <w:rPr>
          <w:rFonts w:eastAsia="Calibri" w:hint="cs"/>
          <w:rtl/>
        </w:rPr>
        <w:t xml:space="preserve">. עוד ציין בנק ישראל בדוח כי </w:t>
      </w:r>
      <w:r w:rsidRPr="001F2586">
        <w:rPr>
          <w:rFonts w:eastAsia="Calibri"/>
          <w:rtl/>
        </w:rPr>
        <w:t xml:space="preserve">על רקע הסביבה המקרו-כלכלית ובפרט סביבת הריביות ורמת מחירי הדירות, שיעורן של המשכנתאות החדשות בסיכון </w:t>
      </w:r>
      <w:r w:rsidRPr="001F2586">
        <w:rPr>
          <w:rFonts w:eastAsia="Calibri" w:hint="cs"/>
          <w:rtl/>
        </w:rPr>
        <w:t xml:space="preserve">מוגבר הוא </w:t>
      </w:r>
      <w:r w:rsidRPr="001F2586">
        <w:rPr>
          <w:rFonts w:eastAsia="Calibri"/>
          <w:rtl/>
        </w:rPr>
        <w:t xml:space="preserve">גבוה ביחס לעבר. </w:t>
      </w:r>
      <w:r w:rsidRPr="001F2586">
        <w:rPr>
          <w:rFonts w:eastAsia="Calibri" w:hint="cs"/>
          <w:rtl/>
        </w:rPr>
        <w:t>להלן תרשים המציג את משקל ההלוואות בשיעורי מימון ובשיעור החזר מהכנסה גבוהים שבוצעו בשנים 2022 - 2025:</w:t>
      </w:r>
    </w:p>
    <w:p w:rsidR="001F2586" w:rsidRPr="001F2586" w:rsidP="001F2586">
      <w:pPr>
        <w:spacing w:line="269" w:lineRule="auto"/>
        <w:ind w:left="-567"/>
        <w:rPr>
          <w:rFonts w:eastAsia="Calibri"/>
          <w:b/>
          <w:szCs w:val="20"/>
          <w:rtl/>
        </w:rPr>
      </w:pPr>
    </w:p>
    <w:p w:rsidR="001F2586" w:rsidRPr="001F2586" w:rsidP="00507697">
      <w:pPr>
        <w:keepNext/>
        <w:keepLines/>
        <w:spacing w:line="269" w:lineRule="auto"/>
        <w:ind w:left="-2"/>
        <w:jc w:val="center"/>
        <w:outlineLvl w:val="4"/>
        <w:rPr>
          <w:rFonts w:eastAsia="Calibri"/>
          <w:sz w:val="24"/>
          <w:rtl/>
        </w:rPr>
      </w:pPr>
      <w:r w:rsidRPr="001F2586">
        <w:rPr>
          <w:rFonts w:eastAsia="Calibri" w:hint="cs"/>
          <w:b/>
          <w:sz w:val="24"/>
          <w:rtl/>
        </w:rPr>
        <w:t>תרשים 16:</w:t>
      </w:r>
      <w:r w:rsidRPr="001F2586">
        <w:rPr>
          <w:rFonts w:eastAsia="Calibri"/>
          <w:bCs/>
          <w:sz w:val="24"/>
          <w:rtl/>
        </w:rPr>
        <w:t xml:space="preserve"> משקל ההלוואות בשיעורי מימון ושיעור החזר מהכנסה גבוהים</w:t>
      </w:r>
      <w:r w:rsidRPr="001F2586">
        <w:rPr>
          <w:rFonts w:eastAsia="Calibri" w:hint="cs"/>
          <w:bCs/>
          <w:sz w:val="24"/>
          <w:rtl/>
        </w:rPr>
        <w:t>,</w:t>
      </w:r>
      <w:r w:rsidRPr="001F2586">
        <w:rPr>
          <w:rFonts w:eastAsia="Calibri"/>
          <w:bCs/>
          <w:sz w:val="24"/>
          <w:rtl/>
        </w:rPr>
        <w:t xml:space="preserve"> 2022 - 2025</w:t>
      </w:r>
    </w:p>
    <w:p w:rsidR="001F2586" w:rsidRPr="001F2586" w:rsidP="001F2586">
      <w:pPr>
        <w:spacing w:line="269" w:lineRule="auto"/>
        <w:jc w:val="center"/>
        <w:rPr>
          <w:rFonts w:eastAsia="Calibri"/>
          <w:b/>
          <w:bCs/>
          <w:rtl/>
        </w:rPr>
      </w:pPr>
      <w:r w:rsidRPr="001F2586">
        <w:rPr>
          <w:rFonts w:eastAsia="Calibri"/>
          <w:noProof/>
        </w:rPr>
        <w:drawing>
          <wp:inline distT="0" distB="0" distL="0" distR="0">
            <wp:extent cx="5296535" cy="3018155"/>
            <wp:effectExtent l="0" t="0" r="0" b="0"/>
            <wp:docPr id="64" name="תמונה 64" descr="משקל ההלוואות בסיכון גבוה עלה מכ-20% בינואר 2022 לכ-31% ביולי 2025. &#10;משקל ההלוואות בשיעור החזר בטווח 30% -40% עלה מכ-39% בינואר 2022 לכ-56% ביולי 2025.&#10; משקל ההלוואות בשיעור מימון בטוווח 60% - 75% עלה מכ-45% לכ-46.2% בשנים 2022 -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xmlns:r="http://schemas.openxmlformats.org/officeDocument/2006/relationships" r:embed="rId27"/>
                    <a:stretch>
                      <a:fillRect/>
                    </a:stretch>
                  </pic:blipFill>
                  <pic:spPr>
                    <a:xfrm>
                      <a:off x="0" y="0"/>
                      <a:ext cx="5296535" cy="3018155"/>
                    </a:xfrm>
                    <a:prstGeom prst="rect">
                      <a:avLst/>
                    </a:prstGeom>
                  </pic:spPr>
                </pic:pic>
              </a:graphicData>
            </a:graphic>
          </wp:inline>
        </w:drawing>
      </w:r>
    </w:p>
    <w:p w:rsidR="001F2586" w:rsidRPr="001F2586" w:rsidP="001F2586">
      <w:pPr>
        <w:spacing w:line="269" w:lineRule="auto"/>
        <w:jc w:val="left"/>
        <w:rPr>
          <w:rFonts w:eastAsia="Calibri"/>
          <w:sz w:val="16"/>
          <w:szCs w:val="20"/>
          <w:rtl/>
        </w:rPr>
      </w:pPr>
      <w:r w:rsidRPr="001F2586">
        <w:rPr>
          <w:rFonts w:eastAsia="Calibri" w:hint="cs"/>
          <w:sz w:val="16"/>
          <w:szCs w:val="20"/>
          <w:rtl/>
        </w:rPr>
        <w:t xml:space="preserve">על פי </w:t>
      </w:r>
      <w:r w:rsidRPr="001F2586">
        <w:rPr>
          <w:rFonts w:eastAsia="Calibri" w:hint="cs"/>
          <w:szCs w:val="20"/>
          <w:rtl/>
        </w:rPr>
        <w:t>נתוני בנק ישראל,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מהתרשים עולה כי משקל ההלוואות בסיכון גבוה עלה מכ-20% בינואר 2022 לכ-31% ביולי 2025. עוד עולה כי משקל ההלוואות בשיעור החזר בטווח 30% -40% עלה מכ-39% בינואר 2022 לכ-56% ביולי 2025, וכי משקל ההלוואות בשיעור מימון בטווח 60% - 75% עלה מכ-45% לכ-46.2% בתקופה זו. הסבר אפשרי לעלייה בכמות ההלוואות בהן שיעור ההחזר מהכנסה גבוה מ-30% הוא עליית ההחזר החודשי בשנים האחרונות שהתרחשה על רקע הגידול בסכומי המשכנתאות בסביבת ריבית ואינפלציה גבוהות </w:t>
      </w:r>
      <w:r w:rsidRPr="001F2586">
        <w:rPr>
          <w:rFonts w:eastAsia="Calibri" w:hint="cs"/>
          <w:rtl/>
        </w:rPr>
        <w:t>מבעבר</w:t>
      </w:r>
      <w:r w:rsidRPr="001F2586">
        <w:rPr>
          <w:rFonts w:eastAsia="Calibri" w:hint="cs"/>
          <w:rtl/>
        </w:rPr>
        <w:t>. בנק ישראל ציין בדוח היציבות הפיננסית למחצית השנייה של שנת 2024 כי</w:t>
      </w:r>
      <w:r w:rsidRPr="001F2586">
        <w:rPr>
          <w:rFonts w:eastAsia="Calibri"/>
          <w:rtl/>
        </w:rPr>
        <w:t xml:space="preserve"> שיעור המשכנתאות החדשות</w:t>
      </w:r>
      <w:r w:rsidRPr="001F2586">
        <w:rPr>
          <w:rFonts w:eastAsia="Calibri" w:hint="cs"/>
          <w:rtl/>
        </w:rPr>
        <w:t xml:space="preserve"> </w:t>
      </w:r>
      <w:r w:rsidRPr="001F2586">
        <w:rPr>
          <w:rFonts w:eastAsia="Calibri"/>
          <w:rtl/>
        </w:rPr>
        <w:t>המוגדרות בסיכון גבוה נמצא ברמת שיא היסטורי</w:t>
      </w:r>
      <w:r w:rsidRPr="001F2586">
        <w:rPr>
          <w:rFonts w:eastAsia="Calibri" w:hint="cs"/>
          <w:rtl/>
        </w:rPr>
        <w:t>ת, שנכון לספטמבר 2024 הייתה בשיעור של 29.7%, ומאז עלתה לכ-30.8% ביולי 2025, כך שמשקל ההלוואות בסיכון גבוה הוסיף לעלות. העלייה המתמשכת בביצועי משכנתאות בסיכון גבוה נובעת בעיקר בשל העלייה במשקל ההלוואות בשיעור החזר מהכנסה מעל 30% ופחות מההלוואות בשיעורי מימון גבוהים, שמשקלן לא עלה באופן משמעותי בשנים 2022 - 2025.</w:t>
      </w:r>
    </w:p>
    <w:p w:rsidR="001F2586" w:rsidRPr="001F2586" w:rsidP="001F2586">
      <w:pPr>
        <w:spacing w:line="269" w:lineRule="auto"/>
        <w:ind w:left="-567"/>
        <w:rPr>
          <w:rFonts w:eastAsia="Calibri"/>
          <w:szCs w:val="20"/>
          <w:rtl/>
        </w:rPr>
      </w:pPr>
    </w:p>
    <w:p w:rsidR="001F2586" w:rsidRPr="001F2586" w:rsidP="001F2586">
      <w:pPr>
        <w:autoSpaceDE w:val="0"/>
        <w:autoSpaceDN w:val="0"/>
        <w:adjustRightInd w:val="0"/>
        <w:spacing w:line="269" w:lineRule="auto"/>
        <w:rPr>
          <w:rFonts w:ascii="David" w:eastAsia="Calibri" w:hAnsi="David"/>
          <w:b/>
          <w:bCs/>
          <w:sz w:val="24"/>
          <w:rtl/>
        </w:rPr>
      </w:pPr>
      <w:bookmarkStart w:id="38" w:name="_Hlk225166557"/>
      <w:r w:rsidRPr="001F2586">
        <w:rPr>
          <w:rFonts w:ascii="David" w:eastAsia="Calibri" w:hAnsi="David"/>
          <w:b/>
          <w:bCs/>
          <w:sz w:val="24"/>
          <w:rtl/>
        </w:rPr>
        <w:t>בשנים 2022 - 2025 עלה משקל הלוואות בסיכון גבוה מכ-20% לכ-31%</w:t>
      </w:r>
      <w:r w:rsidRPr="001F2586">
        <w:rPr>
          <w:rFonts w:ascii="David" w:eastAsia="Calibri" w:hAnsi="David" w:hint="cs"/>
          <w:b/>
          <w:bCs/>
          <w:sz w:val="24"/>
          <w:rtl/>
        </w:rPr>
        <w:t>, וכן</w:t>
      </w:r>
      <w:r w:rsidRPr="001F2586">
        <w:rPr>
          <w:rFonts w:ascii="David" w:eastAsia="Calibri" w:hAnsi="David"/>
          <w:b/>
          <w:bCs/>
          <w:sz w:val="24"/>
          <w:rtl/>
        </w:rPr>
        <w:t xml:space="preserve"> עלה משקל הלוואות בשיעורי החזר מהכנסה שהן בטווח של 30% - 40% מכ-39% לכ-56%. </w:t>
      </w:r>
      <w:bookmarkEnd w:id="38"/>
      <w:r w:rsidRPr="001F2586">
        <w:rPr>
          <w:rFonts w:ascii="David" w:eastAsia="Calibri" w:hAnsi="David" w:hint="cs"/>
          <w:b/>
          <w:bCs/>
          <w:sz w:val="24"/>
          <w:rtl/>
        </w:rPr>
        <w:t xml:space="preserve">עם זאת, למרות העלייה במשקל ההלוואות בסיכון גבוה, </w:t>
      </w:r>
      <w:r w:rsidRPr="001F2586">
        <w:rPr>
          <w:rFonts w:ascii="David" w:eastAsia="Calibri" w:hAnsi="David"/>
          <w:b/>
          <w:bCs/>
          <w:sz w:val="24"/>
          <w:rtl/>
        </w:rPr>
        <w:t xml:space="preserve">נמצא כי הפיקוח על הבנקים לא </w:t>
      </w:r>
      <w:r w:rsidRPr="001F2586">
        <w:rPr>
          <w:rFonts w:ascii="David" w:eastAsia="Calibri" w:hAnsi="David" w:hint="cs"/>
          <w:b/>
          <w:bCs/>
          <w:sz w:val="24"/>
          <w:rtl/>
        </w:rPr>
        <w:t>בחן את הצורך לקבוע</w:t>
      </w:r>
      <w:r w:rsidRPr="001F2586">
        <w:rPr>
          <w:rFonts w:ascii="David" w:eastAsia="Calibri" w:hAnsi="David"/>
          <w:b/>
          <w:bCs/>
          <w:sz w:val="24"/>
          <w:rtl/>
        </w:rPr>
        <w:t xml:space="preserve"> משקלי סיכון </w:t>
      </w:r>
      <w:r w:rsidRPr="001F2586">
        <w:rPr>
          <w:rFonts w:ascii="David" w:eastAsia="Calibri" w:hAnsi="David" w:hint="cs"/>
          <w:b/>
          <w:bCs/>
          <w:sz w:val="24"/>
          <w:rtl/>
        </w:rPr>
        <w:t xml:space="preserve">ייחודיים </w:t>
      </w:r>
      <w:r w:rsidRPr="001F2586">
        <w:rPr>
          <w:rFonts w:ascii="David" w:eastAsia="Calibri" w:hAnsi="David"/>
          <w:b/>
          <w:bCs/>
          <w:sz w:val="24"/>
          <w:rtl/>
        </w:rPr>
        <w:t xml:space="preserve">עבור הלוואות בסיכון גבוה </w:t>
      </w:r>
      <w:r w:rsidRPr="001F2586">
        <w:rPr>
          <w:rFonts w:ascii="David" w:eastAsia="Calibri" w:hAnsi="David" w:hint="cs"/>
          <w:b/>
          <w:bCs/>
          <w:sz w:val="24"/>
          <w:rtl/>
        </w:rPr>
        <w:t>שניתנות ב</w:t>
      </w:r>
      <w:r w:rsidRPr="001F2586">
        <w:rPr>
          <w:rFonts w:ascii="David" w:eastAsia="Calibri" w:hAnsi="David"/>
          <w:b/>
          <w:bCs/>
          <w:sz w:val="24"/>
          <w:rtl/>
        </w:rPr>
        <w:t>שיעורי מימון והחזר מהכנסה גבוהים</w:t>
      </w:r>
      <w:r w:rsidRPr="001F2586">
        <w:rPr>
          <w:rFonts w:ascii="David" w:eastAsia="Calibri" w:hAnsi="David" w:hint="cs"/>
          <w:b/>
          <w:bCs/>
          <w:sz w:val="24"/>
          <w:rtl/>
        </w:rPr>
        <w:t xml:space="preserve">. כך, מלבד ההוראה הקיימת </w:t>
      </w:r>
      <w:r w:rsidRPr="001F2586">
        <w:rPr>
          <w:rFonts w:ascii="David" w:eastAsia="Calibri" w:hAnsi="David" w:hint="cs"/>
          <w:b/>
          <w:bCs/>
          <w:sz w:val="24"/>
          <w:rtl/>
        </w:rPr>
        <w:t>בנב"ת</w:t>
      </w:r>
      <w:r w:rsidRPr="001F2586">
        <w:rPr>
          <w:rFonts w:ascii="David" w:eastAsia="Calibri" w:hAnsi="David" w:hint="cs"/>
          <w:b/>
          <w:bCs/>
          <w:sz w:val="24"/>
          <w:rtl/>
        </w:rPr>
        <w:t xml:space="preserve"> 329 המגדירה משקל סיכון של 100% על הלוואות בהן שיעור החזר מהכנסה עולה על 40%</w:t>
      </w:r>
      <w:r w:rsidRPr="001F2586">
        <w:rPr>
          <w:rFonts w:ascii="David" w:eastAsia="Calibri" w:hAnsi="David"/>
          <w:b/>
          <w:bCs/>
          <w:sz w:val="24"/>
          <w:rtl/>
        </w:rPr>
        <w:t>,</w:t>
      </w:r>
      <w:r w:rsidRPr="001F2586">
        <w:rPr>
          <w:rFonts w:ascii="David" w:eastAsia="Calibri" w:hAnsi="David" w:hint="cs"/>
          <w:b/>
          <w:bCs/>
          <w:sz w:val="24"/>
          <w:rtl/>
        </w:rPr>
        <w:t xml:space="preserve"> הפיקוח אינו מגדיר משקלי סיכון ייחודיים גם בהלוואות ממונפות אחרות,</w:t>
      </w:r>
      <w:r w:rsidRPr="001F2586">
        <w:rPr>
          <w:rFonts w:ascii="David" w:eastAsia="Calibri" w:hAnsi="David"/>
          <w:b/>
          <w:bCs/>
          <w:sz w:val="24"/>
          <w:rtl/>
        </w:rPr>
        <w:t xml:space="preserve"> וזאת למרות שבעבר </w:t>
      </w:r>
      <w:r w:rsidRPr="001F2586">
        <w:rPr>
          <w:rFonts w:ascii="David" w:eastAsia="Calibri" w:hAnsi="David" w:hint="cs"/>
          <w:b/>
          <w:bCs/>
          <w:sz w:val="24"/>
          <w:rtl/>
        </w:rPr>
        <w:t xml:space="preserve">הפיקוח </w:t>
      </w:r>
      <w:r w:rsidRPr="001F2586">
        <w:rPr>
          <w:rFonts w:ascii="David" w:eastAsia="Calibri" w:hAnsi="David"/>
          <w:b/>
          <w:bCs/>
          <w:sz w:val="24"/>
          <w:rtl/>
        </w:rPr>
        <w:t>נהג לקבוע משקלי סיכון ייחודיים להלוואות ממונפות</w:t>
      </w:r>
      <w:r w:rsidRPr="001F2586">
        <w:rPr>
          <w:rFonts w:ascii="David" w:eastAsia="Calibri" w:hAnsi="David" w:hint="cs"/>
          <w:b/>
          <w:bCs/>
          <w:sz w:val="24"/>
          <w:rtl/>
        </w:rPr>
        <w:t xml:space="preserve"> בהתאם למשתנים נוספים כמו סכום ההלוואה וחלק ההלוואה בריבית משתנה</w:t>
      </w:r>
      <w:r w:rsidRPr="001F2586">
        <w:rPr>
          <w:rFonts w:ascii="David" w:eastAsia="Calibri" w:hAnsi="David"/>
          <w:b/>
          <w:bCs/>
          <w:sz w:val="24"/>
          <w:rtl/>
        </w:rPr>
        <w:t xml:space="preserve">. </w:t>
      </w:r>
      <w:r w:rsidRPr="001F2586">
        <w:rPr>
          <w:rFonts w:ascii="David" w:eastAsia="Calibri" w:hAnsi="David" w:hint="eastAsia"/>
          <w:b/>
          <w:bCs/>
          <w:sz w:val="24"/>
          <w:rtl/>
        </w:rPr>
        <w:t>כך</w:t>
      </w:r>
      <w:r w:rsidRPr="001F2586">
        <w:rPr>
          <w:rFonts w:ascii="David" w:eastAsia="Calibri" w:hAnsi="David"/>
          <w:b/>
          <w:bCs/>
          <w:sz w:val="24"/>
          <w:rtl/>
        </w:rPr>
        <w:t xml:space="preserve"> </w:t>
      </w:r>
      <w:r w:rsidRPr="001F2586">
        <w:rPr>
          <w:rFonts w:ascii="David" w:eastAsia="Calibri" w:hAnsi="David" w:hint="eastAsia"/>
          <w:b/>
          <w:bCs/>
          <w:sz w:val="24"/>
          <w:rtl/>
        </w:rPr>
        <w:t>למשל</w:t>
      </w:r>
      <w:r w:rsidRPr="001F2586">
        <w:rPr>
          <w:rFonts w:ascii="David" w:eastAsia="Calibri" w:hAnsi="David"/>
          <w:b/>
          <w:bCs/>
          <w:sz w:val="24"/>
          <w:rtl/>
        </w:rPr>
        <w:t>,</w:t>
      </w:r>
      <w:r w:rsidRPr="001F2586">
        <w:rPr>
          <w:rFonts w:ascii="David" w:eastAsia="Calibri" w:hAnsi="David" w:hint="cs"/>
          <w:b/>
          <w:bCs/>
          <w:sz w:val="24"/>
        </w:rPr>
        <w:t xml:space="preserve"> </w:t>
      </w:r>
      <w:r w:rsidRPr="001F2586">
        <w:rPr>
          <w:rFonts w:ascii="David" w:eastAsia="Calibri" w:hAnsi="David" w:hint="eastAsia"/>
          <w:b/>
          <w:bCs/>
          <w:sz w:val="24"/>
          <w:rtl/>
        </w:rPr>
        <w:t>באוקטובר</w:t>
      </w:r>
      <w:r w:rsidRPr="001F2586">
        <w:rPr>
          <w:rFonts w:ascii="David" w:eastAsia="Calibri" w:hAnsi="David"/>
          <w:b/>
          <w:bCs/>
          <w:sz w:val="24"/>
          <w:rtl/>
        </w:rPr>
        <w:t xml:space="preserve"> 2010 קבע המפקח על הבנקים </w:t>
      </w:r>
      <w:r w:rsidRPr="001F2586">
        <w:rPr>
          <w:rFonts w:ascii="David" w:eastAsia="Calibri" w:hAnsi="David" w:hint="eastAsia"/>
          <w:b/>
          <w:bCs/>
          <w:sz w:val="24"/>
          <w:rtl/>
        </w:rPr>
        <w:t>דאז</w:t>
      </w:r>
      <w:r w:rsidRPr="001F2586">
        <w:rPr>
          <w:rFonts w:ascii="David" w:eastAsia="Calibri" w:hAnsi="David"/>
          <w:b/>
          <w:bCs/>
          <w:sz w:val="24"/>
          <w:rtl/>
        </w:rPr>
        <w:t xml:space="preserve"> </w:t>
      </w:r>
      <w:r w:rsidRPr="001F2586">
        <w:rPr>
          <w:rFonts w:ascii="David" w:eastAsia="Calibri" w:hAnsi="David" w:hint="eastAsia"/>
          <w:b/>
          <w:bCs/>
          <w:sz w:val="24"/>
          <w:rtl/>
        </w:rPr>
        <w:t>להקצות</w:t>
      </w:r>
      <w:r w:rsidRPr="001F2586">
        <w:rPr>
          <w:rFonts w:ascii="David" w:eastAsia="Calibri" w:hAnsi="David"/>
          <w:b/>
          <w:bCs/>
          <w:sz w:val="24"/>
          <w:rtl/>
        </w:rPr>
        <w:t xml:space="preserve"> משקל סיכון של 100% על משכנתאות ממונפות</w:t>
      </w:r>
      <w:r>
        <w:rPr>
          <w:rFonts w:ascii="David" w:eastAsia="Calibri" w:hAnsi="David"/>
          <w:b/>
          <w:bCs/>
          <w:sz w:val="24"/>
          <w:vertAlign w:val="superscript"/>
          <w:rtl/>
        </w:rPr>
        <w:footnoteReference w:id="136"/>
      </w:r>
      <w:r w:rsidRPr="001F2586">
        <w:rPr>
          <w:rFonts w:ascii="David" w:eastAsia="Calibri" w:hAnsi="David" w:hint="cs"/>
          <w:b/>
          <w:bCs/>
          <w:sz w:val="24"/>
          <w:rtl/>
        </w:rPr>
        <w:t xml:space="preserve"> באופן זמני עד לירידה במשקלן</w:t>
      </w:r>
      <w:r w:rsidRPr="001F2586">
        <w:rPr>
          <w:rFonts w:ascii="David" w:eastAsia="Calibri" w:hAnsi="David"/>
          <w:b/>
          <w:bCs/>
          <w:sz w:val="24"/>
          <w:rtl/>
        </w:rPr>
        <w:t>.</w:t>
      </w:r>
      <w:r w:rsidRPr="001F2586">
        <w:rPr>
          <w:rFonts w:ascii="David" w:eastAsia="Calibri" w:hAnsi="David" w:hint="cs"/>
          <w:b/>
          <w:bCs/>
          <w:sz w:val="24"/>
          <w:rtl/>
        </w:rPr>
        <w:t xml:space="preserve"> בשל כך שהפיקוח על הבנקים אינו קובע משקלי </w:t>
      </w:r>
      <w:r w:rsidRPr="001F2586">
        <w:rPr>
          <w:rFonts w:ascii="David" w:eastAsia="Calibri" w:hAnsi="David" w:hint="cs"/>
          <w:b/>
          <w:bCs/>
          <w:sz w:val="24"/>
          <w:rtl/>
        </w:rPr>
        <w:t>סיכון להלוואות בסיכון גבוה, הן משוקללות לפי משקל סיכון מופחת של 60% כפי שמשוקללות הלוואות שאינן בסיכון גבוה (למשל הלוואות בשיעור מימון מעל 60% ובשיעור החזר מהכנסה הנמוך מ-30%). אי בחינה של קביעת משקלי סיכון מותאמים על הלוואות בסיכון גבוה עלולה לפגוע בהערכת הסיכונים של הבנקים ולפגוע ביציבותם, סיכון שגדל לאור זאת שמשקלן של הלוואות בסיכון גבוה עלה כאמור מכ-20% לכ-31% בשנים 2022 - 2025.</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בנק ישראל צוין כי הקביעה של משקלי הסיכון מתבססת על מסגרת בינלאומית (כללי באזל), על שיקולי מיקרו-יציבות ומקרו-יציבות, והיא אינה מהווה כלי אד-הוק. הפיקוח על הבנקים הוסיף כי "ברור כי המדד והתפתחותו לא נעלמו מעיני הפיקוח והוא נמצא במעקב שוטף... יתרה מכך קביעת משקל סיכון היא כלי אחד מני - רבים שקיימים בידי הפיקוח על הבנקים." </w:t>
      </w:r>
    </w:p>
    <w:p w:rsidR="001F2586" w:rsidRPr="001F2586" w:rsidP="001F2586">
      <w:pPr>
        <w:spacing w:line="269" w:lineRule="auto"/>
        <w:ind w:left="-567"/>
        <w:rPr>
          <w:rFonts w:eastAsia="Calibri"/>
          <w:szCs w:val="20"/>
          <w:rtl/>
        </w:rPr>
      </w:pPr>
    </w:p>
    <w:p w:rsidR="001F2586" w:rsidRPr="001F2586" w:rsidP="001F2586">
      <w:pPr>
        <w:autoSpaceDE w:val="0"/>
        <w:autoSpaceDN w:val="0"/>
        <w:adjustRightInd w:val="0"/>
        <w:spacing w:line="269" w:lineRule="auto"/>
        <w:rPr>
          <w:rFonts w:ascii="David" w:eastAsia="Calibri" w:hAnsi="David"/>
          <w:b/>
          <w:bCs/>
          <w:sz w:val="24"/>
          <w:rtl/>
        </w:rPr>
      </w:pPr>
      <w:r w:rsidRPr="001F2586">
        <w:rPr>
          <w:rFonts w:ascii="David" w:eastAsia="Calibri" w:hAnsi="David" w:hint="cs"/>
          <w:b/>
          <w:bCs/>
          <w:sz w:val="24"/>
          <w:rtl/>
        </w:rPr>
        <w:t xml:space="preserve">מומלץ כי </w:t>
      </w:r>
      <w:r w:rsidRPr="001F2586">
        <w:rPr>
          <w:rFonts w:ascii="David" w:eastAsia="Calibri" w:hAnsi="David"/>
          <w:b/>
          <w:bCs/>
          <w:sz w:val="24"/>
          <w:rtl/>
        </w:rPr>
        <w:t>הפיקוח על הבנקים</w:t>
      </w:r>
      <w:r w:rsidRPr="001F2586">
        <w:rPr>
          <w:rFonts w:ascii="David" w:eastAsia="Calibri" w:hAnsi="David" w:hint="cs"/>
          <w:b/>
          <w:bCs/>
          <w:sz w:val="24"/>
          <w:rtl/>
        </w:rPr>
        <w:t xml:space="preserve"> ימשיך לעקוב ולבחון את </w:t>
      </w:r>
      <w:r w:rsidRPr="001F2586">
        <w:rPr>
          <w:rFonts w:ascii="David" w:eastAsia="Calibri" w:hAnsi="David"/>
          <w:b/>
          <w:bCs/>
          <w:sz w:val="24"/>
          <w:rtl/>
        </w:rPr>
        <w:t xml:space="preserve">הצורך בקביעת </w:t>
      </w:r>
      <w:r w:rsidRPr="001F2586">
        <w:rPr>
          <w:rFonts w:ascii="David" w:eastAsia="Calibri" w:hAnsi="David" w:hint="eastAsia"/>
          <w:b/>
          <w:bCs/>
          <w:sz w:val="24"/>
          <w:rtl/>
        </w:rPr>
        <w:t>הוראות</w:t>
      </w:r>
      <w:r w:rsidRPr="001F2586">
        <w:rPr>
          <w:rFonts w:ascii="David" w:eastAsia="Calibri" w:hAnsi="David" w:hint="cs"/>
          <w:b/>
          <w:bCs/>
          <w:sz w:val="24"/>
          <w:rtl/>
        </w:rPr>
        <w:t xml:space="preserve"> ל</w:t>
      </w:r>
      <w:r w:rsidRPr="001F2586">
        <w:rPr>
          <w:rFonts w:ascii="David" w:eastAsia="Calibri" w:hAnsi="David"/>
          <w:b/>
          <w:bCs/>
          <w:sz w:val="24"/>
          <w:rtl/>
        </w:rPr>
        <w:t>משקלי סיכון מותאמים להלוואות בסיכון גבוה</w:t>
      </w:r>
      <w:r w:rsidRPr="001F2586">
        <w:rPr>
          <w:rFonts w:ascii="David" w:eastAsia="Calibri" w:hAnsi="David" w:hint="cs"/>
          <w:b/>
          <w:bCs/>
          <w:sz w:val="24"/>
          <w:rtl/>
        </w:rPr>
        <w:t>, ובין היתר שלב</w:t>
      </w:r>
      <w:r w:rsidRPr="001F2586">
        <w:rPr>
          <w:rFonts w:eastAsia="Calibri"/>
          <w:rtl/>
        </w:rPr>
        <w:t xml:space="preserve"> </w:t>
      </w:r>
      <w:r w:rsidRPr="001F2586">
        <w:rPr>
          <w:rFonts w:eastAsia="Calibri" w:hint="cs"/>
          <w:b/>
          <w:bCs/>
          <w:rtl/>
        </w:rPr>
        <w:t>בהם משתנים</w:t>
      </w:r>
      <w:r w:rsidRPr="001F2586">
        <w:rPr>
          <w:rFonts w:ascii="David" w:eastAsia="Calibri" w:hAnsi="David"/>
          <w:b/>
          <w:bCs/>
          <w:sz w:val="24"/>
          <w:rtl/>
        </w:rPr>
        <w:t xml:space="preserve"> נוספים מלבד שיעור המימון ושיעור החזר מהכנסה, כמו גובה ההלוואה וחלק ההלוואה בריבית משתנה</w:t>
      </w:r>
      <w:r w:rsidRPr="001F2586">
        <w:rPr>
          <w:rFonts w:ascii="David" w:eastAsia="Calibri" w:hAnsi="David" w:hint="cs"/>
          <w:b/>
          <w:bCs/>
          <w:sz w:val="24"/>
          <w:rtl/>
        </w:rPr>
        <w:t>,</w:t>
      </w:r>
      <w:r w:rsidRPr="001F2586">
        <w:rPr>
          <w:rFonts w:ascii="David" w:eastAsia="Calibri" w:hAnsi="David"/>
          <w:b/>
          <w:bCs/>
          <w:sz w:val="24"/>
          <w:rtl/>
        </w:rPr>
        <w:t xml:space="preserve"> כפי שנהג בעבר.</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מדדים לבחינת איכות האשראי לדיור</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אשראי בפיגור הוא מדד האומד את הי</w:t>
      </w:r>
      <w:r w:rsidRPr="001F2586">
        <w:rPr>
          <w:rFonts w:eastAsia="Calibri"/>
          <w:rtl/>
        </w:rPr>
        <w:t>כולת של משקי הבית להחזיר חוב</w:t>
      </w:r>
      <w:r w:rsidRPr="001F2586">
        <w:rPr>
          <w:rFonts w:eastAsia="Calibri" w:hint="cs"/>
          <w:rtl/>
        </w:rPr>
        <w:t xml:space="preserve"> ועל כן הוא אחד המדדים המרכזיים לבחינת איכות האשראי. הצטברות של אשראי בפיגור בהיקף גבוה מעמידה את משקי הבית בסיכון לצבור חובות גבוהים ולאבד את נכסיהם ופוגעת בהכנסות הבנקים וביציבותם. אשראי בפיגור מוגדר לפי מצב החוב ביחס לתנאי הפירעון החוזיים שלו. בהוראת הדיווח לציבור "דוח כספי שנתי -מס' 631" (להלן - הוראה 631)</w:t>
      </w:r>
      <w:r>
        <w:rPr>
          <w:rFonts w:eastAsia="Calibri"/>
          <w:vertAlign w:val="superscript"/>
          <w:rtl/>
        </w:rPr>
        <w:footnoteReference w:id="137"/>
      </w:r>
      <w:r w:rsidRPr="001F2586">
        <w:rPr>
          <w:rFonts w:eastAsia="Calibri" w:hint="cs"/>
          <w:rtl/>
        </w:rPr>
        <w:t xml:space="preserve"> של הפיקוח על הבנקים נקבע כי </w:t>
      </w:r>
      <w:r w:rsidRPr="001F2586">
        <w:rPr>
          <w:rFonts w:eastAsia="Calibri"/>
          <w:rtl/>
        </w:rPr>
        <w:t>חוב עם מועד סיום ברור אשר נפרע בתשלומים חודשיים</w:t>
      </w:r>
      <w:r w:rsidRPr="001F2586">
        <w:rPr>
          <w:rFonts w:eastAsia="Calibri" w:hint="cs"/>
          <w:rtl/>
        </w:rPr>
        <w:t xml:space="preserve">, כמו משכנתא, </w:t>
      </w:r>
      <w:r w:rsidRPr="001F2586">
        <w:rPr>
          <w:rFonts w:eastAsia="Calibri"/>
          <w:rtl/>
        </w:rPr>
        <w:t>הוא חוב</w:t>
      </w:r>
      <w:r w:rsidRPr="001F2586">
        <w:rPr>
          <w:rFonts w:eastAsia="Calibri" w:hint="cs"/>
          <w:rtl/>
        </w:rPr>
        <w:t xml:space="preserve"> </w:t>
      </w:r>
      <w:r w:rsidRPr="001F2586">
        <w:rPr>
          <w:rFonts w:eastAsia="Calibri"/>
          <w:rtl/>
        </w:rPr>
        <w:t>בפיגור של 30 ימים או יותר אם החייב לא שילם שני תשלומים חודשיים או יותר</w:t>
      </w:r>
      <w:r w:rsidRPr="001F2586">
        <w:rPr>
          <w:rFonts w:eastAsia="Calibri" w:hint="cs"/>
          <w:rtl/>
        </w:rPr>
        <w:t>. עוד נקבע בהוראה זו כי תאגיד</w:t>
      </w:r>
      <w:r w:rsidRPr="001F2586">
        <w:rPr>
          <w:rFonts w:eastAsia="Calibri"/>
          <w:rtl/>
        </w:rPr>
        <w:t xml:space="preserve"> בנקאי רשאי להגדיר חוב </w:t>
      </w:r>
      <w:r w:rsidRPr="001F2586">
        <w:rPr>
          <w:rFonts w:eastAsia="Calibri" w:hint="cs"/>
          <w:rtl/>
        </w:rPr>
        <w:t>ש</w:t>
      </w:r>
      <w:r w:rsidRPr="001F2586">
        <w:rPr>
          <w:rFonts w:eastAsia="Calibri"/>
          <w:rtl/>
        </w:rPr>
        <w:t xml:space="preserve">נפרע בתשלומים חודשיים כחוב בפיגור של 30 ימים או יותר כאשר תשלום חודשי אחד לא שולם במשך 30 ימים או יותר אחרי </w:t>
      </w:r>
      <w:r w:rsidRPr="001F2586">
        <w:rPr>
          <w:rFonts w:eastAsia="Calibri" w:hint="cs"/>
          <w:rtl/>
        </w:rPr>
        <w:t>מועד התשלום</w:t>
      </w:r>
      <w:r>
        <w:rPr>
          <w:rFonts w:eastAsia="Calibri"/>
          <w:vertAlign w:val="superscript"/>
          <w:rtl/>
        </w:rPr>
        <w:footnoteReference w:id="138"/>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הבנקים מסווגים הלוואות שלווים לא שילמו את ההחזר החודשי עליהן לפי תקופת הפיגור: פיגורים הנמשכים 30 - 89 ימים; ופיגורים הנמשכים מעל 90 ימים</w:t>
      </w:r>
      <w:r>
        <w:rPr>
          <w:rFonts w:eastAsia="Calibri"/>
          <w:vertAlign w:val="superscript"/>
          <w:rtl/>
        </w:rPr>
        <w:footnoteReference w:id="139"/>
      </w:r>
      <w:r w:rsidRPr="001F2586">
        <w:rPr>
          <w:rFonts w:eastAsia="Calibri" w:hint="cs"/>
          <w:rtl/>
        </w:rPr>
        <w:t xml:space="preserve">. הלוואות שיש בהן מספר תשלומים שלא שולמו ושהפיגורים בהן נמשכים זמן ארוך יותר נמצאות בסיכון גבוה יותר להגיע לכשל אשראי. </w:t>
      </w:r>
      <w:r w:rsidRPr="001F2586">
        <w:rPr>
          <w:rFonts w:eastAsia="Calibri" w:hint="cs"/>
          <w:rtl/>
        </w:rPr>
        <w:t>בנב"ת</w:t>
      </w:r>
      <w:r w:rsidRPr="001F2586">
        <w:rPr>
          <w:rFonts w:eastAsia="Calibri" w:hint="cs"/>
          <w:rtl/>
        </w:rPr>
        <w:t xml:space="preserve"> 204</w:t>
      </w:r>
      <w:r>
        <w:rPr>
          <w:rFonts w:eastAsia="Calibri"/>
          <w:vertAlign w:val="superscript"/>
          <w:rtl/>
        </w:rPr>
        <w:footnoteReference w:id="140"/>
      </w:r>
      <w:r w:rsidRPr="001F2586">
        <w:rPr>
          <w:rFonts w:eastAsia="Calibri" w:hint="cs"/>
          <w:rtl/>
        </w:rPr>
        <w:t xml:space="preserve"> נקבע כי מצב של כשל מתרחש כאשר מתקיים לפחות אחד מאירועים אלו: כאשר הבנק מעריך שעליו לנקוט בצעדים כלשהם כמו מימוש בטחונות כיוון שלא סביר שלווה יפרע את מלוא התחייבויותיו אליו ללא צעדים אלו; וכאשר הלווה נמצא בפיגור של מעל 90 יום ביחס לחוב מהותי כלפי הבנק. סימנים לאי-סבירות לתשלום החוב כוללים בין היתר סיווג אשראי כחוב שאינו צובר ריבית (</w:t>
      </w:r>
      <w:r w:rsidRPr="001F2586">
        <w:rPr>
          <w:rFonts w:eastAsia="Calibri"/>
        </w:rPr>
        <w:t>non-accrued status</w:t>
      </w:r>
      <w:r w:rsidRPr="001F2586">
        <w:rPr>
          <w:rFonts w:eastAsia="Calibri" w:hint="cs"/>
          <w:rtl/>
        </w:rPr>
        <w:t>), מחיקת חלק מהחוב או ביצוע הפרשה ספציפית לחובות מסופקים בשל ירידה מהותית באיכות האשראי</w:t>
      </w:r>
      <w:r>
        <w:rPr>
          <w:rFonts w:eastAsia="Calibri"/>
          <w:vertAlign w:val="superscript"/>
          <w:rtl/>
        </w:rPr>
        <w:footnoteReference w:id="141"/>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אשראי לא צובר ריבית</w:t>
      </w:r>
      <w:r>
        <w:rPr>
          <w:rFonts w:eastAsia="Calibri"/>
          <w:vertAlign w:val="superscript"/>
          <w:rtl/>
        </w:rPr>
        <w:footnoteReference w:id="142"/>
      </w:r>
      <w:r w:rsidRPr="001F2586">
        <w:rPr>
          <w:rFonts w:eastAsia="Calibri" w:hint="cs"/>
          <w:rtl/>
        </w:rPr>
        <w:t xml:space="preserve"> הוא אשראי שלפי המידע הקיים בידי הבנק צפוי כי הוא לא יוכל לגבות את כל הסכומים המגיעים לו לפי הסכם החוב. כמו כן, חוב שנמצא בפיגור של 90 ימים לפחות מסווג כחוב לא צובר, אלא אם הוא נמצא בהליכי גבייה ומובטח היטב</w:t>
      </w:r>
      <w:r>
        <w:rPr>
          <w:rFonts w:eastAsia="Calibri"/>
          <w:vertAlign w:val="superscript"/>
          <w:rtl/>
        </w:rPr>
        <w:footnoteReference w:id="143"/>
      </w:r>
      <w:r w:rsidRPr="001F2586">
        <w:rPr>
          <w:rFonts w:eastAsia="Calibri" w:hint="cs"/>
          <w:rtl/>
        </w:rPr>
        <w:t>.</w:t>
      </w:r>
      <w:r w:rsidRPr="001F2586">
        <w:rPr>
          <w:rFonts w:eastAsia="Calibri" w:hint="cs"/>
        </w:rPr>
        <w:t xml:space="preserve"> </w:t>
      </w:r>
      <w:r w:rsidRPr="001F2586">
        <w:rPr>
          <w:rFonts w:eastAsia="Calibri" w:hint="cs"/>
          <w:rtl/>
        </w:rPr>
        <w:t>אומדן ל-</w:t>
      </w:r>
      <w:r w:rsidRPr="001F2586">
        <w:rPr>
          <w:rFonts w:eastAsia="Calibri" w:hint="cs"/>
        </w:rPr>
        <w:t>NPL</w:t>
      </w:r>
      <w:r w:rsidRPr="001F2586">
        <w:rPr>
          <w:rFonts w:eastAsia="Calibri" w:hint="cs"/>
          <w:rtl/>
        </w:rPr>
        <w:t xml:space="preserve"> </w:t>
      </w:r>
      <w:r w:rsidRPr="001F2586">
        <w:rPr>
          <w:rFonts w:eastAsia="Calibri"/>
        </w:rPr>
        <w:t xml:space="preserve">Non-) </w:t>
      </w:r>
      <w:r w:rsidRPr="001F2586">
        <w:rPr>
          <w:rFonts w:eastAsia="Calibri"/>
        </w:rPr>
        <w:t>Performing Loan</w:t>
      </w:r>
      <w:r w:rsidRPr="001F2586">
        <w:rPr>
          <w:rFonts w:eastAsia="Calibri" w:hint="cs"/>
          <w:rtl/>
        </w:rPr>
        <w:t>) הוא</w:t>
      </w:r>
      <w:r w:rsidRPr="001F2586">
        <w:rPr>
          <w:rFonts w:eastAsia="Calibri" w:hint="cs"/>
          <w:b/>
          <w:bCs/>
          <w:rtl/>
        </w:rPr>
        <w:t xml:space="preserve"> </w:t>
      </w:r>
      <w:r w:rsidRPr="001F2586">
        <w:rPr>
          <w:rFonts w:eastAsia="Calibri" w:hint="cs"/>
          <w:rtl/>
        </w:rPr>
        <w:t xml:space="preserve">מדד מרכזי לבחינת סיכוני אשראי המייצג הלוואות שלא משולמות כסדרן. המדד כולל את </w:t>
      </w:r>
      <w:r w:rsidRPr="001F2586">
        <w:rPr>
          <w:rFonts w:eastAsia="Calibri"/>
          <w:rtl/>
        </w:rPr>
        <w:t>האשראי שאינו</w:t>
      </w:r>
      <w:r w:rsidRPr="001F2586">
        <w:rPr>
          <w:rFonts w:eastAsia="Calibri" w:hint="cs"/>
          <w:rtl/>
        </w:rPr>
        <w:t xml:space="preserve"> </w:t>
      </w:r>
      <w:r w:rsidRPr="001F2586">
        <w:rPr>
          <w:rFonts w:eastAsia="Calibri"/>
          <w:rtl/>
        </w:rPr>
        <w:t>צובר ריבית וגם אשראי צובר ריבית שנמצא בפיגור מעל 90 יום</w:t>
      </w:r>
      <w:r>
        <w:rPr>
          <w:rFonts w:eastAsia="Calibri"/>
          <w:vertAlign w:val="superscript"/>
          <w:rtl/>
        </w:rPr>
        <w:footnoteReference w:id="144"/>
      </w:r>
      <w:r w:rsidRPr="001F2586">
        <w:rPr>
          <w:rFonts w:eastAsia="Calibri" w:hint="cs"/>
          <w:rtl/>
        </w:rPr>
        <w:t>. להלן תרשים המציג את שיעור ה-</w:t>
      </w:r>
      <w:r w:rsidRPr="001F2586">
        <w:rPr>
          <w:rFonts w:eastAsia="Calibri" w:hint="cs"/>
        </w:rPr>
        <w:t>NPL</w:t>
      </w:r>
      <w:r w:rsidRPr="001F2586">
        <w:rPr>
          <w:rFonts w:eastAsia="Calibri" w:hint="cs"/>
          <w:rtl/>
        </w:rPr>
        <w:t xml:space="preserve"> בשנים 2020 - 2025 (רבעון):</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17:</w:t>
      </w:r>
      <w:r w:rsidRPr="001F2586">
        <w:rPr>
          <w:rFonts w:eastAsia="Calibri" w:hint="cs"/>
          <w:bCs/>
          <w:sz w:val="24"/>
          <w:rtl/>
        </w:rPr>
        <w:t xml:space="preserve"> </w:t>
      </w:r>
      <w:r w:rsidRPr="001F2586">
        <w:rPr>
          <w:rFonts w:eastAsia="Calibri" w:hint="eastAsia"/>
          <w:bCs/>
          <w:sz w:val="24"/>
          <w:rtl/>
        </w:rPr>
        <w:t>שיעור</w:t>
      </w:r>
      <w:r w:rsidRPr="001F2586">
        <w:rPr>
          <w:rFonts w:eastAsia="Calibri"/>
          <w:bCs/>
          <w:sz w:val="24"/>
          <w:rtl/>
        </w:rPr>
        <w:t xml:space="preserve"> </w:t>
      </w:r>
      <w:r w:rsidRPr="001F2586">
        <w:rPr>
          <w:rFonts w:eastAsia="Calibri" w:hint="eastAsia"/>
          <w:bCs/>
          <w:sz w:val="24"/>
          <w:rtl/>
        </w:rPr>
        <w:t>ה</w:t>
      </w:r>
      <w:r w:rsidRPr="001F2586">
        <w:rPr>
          <w:rFonts w:eastAsia="Calibri"/>
          <w:bCs/>
          <w:sz w:val="24"/>
          <w:rtl/>
        </w:rPr>
        <w:t>-</w:t>
      </w:r>
      <w:r w:rsidRPr="001F2586">
        <w:rPr>
          <w:rFonts w:eastAsia="Calibri"/>
          <w:b/>
          <w:sz w:val="24"/>
        </w:rPr>
        <w:t>NPL</w:t>
      </w:r>
      <w:r w:rsidRPr="001F2586">
        <w:rPr>
          <w:rFonts w:eastAsia="Calibri"/>
          <w:bCs/>
          <w:sz w:val="24"/>
          <w:rtl/>
        </w:rPr>
        <w:t xml:space="preserve"> בתיק האשראי לדיור</w:t>
      </w:r>
      <w:r w:rsidRPr="001F2586">
        <w:rPr>
          <w:rFonts w:eastAsia="Calibri" w:hint="cs"/>
          <w:bCs/>
          <w:sz w:val="24"/>
          <w:rtl/>
        </w:rPr>
        <w:t>,</w:t>
      </w:r>
      <w:r w:rsidRPr="001F2586">
        <w:rPr>
          <w:rFonts w:eastAsia="Calibri"/>
          <w:bCs/>
          <w:sz w:val="24"/>
          <w:rtl/>
        </w:rPr>
        <w:t xml:space="preserve"> 2020 - 2025 (רבעון, </w:t>
      </w:r>
      <w:r w:rsidRPr="001F2586">
        <w:rPr>
          <w:rFonts w:eastAsia="Calibri" w:hint="eastAsia"/>
          <w:bCs/>
          <w:sz w:val="24"/>
          <w:rtl/>
        </w:rPr>
        <w:t>באחוזים</w:t>
      </w:r>
      <w:r w:rsidRPr="001F2586">
        <w:rPr>
          <w:rFonts w:eastAsia="Calibri"/>
          <w:bCs/>
          <w:sz w:val="24"/>
          <w:rtl/>
        </w:rPr>
        <w:t>)</w:t>
      </w:r>
    </w:p>
    <w:p w:rsidR="001F2586" w:rsidRPr="001F2586" w:rsidP="001F2586">
      <w:pPr>
        <w:spacing w:line="269" w:lineRule="auto"/>
        <w:jc w:val="center"/>
        <w:rPr>
          <w:rFonts w:eastAsia="Calibri"/>
          <w:rtl/>
        </w:rPr>
      </w:pPr>
      <w:r w:rsidRPr="001F2586">
        <w:rPr>
          <w:rFonts w:eastAsia="Calibri"/>
          <w:noProof/>
        </w:rPr>
        <w:drawing>
          <wp:inline distT="0" distB="0" distL="0" distR="0">
            <wp:extent cx="5220335" cy="3651885"/>
            <wp:effectExtent l="0" t="0" r="0" b="5715"/>
            <wp:docPr id="65" name="תמונה 65" descr="שיעור ה-NPL ירד מ- 0.99% במרץ 2020 ל- 0.72% ביוני 2025.&#10;שיעור ה-NPL הממוצע בשנים 2020- 2025 הוא כ-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xmlns:r="http://schemas.openxmlformats.org/officeDocument/2006/relationships" r:embed="rId28"/>
                    <a:stretch>
                      <a:fillRect/>
                    </a:stretch>
                  </pic:blipFill>
                  <pic:spPr>
                    <a:xfrm>
                      <a:off x="0" y="0"/>
                      <a:ext cx="5220335" cy="3651885"/>
                    </a:xfrm>
                    <a:prstGeom prst="rect">
                      <a:avLst/>
                    </a:prstGeom>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מהתרשים עולה כי שיעור ה-</w:t>
      </w:r>
      <w:r w:rsidRPr="001F2586">
        <w:rPr>
          <w:rFonts w:eastAsia="Calibri" w:hint="cs"/>
        </w:rPr>
        <w:t>NPL</w:t>
      </w:r>
      <w:r w:rsidRPr="001F2586">
        <w:rPr>
          <w:rFonts w:eastAsia="Calibri" w:hint="cs"/>
          <w:rtl/>
        </w:rPr>
        <w:t xml:space="preserve"> הממוצע בתיק האשראי לדיור בשנים 2020 - 2025 הוא כ-0.7%. שיעור ה-</w:t>
      </w:r>
      <w:r w:rsidRPr="001F2586">
        <w:rPr>
          <w:rFonts w:eastAsia="Calibri" w:hint="cs"/>
        </w:rPr>
        <w:t>NPL</w:t>
      </w:r>
      <w:r w:rsidRPr="001F2586">
        <w:rPr>
          <w:rFonts w:eastAsia="Calibri" w:hint="cs"/>
          <w:rtl/>
        </w:rPr>
        <w:t xml:space="preserve"> ירד מ-0.99% במרץ 2020 ל-0.72% ביוני 2025. עם זאת, בשנים 2020 - 2022 ירד שיעור ה-</w:t>
      </w:r>
      <w:r w:rsidRPr="001F2586">
        <w:rPr>
          <w:rFonts w:eastAsia="Calibri" w:hint="cs"/>
        </w:rPr>
        <w:t>NPL</w:t>
      </w:r>
      <w:r w:rsidRPr="001F2586">
        <w:rPr>
          <w:rFonts w:eastAsia="Calibri" w:hint="cs"/>
          <w:rtl/>
        </w:rPr>
        <w:t xml:space="preserve"> מ-0.99% ל-0.52%, בשנים 2022 - 2023 עלה שיעורו מ-0.52% ל-0.72%</w:t>
      </w:r>
      <w:r w:rsidRPr="001F2586">
        <w:rPr>
          <w:rFonts w:eastAsia="Calibri" w:hint="cs"/>
        </w:rPr>
        <w:t xml:space="preserve"> </w:t>
      </w:r>
      <w:r w:rsidRPr="001F2586">
        <w:rPr>
          <w:rFonts w:eastAsia="Calibri" w:hint="cs"/>
          <w:rtl/>
        </w:rPr>
        <w:t>ובשנים 2024 - 2025 שיעורו התייצב ונע בטווח של 0.66% - 0.72%. ייתכן שהירידה בשיעור ה-</w:t>
      </w:r>
      <w:r w:rsidRPr="001F2586">
        <w:rPr>
          <w:rFonts w:eastAsia="Calibri" w:hint="cs"/>
        </w:rPr>
        <w:t>NPL</w:t>
      </w:r>
      <w:r w:rsidRPr="001F2586">
        <w:rPr>
          <w:rFonts w:eastAsia="Calibri" w:hint="cs"/>
          <w:rtl/>
        </w:rPr>
        <w:t xml:space="preserve"> בשנים 2020 -2022 מוסברת בצעדי סיוע בתקופת משבר הקורונה שסייעו ללווים לא להיכנס למצב של כשל אשראי. הסבר אפשרי לעלייה בשיעור ה-</w:t>
      </w:r>
      <w:r w:rsidRPr="001F2586">
        <w:rPr>
          <w:rFonts w:eastAsia="Calibri" w:hint="cs"/>
        </w:rPr>
        <w:t>NPL</w:t>
      </w:r>
      <w:r w:rsidRPr="001F2586">
        <w:rPr>
          <w:rFonts w:eastAsia="Calibri" w:hint="cs"/>
          <w:rtl/>
        </w:rPr>
        <w:t xml:space="preserve"> בשנים 2022 -2023 הוא העליי</w:t>
      </w:r>
      <w:r w:rsidRPr="001F2586">
        <w:rPr>
          <w:rFonts w:eastAsia="Calibri" w:hint="eastAsia"/>
          <w:rtl/>
        </w:rPr>
        <w:t>ה</w:t>
      </w:r>
      <w:r w:rsidRPr="001F2586">
        <w:rPr>
          <w:rFonts w:eastAsia="Calibri" w:hint="cs"/>
          <w:rtl/>
        </w:rPr>
        <w:t xml:space="preserve"> בהחזרים החודשים בשל עליית ריבית בנק ישראל והאינפלציה. יצוין כי במהלך השנים 2023 - 2024 בנק ישראל אפשר לדחות את החזרי המשכנתאות</w:t>
      </w:r>
      <w:r>
        <w:rPr>
          <w:rFonts w:eastAsia="Calibri"/>
          <w:vertAlign w:val="superscript"/>
          <w:rtl/>
        </w:rPr>
        <w:footnoteReference w:id="145"/>
      </w:r>
      <w:r w:rsidRPr="001F2586">
        <w:rPr>
          <w:rFonts w:eastAsia="Calibri" w:hint="cs"/>
          <w:rtl/>
        </w:rPr>
        <w:t xml:space="preserve"> לנוכח מלחמת חרבות ברזל, כך שייתכן שפעולות אלו סייעו ללווים לעמוד בתשלומי המשכנתאות</w:t>
      </w:r>
      <w:r>
        <w:rPr>
          <w:rFonts w:eastAsia="Calibri"/>
          <w:vertAlign w:val="superscript"/>
          <w:rtl/>
        </w:rPr>
        <w:footnoteReference w:id="146"/>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לווים</w:t>
      </w:r>
      <w:r w:rsidRPr="001F2586">
        <w:rPr>
          <w:rFonts w:eastAsia="Calibri"/>
          <w:rtl/>
        </w:rPr>
        <w:t xml:space="preserve"> </w:t>
      </w:r>
      <w:r w:rsidRPr="001F2586">
        <w:rPr>
          <w:rFonts w:eastAsia="Calibri" w:hint="cs"/>
          <w:rtl/>
        </w:rPr>
        <w:t>הלוקחים</w:t>
      </w:r>
      <w:r w:rsidRPr="001F2586">
        <w:rPr>
          <w:rFonts w:eastAsia="Calibri"/>
          <w:rtl/>
        </w:rPr>
        <w:t xml:space="preserve"> הלוואה חייב</w:t>
      </w:r>
      <w:r w:rsidRPr="001F2586">
        <w:rPr>
          <w:rFonts w:eastAsia="Calibri" w:hint="cs"/>
          <w:rtl/>
        </w:rPr>
        <w:t>ים</w:t>
      </w:r>
      <w:r w:rsidRPr="001F2586">
        <w:rPr>
          <w:rFonts w:eastAsia="Calibri"/>
          <w:rtl/>
        </w:rPr>
        <w:t xml:space="preserve"> להחזירה, בהתאם לתנאים שנקבעו בהסכם</w:t>
      </w:r>
      <w:r w:rsidRPr="001F2586">
        <w:rPr>
          <w:rFonts w:eastAsia="Calibri" w:hint="cs"/>
          <w:rtl/>
        </w:rPr>
        <w:t xml:space="preserve"> ההלוואה </w:t>
      </w:r>
      <w:r w:rsidRPr="001F2586">
        <w:rPr>
          <w:rFonts w:eastAsia="Calibri"/>
          <w:rtl/>
        </w:rPr>
        <w:t>בינ</w:t>
      </w:r>
      <w:r w:rsidRPr="001F2586">
        <w:rPr>
          <w:rFonts w:eastAsia="Calibri" w:hint="cs"/>
          <w:rtl/>
        </w:rPr>
        <w:t>ם</w:t>
      </w:r>
      <w:r w:rsidRPr="001F2586">
        <w:rPr>
          <w:rFonts w:eastAsia="Calibri"/>
          <w:rtl/>
        </w:rPr>
        <w:t xml:space="preserve"> לבין התאגיד הבנקאי. </w:t>
      </w:r>
      <w:r w:rsidRPr="001F2586">
        <w:rPr>
          <w:rFonts w:eastAsia="Calibri" w:hint="cs"/>
          <w:rtl/>
        </w:rPr>
        <w:t xml:space="preserve">כאשר לווים נקלעים </w:t>
      </w:r>
      <w:r w:rsidRPr="001F2586">
        <w:rPr>
          <w:rFonts w:eastAsia="Calibri"/>
          <w:rtl/>
        </w:rPr>
        <w:t>לקשיים כלכליים, באופן הפוגע ביכולת</w:t>
      </w:r>
      <w:r w:rsidRPr="001F2586">
        <w:rPr>
          <w:rFonts w:eastAsia="Calibri" w:hint="cs"/>
          <w:rtl/>
        </w:rPr>
        <w:t xml:space="preserve"> </w:t>
      </w:r>
      <w:r w:rsidRPr="001F2586">
        <w:rPr>
          <w:rFonts w:eastAsia="Calibri"/>
          <w:rtl/>
        </w:rPr>
        <w:t xml:space="preserve">ההחזר </w:t>
      </w:r>
      <w:r w:rsidRPr="001F2586">
        <w:rPr>
          <w:rFonts w:eastAsia="Calibri" w:hint="cs"/>
          <w:rtl/>
        </w:rPr>
        <w:t>שלהם</w:t>
      </w:r>
      <w:r w:rsidRPr="001F2586">
        <w:rPr>
          <w:rFonts w:eastAsia="Calibri"/>
          <w:rtl/>
        </w:rPr>
        <w:t xml:space="preserve">, </w:t>
      </w:r>
      <w:r w:rsidRPr="001F2586">
        <w:rPr>
          <w:rFonts w:eastAsia="Calibri" w:hint="cs"/>
          <w:rtl/>
        </w:rPr>
        <w:t>הבנק נדרש לנקוט</w:t>
      </w:r>
      <w:r w:rsidRPr="001F2586">
        <w:rPr>
          <w:rFonts w:eastAsia="Calibri"/>
          <w:rtl/>
        </w:rPr>
        <w:t xml:space="preserve"> אמצעים שונים </w:t>
      </w:r>
      <w:r w:rsidRPr="001F2586">
        <w:rPr>
          <w:rFonts w:eastAsia="Calibri" w:hint="cs"/>
          <w:rtl/>
        </w:rPr>
        <w:t>כדי</w:t>
      </w:r>
      <w:r w:rsidRPr="001F2586">
        <w:rPr>
          <w:rFonts w:eastAsia="Calibri"/>
          <w:rtl/>
        </w:rPr>
        <w:t xml:space="preserve"> לגבות את</w:t>
      </w:r>
      <w:r w:rsidRPr="001F2586">
        <w:rPr>
          <w:rFonts w:eastAsia="Calibri" w:hint="cs"/>
          <w:rtl/>
        </w:rPr>
        <w:t xml:space="preserve"> </w:t>
      </w:r>
      <w:r w:rsidRPr="001F2586">
        <w:rPr>
          <w:rFonts w:eastAsia="Calibri"/>
          <w:rtl/>
        </w:rPr>
        <w:t>חובו.</w:t>
      </w:r>
      <w:r w:rsidRPr="001F2586">
        <w:rPr>
          <w:rFonts w:eastAsia="Calibri" w:hint="cs"/>
          <w:rtl/>
        </w:rPr>
        <w:t xml:space="preserve"> יצוין כי </w:t>
      </w:r>
      <w:r w:rsidRPr="001F2586">
        <w:rPr>
          <w:rFonts w:eastAsia="Calibri" w:hint="cs"/>
          <w:rtl/>
        </w:rPr>
        <w:t>בנב"ת</w:t>
      </w:r>
      <w:r w:rsidRPr="001F2586">
        <w:rPr>
          <w:rFonts w:eastAsia="Calibri" w:hint="cs"/>
          <w:rtl/>
        </w:rPr>
        <w:t xml:space="preserve"> 450</w:t>
      </w:r>
      <w:r>
        <w:rPr>
          <w:rFonts w:eastAsia="Calibri"/>
          <w:vertAlign w:val="superscript"/>
          <w:rtl/>
        </w:rPr>
        <w:footnoteReference w:id="147"/>
      </w:r>
      <w:r w:rsidRPr="001F2586">
        <w:rPr>
          <w:rFonts w:eastAsia="Calibri" w:hint="cs"/>
          <w:rtl/>
        </w:rPr>
        <w:t xml:space="preserve"> מציין המפקח על הבנקים כי אף שבנק רשאי לנקוט הליכים משפטיים כנגד לווים שלא עומדים בתשלומים, מצופה כי הוא ינסה למצות, ככל הניתן, דרכים שונות לגביית החוב טרם פנייה לערכאות משפטיות. בשנת 2021 התקין הפיקוח על הבנקים את הוראה </w:t>
      </w:r>
      <w:r w:rsidRPr="001F2586">
        <w:rPr>
          <w:rFonts w:eastAsia="Calibri"/>
        </w:rPr>
        <w:t>314A</w:t>
      </w:r>
      <w:r>
        <w:rPr>
          <w:rFonts w:eastAsia="Calibri"/>
          <w:vertAlign w:val="superscript"/>
          <w:rtl/>
        </w:rPr>
        <w:footnoteReference w:id="148"/>
      </w:r>
      <w:r w:rsidRPr="001F2586">
        <w:rPr>
          <w:rFonts w:eastAsia="Calibri" w:hint="cs"/>
          <w:rtl/>
        </w:rPr>
        <w:t xml:space="preserve"> </w:t>
      </w:r>
      <w:r w:rsidRPr="001F2586">
        <w:rPr>
          <w:rFonts w:eastAsia="Calibri"/>
          <w:rtl/>
        </w:rPr>
        <w:t xml:space="preserve">אשר גובשה על רקע ריבוי הסדרי חוב </w:t>
      </w:r>
      <w:r w:rsidRPr="001F2586">
        <w:rPr>
          <w:rFonts w:eastAsia="Calibri" w:hint="cs"/>
          <w:rtl/>
        </w:rPr>
        <w:t xml:space="preserve">בשנים </w:t>
      </w:r>
      <w:r w:rsidRPr="001F2586">
        <w:rPr>
          <w:rFonts w:eastAsia="Calibri" w:hint="cs"/>
          <w:rtl/>
        </w:rPr>
        <w:t>2010 - 2020</w:t>
      </w:r>
      <w:r w:rsidRPr="001F2586">
        <w:rPr>
          <w:rFonts w:eastAsia="Calibri"/>
          <w:rtl/>
        </w:rPr>
        <w:t xml:space="preserve"> וכחלק מתהליכי</w:t>
      </w:r>
      <w:r w:rsidRPr="001F2586">
        <w:rPr>
          <w:rFonts w:eastAsia="Calibri" w:hint="cs"/>
          <w:rtl/>
        </w:rPr>
        <w:t xml:space="preserve"> </w:t>
      </w:r>
      <w:r w:rsidRPr="001F2586">
        <w:rPr>
          <w:rFonts w:eastAsia="Calibri"/>
          <w:rtl/>
        </w:rPr>
        <w:t xml:space="preserve">הפקת הלקחים מאירועי הכשל. ההוראה </w:t>
      </w:r>
      <w:r w:rsidRPr="001F2586">
        <w:rPr>
          <w:rFonts w:eastAsia="Calibri" w:hint="cs"/>
          <w:rtl/>
        </w:rPr>
        <w:t>מפרטת את הנחיות הפיקוח על הבנקים</w:t>
      </w:r>
      <w:r w:rsidRPr="001F2586">
        <w:rPr>
          <w:rFonts w:eastAsia="Calibri"/>
          <w:rtl/>
        </w:rPr>
        <w:t xml:space="preserve"> שמתייחס</w:t>
      </w:r>
      <w:r w:rsidRPr="001F2586">
        <w:rPr>
          <w:rFonts w:eastAsia="Calibri" w:hint="cs"/>
          <w:rtl/>
        </w:rPr>
        <w:t>ות</w:t>
      </w:r>
      <w:r w:rsidRPr="001F2586">
        <w:rPr>
          <w:rFonts w:eastAsia="Calibri"/>
          <w:rtl/>
        </w:rPr>
        <w:t xml:space="preserve"> לתהליכי</w:t>
      </w:r>
      <w:r w:rsidRPr="001F2586">
        <w:rPr>
          <w:rFonts w:eastAsia="Calibri" w:hint="cs"/>
          <w:rtl/>
        </w:rPr>
        <w:t xml:space="preserve"> </w:t>
      </w:r>
      <w:r w:rsidRPr="001F2586">
        <w:rPr>
          <w:rFonts w:eastAsia="Calibri"/>
          <w:rtl/>
        </w:rPr>
        <w:t xml:space="preserve">מעקב אחר מצבו של אשראי העלול להתפתח לאשראי בעייתי </w:t>
      </w:r>
      <w:r w:rsidRPr="001F2586">
        <w:rPr>
          <w:rFonts w:eastAsia="Calibri" w:hint="cs"/>
          <w:rtl/>
        </w:rPr>
        <w:t>וליישום העיקרון של</w:t>
      </w:r>
      <w:r w:rsidRPr="001F2586">
        <w:rPr>
          <w:rFonts w:eastAsia="Calibri"/>
          <w:rtl/>
        </w:rPr>
        <w:t xml:space="preserve"> נקיטת פעולות מתקנות</w:t>
      </w:r>
      <w:r w:rsidRPr="001F2586">
        <w:rPr>
          <w:rFonts w:eastAsia="Calibri" w:hint="cs"/>
          <w:rtl/>
        </w:rPr>
        <w:t xml:space="preserve"> </w:t>
      </w:r>
      <w:r w:rsidRPr="001F2586">
        <w:rPr>
          <w:rFonts w:eastAsia="Calibri"/>
          <w:rtl/>
        </w:rPr>
        <w:t>בשלב מוקדם של התדרדרות האשראי ותהליכי ניהול והסדרה של חובות בקשיים</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הליכי גביית החוב של משכנתא בפיגור מתחילים בהתראה ובניסיון להסדר חוב ויכולים להגיע לתביעה משפטית, לעיקולים על החייב ולמימוש נכסים. </w:t>
      </w:r>
      <w:r w:rsidRPr="001F2586">
        <w:rPr>
          <w:rFonts w:eastAsia="Calibri"/>
          <w:rtl/>
        </w:rPr>
        <w:t xml:space="preserve">כינוס נכסים </w:t>
      </w:r>
      <w:r w:rsidRPr="001F2586">
        <w:rPr>
          <w:rFonts w:eastAsia="Calibri" w:hint="cs"/>
          <w:rtl/>
        </w:rPr>
        <w:t>הוא</w:t>
      </w:r>
      <w:r w:rsidRPr="001F2586">
        <w:rPr>
          <w:rFonts w:eastAsia="Calibri"/>
          <w:rtl/>
        </w:rPr>
        <w:t xml:space="preserve"> תהליך </w:t>
      </w:r>
      <w:r w:rsidRPr="001F2586">
        <w:rPr>
          <w:rFonts w:eastAsia="Calibri" w:hint="cs"/>
          <w:rtl/>
        </w:rPr>
        <w:t>ש</w:t>
      </w:r>
      <w:r w:rsidRPr="001F2586">
        <w:rPr>
          <w:rFonts w:eastAsia="Calibri"/>
          <w:rtl/>
        </w:rPr>
        <w:t>בו הבנק</w:t>
      </w:r>
      <w:r w:rsidRPr="001F2586">
        <w:rPr>
          <w:rFonts w:eastAsia="Calibri" w:hint="cs"/>
          <w:rtl/>
        </w:rPr>
        <w:t xml:space="preserve"> שהנכס ממושכן עבורו </w:t>
      </w:r>
      <w:r w:rsidRPr="001F2586">
        <w:rPr>
          <w:rFonts w:eastAsia="Calibri"/>
          <w:rtl/>
        </w:rPr>
        <w:t>מחליט לממש את בעלותו על הנכס</w:t>
      </w:r>
      <w:r w:rsidRPr="001F2586">
        <w:rPr>
          <w:rFonts w:eastAsia="Calibri" w:hint="cs"/>
          <w:rtl/>
        </w:rPr>
        <w:t xml:space="preserve"> </w:t>
      </w:r>
      <w:r w:rsidRPr="001F2586">
        <w:rPr>
          <w:rFonts w:eastAsia="Calibri"/>
          <w:rtl/>
        </w:rPr>
        <w:t xml:space="preserve">ולמכור אותו באמצעות </w:t>
      </w:r>
      <w:r w:rsidRPr="001F2586">
        <w:rPr>
          <w:rFonts w:eastAsia="Calibri" w:hint="cs"/>
          <w:rtl/>
        </w:rPr>
        <w:t>כונס נכסים שאחראי למכור את הנכס במכרז ולייצר מימוש מהיר של הנכס עבור הבנק. יצוין כי תהליך זה אינו רצוי שכן הנכס יכול להימכר מתחת למחיר השוק ועל כן לעיתים ניתנת לחייב אפשרות למכור את הנכס בעצמו.</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sz w:val="24"/>
        </w:rPr>
      </w:pPr>
      <w:r w:rsidRPr="001F2586">
        <w:rPr>
          <w:rFonts w:eastAsia="Calibri" w:hint="cs"/>
          <w:rtl/>
        </w:rPr>
        <w:t xml:space="preserve">יצוין כי </w:t>
      </w:r>
      <w:r w:rsidRPr="001F2586">
        <w:rPr>
          <w:rFonts w:ascii="David" w:eastAsia="Calibri" w:hAnsi="David"/>
          <w:sz w:val="24"/>
          <w:rtl/>
        </w:rPr>
        <w:t xml:space="preserve">לא קיימת חובה למימוש נכסים במחיר מקסימאלי אלא לביצוע המכירה בפיקוח רשם ההוצאה לפועל, כדי להבטיח שהמכירה תתבצע באופן הוגן ובמחיר סביר </w:t>
      </w:r>
      <w:r w:rsidRPr="001F2586">
        <w:rPr>
          <w:rFonts w:ascii="David" w:eastAsia="Calibri" w:hAnsi="David" w:hint="cs"/>
          <w:sz w:val="24"/>
          <w:rtl/>
        </w:rPr>
        <w:t>ו</w:t>
      </w:r>
      <w:r w:rsidRPr="001F2586">
        <w:rPr>
          <w:rFonts w:ascii="David" w:eastAsia="Calibri" w:hAnsi="David"/>
          <w:sz w:val="24"/>
          <w:rtl/>
        </w:rPr>
        <w:t>כדי לשמור על זכויות החייב. נהוג לבצע את המכירה במכרז פומבי כדי למקסם את התמורה ולסגור את החוב, במיוחד בנכס ממושכן.</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להלן תרשימים המציגים את השינויים במספר הנכסים ויתרות החוב בגינן בתקופה מנובמבר 2022 עד אוקטובר 2025 עבור הלוואות לדיור בהליכי גבייה משפטיים אלו: הוגשה בקשה למינוי כונס נכסים; בטיפול כונס נכסים; ושפונו מהנכס וטרם נמכרו. </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bookmarkStart w:id="39" w:name="_Hlk233031720"/>
      <w:r w:rsidRPr="00507697">
        <w:rPr>
          <w:rFonts w:eastAsia="Calibri" w:hint="cs"/>
          <w:bCs/>
          <w:sz w:val="24"/>
          <w:rtl/>
        </w:rPr>
        <w:t>תרשים</w:t>
      </w:r>
      <w:r w:rsidRPr="001F2586">
        <w:rPr>
          <w:rFonts w:eastAsia="Calibri" w:hint="cs"/>
          <w:b/>
          <w:sz w:val="24"/>
          <w:rtl/>
        </w:rPr>
        <w:t xml:space="preserve"> 18:</w:t>
      </w:r>
      <w:r w:rsidRPr="001F2586">
        <w:rPr>
          <w:rFonts w:eastAsia="Calibri" w:hint="cs"/>
          <w:bCs/>
          <w:sz w:val="24"/>
          <w:rtl/>
        </w:rPr>
        <w:t xml:space="preserve"> </w:t>
      </w:r>
      <w:r w:rsidRPr="001F2586">
        <w:rPr>
          <w:rFonts w:eastAsia="Calibri" w:hint="eastAsia"/>
          <w:bCs/>
          <w:sz w:val="24"/>
          <w:rtl/>
        </w:rPr>
        <w:t>השינויים</w:t>
      </w:r>
      <w:r w:rsidRPr="001F2586">
        <w:rPr>
          <w:rFonts w:eastAsia="Calibri"/>
          <w:bCs/>
          <w:sz w:val="24"/>
          <w:rtl/>
        </w:rPr>
        <w:t xml:space="preserve"> במספר הנכסים של הלוואות לדיור בהליכי </w:t>
      </w:r>
      <w:r w:rsidRPr="001F2586">
        <w:rPr>
          <w:rFonts w:eastAsia="Calibri" w:hint="cs"/>
          <w:bCs/>
          <w:sz w:val="24"/>
          <w:rtl/>
        </w:rPr>
        <w:t>גבייה</w:t>
      </w:r>
      <w:r w:rsidRPr="001F2586">
        <w:rPr>
          <w:rFonts w:eastAsia="Calibri"/>
          <w:bCs/>
          <w:sz w:val="24"/>
          <w:rtl/>
        </w:rPr>
        <w:t xml:space="preserve"> משפטיים</w:t>
      </w:r>
      <w:r w:rsidRPr="001F2586">
        <w:rPr>
          <w:rFonts w:eastAsia="Calibri" w:hint="cs"/>
          <w:bCs/>
          <w:sz w:val="24"/>
          <w:rtl/>
        </w:rPr>
        <w:t>,</w:t>
      </w:r>
      <w:r w:rsidRPr="001F2586">
        <w:rPr>
          <w:rFonts w:eastAsia="Calibri"/>
          <w:bCs/>
          <w:sz w:val="24"/>
          <w:rtl/>
        </w:rPr>
        <w:t xml:space="preserve"> </w:t>
      </w:r>
      <w:r w:rsidRPr="001F2586">
        <w:rPr>
          <w:rFonts w:eastAsia="Calibri" w:hint="cs"/>
          <w:bCs/>
          <w:sz w:val="24"/>
          <w:rtl/>
        </w:rPr>
        <w:t xml:space="preserve">נובמבר </w:t>
      </w:r>
      <w:r w:rsidRPr="001F2586">
        <w:rPr>
          <w:rFonts w:eastAsia="Calibri"/>
          <w:bCs/>
          <w:sz w:val="24"/>
          <w:rtl/>
        </w:rPr>
        <w:t xml:space="preserve">2022 - </w:t>
      </w:r>
      <w:r w:rsidRPr="001F2586">
        <w:rPr>
          <w:rFonts w:eastAsia="Calibri" w:hint="cs"/>
          <w:bCs/>
          <w:sz w:val="24"/>
          <w:rtl/>
        </w:rPr>
        <w:t xml:space="preserve">אוקטובר </w:t>
      </w:r>
      <w:r w:rsidRPr="001F2586">
        <w:rPr>
          <w:rFonts w:eastAsia="Calibri"/>
          <w:bCs/>
          <w:sz w:val="24"/>
          <w:rtl/>
        </w:rPr>
        <w:t>2025</w:t>
      </w:r>
    </w:p>
    <w:bookmarkEnd w:id="39"/>
    <w:p w:rsidR="001F2586" w:rsidRPr="001F2586" w:rsidP="001F2586">
      <w:pPr>
        <w:spacing w:line="269" w:lineRule="auto"/>
        <w:jc w:val="center"/>
        <w:rPr>
          <w:rFonts w:eastAsia="Calibri"/>
          <w:rtl/>
        </w:rPr>
      </w:pPr>
      <w:r w:rsidRPr="001F2586">
        <w:rPr>
          <w:rFonts w:eastAsia="Calibri"/>
          <w:noProof/>
        </w:rPr>
        <w:drawing>
          <wp:inline distT="0" distB="0" distL="0" distR="0">
            <wp:extent cx="4838198" cy="3689413"/>
            <wp:effectExtent l="0" t="0" r="635" b="6350"/>
            <wp:docPr id="72" name="תמונה 72" descr="השינויים במספר הנכסים בשנים 2022 - 2025 הם אלה: מספר הנכסים שהוגשה בהן בקשה למינוי כונס נכסים ירד מ-290 ל-211; מספר נכסים בטיפול כונס נכסים  ירד מ-1,149 ל-886; ומספר נכסים שפונו מדיירים וטרם נמכרו  ירד מ-37 ל-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
                    <pic:cNvPicPr/>
                  </pic:nvPicPr>
                  <pic:blipFill>
                    <a:blip xmlns:r="http://schemas.openxmlformats.org/officeDocument/2006/relationships" r:embed="rId29"/>
                    <a:stretch>
                      <a:fillRect/>
                    </a:stretch>
                  </pic:blipFill>
                  <pic:spPr>
                    <a:xfrm>
                      <a:off x="0" y="0"/>
                      <a:ext cx="4844834" cy="3694473"/>
                    </a:xfrm>
                    <a:prstGeom prst="rect">
                      <a:avLst/>
                    </a:prstGeom>
                  </pic:spPr>
                </pic:pic>
              </a:graphicData>
            </a:graphic>
          </wp:inline>
        </w:drawing>
      </w:r>
    </w:p>
    <w:p w:rsidR="001F2586" w:rsidRPr="001F2586" w:rsidP="001F2586">
      <w:pPr>
        <w:spacing w:line="269" w:lineRule="auto"/>
        <w:jc w:val="left"/>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bookmarkStart w:id="40" w:name="_Hlk233031767"/>
      <w:r w:rsidRPr="001F2586">
        <w:rPr>
          <w:rFonts w:eastAsia="Calibri" w:hint="cs"/>
          <w:b/>
          <w:sz w:val="24"/>
          <w:rtl/>
        </w:rPr>
        <w:t>תרשים 19:</w:t>
      </w:r>
      <w:r w:rsidRPr="001F2586">
        <w:rPr>
          <w:rFonts w:eastAsia="Calibri" w:hint="cs"/>
          <w:bCs/>
          <w:sz w:val="24"/>
          <w:rtl/>
        </w:rPr>
        <w:t xml:space="preserve"> </w:t>
      </w:r>
      <w:r w:rsidRPr="001F2586">
        <w:rPr>
          <w:rFonts w:eastAsia="Calibri" w:hint="eastAsia"/>
          <w:bCs/>
          <w:sz w:val="24"/>
          <w:rtl/>
        </w:rPr>
        <w:t>השינויים</w:t>
      </w:r>
      <w:r w:rsidRPr="001F2586">
        <w:rPr>
          <w:rFonts w:eastAsia="Calibri"/>
          <w:bCs/>
          <w:sz w:val="24"/>
          <w:rtl/>
        </w:rPr>
        <w:t xml:space="preserve"> ביתרות</w:t>
      </w:r>
      <w:r w:rsidRPr="001F2586">
        <w:rPr>
          <w:rFonts w:eastAsia="Calibri"/>
          <w:b/>
          <w:bCs/>
          <w:sz w:val="24"/>
          <w:rtl/>
        </w:rPr>
        <w:t xml:space="preserve"> החוב של הלוואות לדיור בהליכי </w:t>
      </w:r>
      <w:r w:rsidRPr="001F2586">
        <w:rPr>
          <w:rFonts w:eastAsia="Calibri" w:hint="cs"/>
          <w:b/>
          <w:bCs/>
          <w:sz w:val="24"/>
          <w:rtl/>
        </w:rPr>
        <w:t>גבייה</w:t>
      </w:r>
      <w:r w:rsidRPr="001F2586">
        <w:rPr>
          <w:rFonts w:eastAsia="Calibri"/>
          <w:b/>
          <w:bCs/>
          <w:sz w:val="24"/>
          <w:rtl/>
        </w:rPr>
        <w:t xml:space="preserve"> משפטיים</w:t>
      </w:r>
      <w:r w:rsidRPr="001F2586">
        <w:rPr>
          <w:rFonts w:eastAsia="Calibri" w:hint="cs"/>
          <w:b/>
          <w:bCs/>
          <w:sz w:val="24"/>
          <w:rtl/>
        </w:rPr>
        <w:t>, נובמבר 2022 - אוקטובר 2025</w:t>
      </w:r>
    </w:p>
    <w:p w:rsidR="001F2586" w:rsidRPr="001F2586" w:rsidP="001F2586">
      <w:pPr>
        <w:spacing w:line="269" w:lineRule="auto"/>
        <w:jc w:val="center"/>
        <w:rPr>
          <w:rFonts w:eastAsia="Calibri"/>
          <w:rtl/>
        </w:rPr>
      </w:pPr>
      <w:r w:rsidRPr="001F2586">
        <w:rPr>
          <w:rFonts w:eastAsia="Calibri"/>
          <w:noProof/>
        </w:rPr>
        <w:drawing>
          <wp:inline distT="0" distB="0" distL="0" distR="0">
            <wp:extent cx="4845022" cy="3601500"/>
            <wp:effectExtent l="0" t="0" r="0" b="0"/>
            <wp:docPr id="98" name="תמונה 98" descr="השינויים ביתרות החוב של נכסים אלה בשנים 2022 -2025 הם אלו:  נכסים שהוגשה בהן בקשה למינוי כונס נכסים -  יתרות החוב בגינן עלו מסך כ- 122 מיליון ש&quot;ח לסך כ-153 מיליון ש&quot;ח; נכסים בטיפול כונס נכסים - יתרות החוב בגינם עלו מסך כ- 561 מיליון ש&quot;ח לסך כ-634 מיליון ש&quot;ח; ונכסים שפונו מדיירים וטרם נמכרו - יתרות החוב בגינם עלו מ-36 מיליון ש&quot;ח ל-42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
                    <pic:cNvPicPr/>
                  </pic:nvPicPr>
                  <pic:blipFill>
                    <a:blip xmlns:r="http://schemas.openxmlformats.org/officeDocument/2006/relationships" r:embed="rId30"/>
                    <a:stretch>
                      <a:fillRect/>
                    </a:stretch>
                  </pic:blipFill>
                  <pic:spPr>
                    <a:xfrm>
                      <a:off x="0" y="0"/>
                      <a:ext cx="4855896" cy="3609583"/>
                    </a:xfrm>
                    <a:prstGeom prst="rect">
                      <a:avLst/>
                    </a:prstGeom>
                  </pic:spPr>
                </pic:pic>
              </a:graphicData>
            </a:graphic>
          </wp:inline>
        </w:drawing>
      </w:r>
    </w:p>
    <w:bookmarkEnd w:id="40"/>
    <w:p w:rsidR="001F2586" w:rsidRPr="001F2586" w:rsidP="001F2586">
      <w:pPr>
        <w:spacing w:line="269" w:lineRule="auto"/>
        <w:jc w:val="left"/>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ind w:left="-567"/>
        <w:rPr>
          <w:rFonts w:eastAsia="Calibri"/>
          <w:szCs w:val="20"/>
          <w:rtl/>
        </w:rPr>
      </w:pPr>
    </w:p>
    <w:p w:rsidR="009C4E17" w:rsidP="001F2586">
      <w:pPr>
        <w:spacing w:line="269" w:lineRule="auto"/>
        <w:rPr>
          <w:rFonts w:eastAsia="Calibri"/>
          <w:b/>
          <w:bCs/>
          <w:rtl/>
        </w:rPr>
      </w:pPr>
      <w:r w:rsidRPr="001F2586">
        <w:rPr>
          <w:rFonts w:eastAsia="Calibri" w:hint="eastAsia"/>
          <w:b/>
          <w:bCs/>
          <w:rtl/>
        </w:rPr>
        <w:t>התרשימים</w:t>
      </w:r>
      <w:r w:rsidRPr="001F2586">
        <w:rPr>
          <w:rFonts w:eastAsia="Calibri"/>
          <w:b/>
          <w:bCs/>
          <w:rtl/>
        </w:rPr>
        <w:t xml:space="preserve"> </w:t>
      </w:r>
      <w:r w:rsidRPr="001F2586">
        <w:rPr>
          <w:rFonts w:eastAsia="Calibri" w:hint="cs"/>
          <w:b/>
          <w:bCs/>
          <w:rtl/>
        </w:rPr>
        <w:t>מלמדים על כמה</w:t>
      </w:r>
      <w:r w:rsidRPr="001F2586">
        <w:rPr>
          <w:rFonts w:eastAsia="Calibri"/>
          <w:b/>
          <w:bCs/>
          <w:rtl/>
        </w:rPr>
        <w:t xml:space="preserve"> </w:t>
      </w:r>
      <w:r w:rsidRPr="001F2586">
        <w:rPr>
          <w:rFonts w:eastAsia="Calibri" w:hint="eastAsia"/>
          <w:b/>
          <w:bCs/>
          <w:rtl/>
        </w:rPr>
        <w:t>מגמות</w:t>
      </w:r>
      <w:r w:rsidRPr="001F2586">
        <w:rPr>
          <w:rFonts w:eastAsia="Calibri"/>
          <w:b/>
          <w:bCs/>
          <w:rtl/>
        </w:rPr>
        <w:t xml:space="preserve"> </w:t>
      </w:r>
      <w:r w:rsidRPr="001F2586">
        <w:rPr>
          <w:rFonts w:eastAsia="Calibri" w:hint="cs"/>
          <w:b/>
          <w:bCs/>
          <w:rtl/>
        </w:rPr>
        <w:t>שחלו מנובמבר 2022 - אוקטובר 2025</w:t>
      </w:r>
      <w:r w:rsidRPr="001F2586">
        <w:rPr>
          <w:rFonts w:eastAsia="Calibri"/>
          <w:b/>
          <w:bCs/>
          <w:rtl/>
        </w:rPr>
        <w:t xml:space="preserve">: נכסים שהוגשה בהן בקשה למינוי כונס נכסים - מספר הנכסים ירד מ-290 ל-211; נכסים ויתרות החוב בגינן עלו מסך כ-122 </w:t>
      </w:r>
      <w:r w:rsidRPr="001F2586">
        <w:rPr>
          <w:rFonts w:eastAsia="Calibri" w:hint="eastAsia"/>
          <w:b/>
          <w:bCs/>
          <w:rtl/>
        </w:rPr>
        <w:t>מ</w:t>
      </w:r>
      <w:r w:rsidRPr="001F2586">
        <w:rPr>
          <w:rFonts w:eastAsia="Calibri" w:hint="cs"/>
          <w:b/>
          <w:bCs/>
          <w:rtl/>
        </w:rPr>
        <w:t>י</w:t>
      </w:r>
      <w:r w:rsidRPr="001F2586">
        <w:rPr>
          <w:rFonts w:eastAsia="Calibri" w:hint="eastAsia"/>
          <w:b/>
          <w:bCs/>
          <w:rtl/>
        </w:rPr>
        <w:t>ליון</w:t>
      </w:r>
      <w:r w:rsidRPr="001F2586">
        <w:rPr>
          <w:rFonts w:eastAsia="Calibri"/>
          <w:b/>
          <w:bCs/>
          <w:rtl/>
        </w:rPr>
        <w:t xml:space="preserve"> ש"ח לסך כ-153 </w:t>
      </w:r>
      <w:r w:rsidRPr="001F2586">
        <w:rPr>
          <w:rFonts w:eastAsia="Calibri" w:hint="eastAsia"/>
          <w:b/>
          <w:bCs/>
          <w:rtl/>
        </w:rPr>
        <w:t>מ</w:t>
      </w:r>
      <w:r w:rsidRPr="001F2586">
        <w:rPr>
          <w:rFonts w:eastAsia="Calibri" w:hint="cs"/>
          <w:b/>
          <w:bCs/>
          <w:rtl/>
        </w:rPr>
        <w:t>י</w:t>
      </w:r>
      <w:r w:rsidRPr="001F2586">
        <w:rPr>
          <w:rFonts w:eastAsia="Calibri" w:hint="eastAsia"/>
          <w:b/>
          <w:bCs/>
          <w:rtl/>
        </w:rPr>
        <w:t>ליון</w:t>
      </w:r>
      <w:r w:rsidRPr="001F2586">
        <w:rPr>
          <w:rFonts w:eastAsia="Calibri"/>
          <w:b/>
          <w:bCs/>
          <w:rtl/>
        </w:rPr>
        <w:t xml:space="preserve"> ש"ח; נכסים בטיפול כונס נכסים - מספר הנכסים ירד מ-1,149 ל-886 נכסים, ויתרות החוב בגינם עלו מסך כ-561 </w:t>
      </w:r>
      <w:r w:rsidRPr="001F2586">
        <w:rPr>
          <w:rFonts w:eastAsia="Calibri" w:hint="eastAsia"/>
          <w:b/>
          <w:bCs/>
          <w:rtl/>
        </w:rPr>
        <w:t>מ</w:t>
      </w:r>
      <w:r w:rsidRPr="001F2586">
        <w:rPr>
          <w:rFonts w:eastAsia="Calibri" w:hint="cs"/>
          <w:b/>
          <w:bCs/>
          <w:rtl/>
        </w:rPr>
        <w:t>י</w:t>
      </w:r>
      <w:r w:rsidRPr="001F2586">
        <w:rPr>
          <w:rFonts w:eastAsia="Calibri" w:hint="eastAsia"/>
          <w:b/>
          <w:bCs/>
          <w:rtl/>
        </w:rPr>
        <w:t>ליון</w:t>
      </w:r>
      <w:r w:rsidRPr="001F2586">
        <w:rPr>
          <w:rFonts w:eastAsia="Calibri"/>
          <w:b/>
          <w:bCs/>
          <w:rtl/>
        </w:rPr>
        <w:t xml:space="preserve"> ש"ח לסך כ-634 מיליון ש"ח; ונכסים שפונו מדיירים וטרם נמכרו - מספר הנכסים ירד מ-37 ל-23 ויתרות החוב בגינם עלו מ-36 </w:t>
      </w:r>
      <w:r w:rsidRPr="001F2586">
        <w:rPr>
          <w:rFonts w:eastAsia="Calibri" w:hint="eastAsia"/>
          <w:b/>
          <w:bCs/>
          <w:rtl/>
        </w:rPr>
        <w:t>מ</w:t>
      </w:r>
      <w:r w:rsidRPr="001F2586">
        <w:rPr>
          <w:rFonts w:eastAsia="Calibri" w:hint="cs"/>
          <w:b/>
          <w:bCs/>
          <w:rtl/>
        </w:rPr>
        <w:t>י</w:t>
      </w:r>
      <w:r w:rsidRPr="001F2586">
        <w:rPr>
          <w:rFonts w:eastAsia="Calibri" w:hint="eastAsia"/>
          <w:b/>
          <w:bCs/>
          <w:rtl/>
        </w:rPr>
        <w:t>ליון</w:t>
      </w:r>
      <w:r w:rsidRPr="001F2586">
        <w:rPr>
          <w:rFonts w:eastAsia="Calibri"/>
          <w:b/>
          <w:bCs/>
          <w:rtl/>
        </w:rPr>
        <w:t xml:space="preserve"> ש"ח ל-42 מיליון ש"ח. עוד עולה כי סך יתרות החוב על נכסים בהליכי גבייה משפטיים שטרם נמכרו עומד על כ-829 מיליון ש"ח, </w:t>
      </w:r>
      <w:r w:rsidRPr="001F2586">
        <w:rPr>
          <w:rFonts w:eastAsia="Calibri" w:hint="cs"/>
          <w:b/>
          <w:bCs/>
          <w:rtl/>
        </w:rPr>
        <w:t>שהוא</w:t>
      </w:r>
      <w:r w:rsidRPr="001F2586">
        <w:rPr>
          <w:rFonts w:eastAsia="Calibri"/>
          <w:b/>
          <w:bCs/>
          <w:rtl/>
        </w:rPr>
        <w:t xml:space="preserve"> </w:t>
      </w:r>
      <w:r w:rsidRPr="001F2586">
        <w:rPr>
          <w:rFonts w:eastAsia="Calibri" w:hint="eastAsia"/>
          <w:b/>
          <w:bCs/>
          <w:rtl/>
        </w:rPr>
        <w:t>כ</w:t>
      </w:r>
      <w:r w:rsidRPr="001F2586">
        <w:rPr>
          <w:rFonts w:eastAsia="Calibri"/>
          <w:b/>
          <w:bCs/>
          <w:rtl/>
        </w:rPr>
        <w:t xml:space="preserve">-0.13% מיתרת תיק האשראי לדיור במערכת הבנקאית, שעמדה על כ-630 מיליארד ש"ח </w:t>
      </w:r>
      <w:r w:rsidRPr="001F2586">
        <w:rPr>
          <w:rFonts w:eastAsia="Calibri" w:hint="cs"/>
          <w:b/>
          <w:bCs/>
          <w:rtl/>
        </w:rPr>
        <w:t>ב</w:t>
      </w:r>
      <w:r w:rsidRPr="001F2586">
        <w:rPr>
          <w:rFonts w:eastAsia="Calibri"/>
          <w:b/>
          <w:bCs/>
          <w:rtl/>
        </w:rPr>
        <w:t xml:space="preserve">סוף </w:t>
      </w:r>
      <w:r w:rsidRPr="001F2586">
        <w:rPr>
          <w:rFonts w:eastAsia="Calibri" w:hint="eastAsia"/>
          <w:b/>
          <w:bCs/>
          <w:rtl/>
        </w:rPr>
        <w:t>אוקטובר</w:t>
      </w:r>
      <w:r w:rsidRPr="001F2586">
        <w:rPr>
          <w:rFonts w:eastAsia="Calibri"/>
          <w:b/>
          <w:bCs/>
          <w:rtl/>
        </w:rPr>
        <w:t xml:space="preserve"> 2025. יצוין כי מנתוני הפיקוח על הבנקים עולה כי המקרים </w:t>
      </w:r>
      <w:r w:rsidRPr="001F2586">
        <w:rPr>
          <w:rFonts w:eastAsia="Calibri" w:hint="cs"/>
          <w:b/>
          <w:bCs/>
          <w:rtl/>
        </w:rPr>
        <w:t>ש</w:t>
      </w:r>
      <w:r w:rsidRPr="001F2586">
        <w:rPr>
          <w:rFonts w:eastAsia="Calibri"/>
          <w:b/>
          <w:bCs/>
          <w:rtl/>
        </w:rPr>
        <w:t>בהם נכסים ממומשים הם זניחים ביחס למספרם בסך המערכת, והם אלו: בשנת 2020 מומשו 41 נכסים; בשנת 2021 מומשו 62 נכסים; בשנת 2022 מומשו 60 נכסים; בשנת 2023 מומשו 50 נכסים; בשנת 2024 מומשו 29 נכסים; ובשנת 2025 מומשו 27 נכסים בלבד.</w:t>
      </w:r>
    </w:p>
    <w:p w:rsidR="009C4E17" w:rsidP="001F2586">
      <w:pPr>
        <w:spacing w:line="269" w:lineRule="auto"/>
        <w:rPr>
          <w:rFonts w:eastAsia="Calibri"/>
          <w:b/>
          <w:bCs/>
          <w:rtl/>
        </w:rPr>
      </w:pPr>
    </w:p>
    <w:p w:rsidR="009C4E17" w:rsidRPr="00345B4F" w:rsidP="009C4E17">
      <w:pPr>
        <w:pStyle w:val="a"/>
        <w:ind w:left="0"/>
        <w:rPr>
          <w:rFonts w:ascii="David" w:hAnsi="David"/>
          <w:b/>
          <w:bCs/>
          <w:sz w:val="24"/>
          <w:szCs w:val="24"/>
          <w:rtl/>
        </w:rPr>
      </w:pPr>
      <w:r w:rsidRPr="004151A4">
        <w:rPr>
          <w:rFonts w:ascii="David" w:hAnsi="David" w:hint="eastAsia"/>
          <w:b/>
          <w:bCs/>
          <w:sz w:val="24"/>
          <w:szCs w:val="24"/>
          <w:rtl/>
        </w:rPr>
        <w:t>בחינת</w:t>
      </w:r>
      <w:r w:rsidRPr="004151A4">
        <w:rPr>
          <w:rFonts w:ascii="David" w:hAnsi="David"/>
          <w:b/>
          <w:bCs/>
          <w:sz w:val="24"/>
          <w:szCs w:val="24"/>
          <w:rtl/>
        </w:rPr>
        <w:t xml:space="preserve"> </w:t>
      </w:r>
      <w:r w:rsidRPr="004151A4">
        <w:rPr>
          <w:rFonts w:ascii="David" w:hAnsi="David" w:hint="eastAsia"/>
          <w:b/>
          <w:bCs/>
          <w:sz w:val="24"/>
          <w:szCs w:val="24"/>
          <w:rtl/>
        </w:rPr>
        <w:t>מדדים</w:t>
      </w:r>
      <w:r w:rsidRPr="004151A4">
        <w:rPr>
          <w:rFonts w:ascii="David" w:hAnsi="David"/>
          <w:b/>
          <w:bCs/>
          <w:sz w:val="24"/>
          <w:szCs w:val="24"/>
          <w:rtl/>
        </w:rPr>
        <w:t xml:space="preserve"> </w:t>
      </w:r>
      <w:r w:rsidRPr="004151A4">
        <w:rPr>
          <w:rFonts w:ascii="David" w:hAnsi="David" w:hint="eastAsia"/>
          <w:b/>
          <w:bCs/>
          <w:sz w:val="24"/>
          <w:szCs w:val="24"/>
          <w:rtl/>
        </w:rPr>
        <w:t>שונים</w:t>
      </w:r>
      <w:r w:rsidRPr="004151A4">
        <w:rPr>
          <w:rFonts w:ascii="David" w:hAnsi="David"/>
          <w:b/>
          <w:bCs/>
          <w:sz w:val="24"/>
          <w:szCs w:val="24"/>
          <w:rtl/>
        </w:rPr>
        <w:t xml:space="preserve"> </w:t>
      </w:r>
      <w:r w:rsidRPr="004151A4">
        <w:rPr>
          <w:rFonts w:ascii="David" w:hAnsi="David" w:hint="eastAsia"/>
          <w:b/>
          <w:bCs/>
          <w:sz w:val="24"/>
          <w:szCs w:val="24"/>
          <w:rtl/>
        </w:rPr>
        <w:t>של</w:t>
      </w:r>
      <w:r w:rsidRPr="004151A4">
        <w:rPr>
          <w:rFonts w:ascii="David" w:hAnsi="David"/>
          <w:b/>
          <w:bCs/>
          <w:sz w:val="24"/>
          <w:szCs w:val="24"/>
          <w:rtl/>
        </w:rPr>
        <w:t xml:space="preserve"> </w:t>
      </w:r>
      <w:r w:rsidRPr="004151A4">
        <w:rPr>
          <w:rFonts w:ascii="David" w:hAnsi="David" w:hint="eastAsia"/>
          <w:b/>
          <w:bCs/>
          <w:sz w:val="24"/>
          <w:szCs w:val="24"/>
          <w:rtl/>
        </w:rPr>
        <w:t>איכות</w:t>
      </w:r>
      <w:r w:rsidRPr="004151A4">
        <w:rPr>
          <w:rFonts w:ascii="David" w:hAnsi="David"/>
          <w:b/>
          <w:bCs/>
          <w:sz w:val="24"/>
          <w:szCs w:val="24"/>
          <w:rtl/>
        </w:rPr>
        <w:t xml:space="preserve"> </w:t>
      </w:r>
      <w:r w:rsidRPr="004151A4">
        <w:rPr>
          <w:rFonts w:ascii="David" w:hAnsi="David" w:hint="eastAsia"/>
          <w:b/>
          <w:bCs/>
          <w:sz w:val="24"/>
          <w:szCs w:val="24"/>
          <w:rtl/>
        </w:rPr>
        <w:t>האשראי</w:t>
      </w:r>
      <w:r w:rsidRPr="004151A4">
        <w:rPr>
          <w:rFonts w:ascii="David" w:hAnsi="David"/>
          <w:b/>
          <w:bCs/>
          <w:sz w:val="24"/>
          <w:szCs w:val="24"/>
          <w:rtl/>
        </w:rPr>
        <w:t xml:space="preserve"> </w:t>
      </w:r>
      <w:r w:rsidRPr="004151A4">
        <w:rPr>
          <w:rFonts w:ascii="David" w:hAnsi="David" w:hint="eastAsia"/>
          <w:b/>
          <w:bCs/>
          <w:sz w:val="24"/>
          <w:szCs w:val="24"/>
          <w:rtl/>
        </w:rPr>
        <w:t>לדיור</w:t>
      </w:r>
      <w:r w:rsidRPr="004151A4">
        <w:rPr>
          <w:rFonts w:ascii="David" w:hAnsi="David"/>
          <w:b/>
          <w:bCs/>
          <w:sz w:val="24"/>
          <w:szCs w:val="24"/>
          <w:rtl/>
        </w:rPr>
        <w:t xml:space="preserve"> </w:t>
      </w:r>
      <w:r w:rsidRPr="004151A4">
        <w:rPr>
          <w:rFonts w:ascii="David" w:hAnsi="David" w:hint="eastAsia"/>
          <w:b/>
          <w:bCs/>
          <w:sz w:val="24"/>
          <w:szCs w:val="24"/>
          <w:rtl/>
        </w:rPr>
        <w:t>במערכת</w:t>
      </w:r>
      <w:r w:rsidRPr="004151A4">
        <w:rPr>
          <w:rFonts w:ascii="David" w:hAnsi="David"/>
          <w:b/>
          <w:bCs/>
          <w:sz w:val="24"/>
          <w:szCs w:val="24"/>
          <w:rtl/>
        </w:rPr>
        <w:t xml:space="preserve"> </w:t>
      </w:r>
      <w:r w:rsidRPr="004151A4">
        <w:rPr>
          <w:rFonts w:ascii="David" w:hAnsi="David" w:hint="eastAsia"/>
          <w:b/>
          <w:bCs/>
          <w:sz w:val="24"/>
          <w:szCs w:val="24"/>
          <w:rtl/>
        </w:rPr>
        <w:t>הבנקאית</w:t>
      </w:r>
      <w:r w:rsidRPr="00CE4AD4">
        <w:rPr>
          <w:rFonts w:ascii="David" w:hAnsi="David"/>
          <w:b/>
          <w:bCs/>
          <w:sz w:val="24"/>
          <w:szCs w:val="24"/>
          <w:rtl/>
        </w:rPr>
        <w:t xml:space="preserve"> מעלה כי האשראי לדיור נותר באיכות גבוהה: שיעור ה-</w:t>
      </w:r>
      <w:r w:rsidRPr="009B3668">
        <w:rPr>
          <w:rFonts w:ascii="David" w:hAnsi="David"/>
          <w:b/>
          <w:bCs/>
          <w:sz w:val="24"/>
          <w:szCs w:val="24"/>
        </w:rPr>
        <w:t>NPL</w:t>
      </w:r>
      <w:r w:rsidRPr="004151A4">
        <w:rPr>
          <w:rFonts w:ascii="David" w:hAnsi="David"/>
          <w:b/>
          <w:bCs/>
          <w:sz w:val="24"/>
          <w:szCs w:val="24"/>
          <w:rtl/>
        </w:rPr>
        <w:t xml:space="preserve"> </w:t>
      </w:r>
      <w:r w:rsidRPr="004151A4">
        <w:rPr>
          <w:rFonts w:ascii="David" w:hAnsi="David" w:hint="eastAsia"/>
          <w:b/>
          <w:bCs/>
          <w:sz w:val="24"/>
          <w:szCs w:val="24"/>
          <w:rtl/>
        </w:rPr>
        <w:t>עומד</w:t>
      </w:r>
      <w:r w:rsidRPr="004151A4">
        <w:rPr>
          <w:rFonts w:ascii="David" w:hAnsi="David"/>
          <w:b/>
          <w:bCs/>
          <w:sz w:val="24"/>
          <w:szCs w:val="24"/>
          <w:rtl/>
        </w:rPr>
        <w:t xml:space="preserve"> </w:t>
      </w:r>
      <w:r w:rsidRPr="004151A4">
        <w:rPr>
          <w:rFonts w:ascii="David" w:hAnsi="David" w:hint="eastAsia"/>
          <w:b/>
          <w:bCs/>
          <w:sz w:val="24"/>
          <w:szCs w:val="24"/>
          <w:rtl/>
        </w:rPr>
        <w:t>על</w:t>
      </w:r>
      <w:r w:rsidRPr="004151A4">
        <w:rPr>
          <w:rFonts w:ascii="David" w:hAnsi="David"/>
          <w:b/>
          <w:bCs/>
          <w:sz w:val="24"/>
          <w:szCs w:val="24"/>
          <w:rtl/>
        </w:rPr>
        <w:t xml:space="preserve"> </w:t>
      </w:r>
      <w:r w:rsidRPr="004151A4">
        <w:rPr>
          <w:rFonts w:ascii="David" w:hAnsi="David" w:hint="eastAsia"/>
          <w:b/>
          <w:bCs/>
          <w:sz w:val="24"/>
          <w:szCs w:val="24"/>
          <w:rtl/>
        </w:rPr>
        <w:t>שיעור</w:t>
      </w:r>
      <w:r w:rsidRPr="004151A4">
        <w:rPr>
          <w:rFonts w:ascii="David" w:hAnsi="David"/>
          <w:b/>
          <w:bCs/>
          <w:sz w:val="24"/>
          <w:szCs w:val="24"/>
          <w:rtl/>
        </w:rPr>
        <w:t xml:space="preserve"> </w:t>
      </w:r>
      <w:r w:rsidRPr="004151A4">
        <w:rPr>
          <w:rFonts w:ascii="David" w:hAnsi="David" w:hint="eastAsia"/>
          <w:b/>
          <w:bCs/>
          <w:sz w:val="24"/>
          <w:szCs w:val="24"/>
          <w:rtl/>
        </w:rPr>
        <w:t>נמוך</w:t>
      </w:r>
      <w:r w:rsidRPr="004151A4">
        <w:rPr>
          <w:rFonts w:ascii="David" w:hAnsi="David"/>
          <w:b/>
          <w:bCs/>
          <w:sz w:val="24"/>
          <w:szCs w:val="24"/>
          <w:rtl/>
        </w:rPr>
        <w:t xml:space="preserve"> </w:t>
      </w:r>
      <w:r w:rsidRPr="004151A4">
        <w:rPr>
          <w:rFonts w:ascii="David" w:hAnsi="David" w:hint="eastAsia"/>
          <w:b/>
          <w:bCs/>
          <w:sz w:val="24"/>
          <w:szCs w:val="24"/>
          <w:rtl/>
        </w:rPr>
        <w:t>של</w:t>
      </w:r>
      <w:r w:rsidRPr="004151A4">
        <w:rPr>
          <w:rFonts w:ascii="David" w:hAnsi="David"/>
          <w:b/>
          <w:bCs/>
          <w:sz w:val="24"/>
          <w:szCs w:val="24"/>
          <w:rtl/>
        </w:rPr>
        <w:t xml:space="preserve"> </w:t>
      </w:r>
      <w:r w:rsidRPr="004151A4">
        <w:rPr>
          <w:rFonts w:ascii="David" w:hAnsi="David" w:hint="eastAsia"/>
          <w:b/>
          <w:bCs/>
          <w:sz w:val="24"/>
          <w:szCs w:val="24"/>
          <w:rtl/>
        </w:rPr>
        <w:t>כ</w:t>
      </w:r>
      <w:r w:rsidRPr="004151A4">
        <w:rPr>
          <w:rFonts w:ascii="David" w:hAnsi="David"/>
          <w:b/>
          <w:bCs/>
          <w:sz w:val="24"/>
          <w:szCs w:val="24"/>
          <w:rtl/>
        </w:rPr>
        <w:t xml:space="preserve">- 0.72% ביוני 2025 ושיעור יתרות החוב </w:t>
      </w:r>
      <w:r w:rsidRPr="004151A4">
        <w:rPr>
          <w:rFonts w:ascii="David" w:hAnsi="David" w:hint="eastAsia"/>
          <w:b/>
          <w:bCs/>
          <w:sz w:val="24"/>
          <w:szCs w:val="24"/>
          <w:rtl/>
        </w:rPr>
        <w:t>על</w:t>
      </w:r>
      <w:r w:rsidRPr="004151A4">
        <w:rPr>
          <w:rFonts w:ascii="David" w:hAnsi="David"/>
          <w:b/>
          <w:bCs/>
          <w:sz w:val="24"/>
          <w:szCs w:val="24"/>
          <w:rtl/>
        </w:rPr>
        <w:t xml:space="preserve"> נכסים בהליכי גבייה משפטיים עומד על כ-0.13% </w:t>
      </w:r>
      <w:r w:rsidRPr="004151A4">
        <w:rPr>
          <w:rFonts w:ascii="David" w:hAnsi="David" w:hint="eastAsia"/>
          <w:b/>
          <w:bCs/>
          <w:sz w:val="24"/>
          <w:szCs w:val="24"/>
          <w:rtl/>
        </w:rPr>
        <w:t>בלבד</w:t>
      </w:r>
      <w:r w:rsidRPr="004151A4">
        <w:rPr>
          <w:rFonts w:ascii="David" w:hAnsi="David"/>
          <w:b/>
          <w:bCs/>
          <w:sz w:val="24"/>
          <w:szCs w:val="24"/>
          <w:rtl/>
        </w:rPr>
        <w:t xml:space="preserve"> </w:t>
      </w:r>
      <w:r w:rsidRPr="004151A4">
        <w:rPr>
          <w:rFonts w:ascii="David" w:hAnsi="David" w:hint="eastAsia"/>
          <w:b/>
          <w:bCs/>
          <w:sz w:val="24"/>
          <w:szCs w:val="24"/>
          <w:rtl/>
        </w:rPr>
        <w:t>באוקטובר</w:t>
      </w:r>
      <w:r w:rsidRPr="004151A4">
        <w:rPr>
          <w:rFonts w:ascii="David" w:hAnsi="David"/>
          <w:b/>
          <w:bCs/>
          <w:sz w:val="24"/>
          <w:szCs w:val="24"/>
          <w:rtl/>
        </w:rPr>
        <w:t xml:space="preserve"> 2025.</w:t>
      </w:r>
    </w:p>
    <w:p w:rsidR="001F2586" w:rsidRPr="001F2586" w:rsidP="009C4E17">
      <w:pPr>
        <w:spacing w:line="269" w:lineRule="auto"/>
        <w:rPr>
          <w:rFonts w:eastAsia="Calibri"/>
          <w:szCs w:val="20"/>
          <w:rtl/>
        </w:rPr>
      </w:pPr>
      <w:r w:rsidRPr="001F2586">
        <w:rPr>
          <w:rFonts w:eastAsia="Calibri"/>
          <w:b/>
          <w:bCs/>
          <w:rtl/>
        </w:rPr>
        <w:t xml:space="preserve"> </w:t>
      </w:r>
    </w:p>
    <w:p w:rsidR="001F2586" w:rsidRPr="001F2586" w:rsidP="001F2586">
      <w:pPr>
        <w:spacing w:line="269" w:lineRule="auto"/>
        <w:rPr>
          <w:rFonts w:eastAsia="Calibri"/>
          <w:b/>
          <w:bCs/>
          <w:rtl/>
        </w:rPr>
      </w:pPr>
      <w:r w:rsidRPr="001F2586">
        <w:rPr>
          <w:rFonts w:eastAsia="Calibri" w:hint="cs"/>
          <w:b/>
          <w:bCs/>
          <w:rtl/>
        </w:rPr>
        <w:t>מומלץ כי הפיקוח על הבנקים ימשיך לעקוב אחר מדדים אלו ואחרים לבחינת איכות האשראי לדיור במערכת הבנקאית ורמת הסיכון מהלוואות שלא משולמות כסדרן.</w:t>
      </w:r>
    </w:p>
    <w:bookmarkEnd w:id="2"/>
    <w:p w:rsidR="001F2586" w:rsidRPr="001F2586" w:rsidP="001F2586">
      <w:pPr>
        <w:spacing w:line="269" w:lineRule="auto"/>
        <w:rPr>
          <w:rFonts w:eastAsia="Calibri"/>
          <w:rtl/>
        </w:rPr>
      </w:pPr>
    </w:p>
    <w:p w:rsidR="001F2586" w:rsidRPr="001F2586" w:rsidP="001F2586">
      <w:pPr>
        <w:keepNext/>
        <w:keepLines/>
        <w:spacing w:line="269" w:lineRule="auto"/>
        <w:outlineLvl w:val="2"/>
        <w:rPr>
          <w:rFonts w:eastAsia="Times New Roman"/>
          <w:bCs/>
          <w:szCs w:val="28"/>
          <w:u w:val="single"/>
          <w:rtl/>
        </w:rPr>
      </w:pPr>
      <w:bookmarkStart w:id="41" w:name="_Hlk214776872"/>
      <w:r w:rsidRPr="001F2586">
        <w:rPr>
          <w:rFonts w:eastAsia="Times New Roman" w:hint="cs"/>
          <w:bCs/>
          <w:szCs w:val="28"/>
          <w:u w:val="single"/>
          <w:rtl/>
        </w:rPr>
        <w:t>ענף הבנייה והשפעתו על שוק המשכנתאות</w:t>
      </w:r>
    </w:p>
    <w:bookmarkEnd w:id="41"/>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ענף הבנייה בישראל הוא מרכיב מרכזי במשק ובעל השפעה משמעותית על התוצר המקומי הגולמי ועל שוק האשראי. מרכזיותו של ענף הבנייה באשראי למגזר העסקי משפיעה על היציבות הפיננסית </w:t>
      </w:r>
      <w:r w:rsidRPr="001F2586">
        <w:rPr>
          <w:rFonts w:eastAsia="Calibri" w:hint="cs"/>
          <w:rtl/>
        </w:rPr>
        <w:t>המערכתית, ומשפיעה בעקיפין גם על האשראי למשקי הבית, בדמות המשכנתאות</w:t>
      </w:r>
      <w:r>
        <w:rPr>
          <w:rFonts w:eastAsia="Calibri"/>
          <w:vertAlign w:val="superscript"/>
          <w:rtl/>
        </w:rPr>
        <w:footnoteReference w:id="149"/>
      </w:r>
      <w:r w:rsidRPr="001F2586">
        <w:rPr>
          <w:rFonts w:eastAsia="Calibri" w:hint="cs"/>
          <w:rtl/>
        </w:rPr>
        <w:t>. יתרת החוב של ענף הבינוי, שרובה כלפי המערכת הבנקאית</w:t>
      </w:r>
      <w:r>
        <w:rPr>
          <w:rFonts w:eastAsia="Calibri"/>
          <w:vertAlign w:val="superscript"/>
          <w:rtl/>
        </w:rPr>
        <w:footnoteReference w:id="150"/>
      </w:r>
      <w:r w:rsidRPr="001F2586">
        <w:rPr>
          <w:rFonts w:eastAsia="Calibri" w:hint="cs"/>
          <w:rtl/>
        </w:rPr>
        <w:t>, עמדה בסוף הרבעון השני של 2025 על 246.4 מיליארד ש"ח (16.8% מיתרת החוב של המגזר העסקי הלא פיננסי)</w:t>
      </w:r>
      <w:r>
        <w:rPr>
          <w:rFonts w:eastAsia="Calibri"/>
          <w:vertAlign w:val="superscript"/>
          <w:rtl/>
        </w:rPr>
        <w:footnoteReference w:id="151"/>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תמהיל האשראי הבנקאי לענף הבינוי נחלק בין חוב מאזני לערבויות חוץ-מאזניות</w:t>
      </w:r>
      <w:r>
        <w:rPr>
          <w:rFonts w:eastAsia="Calibri"/>
          <w:vertAlign w:val="superscript"/>
          <w:rtl/>
        </w:rPr>
        <w:footnoteReference w:id="152"/>
      </w:r>
      <w:r w:rsidRPr="001F2586">
        <w:rPr>
          <w:rFonts w:eastAsia="Calibri" w:hint="cs"/>
          <w:rtl/>
        </w:rPr>
        <w:t xml:space="preserve"> - ערבויות חוק המכר, שהבנק מעמיד </w:t>
      </w:r>
      <w:r w:rsidRPr="001F2586">
        <w:rPr>
          <w:rFonts w:eastAsia="Calibri" w:hint="cs"/>
          <w:rtl/>
        </w:rPr>
        <w:t>לרוכשי</w:t>
      </w:r>
      <w:r w:rsidRPr="001F2586">
        <w:rPr>
          <w:rFonts w:eastAsia="Calibri" w:hint="cs"/>
          <w:rtl/>
        </w:rPr>
        <w:t xml:space="preserve"> הדירות</w:t>
      </w:r>
      <w:r>
        <w:rPr>
          <w:rFonts w:eastAsia="Calibri"/>
          <w:vertAlign w:val="superscript"/>
          <w:rtl/>
        </w:rPr>
        <w:footnoteReference w:id="153"/>
      </w:r>
      <w:r w:rsidRPr="001F2586">
        <w:rPr>
          <w:rFonts w:eastAsia="Calibri" w:hint="cs"/>
          <w:rtl/>
        </w:rPr>
        <w:t xml:space="preserve">. היקף ערבויות חוק המכר משקף במידה רבה את </w:t>
      </w:r>
      <w:r w:rsidRPr="001F2586">
        <w:rPr>
          <w:rFonts w:eastAsia="Calibri" w:hint="cs"/>
          <w:rtl/>
        </w:rPr>
        <w:t>התזרים</w:t>
      </w:r>
      <w:r w:rsidRPr="001F2586">
        <w:rPr>
          <w:rFonts w:eastAsia="Calibri" w:hint="cs"/>
          <w:rtl/>
        </w:rPr>
        <w:t xml:space="preserve"> הכספי של קבלני הבנייה או היזמים (להלן - קבלנים) ממכירת דירות. מכירת דירות בהיקף גדול ביחס לאלו שהחלה בנייתן מפחיתה את הצורך באשראי למימון התקדמות הבנייה, אך מעלה את הדרישה להגדיל את היקף ערבויות חוק המכר, המהוות חשיפות חוץ-מאזניות של הבנק כלפי הקבלנים</w:t>
      </w:r>
      <w:r>
        <w:rPr>
          <w:rFonts w:eastAsia="Calibri"/>
          <w:vertAlign w:val="superscript"/>
          <w:rtl/>
        </w:rPr>
        <w:footnoteReference w:id="154"/>
      </w:r>
      <w:r w:rsidRPr="001F2586">
        <w:rPr>
          <w:rFonts w:eastAsia="Calibri" w:hint="cs"/>
          <w:rtl/>
        </w:rPr>
        <w:t>. התרשים להלן מציג את התפתחות תמהיל האשראי הבנקאי לענף הבינוי ממרץ 2019 ועד ספטמבר 2024.</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20:</w:t>
      </w:r>
      <w:r w:rsidRPr="001F2586">
        <w:rPr>
          <w:rFonts w:eastAsia="Calibri" w:hint="cs"/>
          <w:bCs/>
          <w:sz w:val="24"/>
          <w:rtl/>
        </w:rPr>
        <w:t xml:space="preserve"> </w:t>
      </w:r>
      <w:r w:rsidRPr="001F2586">
        <w:rPr>
          <w:rFonts w:eastAsia="Calibri" w:hint="eastAsia"/>
          <w:bCs/>
          <w:sz w:val="24"/>
          <w:rtl/>
        </w:rPr>
        <w:t>התפתחות</w:t>
      </w:r>
      <w:r w:rsidRPr="001F2586">
        <w:rPr>
          <w:rFonts w:eastAsia="Calibri"/>
          <w:bCs/>
          <w:sz w:val="24"/>
          <w:rtl/>
        </w:rPr>
        <w:t xml:space="preserve"> תמהיל האשראי הבנקאי לענף הבינוי, מרץ 2019 עד ספטמבר 2024 </w:t>
      </w:r>
    </w:p>
    <w:p w:rsidR="001F2586" w:rsidRPr="001F2586" w:rsidP="001F2586">
      <w:pPr>
        <w:spacing w:line="269" w:lineRule="auto"/>
        <w:jc w:val="center"/>
        <w:rPr>
          <w:rFonts w:eastAsia="Calibri"/>
          <w:rtl/>
        </w:rPr>
      </w:pPr>
      <w:r w:rsidRPr="001F2586">
        <w:rPr>
          <w:rFonts w:eastAsia="Calibri"/>
          <w:noProof/>
        </w:rPr>
        <w:drawing>
          <wp:inline distT="0" distB="0" distL="0" distR="0">
            <wp:extent cx="4457219" cy="2366052"/>
            <wp:effectExtent l="0" t="0" r="635" b="0"/>
            <wp:docPr id="41" name="תמונה 41" descr="מדד הערבויות עלה מ-100 ל-180 ומדד החובות מ-100 ל-240 בתקופה ממרץ 2019 עד ספטמבר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31"/>
                    <a:stretch>
                      <a:fillRect/>
                    </a:stretch>
                  </pic:blipFill>
                  <pic:spPr>
                    <a:xfrm>
                      <a:off x="0" y="0"/>
                      <a:ext cx="4486066" cy="2381365"/>
                    </a:xfrm>
                    <a:prstGeom prst="rect">
                      <a:avLst/>
                    </a:prstGeom>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המקור: דוח בנק ישראל 2024.</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ניתן לראות בתרשים כי מסוף שנת 2021 הואט קצב הגידול של מתן ערבויות חוק מכר ביחס להיקף החובות של הקבלנים למערכת הבנקאית. מקור הפער בקצב הגידול של שני רכיבי תמהיל האשראי הבנקאי מבטא פגיעה </w:t>
      </w:r>
      <w:r w:rsidRPr="001F2586">
        <w:rPr>
          <w:rFonts w:eastAsia="Calibri" w:hint="cs"/>
          <w:rtl/>
        </w:rPr>
        <w:t>בתזרים</w:t>
      </w:r>
      <w:r w:rsidRPr="001F2586">
        <w:rPr>
          <w:rFonts w:eastAsia="Calibri" w:hint="cs"/>
          <w:rtl/>
        </w:rPr>
        <w:t xml:space="preserve"> המזומנים של הקבלנים ממכירת דירות, אגב צורך בהגדלת האשראי הבנקאי למימון קרקעות ותהליכי בנייה. זאת בשל התארכות משך הבנייה, שהובילה לעיכובים בהשלמת פרויקטים, ובהתאם לכך לדחייה בקבלת התמורה ובשחרור ערבויות מכר לתשלומים קודמים.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התרשים שלהלן מציג את התפתחות תמהיל האשראי הבנקאי </w:t>
      </w:r>
      <w:r w:rsidRPr="001F2586">
        <w:rPr>
          <w:rFonts w:eastAsia="Calibri" w:hint="cs"/>
          <w:rtl/>
        </w:rPr>
        <w:t>המאזני</w:t>
      </w:r>
      <w:r w:rsidRPr="001F2586">
        <w:rPr>
          <w:rFonts w:eastAsia="Calibri" w:hint="cs"/>
          <w:rtl/>
        </w:rPr>
        <w:t xml:space="preserve"> בחלוקה לקרקעות גולמיות ולקרקעות לתהליכי בנייה בשנים האחרונות. </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sz w:val="24"/>
          <w:rtl/>
        </w:rPr>
      </w:pPr>
      <w:bookmarkStart w:id="42" w:name="_Hlk233031819"/>
      <w:r w:rsidRPr="001F2586">
        <w:rPr>
          <w:rFonts w:eastAsia="Calibri" w:hint="cs"/>
          <w:b/>
          <w:sz w:val="24"/>
          <w:rtl/>
        </w:rPr>
        <w:t>תרשים 21:</w:t>
      </w:r>
      <w:r w:rsidRPr="001F2586">
        <w:rPr>
          <w:rFonts w:eastAsia="Calibri" w:hint="cs"/>
          <w:bCs/>
          <w:sz w:val="24"/>
          <w:rtl/>
        </w:rPr>
        <w:t xml:space="preserve"> </w:t>
      </w:r>
      <w:r w:rsidRPr="00507697">
        <w:rPr>
          <w:rFonts w:eastAsia="Calibri" w:hint="eastAsia"/>
          <w:bCs/>
          <w:sz w:val="24"/>
          <w:rtl/>
        </w:rPr>
        <w:t>התפתחות</w:t>
      </w:r>
      <w:r w:rsidRPr="001F2586">
        <w:rPr>
          <w:rFonts w:eastAsia="Calibri"/>
          <w:bCs/>
          <w:sz w:val="24"/>
          <w:rtl/>
        </w:rPr>
        <w:t xml:space="preserve"> </w:t>
      </w:r>
      <w:r w:rsidRPr="001F2586">
        <w:rPr>
          <w:rFonts w:eastAsia="Calibri" w:hint="eastAsia"/>
          <w:bCs/>
          <w:sz w:val="24"/>
          <w:rtl/>
        </w:rPr>
        <w:t>האשראי</w:t>
      </w:r>
      <w:r w:rsidRPr="001F2586">
        <w:rPr>
          <w:rFonts w:eastAsia="Calibri"/>
          <w:bCs/>
          <w:sz w:val="24"/>
          <w:rtl/>
        </w:rPr>
        <w:t xml:space="preserve"> </w:t>
      </w:r>
      <w:r w:rsidRPr="001F2586">
        <w:rPr>
          <w:rFonts w:eastAsia="Calibri" w:hint="eastAsia"/>
          <w:bCs/>
          <w:sz w:val="24"/>
          <w:rtl/>
        </w:rPr>
        <w:t>הבנקאי</w:t>
      </w:r>
      <w:r w:rsidRPr="001F2586">
        <w:rPr>
          <w:rFonts w:eastAsia="Calibri"/>
          <w:bCs/>
          <w:sz w:val="24"/>
          <w:rtl/>
        </w:rPr>
        <w:t xml:space="preserve"> </w:t>
      </w:r>
      <w:r w:rsidRPr="001F2586">
        <w:rPr>
          <w:rFonts w:eastAsia="Calibri" w:hint="eastAsia"/>
          <w:bCs/>
          <w:sz w:val="24"/>
          <w:rtl/>
        </w:rPr>
        <w:t>המאזני</w:t>
      </w:r>
      <w:r w:rsidRPr="001F2586">
        <w:rPr>
          <w:rFonts w:eastAsia="Calibri"/>
          <w:bCs/>
          <w:sz w:val="24"/>
          <w:rtl/>
        </w:rPr>
        <w:t xml:space="preserve"> </w:t>
      </w:r>
      <w:r w:rsidRPr="001F2586">
        <w:rPr>
          <w:rFonts w:eastAsia="Calibri" w:hint="eastAsia"/>
          <w:bCs/>
          <w:sz w:val="24"/>
          <w:rtl/>
        </w:rPr>
        <w:t>לענף</w:t>
      </w:r>
      <w:r w:rsidRPr="001F2586">
        <w:rPr>
          <w:rFonts w:eastAsia="Calibri"/>
          <w:bCs/>
          <w:sz w:val="24"/>
          <w:rtl/>
        </w:rPr>
        <w:t xml:space="preserve"> </w:t>
      </w:r>
      <w:r w:rsidRPr="001F2586">
        <w:rPr>
          <w:rFonts w:eastAsia="Calibri" w:hint="eastAsia"/>
          <w:bCs/>
          <w:sz w:val="24"/>
          <w:rtl/>
        </w:rPr>
        <w:t>הבנייה</w:t>
      </w:r>
      <w:r w:rsidRPr="001F2586">
        <w:rPr>
          <w:rFonts w:eastAsia="Calibri"/>
          <w:bCs/>
          <w:sz w:val="24"/>
          <w:rtl/>
        </w:rPr>
        <w:t xml:space="preserve"> </w:t>
      </w:r>
      <w:r w:rsidRPr="001F2586">
        <w:rPr>
          <w:rFonts w:eastAsia="Calibri" w:hint="eastAsia"/>
          <w:bCs/>
          <w:sz w:val="24"/>
          <w:rtl/>
        </w:rPr>
        <w:t>עבור</w:t>
      </w:r>
      <w:r w:rsidRPr="001F2586">
        <w:rPr>
          <w:rFonts w:eastAsia="Calibri"/>
          <w:bCs/>
          <w:sz w:val="24"/>
          <w:rtl/>
        </w:rPr>
        <w:t xml:space="preserve"> </w:t>
      </w:r>
      <w:r w:rsidRPr="001F2586">
        <w:rPr>
          <w:rFonts w:eastAsia="Calibri" w:hint="eastAsia"/>
          <w:bCs/>
          <w:sz w:val="24"/>
          <w:rtl/>
        </w:rPr>
        <w:t>קרקעות</w:t>
      </w:r>
      <w:r w:rsidRPr="001F2586">
        <w:rPr>
          <w:rFonts w:eastAsia="Calibri"/>
          <w:bCs/>
          <w:sz w:val="24"/>
          <w:rtl/>
        </w:rPr>
        <w:t xml:space="preserve"> </w:t>
      </w:r>
      <w:r w:rsidRPr="001F2586">
        <w:rPr>
          <w:rFonts w:eastAsia="Calibri" w:hint="eastAsia"/>
          <w:bCs/>
          <w:sz w:val="24"/>
          <w:rtl/>
        </w:rPr>
        <w:t>גולמיות</w:t>
      </w:r>
      <w:r w:rsidRPr="001F2586">
        <w:rPr>
          <w:rFonts w:eastAsia="Calibri"/>
          <w:bCs/>
          <w:sz w:val="24"/>
          <w:rtl/>
        </w:rPr>
        <w:t xml:space="preserve"> </w:t>
      </w:r>
      <w:r w:rsidRPr="001F2586">
        <w:rPr>
          <w:rFonts w:eastAsia="Calibri" w:hint="eastAsia"/>
          <w:bCs/>
          <w:sz w:val="24"/>
          <w:rtl/>
        </w:rPr>
        <w:t>ותהליכי</w:t>
      </w:r>
      <w:r w:rsidRPr="001F2586">
        <w:rPr>
          <w:rFonts w:eastAsia="Calibri"/>
          <w:bCs/>
          <w:sz w:val="24"/>
          <w:rtl/>
        </w:rPr>
        <w:t xml:space="preserve"> </w:t>
      </w:r>
      <w:r w:rsidRPr="001F2586">
        <w:rPr>
          <w:rFonts w:eastAsia="Calibri" w:hint="eastAsia"/>
          <w:bCs/>
          <w:sz w:val="24"/>
          <w:rtl/>
        </w:rPr>
        <w:t>בנייה</w:t>
      </w:r>
      <w:r w:rsidRPr="001F2586">
        <w:rPr>
          <w:rFonts w:eastAsia="Calibri"/>
          <w:bCs/>
          <w:sz w:val="24"/>
          <w:rtl/>
        </w:rPr>
        <w:t xml:space="preserve">, </w:t>
      </w:r>
      <w:r w:rsidRPr="001F2586">
        <w:rPr>
          <w:rFonts w:eastAsia="Calibri" w:hint="eastAsia"/>
          <w:bCs/>
          <w:sz w:val="24"/>
          <w:rtl/>
        </w:rPr>
        <w:t>ספטמבר</w:t>
      </w:r>
      <w:r w:rsidRPr="001F2586">
        <w:rPr>
          <w:rFonts w:eastAsia="Calibri"/>
          <w:bCs/>
          <w:sz w:val="24"/>
          <w:rtl/>
        </w:rPr>
        <w:t xml:space="preserve"> 2022 - </w:t>
      </w:r>
      <w:r w:rsidRPr="001F2586">
        <w:rPr>
          <w:rFonts w:eastAsia="Calibri" w:hint="eastAsia"/>
          <w:bCs/>
          <w:sz w:val="24"/>
          <w:rtl/>
        </w:rPr>
        <w:t>יוני</w:t>
      </w:r>
      <w:r w:rsidRPr="001F2586">
        <w:rPr>
          <w:rFonts w:eastAsia="Calibri"/>
          <w:bCs/>
          <w:sz w:val="24"/>
          <w:rtl/>
        </w:rPr>
        <w:t xml:space="preserve"> 2025 </w:t>
      </w:r>
      <w:r w:rsidRPr="001F2586">
        <w:rPr>
          <w:rFonts w:eastAsia="Calibri" w:hint="cs"/>
          <w:bCs/>
          <w:sz w:val="24"/>
          <w:rtl/>
        </w:rPr>
        <w:t>(</w:t>
      </w:r>
      <w:r w:rsidRPr="001F2586">
        <w:rPr>
          <w:rFonts w:eastAsia="Calibri" w:hint="eastAsia"/>
          <w:bCs/>
          <w:sz w:val="24"/>
          <w:rtl/>
        </w:rPr>
        <w:t>במיליארדי</w:t>
      </w:r>
      <w:r w:rsidRPr="001F2586">
        <w:rPr>
          <w:rFonts w:eastAsia="Calibri"/>
          <w:bCs/>
          <w:sz w:val="24"/>
          <w:rtl/>
        </w:rPr>
        <w:t xml:space="preserve"> </w:t>
      </w:r>
      <w:r w:rsidRPr="001F2586">
        <w:rPr>
          <w:rFonts w:eastAsia="Calibri" w:hint="eastAsia"/>
          <w:bCs/>
          <w:sz w:val="24"/>
          <w:rtl/>
        </w:rPr>
        <w:t>ש</w:t>
      </w:r>
      <w:r w:rsidRPr="001F2586">
        <w:rPr>
          <w:rFonts w:eastAsia="Calibri"/>
          <w:bCs/>
          <w:sz w:val="24"/>
          <w:rtl/>
        </w:rPr>
        <w:t>"ח</w:t>
      </w:r>
      <w:r w:rsidRPr="001F2586">
        <w:rPr>
          <w:rFonts w:eastAsia="Calibri" w:hint="cs"/>
          <w:bCs/>
          <w:sz w:val="24"/>
          <w:rtl/>
        </w:rPr>
        <w:t>)</w:t>
      </w:r>
    </w:p>
    <w:bookmarkEnd w:id="42"/>
    <w:p w:rsidR="001F2586" w:rsidRPr="001F2586" w:rsidP="001F2586">
      <w:pPr>
        <w:spacing w:line="269" w:lineRule="auto"/>
        <w:jc w:val="center"/>
        <w:rPr>
          <w:rFonts w:eastAsia="Calibri"/>
          <w:sz w:val="16"/>
          <w:szCs w:val="20"/>
          <w:rtl/>
        </w:rPr>
      </w:pPr>
      <w:r w:rsidRPr="001F2586">
        <w:rPr>
          <w:rFonts w:eastAsia="Calibri"/>
          <w:noProof/>
          <w:sz w:val="16"/>
          <w:szCs w:val="20"/>
        </w:rPr>
        <w:drawing>
          <wp:inline distT="0" distB="0" distL="0" distR="0">
            <wp:extent cx="5218430" cy="2792095"/>
            <wp:effectExtent l="0" t="0" r="1270" b="8255"/>
            <wp:docPr id="5" name="תמונה 5" descr="האשראי הבנקאי המאזני לענף הבנייה עבור קרקעות גולמיות ותהליכי בנייה השתנה באופן הבא בתקופה מספטבמר 2024 - יוני 2025:&#10;אשראי לקרקע גולמית זמינה לבניה למגורים- עלה מכ-60 מיליארד ש&quot;ח לכ-81 מיליארד ש&quot;ח; אשראי לקרקע גולמית שאינה זמינה לבנייה למגורים היה בטווח של כ-22- 23 מיליארד ש&quot;ח; אשראי לתהליכי בנייה למגורים עלה מכ-18 מיליארד ש&quot;ח לכ-52 מיליארד ש&quot;ח; ואשראי לתהליכי בנייה למגורים שאינה למכירה עלה מכ-5 מיליארד ש&quot;ח לכ-8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2792095"/>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הפיקוח על הבנקים, בעיבוד משרד מבקר המדינה.</w:t>
      </w:r>
    </w:p>
    <w:p w:rsidR="001F2586" w:rsidRPr="001F2586" w:rsidP="001F2586">
      <w:pPr>
        <w:spacing w:line="269" w:lineRule="auto"/>
        <w:rPr>
          <w:rFonts w:eastAsia="Calibri"/>
          <w:sz w:val="16"/>
          <w:szCs w:val="20"/>
          <w:rtl/>
        </w:rPr>
      </w:pPr>
      <w:r w:rsidRPr="001F2586">
        <w:rPr>
          <w:rFonts w:eastAsia="Calibri" w:hint="cs"/>
          <w:sz w:val="16"/>
          <w:szCs w:val="20"/>
          <w:rtl/>
        </w:rPr>
        <w:t xml:space="preserve">* תהליכי בנייה למגורים שאינה למכירה מתייחס לאשראי שניתן לפרויקטים שבהם הדירות אינן מיועדות למכירה, כגון: דירות בעסקאות קומבינציה שאותן הקבלן אינו מייעד למכירה, בנייה עצמית, התחדשות עירונית, קבוצות רכישה ועוד.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ניתן</w:t>
      </w:r>
      <w:r w:rsidRPr="001F2586">
        <w:rPr>
          <w:rFonts w:eastAsia="Calibri"/>
          <w:b/>
          <w:bCs/>
          <w:rtl/>
        </w:rPr>
        <w:t xml:space="preserve"> לראות בתרשים כי סך האשראי הבנקאי </w:t>
      </w:r>
      <w:r w:rsidRPr="001F2586">
        <w:rPr>
          <w:rFonts w:eastAsia="Calibri" w:hint="eastAsia"/>
          <w:b/>
          <w:bCs/>
          <w:rtl/>
        </w:rPr>
        <w:t>המאזני</w:t>
      </w:r>
      <w:r w:rsidRPr="001F2586">
        <w:rPr>
          <w:rFonts w:eastAsia="Calibri"/>
          <w:b/>
          <w:bCs/>
          <w:rtl/>
        </w:rPr>
        <w:t xml:space="preserve"> לענף הבנייה גדל בין השנים 2022 2025 מסך כ-105 מיליארד </w:t>
      </w:r>
      <w:r w:rsidRPr="001F2586">
        <w:rPr>
          <w:rFonts w:eastAsia="Calibri" w:hint="eastAsia"/>
          <w:b/>
          <w:bCs/>
          <w:rtl/>
        </w:rPr>
        <w:t>ש</w:t>
      </w:r>
      <w:r w:rsidRPr="001F2586">
        <w:rPr>
          <w:rFonts w:eastAsia="Calibri"/>
          <w:b/>
          <w:bCs/>
          <w:rtl/>
        </w:rPr>
        <w:t xml:space="preserve">"ח לסך כ-163 מיליארד </w:t>
      </w:r>
      <w:r w:rsidRPr="001F2586">
        <w:rPr>
          <w:rFonts w:eastAsia="Calibri" w:hint="eastAsia"/>
          <w:b/>
          <w:bCs/>
          <w:rtl/>
        </w:rPr>
        <w:t>ש</w:t>
      </w:r>
      <w:r w:rsidRPr="001F2586">
        <w:rPr>
          <w:rFonts w:eastAsia="Calibri"/>
          <w:b/>
          <w:bCs/>
          <w:rtl/>
        </w:rPr>
        <w:t>"ח. בעוד שהאשראי לקרקעות גולמיות נותר ללא שינוי מהותי מהרבעון הראשון של 2023</w:t>
      </w:r>
      <w:r>
        <w:rPr>
          <w:rFonts w:eastAsia="Calibri"/>
          <w:b/>
          <w:bCs/>
          <w:vertAlign w:val="superscript"/>
          <w:rtl/>
        </w:rPr>
        <w:footnoteReference w:id="155"/>
      </w:r>
      <w:r w:rsidRPr="001F2586">
        <w:rPr>
          <w:rFonts w:eastAsia="Calibri"/>
          <w:b/>
          <w:bCs/>
          <w:rtl/>
        </w:rPr>
        <w:t xml:space="preserve">(נותר סביב כ-100 מיליארד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סך</w:t>
      </w:r>
      <w:r w:rsidRPr="001F2586">
        <w:rPr>
          <w:rFonts w:eastAsia="Calibri"/>
          <w:b/>
          <w:bCs/>
          <w:rtl/>
        </w:rPr>
        <w:t xml:space="preserve"> </w:t>
      </w:r>
      <w:r w:rsidRPr="001F2586">
        <w:rPr>
          <w:rFonts w:eastAsia="Calibri" w:hint="eastAsia"/>
          <w:b/>
          <w:bCs/>
          <w:rtl/>
        </w:rPr>
        <w:t>האשראי</w:t>
      </w:r>
      <w:r w:rsidRPr="001F2586">
        <w:rPr>
          <w:rFonts w:eastAsia="Calibri"/>
          <w:b/>
          <w:bCs/>
          <w:rtl/>
        </w:rPr>
        <w:t xml:space="preserve"> </w:t>
      </w:r>
      <w:r w:rsidRPr="001F2586">
        <w:rPr>
          <w:rFonts w:eastAsia="Calibri" w:hint="eastAsia"/>
          <w:b/>
          <w:bCs/>
          <w:rtl/>
        </w:rPr>
        <w:t>הבנקאי</w:t>
      </w:r>
      <w:r w:rsidRPr="001F2586">
        <w:rPr>
          <w:rFonts w:eastAsia="Calibri"/>
          <w:b/>
          <w:bCs/>
          <w:rtl/>
        </w:rPr>
        <w:t xml:space="preserve"> </w:t>
      </w:r>
      <w:r w:rsidRPr="001F2586">
        <w:rPr>
          <w:rFonts w:eastAsia="Calibri" w:hint="eastAsia"/>
          <w:b/>
          <w:bCs/>
          <w:rtl/>
        </w:rPr>
        <w:t>עבור</w:t>
      </w:r>
      <w:r w:rsidRPr="001F2586">
        <w:rPr>
          <w:rFonts w:eastAsia="Calibri"/>
          <w:b/>
          <w:bCs/>
          <w:rtl/>
        </w:rPr>
        <w:t xml:space="preserve"> </w:t>
      </w:r>
      <w:r w:rsidRPr="001F2586">
        <w:rPr>
          <w:rFonts w:eastAsia="Calibri" w:hint="eastAsia"/>
          <w:b/>
          <w:bCs/>
          <w:rtl/>
        </w:rPr>
        <w:t>קרקעות</w:t>
      </w:r>
      <w:r w:rsidRPr="001F2586">
        <w:rPr>
          <w:rFonts w:eastAsia="Calibri"/>
          <w:b/>
          <w:bCs/>
          <w:rtl/>
        </w:rPr>
        <w:t xml:space="preserve"> </w:t>
      </w:r>
      <w:r w:rsidRPr="001F2586">
        <w:rPr>
          <w:rFonts w:eastAsia="Calibri" w:hint="eastAsia"/>
          <w:b/>
          <w:bCs/>
          <w:rtl/>
        </w:rPr>
        <w:t>בתהליכי</w:t>
      </w:r>
      <w:r w:rsidRPr="001F2586">
        <w:rPr>
          <w:rFonts w:eastAsia="Calibri"/>
          <w:b/>
          <w:bCs/>
          <w:rtl/>
        </w:rPr>
        <w:t xml:space="preserve"> </w:t>
      </w:r>
      <w:r w:rsidRPr="001F2586">
        <w:rPr>
          <w:rFonts w:eastAsia="Calibri" w:hint="eastAsia"/>
          <w:b/>
          <w:bCs/>
          <w:rtl/>
        </w:rPr>
        <w:t>בנייה</w:t>
      </w:r>
      <w:r w:rsidRPr="001F2586">
        <w:rPr>
          <w:rFonts w:eastAsia="Calibri"/>
          <w:b/>
          <w:bCs/>
          <w:rtl/>
        </w:rPr>
        <w:t xml:space="preserve"> </w:t>
      </w:r>
      <w:r w:rsidRPr="001F2586">
        <w:rPr>
          <w:rFonts w:eastAsia="Calibri" w:hint="eastAsia"/>
          <w:b/>
          <w:bCs/>
          <w:rtl/>
        </w:rPr>
        <w:t>למגורים</w:t>
      </w:r>
      <w:r w:rsidRPr="001F2586">
        <w:rPr>
          <w:rFonts w:eastAsia="Calibri"/>
          <w:b/>
          <w:bCs/>
          <w:rtl/>
        </w:rPr>
        <w:t xml:space="preserve">, </w:t>
      </w:r>
      <w:r w:rsidRPr="001F2586">
        <w:rPr>
          <w:rFonts w:eastAsia="Calibri" w:hint="eastAsia"/>
          <w:b/>
          <w:bCs/>
          <w:rtl/>
        </w:rPr>
        <w:t>ובמיוחד</w:t>
      </w:r>
      <w:r w:rsidRPr="001F2586">
        <w:rPr>
          <w:rFonts w:eastAsia="Calibri"/>
          <w:b/>
          <w:bCs/>
          <w:rtl/>
        </w:rPr>
        <w:t xml:space="preserve"> </w:t>
      </w:r>
      <w:r w:rsidRPr="001F2586">
        <w:rPr>
          <w:rFonts w:eastAsia="Calibri" w:hint="eastAsia"/>
          <w:b/>
          <w:bCs/>
          <w:rtl/>
        </w:rPr>
        <w:t>למכירה</w:t>
      </w:r>
      <w:r w:rsidRPr="001F2586">
        <w:rPr>
          <w:rFonts w:eastAsia="Calibri"/>
          <w:b/>
          <w:bCs/>
          <w:rtl/>
        </w:rPr>
        <w:t xml:space="preserve">, </w:t>
      </w:r>
      <w:r w:rsidRPr="001F2586">
        <w:rPr>
          <w:rFonts w:eastAsia="Calibri" w:hint="eastAsia"/>
          <w:b/>
          <w:bCs/>
          <w:rtl/>
        </w:rPr>
        <w:t>גדל</w:t>
      </w:r>
      <w:r w:rsidRPr="001F2586">
        <w:rPr>
          <w:rFonts w:eastAsia="Calibri"/>
          <w:b/>
          <w:bCs/>
          <w:rtl/>
        </w:rPr>
        <w:t xml:space="preserve"> </w:t>
      </w:r>
      <w:r w:rsidRPr="001F2586">
        <w:rPr>
          <w:rFonts w:eastAsia="Calibri" w:hint="eastAsia"/>
          <w:b/>
          <w:bCs/>
          <w:rtl/>
        </w:rPr>
        <w:t>ברציפות</w:t>
      </w:r>
      <w:r w:rsidRPr="001F2586">
        <w:rPr>
          <w:rFonts w:eastAsia="Calibri"/>
          <w:b/>
          <w:bCs/>
          <w:rtl/>
        </w:rPr>
        <w:t xml:space="preserve"> </w:t>
      </w:r>
      <w:r w:rsidRPr="001F2586">
        <w:rPr>
          <w:rFonts w:eastAsia="Calibri" w:hint="eastAsia"/>
          <w:b/>
          <w:bCs/>
          <w:rtl/>
        </w:rPr>
        <w:t>לאורך</w:t>
      </w:r>
      <w:r w:rsidRPr="001F2586">
        <w:rPr>
          <w:rFonts w:eastAsia="Calibri"/>
          <w:b/>
          <w:bCs/>
          <w:rtl/>
        </w:rPr>
        <w:t xml:space="preserve"> </w:t>
      </w:r>
      <w:r w:rsidRPr="001F2586">
        <w:rPr>
          <w:rFonts w:eastAsia="Calibri" w:hint="eastAsia"/>
          <w:b/>
          <w:bCs/>
          <w:rtl/>
        </w:rPr>
        <w:t>התקופה</w:t>
      </w:r>
      <w:r w:rsidRPr="001F2586">
        <w:rPr>
          <w:rFonts w:eastAsia="Calibri"/>
          <w:b/>
          <w:bCs/>
          <w:rtl/>
        </w:rPr>
        <w:t xml:space="preserve"> (גידול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w:t>
      </w:r>
      <w:r w:rsidRPr="001F2586">
        <w:rPr>
          <w:rFonts w:eastAsia="Calibri"/>
          <w:b/>
          <w:bCs/>
          <w:rtl/>
        </w:rPr>
        <w:t>-</w:t>
      </w:r>
      <w:r w:rsidR="00507C3D">
        <w:rPr>
          <w:rFonts w:eastAsia="Calibri" w:hint="cs"/>
          <w:b/>
          <w:bCs/>
          <w:rtl/>
        </w:rPr>
        <w:t>189</w:t>
      </w:r>
      <w:r w:rsidRPr="001F2586">
        <w:rPr>
          <w:rFonts w:eastAsia="Calibri"/>
          <w:b/>
          <w:bCs/>
          <w:rtl/>
        </w:rPr>
        <w:t xml:space="preserve">% </w:t>
      </w:r>
      <w:r w:rsidRPr="001F2586">
        <w:rPr>
          <w:rFonts w:eastAsia="Calibri" w:hint="eastAsia"/>
          <w:b/>
          <w:bCs/>
          <w:rtl/>
        </w:rPr>
        <w:t>בין</w:t>
      </w:r>
      <w:r w:rsidRPr="001F2586">
        <w:rPr>
          <w:rFonts w:eastAsia="Calibri"/>
          <w:b/>
          <w:bCs/>
          <w:rtl/>
        </w:rPr>
        <w:t xml:space="preserve"> </w:t>
      </w:r>
      <w:r w:rsidRPr="001F2586">
        <w:rPr>
          <w:rFonts w:eastAsia="Calibri" w:hint="eastAsia"/>
          <w:b/>
          <w:bCs/>
          <w:rtl/>
        </w:rPr>
        <w:t>הרבעון</w:t>
      </w:r>
      <w:r w:rsidRPr="001F2586">
        <w:rPr>
          <w:rFonts w:eastAsia="Calibri"/>
          <w:b/>
          <w:bCs/>
          <w:rtl/>
        </w:rPr>
        <w:t xml:space="preserve"> </w:t>
      </w:r>
      <w:r w:rsidRPr="001F2586">
        <w:rPr>
          <w:rFonts w:eastAsia="Calibri" w:hint="eastAsia"/>
          <w:b/>
          <w:bCs/>
          <w:rtl/>
        </w:rPr>
        <w:t>השלישי</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שנת</w:t>
      </w:r>
      <w:r w:rsidRPr="001F2586">
        <w:rPr>
          <w:rFonts w:eastAsia="Calibri"/>
          <w:b/>
          <w:bCs/>
          <w:rtl/>
        </w:rPr>
        <w:t xml:space="preserve"> 2022 </w:t>
      </w:r>
      <w:r w:rsidRPr="001F2586">
        <w:rPr>
          <w:rFonts w:eastAsia="Calibri" w:hint="eastAsia"/>
          <w:b/>
          <w:bCs/>
          <w:rtl/>
        </w:rPr>
        <w:t>לרבעון</w:t>
      </w:r>
      <w:r w:rsidRPr="001F2586">
        <w:rPr>
          <w:rFonts w:eastAsia="Calibri"/>
          <w:b/>
          <w:bCs/>
          <w:rtl/>
        </w:rPr>
        <w:t xml:space="preserve"> </w:t>
      </w:r>
      <w:r w:rsidRPr="001F2586">
        <w:rPr>
          <w:rFonts w:eastAsia="Calibri" w:hint="eastAsia"/>
          <w:b/>
          <w:bCs/>
          <w:rtl/>
        </w:rPr>
        <w:t>השני</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שנת</w:t>
      </w:r>
      <w:r w:rsidRPr="001F2586">
        <w:rPr>
          <w:rFonts w:eastAsia="Calibri"/>
          <w:b/>
          <w:bCs/>
          <w:rtl/>
        </w:rPr>
        <w:t xml:space="preserve"> 2025 -</w:t>
      </w:r>
      <w:r w:rsidRPr="001F2586">
        <w:rPr>
          <w:rFonts w:eastAsia="Calibri" w:hint="cs"/>
          <w:b/>
          <w:bCs/>
          <w:rtl/>
        </w:rPr>
        <w:t xml:space="preserve"> </w:t>
      </w:r>
      <w:r w:rsidRPr="001F2586">
        <w:rPr>
          <w:rFonts w:eastAsia="Calibri"/>
          <w:b/>
          <w:bCs/>
          <w:rtl/>
        </w:rPr>
        <w:t xml:space="preserve">מכ-18 מיליארד ש"ח לכ-52 מיליארדי ש"ח), בעיקר בשל התארכות משך הבנייה ודחיית תשלומי </w:t>
      </w:r>
      <w:r w:rsidRPr="001F2586">
        <w:rPr>
          <w:rFonts w:eastAsia="Calibri" w:hint="eastAsia"/>
          <w:b/>
          <w:bCs/>
          <w:rtl/>
        </w:rPr>
        <w:t>רוכשי</w:t>
      </w:r>
      <w:r w:rsidRPr="001F2586">
        <w:rPr>
          <w:rFonts w:eastAsia="Calibri"/>
          <w:b/>
          <w:bCs/>
          <w:rtl/>
        </w:rPr>
        <w:t xml:space="preserve"> הדירות.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בדוח היציבות הפיננסית למחצית השנייה של 2024 מוסבר רוב הגידול באשראי למימון תהליכי בנייה בהתאמה לעלייה בשיעור הריבית, שהובילה לשינוי פריסת התשלומים לקבלנים. בהתאם, בהסכמי מכר רבים שנחתמו בשנים האחרונות הוסכם כי חלק גדול מהתשלום שיתקבל </w:t>
      </w:r>
      <w:r w:rsidRPr="001F2586">
        <w:rPr>
          <w:rFonts w:eastAsia="Calibri" w:hint="cs"/>
          <w:rtl/>
        </w:rPr>
        <w:t>מרוכשי</w:t>
      </w:r>
      <w:r w:rsidRPr="001F2586">
        <w:rPr>
          <w:rFonts w:eastAsia="Calibri" w:hint="cs"/>
          <w:rtl/>
        </w:rPr>
        <w:t xml:space="preserve"> דירות חדשות יועבר לקבלנים בשלב מאוחר יותר של התקדמות הבנייה, והדבר חייב קבלנים ליטול מימון בנקאי בהיקף גדול יותר במהלך הבנייה</w:t>
      </w:r>
      <w:r>
        <w:rPr>
          <w:rFonts w:eastAsia="Calibri"/>
          <w:vertAlign w:val="superscript"/>
          <w:rtl/>
        </w:rPr>
        <w:footnoteReference w:id="156"/>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לנוכח התנאים המקרו-כלכליים</w:t>
      </w:r>
      <w:r>
        <w:rPr>
          <w:rFonts w:eastAsia="Calibri"/>
          <w:vertAlign w:val="superscript"/>
          <w:rtl/>
        </w:rPr>
        <w:footnoteReference w:id="157"/>
      </w:r>
      <w:r w:rsidRPr="001F2586">
        <w:rPr>
          <w:rFonts w:eastAsia="Calibri" w:hint="cs"/>
          <w:rtl/>
        </w:rPr>
        <w:t>, ובמיוחד שיעור הריבית והאינפלציה, החל מהמחצית השנייה של שנת 2022 חלה האטה בפעילות בשוק הדירות. האטה זו הביאה לירידה בהיקף עסקאות דירות חדשות ודירות יד שנייה, וכן התבטאה בעלייה בשיעור הפרויקטים שבהם יש פער בין התקדמות הבנייה ובין המכירות</w:t>
      </w:r>
      <w:r>
        <w:rPr>
          <w:rFonts w:eastAsia="Calibri"/>
          <w:vertAlign w:val="superscript"/>
          <w:rtl/>
        </w:rPr>
        <w:footnoteReference w:id="158"/>
      </w:r>
      <w:r w:rsidRPr="001F2586">
        <w:rPr>
          <w:rFonts w:eastAsia="Calibri" w:hint="cs"/>
          <w:rtl/>
        </w:rPr>
        <w:t>. התרשים להלן מציג את סך העסקאות שבוצעו בשוק הדירות בתקופה שבין ינואר 2011 לאוגוסט 2025.</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sz w:val="24"/>
          <w:rtl/>
        </w:rPr>
      </w:pPr>
      <w:r w:rsidRPr="001F2586">
        <w:rPr>
          <w:rFonts w:eastAsia="Calibri" w:hint="cs"/>
          <w:b/>
          <w:sz w:val="24"/>
          <w:rtl/>
        </w:rPr>
        <w:t>תרשים 22:</w:t>
      </w:r>
      <w:r w:rsidRPr="001F2586">
        <w:rPr>
          <w:rFonts w:eastAsia="Calibri" w:hint="cs"/>
          <w:bCs/>
          <w:sz w:val="24"/>
          <w:rtl/>
        </w:rPr>
        <w:t xml:space="preserve"> </w:t>
      </w:r>
      <w:r w:rsidRPr="001F2586">
        <w:rPr>
          <w:rFonts w:eastAsia="Calibri" w:hint="eastAsia"/>
          <w:bCs/>
          <w:sz w:val="24"/>
          <w:rtl/>
        </w:rPr>
        <w:t>סך</w:t>
      </w:r>
      <w:r w:rsidRPr="001F2586">
        <w:rPr>
          <w:rFonts w:eastAsia="Calibri"/>
          <w:bCs/>
          <w:sz w:val="24"/>
          <w:rtl/>
        </w:rPr>
        <w:t xml:space="preserve"> </w:t>
      </w:r>
      <w:r w:rsidRPr="001F2586">
        <w:rPr>
          <w:rFonts w:eastAsia="Calibri" w:hint="eastAsia"/>
          <w:bCs/>
          <w:sz w:val="24"/>
          <w:rtl/>
        </w:rPr>
        <w:t>עסקאות</w:t>
      </w:r>
      <w:r w:rsidRPr="001F2586">
        <w:rPr>
          <w:rFonts w:eastAsia="Calibri"/>
          <w:bCs/>
          <w:sz w:val="24"/>
          <w:rtl/>
        </w:rPr>
        <w:t xml:space="preserve"> </w:t>
      </w:r>
      <w:r w:rsidRPr="001F2586">
        <w:rPr>
          <w:rFonts w:eastAsia="Calibri" w:hint="eastAsia"/>
          <w:bCs/>
          <w:sz w:val="24"/>
          <w:rtl/>
        </w:rPr>
        <w:t>דירות</w:t>
      </w:r>
      <w:r w:rsidRPr="001F2586">
        <w:rPr>
          <w:rFonts w:eastAsia="Calibri"/>
          <w:bCs/>
          <w:sz w:val="24"/>
          <w:rtl/>
        </w:rPr>
        <w:t xml:space="preserve"> </w:t>
      </w:r>
      <w:r w:rsidRPr="001F2586">
        <w:rPr>
          <w:rFonts w:eastAsia="Calibri" w:hint="eastAsia"/>
          <w:bCs/>
          <w:sz w:val="24"/>
          <w:rtl/>
        </w:rPr>
        <w:t>יד</w:t>
      </w:r>
      <w:r w:rsidRPr="001F2586">
        <w:rPr>
          <w:rFonts w:eastAsia="Calibri"/>
          <w:bCs/>
          <w:sz w:val="24"/>
          <w:rtl/>
        </w:rPr>
        <w:t xml:space="preserve"> </w:t>
      </w:r>
      <w:r w:rsidRPr="001F2586">
        <w:rPr>
          <w:rFonts w:eastAsia="Calibri" w:hint="eastAsia"/>
          <w:bCs/>
          <w:sz w:val="24"/>
          <w:rtl/>
        </w:rPr>
        <w:t>שנייה</w:t>
      </w:r>
      <w:r w:rsidRPr="001F2586">
        <w:rPr>
          <w:rFonts w:eastAsia="Calibri"/>
          <w:bCs/>
          <w:sz w:val="24"/>
          <w:rtl/>
        </w:rPr>
        <w:t xml:space="preserve"> </w:t>
      </w:r>
      <w:r w:rsidRPr="001F2586">
        <w:rPr>
          <w:rFonts w:eastAsia="Calibri" w:hint="eastAsia"/>
          <w:bCs/>
          <w:sz w:val="24"/>
          <w:rtl/>
        </w:rPr>
        <w:t>ודירות</w:t>
      </w:r>
      <w:r w:rsidRPr="001F2586">
        <w:rPr>
          <w:rFonts w:eastAsia="Calibri"/>
          <w:bCs/>
          <w:sz w:val="24"/>
          <w:rtl/>
        </w:rPr>
        <w:t xml:space="preserve"> </w:t>
      </w:r>
      <w:r w:rsidRPr="001F2586">
        <w:rPr>
          <w:rFonts w:eastAsia="Calibri" w:hint="eastAsia"/>
          <w:bCs/>
          <w:sz w:val="24"/>
          <w:rtl/>
        </w:rPr>
        <w:t>חדשות</w:t>
      </w:r>
      <w:r w:rsidRPr="001F2586">
        <w:rPr>
          <w:rFonts w:eastAsia="Calibri"/>
          <w:bCs/>
          <w:sz w:val="24"/>
          <w:rtl/>
        </w:rPr>
        <w:t xml:space="preserve"> (כולל </w:t>
      </w:r>
      <w:r w:rsidRPr="001F2586">
        <w:rPr>
          <w:rFonts w:eastAsia="Calibri" w:hint="eastAsia"/>
          <w:bCs/>
          <w:sz w:val="24"/>
          <w:rtl/>
        </w:rPr>
        <w:t>דירות</w:t>
      </w:r>
      <w:r w:rsidRPr="001F2586">
        <w:rPr>
          <w:rFonts w:eastAsia="Calibri"/>
          <w:bCs/>
          <w:sz w:val="24"/>
          <w:rtl/>
        </w:rPr>
        <w:t xml:space="preserve"> </w:t>
      </w:r>
      <w:r w:rsidRPr="001F2586">
        <w:rPr>
          <w:rFonts w:eastAsia="Calibri" w:hint="eastAsia"/>
          <w:bCs/>
          <w:sz w:val="24"/>
          <w:rtl/>
        </w:rPr>
        <w:t>בסבסוד</w:t>
      </w:r>
      <w:r w:rsidRPr="001F2586">
        <w:rPr>
          <w:rFonts w:eastAsia="Calibri"/>
          <w:bCs/>
          <w:sz w:val="24"/>
          <w:rtl/>
        </w:rPr>
        <w:t xml:space="preserve"> </w:t>
      </w:r>
      <w:r w:rsidRPr="001F2586">
        <w:rPr>
          <w:rFonts w:eastAsia="Calibri" w:hint="eastAsia"/>
          <w:bCs/>
          <w:sz w:val="24"/>
          <w:rtl/>
        </w:rPr>
        <w:t>ממשלתי</w:t>
      </w:r>
      <w:r w:rsidRPr="001F2586">
        <w:rPr>
          <w:rFonts w:eastAsia="Calibri" w:hint="cs"/>
          <w:bCs/>
          <w:sz w:val="24"/>
          <w:rtl/>
        </w:rPr>
        <w:t>), 2011 - 2025</w:t>
      </w:r>
      <w:r w:rsidRPr="001F2586">
        <w:rPr>
          <w:rFonts w:eastAsia="Calibri"/>
          <w:bCs/>
          <w:sz w:val="24"/>
          <w:rtl/>
        </w:rPr>
        <w:t xml:space="preserve"> </w:t>
      </w:r>
    </w:p>
    <w:p w:rsidR="001F2586" w:rsidRPr="001F2586" w:rsidP="0091524B">
      <w:pPr>
        <w:spacing w:line="269" w:lineRule="auto"/>
        <w:jc w:val="center"/>
        <w:rPr>
          <w:rFonts w:eastAsia="Calibri"/>
          <w:rtl/>
        </w:rPr>
      </w:pPr>
      <w:r w:rsidRPr="001F2586">
        <w:rPr>
          <w:rFonts w:eastAsia="Calibri"/>
          <w:noProof/>
        </w:rPr>
        <w:drawing>
          <wp:inline distT="0" distB="0" distL="0" distR="0">
            <wp:extent cx="5029200" cy="2869458"/>
            <wp:effectExtent l="0" t="0" r="0" b="7620"/>
            <wp:docPr id="43" name="תמונה 43" descr="בשנים 2011 - 2025 היו עליות וירידות בהיקפי עסקאות של דירות יד שנייה ודירות חדשות. המגמות הבולטות הן עליה בשנת 2015 בשל הקדמת רכישות טרם העלאת מס רכישה על משקיעים;עליה בעסקאות במהלך שנת 2020 בשל הורדת מס רכישה לאחר פרוץ משבר קורונה; תחילת העלאות שיעורי ריבית במשק בשנת 2022 ומלחמת חרבות ברזל הביאו לירידה בהיקף העסקאות. ביולי 2025 היקף העסקאות עמד על כ-7.6 אלף די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33"/>
                    <a:stretch>
                      <a:fillRect/>
                    </a:stretch>
                  </pic:blipFill>
                  <pic:spPr>
                    <a:xfrm>
                      <a:off x="0" y="0"/>
                      <a:ext cx="5031807" cy="2870945"/>
                    </a:xfrm>
                    <a:prstGeom prst="rect">
                      <a:avLst/>
                    </a:prstGeom>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אגף הכלכלן הראשי במשרד האוצר,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ניתן לראות בתרשים כי עם היציאה ממשבר הקורונה במחצית השנייה של שנת 2021, חלה מגמת עלייה בסך העסקאות לרכישת דירות. מגמה זו הגיע לשיא תקופה של עשור בסוף שנת 2021, בעקבות הקדמת רכישות טרם העלאת מס רכישה על משקיעים. עם זאת, החל משנת 2022 חלה מגמת ירידה בסך העסקאות לרכישת דירות. מגמה זו הגיעה לשפל באוקטובר 2023, עם פרוץ מלחמת ברזל. משלהי שנת 2023 סך עסקאות לרכישת דירות שב לרמתו לפני תחילת המלחמה, אך נותר נמוך מרמתו טרם העלאות הריבית מאז אפריל 2022.</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בדוח סקירת מערכת הבנקאות לשנת 2024 מתוארת ההתאוששות בהיקף העסקאות לרכישת דירה בין היתר בעקבות מבצעי עידוד רכישות</w:t>
      </w:r>
      <w:r>
        <w:rPr>
          <w:rFonts w:eastAsia="Calibri"/>
          <w:vertAlign w:val="superscript"/>
          <w:rtl/>
        </w:rPr>
        <w:footnoteReference w:id="159"/>
      </w:r>
      <w:r w:rsidRPr="001F2586">
        <w:rPr>
          <w:rFonts w:eastAsia="Calibri" w:hint="cs"/>
          <w:rtl/>
        </w:rPr>
        <w:t>. עוד תועדה בדוח עלייה בהיקף ביצוע המשכנתאות בשנה זו (עלייה של כ-31% בהשוואה ל-2023). עם זאת, שיעור העלייה בהיקף ביצוע המשכנתאות היה נמוך משיעור גידול המכירות ב-2024, והדבר משקף בין היתר עסקאות רכישה שכללו דחייה משמעותית בתשלומים.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bookmarkStart w:id="43" w:name="_Hlk214777064"/>
      <w:r w:rsidRPr="001F2586">
        <w:rPr>
          <w:rFonts w:eastAsia="Calibri" w:hint="cs"/>
          <w:b/>
          <w:bCs/>
          <w:rtl/>
        </w:rPr>
        <w:t xml:space="preserve">נמצא כי ההרעה בתנאים המקרו-כלכליים בשנים 2022 - 2025, ובמיוחד עליית שיעורי הריבית והאינפלציה, הובילה להאטה בפעילות שוק הדיור ולירידה בהיקף העסקאות לרכישת דירות - משיא של כ-14.4 אלף עסקאות באוקטובר 2021 לכ-7.6 אלף עסקאות באוגוסט 2025. האטה זו, שאף החמירה בעקבות מלחמת חרבות ברזל והיעדרם של פועלים בענף הדיור, כפי שמתבטא בשפל של כ-2.3 אלף עסקאות בלבד באוקטובר 2023, הובילה להתארכות משך הבנייה ולעיכובים בהשלמת פרויקטים שגרמה להגדלת החוב </w:t>
      </w:r>
      <w:r w:rsidRPr="001F2586">
        <w:rPr>
          <w:rFonts w:eastAsia="Calibri" w:hint="cs"/>
          <w:b/>
          <w:bCs/>
          <w:rtl/>
        </w:rPr>
        <w:t>המאזני</w:t>
      </w:r>
      <w:r w:rsidRPr="001F2586">
        <w:rPr>
          <w:rFonts w:eastAsia="Calibri" w:hint="cs"/>
          <w:b/>
          <w:bCs/>
          <w:rtl/>
        </w:rPr>
        <w:t xml:space="preserve"> במערכת הבנקאית, לגידול האשראי לענף הבינוי ולתהליכי בנייה ולמבצעי עידוד שיזמו הקבלנים כמפורט להלן.</w:t>
      </w:r>
    </w:p>
    <w:p w:rsidR="001F2586" w:rsidRPr="001F2586" w:rsidP="001F2586">
      <w:pPr>
        <w:spacing w:line="269" w:lineRule="auto"/>
        <w:rPr>
          <w:rFonts w:eastAsia="Calibri"/>
          <w:b/>
          <w:bCs/>
          <w:rtl/>
        </w:rPr>
      </w:pPr>
    </w:p>
    <w:bookmarkEnd w:id="43"/>
    <w:p w:rsidR="001F2586" w:rsidRPr="001F2586" w:rsidP="001F2586">
      <w:pPr>
        <w:keepNext/>
        <w:keepLines/>
        <w:spacing w:line="269" w:lineRule="auto"/>
        <w:outlineLvl w:val="3"/>
        <w:rPr>
          <w:rFonts w:eastAsia="Times New Roman"/>
          <w:szCs w:val="26"/>
          <w:rtl/>
        </w:rPr>
      </w:pPr>
      <w:r w:rsidRPr="001F2586">
        <w:rPr>
          <w:rFonts w:eastAsia="Times New Roman" w:hint="eastAsia"/>
          <w:bCs/>
          <w:szCs w:val="26"/>
          <w:rtl/>
        </w:rPr>
        <w:t>מבצעי</w:t>
      </w:r>
      <w:r w:rsidRPr="001F2586">
        <w:rPr>
          <w:rFonts w:eastAsia="Times New Roman"/>
          <w:bCs/>
          <w:szCs w:val="26"/>
          <w:rtl/>
        </w:rPr>
        <w:t xml:space="preserve"> </w:t>
      </w:r>
      <w:r w:rsidRPr="001F2586">
        <w:rPr>
          <w:rFonts w:eastAsia="Times New Roman" w:hint="eastAsia"/>
          <w:bCs/>
          <w:szCs w:val="26"/>
          <w:rtl/>
        </w:rPr>
        <w:t>עידוד</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hint="cs"/>
          <w:rtl/>
        </w:rPr>
        <w:t xml:space="preserve">קבלנים נוהגים להציע הטבות שונות שנועדו לסייע בקידום מכירות בשלבים מוקדמים של </w:t>
      </w:r>
      <w:r w:rsidRPr="001F2586">
        <w:rPr>
          <w:rFonts w:eastAsia="Calibri" w:hint="cs"/>
          <w:rtl/>
        </w:rPr>
        <w:t>פרויקטי</w:t>
      </w:r>
      <w:r w:rsidRPr="001F2586">
        <w:rPr>
          <w:rFonts w:eastAsia="Calibri" w:hint="cs"/>
          <w:rtl/>
        </w:rPr>
        <w:t xml:space="preserve"> בינוי למגורים, ובמיוחד בתקופות שבהן יש האטה בביקוש. הטבות אלה משקפות במידה רבה את הסיכונים הנלווים לרכישת דירה שטרם הסתיימה בנייתה ("דירה על הנייר") ומסייעים לקבלנים לגייס מימון ראשוני, חלף גיוסי אשראי, ולעמוד בדרישות הקבועות בהסכמי הליווי הפיננסי</w:t>
      </w:r>
      <w:r>
        <w:rPr>
          <w:rFonts w:eastAsia="Calibri"/>
          <w:vertAlign w:val="superscript"/>
          <w:rtl/>
        </w:rPr>
        <w:footnoteReference w:id="160"/>
      </w:r>
      <w:r w:rsidRPr="001F2586">
        <w:rPr>
          <w:rFonts w:eastAsia="Calibri" w:hint="cs"/>
          <w:rtl/>
        </w:rPr>
        <w:t>.</w:t>
      </w:r>
    </w:p>
    <w:p w:rsidR="001F2586" w:rsidRPr="001F2586" w:rsidP="001F2586">
      <w:pPr>
        <w:spacing w:line="269" w:lineRule="auto"/>
        <w:rPr>
          <w:rFonts w:eastAsia="Calibri"/>
          <w:rtl/>
        </w:rPr>
      </w:pPr>
      <w:r w:rsidRPr="001F2586">
        <w:rPr>
          <w:rFonts w:eastAsia="Calibri" w:hint="cs"/>
          <w:rtl/>
        </w:rPr>
        <w:t xml:space="preserve">בעקבות האטה בביקוש בשוק הנדל"ן למגורים החלו קבלנים, משלהי שנת 2023, להרחיב את היקף ההטבות הניתנות על ידם לצורך קידום המכירות והנעת הפעילות בשוק באמצעות מבצעי עידוד ייחודיים, המאופיינים בהנחות </w:t>
      </w:r>
      <w:r w:rsidRPr="001F2586">
        <w:rPr>
          <w:rFonts w:eastAsia="Calibri" w:hint="cs"/>
          <w:rtl/>
        </w:rPr>
        <w:t>מימוניות</w:t>
      </w:r>
      <w:r w:rsidRPr="001F2586">
        <w:rPr>
          <w:rFonts w:eastAsia="Calibri" w:hint="cs"/>
          <w:rtl/>
        </w:rPr>
        <w:t xml:space="preserve"> גדולות. מבצעי העידוד כללו בעיקר דחייה משמעותית של חלק מהתשלומים עבור הדירה עד למועד המסירה, זאת בניגוד לביצוע תשלומים בהתאם לקצב התקדמות הבנייה (להלן - המודל הליניארי). </w:t>
      </w:r>
      <w:bookmarkStart w:id="44" w:name="_Hlk225173198"/>
      <w:r w:rsidRPr="001F2586">
        <w:rPr>
          <w:rFonts w:eastAsia="Calibri" w:hint="cs"/>
          <w:rtl/>
        </w:rPr>
        <w:t xml:space="preserve">מבצעי עידוד נוספים כללו הלוואות שונות בסבסוד קבלנים, תוספות ושדרוגים. </w:t>
      </w:r>
      <w:bookmarkEnd w:id="44"/>
      <w:r w:rsidRPr="001F2586">
        <w:rPr>
          <w:rFonts w:eastAsia="Calibri" w:hint="cs"/>
          <w:rtl/>
        </w:rPr>
        <w:t>חלק מהטבות מבצעי העידוד ניתנו במקביל להטבות אחרות בעוד שהיו הטבות שניתנו לבדן. להלן סקירה של כמה מבצעי עידוד מרכזיים:</w:t>
      </w:r>
    </w:p>
    <w:p w:rsidR="001F2586" w:rsidRPr="001F2586" w:rsidP="001F2586">
      <w:pPr>
        <w:spacing w:line="269" w:lineRule="auto"/>
        <w:ind w:left="-567"/>
        <w:rPr>
          <w:rFonts w:eastAsia="Calibri"/>
          <w:szCs w:val="20"/>
          <w:rtl/>
        </w:rPr>
      </w:pPr>
    </w:p>
    <w:p w:rsidR="001F2586" w:rsidRPr="001F2586" w:rsidP="001F2586">
      <w:pPr>
        <w:widowControl w:val="0"/>
        <w:numPr>
          <w:ilvl w:val="0"/>
          <w:numId w:val="19"/>
        </w:numPr>
        <w:spacing w:line="269" w:lineRule="auto"/>
        <w:contextualSpacing/>
        <w:rPr>
          <w:rFonts w:eastAsia="Times New Roman"/>
          <w:lang w:eastAsia="he-IL"/>
        </w:rPr>
      </w:pPr>
      <w:r w:rsidRPr="001F2586">
        <w:rPr>
          <w:rFonts w:eastAsia="Times New Roman" w:hint="cs"/>
          <w:bCs/>
          <w:spacing w:val="40"/>
          <w:rtl/>
        </w:rPr>
        <w:t>דחייה משמעותית בתשלומים (עסקאות המוכרות בשמות "20/80" או "10/90"):</w:t>
      </w:r>
      <w:r w:rsidRPr="001F2586">
        <w:rPr>
          <w:rFonts w:eastAsia="Times New Roman" w:hint="cs"/>
          <w:rtl/>
          <w:lang w:eastAsia="he-IL"/>
        </w:rPr>
        <w:t xml:space="preserve"> בעסקאות אלו הרוכשים משלמים לרוב סכום של עד 20% ממחיר הנכס במועד חתימת הסכם הרכישה. יתר התשלומים נדחים עד סמוך למועד האכלוס. הרוכשים משלמים תחילה מהונם סכום הנמוך מדרישת ההון העצמי, שנקבעה בהוראת הפיקוח על הבנקים</w:t>
      </w:r>
      <w:r>
        <w:rPr>
          <w:rFonts w:eastAsia="Times New Roman"/>
          <w:vertAlign w:val="superscript"/>
          <w:rtl/>
          <w:lang w:eastAsia="he-IL"/>
        </w:rPr>
        <w:footnoteReference w:id="161"/>
      </w:r>
      <w:r w:rsidRPr="001F2586">
        <w:rPr>
          <w:rFonts w:eastAsia="Times New Roman" w:hint="cs"/>
          <w:rtl/>
          <w:lang w:eastAsia="he-IL"/>
        </w:rPr>
        <w:t>, ואינם נדרשים ליטול הלוואה לדיור בשלב זה. לכן לא נעשה חיתום בנקאי בעת הרכישה, שמטרתו לבחון את יכולת הרוכשים להשלים את העסקה בעתיד. סמוך למועד האכלוס מתבצעת יתרת התשלום והחיתום הבנקאי, במידה ונדרש מימון חיצוני.</w:t>
      </w:r>
    </w:p>
    <w:p w:rsidR="001F2586" w:rsidRPr="001F2586" w:rsidP="001F2586">
      <w:pPr>
        <w:spacing w:line="269" w:lineRule="auto"/>
        <w:ind w:left="-567"/>
        <w:rPr>
          <w:rFonts w:eastAsia="Calibri"/>
          <w:szCs w:val="20"/>
        </w:rPr>
      </w:pPr>
    </w:p>
    <w:p w:rsidR="001F2586" w:rsidRPr="001F2586" w:rsidP="001F2586">
      <w:pPr>
        <w:widowControl w:val="0"/>
        <w:numPr>
          <w:ilvl w:val="0"/>
          <w:numId w:val="19"/>
        </w:numPr>
        <w:spacing w:line="269" w:lineRule="auto"/>
        <w:contextualSpacing/>
        <w:rPr>
          <w:rFonts w:eastAsia="Times New Roman"/>
          <w:lang w:eastAsia="he-IL"/>
        </w:rPr>
      </w:pPr>
      <w:r w:rsidRPr="001F2586">
        <w:rPr>
          <w:rFonts w:eastAsia="Times New Roman" w:hint="cs"/>
          <w:bCs/>
          <w:spacing w:val="40"/>
          <w:rtl/>
        </w:rPr>
        <w:t>הלוואות בסבסוד קבלנים ("הלוואות קבלן"):</w:t>
      </w:r>
      <w:r w:rsidRPr="001F2586">
        <w:rPr>
          <w:rFonts w:eastAsia="Times New Roman" w:hint="cs"/>
          <w:rtl/>
          <w:lang w:eastAsia="he-IL"/>
        </w:rPr>
        <w:t xml:space="preserve"> בעסקאות אלו הרוכשים משלמים מהונם במועד הסכם הרכישה תשלום ראשון הנמוך מדרישת ההון העצמי, שנקבעה בהוראת הפיקוח על הבנקים, ומופנים לביצוע תהליך חיתום בנקאי</w:t>
      </w:r>
      <w:r>
        <w:rPr>
          <w:rFonts w:eastAsia="Times New Roman"/>
          <w:vertAlign w:val="superscript"/>
          <w:rtl/>
          <w:lang w:eastAsia="he-IL"/>
        </w:rPr>
        <w:footnoteReference w:id="162"/>
      </w:r>
      <w:r w:rsidRPr="001F2586">
        <w:rPr>
          <w:rFonts w:eastAsia="Times New Roman" w:hint="cs"/>
          <w:rtl/>
          <w:lang w:eastAsia="he-IL"/>
        </w:rPr>
        <w:t xml:space="preserve"> של הלוואת "בולט" ("בלון")</w:t>
      </w:r>
      <w:r>
        <w:rPr>
          <w:rFonts w:eastAsia="Times New Roman"/>
          <w:vertAlign w:val="superscript"/>
          <w:rtl/>
          <w:lang w:eastAsia="he-IL"/>
        </w:rPr>
        <w:footnoteReference w:id="163"/>
      </w:r>
      <w:r w:rsidRPr="001F2586">
        <w:rPr>
          <w:rFonts w:eastAsia="Times New Roman" w:hint="cs"/>
          <w:rtl/>
          <w:lang w:eastAsia="he-IL"/>
        </w:rPr>
        <w:t xml:space="preserve"> בסבסוד הקבלן</w:t>
      </w:r>
      <w:r>
        <w:rPr>
          <w:rFonts w:eastAsia="Times New Roman"/>
          <w:vertAlign w:val="superscript"/>
          <w:rtl/>
          <w:lang w:eastAsia="he-IL"/>
        </w:rPr>
        <w:footnoteReference w:id="164"/>
      </w:r>
      <w:r w:rsidRPr="001F2586">
        <w:rPr>
          <w:rFonts w:eastAsia="Times New Roman" w:hint="cs"/>
          <w:rtl/>
          <w:lang w:eastAsia="he-IL"/>
        </w:rPr>
        <w:t xml:space="preserve"> על חלק ניכר מיתרת התשלום, בהתאם להסכם המכר. במסלול תשלומים זה הקבלן מקבל מראש חלק ניכר מהתשלום בשלבי הבנייה ויתר התשלום בסמוך למועד האכלוס. קרן ההלוואה שנטלו הרוכשים נפרעת במלואה סמוך למועד סיום הבנייה, לרוב לאחר שנתיים או שלוש שנים. במועד זה יידרשו הרוכשים לפרוע את ההלוואה ממקורותיהם או להמירה בהלוואה לדיור חליפית ולשלם את יתרת התמורה.</w:t>
      </w:r>
    </w:p>
    <w:p w:rsidR="001F2586" w:rsidRPr="001F2586" w:rsidP="001F2586">
      <w:pPr>
        <w:spacing w:line="269" w:lineRule="auto"/>
        <w:ind w:left="-567"/>
        <w:rPr>
          <w:rFonts w:eastAsia="Calibri"/>
          <w:szCs w:val="20"/>
          <w:rtl/>
        </w:rPr>
      </w:pPr>
    </w:p>
    <w:p w:rsidR="001F2586" w:rsidRPr="001F2586" w:rsidP="001F2586">
      <w:pPr>
        <w:widowControl w:val="0"/>
        <w:numPr>
          <w:ilvl w:val="0"/>
          <w:numId w:val="19"/>
        </w:numPr>
        <w:spacing w:line="269" w:lineRule="auto"/>
        <w:contextualSpacing/>
        <w:rPr>
          <w:rFonts w:eastAsia="Times New Roman"/>
          <w:lang w:eastAsia="he-IL"/>
        </w:rPr>
      </w:pPr>
      <w:r w:rsidRPr="001F2586">
        <w:rPr>
          <w:rFonts w:eastAsia="Times New Roman" w:hint="cs"/>
          <w:bCs/>
          <w:spacing w:val="40"/>
          <w:rtl/>
        </w:rPr>
        <w:t>סבסוד משכנתאות:</w:t>
      </w:r>
      <w:r w:rsidRPr="001F2586">
        <w:rPr>
          <w:rFonts w:eastAsia="Times New Roman" w:hint="cs"/>
          <w:rtl/>
          <w:lang w:eastAsia="he-IL"/>
        </w:rPr>
        <w:t xml:space="preserve"> בעסקאות אלו הרוכשים משלמים תשלומים בהתאם למודל הליניארי או מודל דומה לו שנקבע מול הקבלן וללא דחיית תשלומים משמעותית. במקביל לחתימת ההסכם הקבלן מתקשר עם בנק למשכנתאות ומציע לרוכשים קבלת הלוואה לדיור לזמן ארוך בשיעור ריבית מופחת. עלות ההטבה ממומנת ממקורות הקבלן מול הבנק למשכנתאות.</w:t>
      </w:r>
    </w:p>
    <w:p w:rsidR="001F2586" w:rsidRPr="001F2586" w:rsidP="001F2586">
      <w:pPr>
        <w:spacing w:line="269" w:lineRule="auto"/>
        <w:ind w:left="-567"/>
        <w:rPr>
          <w:rFonts w:eastAsia="Calibri"/>
          <w:szCs w:val="20"/>
          <w:rtl/>
        </w:rPr>
      </w:pPr>
    </w:p>
    <w:p w:rsidR="001F2586" w:rsidRPr="001F2586" w:rsidP="001F2586">
      <w:pPr>
        <w:widowControl w:val="0"/>
        <w:numPr>
          <w:ilvl w:val="0"/>
          <w:numId w:val="19"/>
        </w:numPr>
        <w:spacing w:line="269" w:lineRule="auto"/>
        <w:contextualSpacing/>
        <w:rPr>
          <w:rFonts w:eastAsia="Times New Roman"/>
          <w:lang w:eastAsia="he-IL"/>
        </w:rPr>
      </w:pPr>
      <w:r w:rsidRPr="001F2586">
        <w:rPr>
          <w:rFonts w:eastAsia="Times New Roman" w:hint="cs"/>
          <w:bCs/>
          <w:spacing w:val="40"/>
          <w:rtl/>
        </w:rPr>
        <w:t>מוצרים משלימים ושדרוגים:</w:t>
      </w:r>
      <w:r w:rsidRPr="001F2586">
        <w:rPr>
          <w:rFonts w:eastAsia="Times New Roman" w:hint="cs"/>
          <w:rtl/>
          <w:lang w:eastAsia="he-IL"/>
        </w:rPr>
        <w:t xml:space="preserve"> בעסקאות אלו הקבלנים מוסיפים על חשבונם מוצרים משלימים לרכישת הדירה כדי להגדיל את אטרקטיביות העסקה. מוצרים אלה יכולים להיות בקשר ישיר עם הדירה, כגון שדרוג מטבח, תוספות של סורגים ומכשירי חשמל, במיוחד מזגנים, וכן מוצרים שאינם עומדים בקשר ישיר לדירה כמו רכב.</w:t>
      </w:r>
    </w:p>
    <w:p w:rsidR="001F2586" w:rsidRPr="001F2586" w:rsidP="001F2586">
      <w:pPr>
        <w:spacing w:line="269" w:lineRule="auto"/>
        <w:ind w:left="-567"/>
        <w:rPr>
          <w:rFonts w:eastAsia="Calibri"/>
          <w:szCs w:val="20"/>
        </w:rPr>
      </w:pPr>
    </w:p>
    <w:p w:rsidR="001F2586" w:rsidRPr="001F2586" w:rsidP="001F2586">
      <w:pPr>
        <w:widowControl w:val="0"/>
        <w:numPr>
          <w:ilvl w:val="0"/>
          <w:numId w:val="19"/>
        </w:numPr>
        <w:spacing w:line="269" w:lineRule="auto"/>
        <w:contextualSpacing/>
        <w:rPr>
          <w:rFonts w:eastAsia="Times New Roman"/>
          <w:rtl/>
          <w:lang w:eastAsia="he-IL"/>
        </w:rPr>
      </w:pPr>
      <w:r w:rsidRPr="001F2586">
        <w:rPr>
          <w:rFonts w:eastAsia="Times New Roman" w:hint="cs"/>
          <w:bCs/>
          <w:spacing w:val="40"/>
          <w:rtl/>
        </w:rPr>
        <w:t>פטור מהצמדה למדד תשומות הבנייה</w:t>
      </w:r>
      <w:r>
        <w:rPr>
          <w:rFonts w:eastAsia="Times New Roman"/>
          <w:b/>
          <w:bCs/>
          <w:vertAlign w:val="superscript"/>
          <w:rtl/>
          <w:lang w:eastAsia="he-IL"/>
        </w:rPr>
        <w:footnoteReference w:id="165"/>
      </w:r>
      <w:r w:rsidRPr="001F2586">
        <w:rPr>
          <w:rFonts w:eastAsia="Times New Roman" w:hint="cs"/>
          <w:bCs/>
          <w:spacing w:val="40"/>
          <w:rtl/>
        </w:rPr>
        <w:t>:</w:t>
      </w:r>
      <w:r w:rsidRPr="001F2586">
        <w:rPr>
          <w:rFonts w:eastAsia="Times New Roman" w:hint="cs"/>
          <w:rtl/>
          <w:lang w:eastAsia="he-IL"/>
        </w:rPr>
        <w:t xml:space="preserve"> בעסקאות אלו יתרת התשלום של הרוכשים אינה מוצמדת למדד תשומות הבנייה, ועליות המחירים מוטלות על הקבלן.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התרשים </w:t>
      </w:r>
      <w:r w:rsidR="0091524B">
        <w:rPr>
          <w:rFonts w:eastAsia="Calibri" w:hint="cs"/>
          <w:rtl/>
        </w:rPr>
        <w:t>ש</w:t>
      </w:r>
      <w:r w:rsidRPr="001F2586">
        <w:rPr>
          <w:rFonts w:eastAsia="Calibri" w:hint="cs"/>
          <w:rtl/>
        </w:rPr>
        <w:t>להלן מציג תיאור כרונולוגי של תשלומי רוכשים לקבלנים במבצעי עידוד בהם יש מרכיב הנחה מימוני הגלום בפריסת תשלומים שאינה לפי המודל הליניארי.</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23:</w:t>
      </w:r>
      <w:r w:rsidRPr="001F2586">
        <w:rPr>
          <w:rFonts w:eastAsia="Calibri" w:hint="cs"/>
          <w:bCs/>
          <w:sz w:val="24"/>
          <w:rtl/>
        </w:rPr>
        <w:t xml:space="preserve"> </w:t>
      </w:r>
      <w:r w:rsidRPr="001F2586">
        <w:rPr>
          <w:rFonts w:eastAsia="Calibri" w:hint="eastAsia"/>
          <w:bCs/>
          <w:sz w:val="24"/>
          <w:rtl/>
        </w:rPr>
        <w:t>פריסת</w:t>
      </w:r>
      <w:r w:rsidRPr="001F2586">
        <w:rPr>
          <w:rFonts w:eastAsia="Calibri"/>
          <w:bCs/>
          <w:sz w:val="24"/>
          <w:rtl/>
        </w:rPr>
        <w:t xml:space="preserve"> </w:t>
      </w:r>
      <w:r w:rsidRPr="001F2586">
        <w:rPr>
          <w:rFonts w:eastAsia="Calibri" w:hint="eastAsia"/>
          <w:bCs/>
          <w:sz w:val="24"/>
          <w:rtl/>
        </w:rPr>
        <w:t>תשלומי</w:t>
      </w:r>
      <w:r w:rsidRPr="001F2586">
        <w:rPr>
          <w:rFonts w:eastAsia="Calibri"/>
          <w:bCs/>
          <w:sz w:val="24"/>
          <w:rtl/>
        </w:rPr>
        <w:t xml:space="preserve"> </w:t>
      </w:r>
      <w:r w:rsidRPr="001F2586">
        <w:rPr>
          <w:rFonts w:eastAsia="Calibri" w:hint="eastAsia"/>
          <w:bCs/>
          <w:sz w:val="24"/>
          <w:rtl/>
        </w:rPr>
        <w:t>רוכשים</w:t>
      </w:r>
      <w:r w:rsidRPr="001F2586">
        <w:rPr>
          <w:rFonts w:eastAsia="Calibri"/>
          <w:bCs/>
          <w:sz w:val="24"/>
          <w:rtl/>
        </w:rPr>
        <w:t xml:space="preserve"> </w:t>
      </w:r>
      <w:r w:rsidRPr="001F2586">
        <w:rPr>
          <w:rFonts w:eastAsia="Calibri" w:hint="eastAsia"/>
          <w:bCs/>
          <w:sz w:val="24"/>
          <w:rtl/>
        </w:rPr>
        <w:t>במבצעי</w:t>
      </w:r>
      <w:r w:rsidRPr="001F2586">
        <w:rPr>
          <w:rFonts w:eastAsia="Calibri"/>
          <w:bCs/>
          <w:sz w:val="24"/>
          <w:rtl/>
        </w:rPr>
        <w:t xml:space="preserve"> </w:t>
      </w:r>
      <w:r w:rsidRPr="001F2586">
        <w:rPr>
          <w:rFonts w:eastAsia="Calibri" w:hint="eastAsia"/>
          <w:bCs/>
          <w:sz w:val="24"/>
          <w:rtl/>
        </w:rPr>
        <w:t>עידוד</w:t>
      </w:r>
      <w:r w:rsidRPr="001F2586">
        <w:rPr>
          <w:rFonts w:eastAsia="Calibri"/>
          <w:bCs/>
          <w:sz w:val="24"/>
          <w:rtl/>
        </w:rPr>
        <w:t xml:space="preserve"> </w:t>
      </w:r>
      <w:r w:rsidRPr="001F2586">
        <w:rPr>
          <w:rFonts w:eastAsia="Calibri" w:hint="eastAsia"/>
          <w:bCs/>
          <w:sz w:val="24"/>
          <w:rtl/>
        </w:rPr>
        <w:t>בהשוואה</w:t>
      </w:r>
      <w:r w:rsidRPr="001F2586">
        <w:rPr>
          <w:rFonts w:eastAsia="Calibri"/>
          <w:bCs/>
          <w:sz w:val="24"/>
          <w:rtl/>
        </w:rPr>
        <w:t xml:space="preserve"> </w:t>
      </w:r>
      <w:r w:rsidRPr="001F2586">
        <w:rPr>
          <w:rFonts w:eastAsia="Calibri" w:hint="eastAsia"/>
          <w:bCs/>
          <w:sz w:val="24"/>
          <w:rtl/>
        </w:rPr>
        <w:t>למודל</w:t>
      </w:r>
      <w:r w:rsidRPr="001F2586">
        <w:rPr>
          <w:rFonts w:eastAsia="Calibri"/>
          <w:bCs/>
          <w:sz w:val="24"/>
          <w:rtl/>
        </w:rPr>
        <w:t xml:space="preserve"> </w:t>
      </w:r>
      <w:r w:rsidRPr="001F2586">
        <w:rPr>
          <w:rFonts w:eastAsia="Calibri" w:hint="eastAsia"/>
          <w:bCs/>
          <w:sz w:val="24"/>
          <w:rtl/>
        </w:rPr>
        <w:t>הליניארי</w:t>
      </w:r>
    </w:p>
    <w:p w:rsidR="001F2586" w:rsidRPr="001F2586" w:rsidP="001F2586">
      <w:pPr>
        <w:spacing w:line="269" w:lineRule="auto"/>
        <w:jc w:val="center"/>
        <w:rPr>
          <w:rFonts w:eastAsia="Calibri"/>
          <w:rtl/>
        </w:rPr>
      </w:pPr>
      <w:r w:rsidRPr="001F2586">
        <w:rPr>
          <w:rFonts w:eastAsia="Calibri"/>
          <w:noProof/>
          <w:rtl/>
          <w:lang w:val="he-IL"/>
        </w:rPr>
        <w:drawing>
          <wp:inline distT="0" distB="0" distL="0" distR="0">
            <wp:extent cx="5220335" cy="4472305"/>
            <wp:effectExtent l="0" t="0" r="0" b="4445"/>
            <wp:docPr id="17" name="תמונה 17" descr="שלושה מודלים של פריסת תשלומים:&#10;&#10;1. מודל ליניארי- חתימה על הסכם-העברת תשלום ראשון ממקורות הרוכש (לרוב עד 20% ממחיר הנכס).&#10;2. יתרת התשלומים הם ממקורות הרוכש או מקורות חיצוניים שאינם במימון הרוכש -העברת תשלומים על פי התקדמות הבניה.&#10;&#10;2. דחייה משמעותית בתשלומים- לאחר החתימה על הסכם הרכישה והעברת תשלום ראשון (עד 20% ממחיר הנכס) לא מתבצעים תשלומים עד למסירת הדירה אז התשלום הוא לכל הפחות 80% ממחיר הנכס (מקורות הרוכש או מקורות חיצוניים עליהם נדרש לשלם הרוכש).&#10;&#10;3. הלוואות קבלן- לאחר התשלום הראשון (ממקורות הרוכש), מתבצע חיתום הלוואות בלון לדיור ללווה שמבצע תשלום ממקור חיצוני (הלוואה). הלוואת הבלון מוחזרת לקראת מועד העברת יתרת התשלומים (המתבצעים ממקורות הרוכש או מקורות חיצוניים אותם הוא נדרש לשל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רשים 23.JPG"/>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5220335" cy="4472305"/>
                    </a:xfrm>
                    <a:prstGeom prst="rect">
                      <a:avLst/>
                    </a:prstGeom>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ניתן לראות בתרשים כי בעוד שבמודל הליניארי הרוכש משלם לפי התקדמות הבניה ולשם כך הוא מגייס את מקורות המימון הנדרשים לו כבר במהלך הבניה, </w:t>
      </w:r>
      <w:bookmarkStart w:id="45" w:name="_Hlk225173257"/>
      <w:r w:rsidRPr="001F2586">
        <w:rPr>
          <w:rFonts w:eastAsia="Calibri" w:hint="cs"/>
          <w:b/>
          <w:bCs/>
          <w:rtl/>
        </w:rPr>
        <w:t xml:space="preserve">במבצעי עידוד הרוכשים </w:t>
      </w:r>
      <w:bookmarkStart w:id="46" w:name="_Hlk214777083"/>
      <w:r w:rsidRPr="001F2586">
        <w:rPr>
          <w:rFonts w:eastAsia="Calibri" w:hint="cs"/>
          <w:b/>
          <w:bCs/>
          <w:rtl/>
        </w:rPr>
        <w:t xml:space="preserve">דוחים את גיוס מקורות המימון הדרושים להשלמת העסקה למועד הסמוך למסירת הדירה. דחיית מועדי התשלומים מייצרת יתרונות וסיכונים לכל המעורבים בפרויקט. </w:t>
      </w:r>
      <w:bookmarkEnd w:id="45"/>
      <w:bookmarkEnd w:id="46"/>
    </w:p>
    <w:p w:rsidR="001F2586" w:rsidRPr="001F2586" w:rsidP="001F2586">
      <w:pPr>
        <w:spacing w:line="269" w:lineRule="auto"/>
        <w:rPr>
          <w:rFonts w:eastAsia="Calibri"/>
          <w:b/>
          <w:bCs/>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תועלות וסיכונים של מבצעי עידוד</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בשנים</w:t>
      </w:r>
      <w:r w:rsidRPr="001F2586">
        <w:rPr>
          <w:rFonts w:eastAsia="Calibri"/>
          <w:rtl/>
        </w:rPr>
        <w:t xml:space="preserve"> </w:t>
      </w:r>
      <w:r w:rsidRPr="001F2586">
        <w:rPr>
          <w:rFonts w:eastAsia="Calibri" w:hint="eastAsia"/>
          <w:rtl/>
        </w:rPr>
        <w:t>האחרונות</w:t>
      </w:r>
      <w:r w:rsidRPr="001F2586">
        <w:rPr>
          <w:rFonts w:eastAsia="Calibri"/>
          <w:rtl/>
        </w:rPr>
        <w:t xml:space="preserve"> </w:t>
      </w:r>
      <w:r w:rsidRPr="001F2586">
        <w:rPr>
          <w:rFonts w:eastAsia="Calibri" w:hint="eastAsia"/>
          <w:rtl/>
        </w:rPr>
        <w:t>מחירי</w:t>
      </w:r>
      <w:r w:rsidRPr="001F2586">
        <w:rPr>
          <w:rFonts w:eastAsia="Calibri"/>
          <w:rtl/>
        </w:rPr>
        <w:t xml:space="preserve"> </w:t>
      </w:r>
      <w:r w:rsidRPr="001F2586">
        <w:rPr>
          <w:rFonts w:eastAsia="Calibri" w:hint="eastAsia"/>
          <w:rtl/>
        </w:rPr>
        <w:t>הדירות</w:t>
      </w:r>
      <w:r w:rsidRPr="001F2586">
        <w:rPr>
          <w:rFonts w:eastAsia="Calibri"/>
          <w:rtl/>
        </w:rPr>
        <w:t xml:space="preserve"> </w:t>
      </w:r>
      <w:r w:rsidRPr="001F2586">
        <w:rPr>
          <w:rFonts w:eastAsia="Calibri" w:hint="eastAsia"/>
          <w:rtl/>
        </w:rPr>
        <w:t>בישראל</w:t>
      </w:r>
      <w:r w:rsidRPr="001F2586">
        <w:rPr>
          <w:rFonts w:eastAsia="Calibri" w:hint="cs"/>
          <w:rtl/>
        </w:rPr>
        <w:t xml:space="preserve"> עלו בשיעור גבוה במיוחד, הרבה מעל לאינפלציה ולעלייה בשכר. לפי נתוני הצוות לבחינת מעורבות הבנקים בקביעת מחירי הדיור</w:t>
      </w:r>
      <w:r>
        <w:rPr>
          <w:rFonts w:eastAsia="Calibri"/>
          <w:vertAlign w:val="superscript"/>
          <w:rtl/>
        </w:rPr>
        <w:footnoteReference w:id="166"/>
      </w:r>
      <w:r w:rsidRPr="001F2586">
        <w:rPr>
          <w:rFonts w:eastAsia="Calibri" w:hint="cs"/>
          <w:rtl/>
        </w:rPr>
        <w:t xml:space="preserve">, בתקופה שבין מאי 2021 למרץ 2025 עלו מחירי הדירות ב-35%, ואילו האינפלציה ב-14.5% והשכר הממוצע </w:t>
      </w:r>
      <w:r w:rsidRPr="001F2586">
        <w:rPr>
          <w:rFonts w:eastAsia="Calibri"/>
          <w:rtl/>
        </w:rPr>
        <w:br/>
      </w:r>
      <w:r w:rsidRPr="001F2586">
        <w:rPr>
          <w:rFonts w:eastAsia="Calibri" w:hint="cs"/>
          <w:rtl/>
        </w:rPr>
        <w:t>ב-18.5%. עליית המחירים הובילה רבים מקבוצות אוכלוסייה שונות, במיוחד צעירים ומשפחות צעירות, להיכנס לשוק הנדל"ן מתוך דחף ואמונה כי השקעה בדירה היא צעד כלכלי נכון. עבור קבוצות אוכלוסייה אלה המתנה והימנעות מרכישת דירה בהווה עלולה לייקר את זאת בעתיד ואף לסכן את יכולתם לרכוש דירה בכלל. הדחף להשקעה בדירה נתמך באמונה שלפיה אם לא תתאפשר עמידה בהחזרי ההלוואה לדיור, ניתן יהיה למכור את הדירה ללא קושי וללא הפסד כספי בטווח הארוך, זאת לנוכח הציפייה להמשך עליית מחירים.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האטה</w:t>
      </w:r>
      <w:r w:rsidRPr="001F2586">
        <w:rPr>
          <w:rFonts w:eastAsia="Calibri"/>
          <w:rtl/>
        </w:rPr>
        <w:t xml:space="preserve"> </w:t>
      </w:r>
      <w:r w:rsidRPr="001F2586">
        <w:rPr>
          <w:rFonts w:eastAsia="Calibri" w:hint="eastAsia"/>
          <w:rtl/>
        </w:rPr>
        <w:t>בפעילות</w:t>
      </w:r>
      <w:r w:rsidRPr="001F2586">
        <w:rPr>
          <w:rFonts w:eastAsia="Calibri"/>
          <w:rtl/>
        </w:rPr>
        <w:t xml:space="preserve"> </w:t>
      </w:r>
      <w:r w:rsidRPr="001F2586">
        <w:rPr>
          <w:rFonts w:eastAsia="Calibri" w:hint="eastAsia"/>
          <w:rtl/>
        </w:rPr>
        <w:t>שוק</w:t>
      </w:r>
      <w:r w:rsidRPr="001F2586">
        <w:rPr>
          <w:rFonts w:eastAsia="Calibri"/>
          <w:rtl/>
        </w:rPr>
        <w:t xml:space="preserve"> </w:t>
      </w:r>
      <w:r w:rsidRPr="001F2586">
        <w:rPr>
          <w:rFonts w:eastAsia="Calibri" w:hint="eastAsia"/>
          <w:rtl/>
        </w:rPr>
        <w:t>הנדל</w:t>
      </w:r>
      <w:r w:rsidRPr="001F2586">
        <w:rPr>
          <w:rFonts w:eastAsia="Calibri"/>
          <w:rtl/>
        </w:rPr>
        <w:t>"ן</w:t>
      </w:r>
      <w:r w:rsidRPr="001F2586">
        <w:rPr>
          <w:rFonts w:eastAsia="Calibri" w:hint="cs"/>
          <w:rtl/>
        </w:rPr>
        <w:t xml:space="preserve"> הובילה להרחבת מבצעי עידוד חלף הורדת מחירים. בכך הם היוו תמריץ להיכנס לעסקאות המגלמות בעיקרן הנחות מימון לרוכשים, במיוחד בקרב אותן קבוצות אוכלוסייה בעלות דחף להשקעה בדירה.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מבצעי עידוד שונים נבדלים אלה מאלה, במיוחד בחיסכון המוערך לרוכשים, באופן חלוקת הסיכונים ובמידת השפעתם על ההחלטה להשלים עסקה.</w:t>
      </w:r>
    </w:p>
    <w:p w:rsidR="001F2586" w:rsidRPr="001F2586" w:rsidP="001F2586">
      <w:pPr>
        <w:spacing w:line="269" w:lineRule="auto"/>
        <w:rPr>
          <w:rFonts w:eastAsia="Calibri"/>
          <w:rtl/>
        </w:rPr>
      </w:pPr>
    </w:p>
    <w:p w:rsidR="001F2586" w:rsidRPr="001F2586" w:rsidP="001F2586">
      <w:pPr>
        <w:keepNext/>
        <w:keepLines/>
        <w:spacing w:line="269" w:lineRule="auto"/>
        <w:outlineLvl w:val="5"/>
        <w:rPr>
          <w:rFonts w:eastAsia="Times New Roman"/>
          <w:spacing w:val="40"/>
          <w:rtl/>
        </w:rPr>
      </w:pPr>
      <w:r w:rsidRPr="001F2586">
        <w:rPr>
          <w:rFonts w:eastAsia="Times New Roman" w:hint="eastAsia"/>
          <w:spacing w:val="40"/>
          <w:rtl/>
        </w:rPr>
        <w:t>דחייה</w:t>
      </w:r>
      <w:r w:rsidRPr="001F2586">
        <w:rPr>
          <w:rFonts w:eastAsia="Times New Roman"/>
          <w:spacing w:val="40"/>
          <w:rtl/>
        </w:rPr>
        <w:t xml:space="preserve"> </w:t>
      </w:r>
      <w:r w:rsidRPr="001F2586">
        <w:rPr>
          <w:rFonts w:eastAsia="Times New Roman" w:hint="eastAsia"/>
          <w:spacing w:val="40"/>
          <w:rtl/>
        </w:rPr>
        <w:t>משמעותית</w:t>
      </w:r>
      <w:r w:rsidRPr="001F2586">
        <w:rPr>
          <w:rFonts w:eastAsia="Times New Roman"/>
          <w:spacing w:val="40"/>
          <w:rtl/>
        </w:rPr>
        <w:t xml:space="preserve"> </w:t>
      </w:r>
      <w:r w:rsidRPr="001F2586">
        <w:rPr>
          <w:rFonts w:eastAsia="Times New Roman" w:hint="eastAsia"/>
          <w:spacing w:val="40"/>
          <w:rtl/>
        </w:rPr>
        <w:t>בתשלומים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על פי נתונים שאסף הפיקוח על הבנקים באוקטובר 2024 שיעור הדירות שנמכרו במבצעי עידוד בדחייה משמעותית של התשלומים מתוך מלאי הפרויקטים הנמצאים בליווי בנקאי עמד על 28%. עם זאת, לנוכח היקף התופעה והתרחבותה, החל משלהי 2023, בפרויקטים בהם חלק משמעותי מסך הדירות נמכר במהלך 2024, שיעור המכירות בדחייה משמעותית של התשלומים גדול יותר</w:t>
      </w:r>
      <w:r>
        <w:rPr>
          <w:rFonts w:eastAsia="Calibri"/>
          <w:vertAlign w:val="superscript"/>
          <w:rtl/>
        </w:rPr>
        <w:footnoteReference w:id="167"/>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עסקאות הכוללות דחייה משמעותית בתשלומים מאפשרות לרוכשים להימנע מתשלום מקביל של משכנתא ודמי שכירות ומספקות להם זמן נוסף להשגת ההון העצמי הנדרש להשלמת העסקה. עסקאות אלה מאפשרות לקבלנים להגדיל את מלאי הדירות המכורות בפרויקטים ולמנוע קיפאון בשוק הדירות. עם זאת דחייה משמעותית בתשלומים יוצרת פער תזרימי בין קצב התקדמות הבנייה לבין תקבולי הקבלנים ומובילה להגדלת מקורות האשראי של הקבלנים ולעלויות מימון גבוהות יותר עבורם. בנוסף לכך, דחיית מועד התשלומים מגדילה את אי-הוודאות של הרוכשים לגבי מחיר הלוואת הדיור שיידרשו ליטול בסמוך למועד האכלוס, הן מבחינת גובה הריבית והן מבחינת סכום ההלוואה במקרים בהם מחיר הדירה מוצמד למדד תשומות הבנייה.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ככלל, בעסקאות הכוללות דחייה משמעותית בתשלומים לא מתקיים תהליך חיתום</w:t>
      </w:r>
      <w:r>
        <w:rPr>
          <w:rFonts w:eastAsia="Calibri"/>
          <w:vertAlign w:val="superscript"/>
          <w:rtl/>
        </w:rPr>
        <w:footnoteReference w:id="168"/>
      </w:r>
      <w:r w:rsidRPr="001F2586">
        <w:rPr>
          <w:rFonts w:eastAsia="Calibri" w:hint="cs"/>
          <w:rtl/>
        </w:rPr>
        <w:t xml:space="preserve"> בעת הרכישה, ובפרט חיתום בנקאי, כיוון שבמעמד חתימת הסכם הרכישה הרוכשים משלמים ממקורותיהם. לפיכך, עולה חשש לגבי יכולת הרוכשים להשלים עסקאות מסוג זה, ובמיוחד בקרב רוכשים המסתמכים על כושר החזר עתידי גבוה מזה הקיים להם היום ואינו מובטח. היעדר דרישה להעמדת מלוא ההון העצמי במועד חתימת הסכם הרכישה ואפשרות לדחות את מועד גיוס ההון מייצרת תמריץ לרוכשים להיכנס לעסקאות עם דחיית תשלומים ברקע השחיקה בכוח הקנייה ביחס לעליית מחירי הדיור, ויוצר פיתויים בפני אלה שאין להם יכולת כלכלית מספקת.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בדיון של 'פורום שווי הוגן'</w:t>
      </w:r>
      <w:r>
        <w:rPr>
          <w:rFonts w:eastAsia="Calibri"/>
          <w:vertAlign w:val="superscript"/>
          <w:rtl/>
        </w:rPr>
        <w:footnoteReference w:id="169"/>
      </w:r>
      <w:r w:rsidRPr="001F2586">
        <w:rPr>
          <w:rFonts w:eastAsia="Calibri" w:hint="cs"/>
          <w:rtl/>
        </w:rPr>
        <w:t xml:space="preserve"> מדצמבר 2024 הוצג חישוב של שווי ההטבה הגלומה בדחייה משמעותית במועד התשלומים. על פי החישוב שהוצג, גובה מרכיב ההנחה הגלום בעסקה שבה יתרת התמורה בשיעור של 80% משולמת בעת מסירת הדירה, ביחס לעסקה על פי המודל הליניארי נע לרוב בין 5.3% ל-7% ממחיר הדירה, תלוי בעיתוי הרכישה ביחס להתקדמות הבנייה</w:t>
      </w:r>
      <w:r>
        <w:rPr>
          <w:rFonts w:eastAsia="Calibri"/>
          <w:vertAlign w:val="superscript"/>
          <w:rtl/>
        </w:rPr>
        <w:footnoteReference w:id="170"/>
      </w:r>
      <w:r w:rsidRPr="001F2586">
        <w:rPr>
          <w:rFonts w:eastAsia="Calibri" w:hint="cs"/>
          <w:rtl/>
        </w:rPr>
        <w:t xml:space="preserve">. בעסקאות שבהן יתרת התמורה שתשולם במועד מסירת הדירה היא בשיעור גבוה יותר, מרכיב ההנחה יגדל. באופן דומה, בדירות הנמכרות במחירים הגבוהים מהמחיר הממוצע, מרכיב ההנחה יגדל. על פי נתוני </w:t>
      </w:r>
      <w:r w:rsidRPr="001F2586">
        <w:rPr>
          <w:rFonts w:eastAsia="Calibri" w:hint="cs"/>
          <w:rtl/>
        </w:rPr>
        <w:t>הלמ"ס</w:t>
      </w:r>
      <w:r w:rsidRPr="001F2586">
        <w:rPr>
          <w:rFonts w:eastAsia="Calibri" w:hint="cs"/>
          <w:rtl/>
        </w:rPr>
        <w:t xml:space="preserve"> שנאספו לגבי מחירי הדירות הממוצעים ובהתאם לחישוב 'פורום שווי הוגן' מרכיב ההנחה</w:t>
      </w:r>
      <w:r>
        <w:rPr>
          <w:rFonts w:eastAsia="Calibri"/>
          <w:vertAlign w:val="superscript"/>
          <w:rtl/>
        </w:rPr>
        <w:footnoteReference w:id="171"/>
      </w:r>
      <w:r w:rsidRPr="001F2586">
        <w:rPr>
          <w:rFonts w:eastAsia="Calibri" w:hint="cs"/>
          <w:rtl/>
        </w:rPr>
        <w:t xml:space="preserve"> הוא בטווח שבין 123.5 אלף ש"ח לבין 163.1 אלף ש"ח</w:t>
      </w:r>
      <w:r>
        <w:rPr>
          <w:rFonts w:eastAsia="Calibri"/>
          <w:vertAlign w:val="superscript"/>
          <w:rtl/>
        </w:rPr>
        <w:footnoteReference w:id="172"/>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בנקים המלווים פרויקטים של בינוי (להלן - בנקים מלווים)</w:t>
      </w:r>
      <w:r>
        <w:rPr>
          <w:rFonts w:eastAsia="Calibri"/>
          <w:vertAlign w:val="superscript"/>
          <w:rtl/>
        </w:rPr>
        <w:footnoteReference w:id="173"/>
      </w:r>
      <w:r w:rsidRPr="001F2586">
        <w:rPr>
          <w:rFonts w:eastAsia="Calibri" w:hint="cs"/>
          <w:rtl/>
        </w:rPr>
        <w:t xml:space="preserve"> מעמידים לרשות קבלנים מסגרות אשראי בפרויקטים שהם מלווים. ניצול של מסגרות האשראי כרוך בהוצאות מימון. לכן דחיית מועדי התשלומים של הרוכשים יכולה להטיב עם בנקים מלווים באמצעות הגדלת הכנסות מימון כתוצאה מניצול מוגבר של מסגרות האשראי. עם זאת דחיית מועדי התשלומים תפחית מהיקף ערבויות חוק המכר, שהבנק מעמיד </w:t>
      </w:r>
      <w:r w:rsidRPr="001F2586">
        <w:rPr>
          <w:rFonts w:eastAsia="Calibri" w:hint="cs"/>
          <w:rtl/>
        </w:rPr>
        <w:t>לרוכשי</w:t>
      </w:r>
      <w:r w:rsidRPr="001F2586">
        <w:rPr>
          <w:rFonts w:eastAsia="Calibri" w:hint="cs"/>
          <w:rtl/>
        </w:rPr>
        <w:t xml:space="preserve"> הדירות ולכן תפחית את הכנסותיו של הבנק המלווה מפעילות זו, וכן את הסיכון הגלום בפעילות זו. לא זאת בלבד, אלא שניצול מוגבר של מסגרות אשראי בידי קבלנים כרוכה בגידול בסיכון האשראי של הבנקים המלווים ותחייב את הבנקים בהקצאת הון גדולה יותר באותם פרויקטים.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לעמדת המפקח על הבנקים, היכולת של המערכת הבנקאית לעמוד יציבה בפני הפסדים הנגרמים בענף הבינוי מעידה על זהירותה ואחריותה בליווי פרויקטים לבינוי, כמו כן, למערכת הבנקאית אחריות להגן על כספי הרוכשים באמצעות שמירה על רווחי ביטחון נאותים. לעמדתו, ניסיון העבר, בארץ ובעולם, מלמד שפגיעה באיכות החיתום בתקופה מסוימת הובילה תוך זמן קצר לירידה באיכות חיתום תיק האשראי ואף לפתח של כשל מערכתי</w:t>
      </w:r>
      <w:r>
        <w:rPr>
          <w:rFonts w:eastAsia="Calibri"/>
          <w:vertAlign w:val="superscript"/>
          <w:rtl/>
        </w:rPr>
        <w:footnoteReference w:id="174"/>
      </w:r>
      <w:r w:rsidRPr="001F2586">
        <w:rPr>
          <w:rFonts w:eastAsia="Calibri" w:hint="cs"/>
          <w:rtl/>
        </w:rPr>
        <w:t>. בהתאם, בדוח היציבות הפיננסית למחצית השנייה של 2024 נכתב כי יציבות המערכת הפיננסית תלויה בכושר עמידות מוסדותיה בפני זעזועים שונים. הסיכונים העיקריים למוסדות הפיננסיים שזוהו בדוח הם ירידה חדה במחירי הנכסים הפיננסיים או הרעה באיכות האשראי. ואולם, נטען כי הערכת הסיכון ליציבות המוסדות הפיננסיים נמצא ברמה נמוכה, וזאת על רקע איתנותם הפיננסית וכריות הספיגה שהם שומרים</w:t>
      </w:r>
      <w:r>
        <w:rPr>
          <w:rFonts w:eastAsia="Calibri"/>
          <w:vertAlign w:val="superscript"/>
          <w:rtl/>
        </w:rPr>
        <w:footnoteReference w:id="175"/>
      </w:r>
      <w:r w:rsidRPr="001F2586">
        <w:rPr>
          <w:rFonts w:eastAsia="Calibri" w:hint="cs"/>
          <w:rtl/>
        </w:rPr>
        <w:t>.</w:t>
      </w:r>
    </w:p>
    <w:p w:rsidR="001F2586" w:rsidRPr="001F2586" w:rsidP="001F2586">
      <w:pPr>
        <w:spacing w:line="269" w:lineRule="auto"/>
        <w:ind w:left="-567"/>
        <w:rPr>
          <w:rFonts w:eastAsia="Calibri"/>
          <w:rtl/>
        </w:rPr>
      </w:pPr>
    </w:p>
    <w:p w:rsidR="001F2586" w:rsidRPr="001F2586" w:rsidP="001F2586">
      <w:pPr>
        <w:spacing w:line="269" w:lineRule="auto"/>
        <w:rPr>
          <w:rFonts w:eastAsia="Calibri"/>
          <w:b/>
          <w:bCs/>
          <w:rtl/>
        </w:rPr>
      </w:pPr>
      <w:r w:rsidRPr="001F2586">
        <w:rPr>
          <w:rFonts w:eastAsia="Calibri" w:hint="cs"/>
          <w:rtl/>
        </w:rPr>
        <w:t xml:space="preserve">מסקירה שערך הפיקוח על הבנקים באוקטובר 2024 עלה כי אף שנהוג לכלול בהסכמים בין בנקים לקבלנים התניות לפיהן יש לדרוש תשלומים </w:t>
      </w:r>
      <w:r w:rsidRPr="001F2586">
        <w:rPr>
          <w:rFonts w:eastAsia="Calibri" w:hint="cs"/>
          <w:rtl/>
        </w:rPr>
        <w:t>מרוכשים</w:t>
      </w:r>
      <w:r w:rsidRPr="001F2586">
        <w:rPr>
          <w:rFonts w:eastAsia="Calibri" w:hint="cs"/>
          <w:rtl/>
        </w:rPr>
        <w:t xml:space="preserve"> לפי המודל הלינארי, הפרקטיקה הנהוגה בבנקים היא אחרת. בהתאם לסקירה חלק מהבנקים כלל לא מגבילים מכירה של עסקאות עם דחייה משמעותית של התשלומים במטרה לתמוך בהתקדמות המכירות ולהקל על קבלנים, ואילו בנקים אחרים חורגים מהמדיניות המקובלת אותה התוו כדי להקל על לקוחותיהם ולמנוע את </w:t>
      </w:r>
      <w:bookmarkStart w:id="47" w:name="_Hlk214777168"/>
      <w:r w:rsidRPr="001F2586">
        <w:rPr>
          <w:rFonts w:eastAsia="Calibri"/>
          <w:rtl/>
        </w:rPr>
        <w:t>עזיבתם. עוד עלה מהסקירה כי בנקים וקבלנים אינם מבקשים מידע אודות רוכשים בעסקאות מסוג זה ואינם מבצעים בחינה להבטחת יכולת הרוכשים להשלים עסקאות.</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b/>
          <w:bCs/>
          <w:sz w:val="24"/>
          <w:rtl/>
        </w:rPr>
      </w:pPr>
      <w:r w:rsidRPr="001F2586">
        <w:rPr>
          <w:rFonts w:ascii="David" w:eastAsia="Calibri" w:hAnsi="David"/>
          <w:b/>
          <w:bCs/>
          <w:sz w:val="24"/>
          <w:rtl/>
        </w:rPr>
        <w:t>נמצא כי הפיקוח על הבנקים אינו מחייב את הבנקים להגביל מכירות של קבלנים עם דחיית משמעותית בתשלומים למועד המסירה. בשל כך, למרות שנהוג לכלול בהסכמים בין הבנקים לקבלנים בפרויקטים בליווי בנקאי התניות לפיהן על הקבלנים למכור דירות בפריסת תשלומים לפי המודל הליניארי (בהתאם להתקדמות הבניה), בפועל חלק מהבנקים אינם מגבילים את הקבלנים במכירות עם דחיית תשלומים משמעותית. לפי נתוני הפיקוח על הבנקים לאוקטובר 2024, שיעור הדירות שנמכרו בדחייה משמעותית של תשלומים עמד על כ-28% מתוך מלאי הדירות הנמכרות בפרויקטים של קבלנים בליווי בנקאי. כמו כן, ככלל לא מתבצע תהליך של חיתום במכירת דירות שבהן קיימת דחייה משמעותית של התשלומים למועד המסירה. היעדר חיתום מעלה חשש לסגירת עסקאות עם לקוחות שאינם בעלי יכולת כלכלית מספקת, במיוחד לנוכח תמריצים כספיים הגלומים בעסקאות אלה לרוכשים המוערכים בטווח שבין 123.5 אלף ש"ח לבין 163.1 אלף ש"ח (5.3% -7% ממחיר הדירה). התעצמות היקף מבצעי העידוד, החל משלהי 2023, וירידה בהיקף איכות החיתום של הלווים, שביצועו נדחה לשלב מאוחר יותר ממועד חתימת הסכם הרכישה, גורמים לעלייה בסיכון לרוכשים ולקבלנים ויתכן ואף לאשראי שמעמידה המערכת הבנקאית.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בתשובת בנק ישראל צוין כי הפיקוח על הבנקים זיהה את הסיכונים בתחום מכירות של קבלנים עם דחייה משמעותית של תשלומים למועד המסירה, בחן אותם, והפעיל באופן שוטף כלים פיקוחיים מדודים, מאוזנים ומבוססי סיכון, תוך בחינת ההשפעות האפשריות על שוק הדיור ועל הלקוחות ותוך המשך מעקב שוטף.</w:t>
      </w:r>
    </w:p>
    <w:bookmarkEnd w:id="47"/>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מומלץ כי הפיקוח על הבנקים יבחן להנחות את הבנקים המלווים להגביל מכירות של קבלנים עם דחיית משמעותית בתשלומים למועד המסירה תוך איזון בין הצורך להפחית סיכונים לרוכשים ולקבלנים לבין הצורך לאפשר התקדמות במכירות של דירות בפרויקטים. כמו כן מומלץ כי הוא יבחן אפשרות לפיה הבנק המלווה יחייב את הקבלנים לבצע תהליך חיתום לעסקה ולרוכש במועד החתימה על הסכם מכירת הדירה, גם בעסקאות בהן משולבות הטבות כגון:</w:t>
      </w:r>
      <w:r w:rsidRPr="001F2586">
        <w:rPr>
          <w:rFonts w:eastAsia="Calibri" w:hint="cs"/>
          <w:b/>
          <w:bCs/>
        </w:rPr>
        <w:t xml:space="preserve"> </w:t>
      </w:r>
      <w:r w:rsidRPr="001F2586">
        <w:rPr>
          <w:rFonts w:eastAsia="Calibri" w:hint="cs"/>
          <w:b/>
          <w:bCs/>
          <w:rtl/>
        </w:rPr>
        <w:t>דחייה במועד התשלומים.</w:t>
      </w:r>
    </w:p>
    <w:p w:rsidR="001F2586" w:rsidRPr="001F2586" w:rsidP="001F2586">
      <w:pPr>
        <w:spacing w:line="269" w:lineRule="auto"/>
        <w:rPr>
          <w:rFonts w:eastAsia="Calibri"/>
          <w:b/>
          <w:bCs/>
          <w:rtl/>
        </w:rPr>
      </w:pPr>
    </w:p>
    <w:p w:rsidR="001F2586" w:rsidRPr="001F2586" w:rsidP="001F2586">
      <w:pPr>
        <w:keepNext/>
        <w:keepLines/>
        <w:spacing w:line="269" w:lineRule="auto"/>
        <w:outlineLvl w:val="5"/>
        <w:rPr>
          <w:rFonts w:eastAsia="Times New Roman"/>
          <w:spacing w:val="40"/>
          <w:rtl/>
        </w:rPr>
      </w:pPr>
      <w:r w:rsidRPr="001F2586">
        <w:rPr>
          <w:rFonts w:eastAsia="Times New Roman" w:hint="eastAsia"/>
          <w:spacing w:val="40"/>
          <w:rtl/>
        </w:rPr>
        <w:t>הלוואות</w:t>
      </w:r>
      <w:r w:rsidRPr="001F2586">
        <w:rPr>
          <w:rFonts w:eastAsia="Times New Roman"/>
          <w:spacing w:val="40"/>
          <w:rtl/>
        </w:rPr>
        <w:t xml:space="preserve"> </w:t>
      </w:r>
      <w:r w:rsidRPr="001F2586">
        <w:rPr>
          <w:rFonts w:eastAsia="Times New Roman" w:hint="eastAsia"/>
          <w:spacing w:val="40"/>
          <w:rtl/>
        </w:rPr>
        <w:t>בסבסוד</w:t>
      </w:r>
      <w:r w:rsidRPr="001F2586">
        <w:rPr>
          <w:rFonts w:eastAsia="Times New Roman"/>
          <w:spacing w:val="40"/>
          <w:rtl/>
        </w:rPr>
        <w:t xml:space="preserve"> </w:t>
      </w:r>
      <w:r w:rsidRPr="001F2586">
        <w:rPr>
          <w:rFonts w:eastAsia="Times New Roman" w:hint="eastAsia"/>
          <w:spacing w:val="40"/>
          <w:rtl/>
        </w:rPr>
        <w:t>קבלנים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הלוואות בסבסוד קבלנים דומות במהותן לעסקאות בהן קיימת דחיית תשלומים משמעותית. אלא שבשונה מהן המודל מאפשר לקבלנים לגשר על העיכוב במועד קבלת חלק מכספי הרוכשים כתוצאה מדחיית מועדי התשלומים למועד הסמוך לסיום הפרויקטים, ובכך להפחית את היקף האשראי שידרשו ליטול קבלנים מהמערכת הבנקאית. יצוין כי הלוואות בסבסוד קבלנים לא בהכרח יינתנו בבנקים המלווים את פרויקט הבינוי או בבנק שיעמיד לרוכשים את הלוואת הדיור.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על רקע גידול ניכר בהלוואות בלון באשראי לדיור, </w:t>
      </w:r>
      <w:bookmarkStart w:id="48" w:name="_Hlk218523106"/>
      <w:r w:rsidRPr="001F2586">
        <w:rPr>
          <w:rFonts w:eastAsia="Calibri" w:hint="cs"/>
          <w:rtl/>
        </w:rPr>
        <w:t>החל הפיקוח על הבנקים, בדצמבר 2023, לאסוף נתונים אודות חלקן של הלוואות בלון בסבסוד קבלנים מתוך כלל הלוואות בלון באשראי לדיור</w:t>
      </w:r>
      <w:bookmarkEnd w:id="48"/>
      <w:r w:rsidRPr="001F2586">
        <w:rPr>
          <w:rFonts w:eastAsia="Calibri" w:hint="cs"/>
          <w:rtl/>
        </w:rPr>
        <w:t>. התרשים להלן מציג את סך ביצועי הלוואות בלון באשראי לדיור ובנטרול הלוואות בסבסוד קבלנים בתקופה שבין ינואר 2017 עד מאי 2024.</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24:</w:t>
      </w:r>
      <w:r w:rsidRPr="001F2586">
        <w:rPr>
          <w:rFonts w:eastAsia="Calibri" w:hint="cs"/>
          <w:bCs/>
          <w:sz w:val="24"/>
          <w:rtl/>
        </w:rPr>
        <w:t xml:space="preserve"> </w:t>
      </w:r>
      <w:r w:rsidRPr="001F2586">
        <w:rPr>
          <w:rFonts w:eastAsia="Calibri" w:hint="eastAsia"/>
          <w:bCs/>
          <w:sz w:val="24"/>
          <w:rtl/>
        </w:rPr>
        <w:t>סך</w:t>
      </w:r>
      <w:r w:rsidRPr="001F2586">
        <w:rPr>
          <w:rFonts w:eastAsia="Calibri"/>
          <w:bCs/>
          <w:sz w:val="24"/>
          <w:rtl/>
        </w:rPr>
        <w:t xml:space="preserve"> ביצועי הלוואות בלון באשראי לדיור ובנטרול הלוואות בלון בסבסוד קבלנים, </w:t>
      </w:r>
      <w:r w:rsidRPr="001F2586">
        <w:rPr>
          <w:rFonts w:eastAsia="Calibri" w:hint="cs"/>
          <w:bCs/>
          <w:sz w:val="24"/>
          <w:rtl/>
        </w:rPr>
        <w:t>ינואר 2017 עד אפריל 2024 (</w:t>
      </w:r>
      <w:r w:rsidRPr="001F2586">
        <w:rPr>
          <w:rFonts w:eastAsia="Calibri" w:hint="eastAsia"/>
          <w:bCs/>
          <w:sz w:val="24"/>
          <w:rtl/>
        </w:rPr>
        <w:t>במיליארדי</w:t>
      </w:r>
      <w:r w:rsidRPr="001F2586">
        <w:rPr>
          <w:rFonts w:eastAsia="Calibri"/>
          <w:bCs/>
          <w:sz w:val="24"/>
          <w:rtl/>
        </w:rPr>
        <w:t xml:space="preserve"> </w:t>
      </w:r>
      <w:r w:rsidRPr="001F2586">
        <w:rPr>
          <w:rFonts w:eastAsia="Calibri" w:hint="eastAsia"/>
          <w:bCs/>
          <w:sz w:val="24"/>
          <w:rtl/>
        </w:rPr>
        <w:t>ש</w:t>
      </w:r>
      <w:r w:rsidRPr="001F2586">
        <w:rPr>
          <w:rFonts w:eastAsia="Calibri"/>
          <w:bCs/>
          <w:sz w:val="24"/>
          <w:rtl/>
        </w:rPr>
        <w:t>"ח</w:t>
      </w:r>
      <w:r w:rsidRPr="001F2586">
        <w:rPr>
          <w:rFonts w:eastAsia="Calibri" w:hint="cs"/>
          <w:bCs/>
          <w:sz w:val="24"/>
          <w:rtl/>
        </w:rPr>
        <w:t>)</w:t>
      </w:r>
    </w:p>
    <w:p w:rsidR="001F2586" w:rsidRPr="001F2586" w:rsidP="001F2586">
      <w:pPr>
        <w:spacing w:line="269" w:lineRule="auto"/>
        <w:jc w:val="center"/>
        <w:rPr>
          <w:rFonts w:eastAsia="Calibri"/>
          <w:rtl/>
        </w:rPr>
      </w:pPr>
      <w:r w:rsidRPr="001F2586">
        <w:rPr>
          <w:rFonts w:eastAsia="Calibri"/>
          <w:noProof/>
        </w:rPr>
        <w:drawing>
          <wp:inline distT="0" distB="0" distL="0" distR="0">
            <wp:extent cx="3657600" cy="2908205"/>
            <wp:effectExtent l="0" t="0" r="0" b="6985"/>
            <wp:docPr id="45" name="תמונה 45" descr="סך ביצועי אשראי בלון לדיור עלה מכ-0.4 מיליארד ש&quot;ח בינואר 2017 לכ-1.3 מיליארד ש&quot;ח באפריל 2024.&#10;סך ביצועי אשראי בלון לדיור בניכוי הלוואות בסבסוד קבלנים עלתה מכ-0.4 מיליארד ש&quot;ח לכ-0.7 מיליארד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35"/>
                    <a:stretch>
                      <a:fillRect/>
                    </a:stretch>
                  </pic:blipFill>
                  <pic:spPr>
                    <a:xfrm>
                      <a:off x="0" y="0"/>
                      <a:ext cx="3680977" cy="2926792"/>
                    </a:xfrm>
                    <a:prstGeom prst="rect">
                      <a:avLst/>
                    </a:prstGeom>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המקור: הפיקוח על הבנקים.</w:t>
      </w:r>
    </w:p>
    <w:p w:rsidR="001F2586" w:rsidRPr="001F2586" w:rsidP="001F2586">
      <w:pPr>
        <w:spacing w:line="269" w:lineRule="auto"/>
        <w:rPr>
          <w:rFonts w:eastAsia="Calibri"/>
          <w:sz w:val="18"/>
          <w:szCs w:val="22"/>
          <w:rtl/>
        </w:rPr>
      </w:pPr>
    </w:p>
    <w:p w:rsidR="001F2586" w:rsidRPr="001F2586" w:rsidP="001F2586">
      <w:pPr>
        <w:spacing w:line="269" w:lineRule="auto"/>
        <w:rPr>
          <w:rFonts w:eastAsia="Calibri"/>
          <w:b/>
          <w:bCs/>
          <w:rtl/>
        </w:rPr>
      </w:pP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בתרשים</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לאחר</w:t>
      </w:r>
      <w:r w:rsidRPr="001F2586">
        <w:rPr>
          <w:rFonts w:eastAsia="Calibri"/>
          <w:b/>
          <w:bCs/>
          <w:rtl/>
        </w:rPr>
        <w:t xml:space="preserve"> </w:t>
      </w:r>
      <w:r w:rsidRPr="001F2586">
        <w:rPr>
          <w:rFonts w:eastAsia="Calibri" w:hint="eastAsia"/>
          <w:b/>
          <w:bCs/>
          <w:rtl/>
        </w:rPr>
        <w:t>פרוץ</w:t>
      </w:r>
      <w:r w:rsidRPr="001F2586">
        <w:rPr>
          <w:rFonts w:eastAsia="Calibri"/>
          <w:b/>
          <w:bCs/>
          <w:rtl/>
        </w:rPr>
        <w:t xml:space="preserve"> </w:t>
      </w:r>
      <w:r w:rsidRPr="001F2586">
        <w:rPr>
          <w:rFonts w:eastAsia="Calibri" w:hint="eastAsia"/>
          <w:b/>
          <w:bCs/>
          <w:rtl/>
        </w:rPr>
        <w:t>מלחמת</w:t>
      </w:r>
      <w:r w:rsidRPr="001F2586">
        <w:rPr>
          <w:rFonts w:eastAsia="Calibri"/>
          <w:b/>
          <w:bCs/>
          <w:rtl/>
        </w:rPr>
        <w:t xml:space="preserve"> 'חרבות </w:t>
      </w:r>
      <w:r w:rsidRPr="001F2586">
        <w:rPr>
          <w:rFonts w:eastAsia="Calibri" w:hint="eastAsia"/>
          <w:b/>
          <w:bCs/>
          <w:rtl/>
        </w:rPr>
        <w:t>ברזל</w:t>
      </w:r>
      <w:r w:rsidRPr="001F2586">
        <w:rPr>
          <w:rFonts w:eastAsia="Calibri"/>
          <w:b/>
          <w:bCs/>
          <w:rtl/>
        </w:rPr>
        <w:t xml:space="preserve">', </w:t>
      </w:r>
      <w:r w:rsidRPr="001F2586">
        <w:rPr>
          <w:rFonts w:eastAsia="Calibri" w:hint="eastAsia"/>
          <w:b/>
          <w:bCs/>
          <w:rtl/>
        </w:rPr>
        <w:t>באוקטובר</w:t>
      </w:r>
      <w:r w:rsidRPr="001F2586">
        <w:rPr>
          <w:rFonts w:eastAsia="Calibri"/>
          <w:b/>
          <w:bCs/>
          <w:rtl/>
        </w:rPr>
        <w:t xml:space="preserve"> 2023, </w:t>
      </w:r>
      <w:r w:rsidRPr="001F2586">
        <w:rPr>
          <w:rFonts w:eastAsia="Calibri" w:hint="eastAsia"/>
          <w:b/>
          <w:bCs/>
          <w:rtl/>
        </w:rPr>
        <w:t>חלה</w:t>
      </w:r>
      <w:r w:rsidRPr="001F2586">
        <w:rPr>
          <w:rFonts w:eastAsia="Calibri"/>
          <w:b/>
          <w:bCs/>
          <w:rtl/>
        </w:rPr>
        <w:t xml:space="preserve"> </w:t>
      </w:r>
      <w:r w:rsidRPr="001F2586">
        <w:rPr>
          <w:rFonts w:eastAsia="Calibri" w:hint="eastAsia"/>
          <w:b/>
          <w:bCs/>
          <w:rtl/>
        </w:rPr>
        <w:t>מגמת</w:t>
      </w:r>
      <w:r w:rsidRPr="001F2586">
        <w:rPr>
          <w:rFonts w:eastAsia="Calibri"/>
          <w:b/>
          <w:bCs/>
          <w:rtl/>
        </w:rPr>
        <w:t xml:space="preserve"> </w:t>
      </w:r>
      <w:r w:rsidRPr="001F2586">
        <w:rPr>
          <w:rFonts w:eastAsia="Calibri" w:hint="eastAsia"/>
          <w:b/>
          <w:bCs/>
          <w:rtl/>
        </w:rPr>
        <w:t>עלייה</w:t>
      </w:r>
      <w:r w:rsidRPr="001F2586">
        <w:rPr>
          <w:rFonts w:eastAsia="Calibri"/>
          <w:b/>
          <w:bCs/>
          <w:rtl/>
        </w:rPr>
        <w:t xml:space="preserve"> </w:t>
      </w:r>
      <w:r w:rsidRPr="001F2586">
        <w:rPr>
          <w:rFonts w:eastAsia="Calibri" w:hint="eastAsia"/>
          <w:b/>
          <w:bCs/>
          <w:rtl/>
        </w:rPr>
        <w:t>בסך</w:t>
      </w:r>
      <w:r w:rsidRPr="001F2586">
        <w:rPr>
          <w:rFonts w:eastAsia="Calibri"/>
          <w:b/>
          <w:bCs/>
          <w:rtl/>
        </w:rPr>
        <w:t xml:space="preserve"> </w:t>
      </w:r>
      <w:r w:rsidRPr="001F2586">
        <w:rPr>
          <w:rFonts w:eastAsia="Calibri" w:hint="eastAsia"/>
          <w:b/>
          <w:bCs/>
          <w:rtl/>
        </w:rPr>
        <w:t>ביצועי</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בלון</w:t>
      </w:r>
      <w:r w:rsidRPr="001F2586">
        <w:rPr>
          <w:rFonts w:eastAsia="Calibri"/>
          <w:b/>
          <w:bCs/>
          <w:rtl/>
        </w:rPr>
        <w:t xml:space="preserve"> </w:t>
      </w:r>
      <w:r w:rsidRPr="001F2586">
        <w:rPr>
          <w:rFonts w:eastAsia="Calibri" w:hint="eastAsia"/>
          <w:b/>
          <w:bCs/>
          <w:rtl/>
        </w:rPr>
        <w:t>באשראי</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w:t>
      </w:r>
      <w:r w:rsidRPr="001F2586">
        <w:rPr>
          <w:rFonts w:eastAsia="Calibri" w:hint="eastAsia"/>
          <w:b/>
          <w:bCs/>
          <w:rtl/>
        </w:rPr>
        <w:t>שנובעת</w:t>
      </w:r>
      <w:r w:rsidRPr="001F2586">
        <w:rPr>
          <w:rFonts w:eastAsia="Calibri"/>
          <w:b/>
          <w:bCs/>
          <w:rtl/>
        </w:rPr>
        <w:t xml:space="preserve"> </w:t>
      </w:r>
      <w:r w:rsidRPr="001F2586">
        <w:rPr>
          <w:rFonts w:eastAsia="Calibri" w:hint="eastAsia"/>
          <w:b/>
          <w:bCs/>
          <w:rtl/>
        </w:rPr>
        <w:t>מגידול</w:t>
      </w:r>
      <w:r w:rsidRPr="001F2586">
        <w:rPr>
          <w:rFonts w:eastAsia="Calibri"/>
          <w:b/>
          <w:bCs/>
          <w:rtl/>
        </w:rPr>
        <w:t xml:space="preserve"> </w:t>
      </w:r>
      <w:r w:rsidRPr="001F2586">
        <w:rPr>
          <w:rFonts w:eastAsia="Calibri" w:hint="eastAsia"/>
          <w:b/>
          <w:bCs/>
          <w:rtl/>
        </w:rPr>
        <w:t>בהלוואות</w:t>
      </w:r>
      <w:r w:rsidRPr="001F2586">
        <w:rPr>
          <w:rFonts w:eastAsia="Calibri"/>
          <w:b/>
          <w:bCs/>
          <w:rtl/>
        </w:rPr>
        <w:t xml:space="preserve"> </w:t>
      </w:r>
      <w:r w:rsidRPr="001F2586">
        <w:rPr>
          <w:rFonts w:eastAsia="Calibri" w:hint="eastAsia"/>
          <w:b/>
          <w:bCs/>
          <w:rtl/>
        </w:rPr>
        <w:t>המסובסדות</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ידי</w:t>
      </w:r>
      <w:r w:rsidRPr="001F2586">
        <w:rPr>
          <w:rFonts w:eastAsia="Calibri"/>
          <w:b/>
          <w:bCs/>
          <w:rtl/>
        </w:rPr>
        <w:t xml:space="preserve"> </w:t>
      </w:r>
      <w:r w:rsidRPr="001F2586">
        <w:rPr>
          <w:rFonts w:eastAsia="Calibri" w:hint="eastAsia"/>
          <w:b/>
          <w:bCs/>
          <w:rtl/>
        </w:rPr>
        <w:t>הקבלנים</w:t>
      </w:r>
      <w:r w:rsidRPr="001F2586">
        <w:rPr>
          <w:rFonts w:eastAsia="Calibri"/>
          <w:b/>
          <w:bCs/>
          <w:rtl/>
        </w:rPr>
        <w:t xml:space="preserve">. </w:t>
      </w:r>
      <w:r w:rsidRPr="001F2586">
        <w:rPr>
          <w:rFonts w:eastAsia="Calibri" w:hint="eastAsia"/>
          <w:b/>
          <w:bCs/>
          <w:rtl/>
        </w:rPr>
        <w:t>סך</w:t>
      </w:r>
      <w:r w:rsidRPr="001F2586">
        <w:rPr>
          <w:rFonts w:eastAsia="Calibri"/>
          <w:b/>
          <w:bCs/>
          <w:rtl/>
        </w:rPr>
        <w:t xml:space="preserve"> </w:t>
      </w:r>
      <w:r w:rsidRPr="001F2586">
        <w:rPr>
          <w:rFonts w:eastAsia="Calibri" w:hint="eastAsia"/>
          <w:b/>
          <w:bCs/>
          <w:rtl/>
        </w:rPr>
        <w:t>ביצועי</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בלון</w:t>
      </w:r>
      <w:r w:rsidRPr="001F2586">
        <w:rPr>
          <w:rFonts w:eastAsia="Calibri"/>
          <w:b/>
          <w:bCs/>
          <w:rtl/>
        </w:rPr>
        <w:t xml:space="preserve"> </w:t>
      </w:r>
      <w:r w:rsidRPr="001F2586">
        <w:rPr>
          <w:rFonts w:eastAsia="Calibri" w:hint="eastAsia"/>
          <w:b/>
          <w:bCs/>
          <w:rtl/>
        </w:rPr>
        <w:t>באשראי</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w:t>
      </w:r>
      <w:r w:rsidRPr="001F2586">
        <w:rPr>
          <w:rFonts w:eastAsia="Calibri" w:hint="eastAsia"/>
          <w:b/>
          <w:bCs/>
          <w:rtl/>
        </w:rPr>
        <w:t>בתקופה</w:t>
      </w:r>
      <w:r w:rsidRPr="001F2586">
        <w:rPr>
          <w:rFonts w:eastAsia="Calibri"/>
          <w:b/>
          <w:bCs/>
          <w:rtl/>
        </w:rPr>
        <w:t xml:space="preserve"> </w:t>
      </w:r>
      <w:r w:rsidRPr="001F2586">
        <w:rPr>
          <w:rFonts w:eastAsia="Calibri" w:hint="eastAsia"/>
          <w:b/>
          <w:bCs/>
          <w:rtl/>
        </w:rPr>
        <w:t>זו</w:t>
      </w:r>
      <w:r w:rsidRPr="001F2586">
        <w:rPr>
          <w:rFonts w:eastAsia="Calibri"/>
          <w:b/>
          <w:bCs/>
          <w:rtl/>
        </w:rPr>
        <w:t xml:space="preserve">, </w:t>
      </w:r>
      <w:r w:rsidRPr="001F2586">
        <w:rPr>
          <w:rFonts w:eastAsia="Calibri" w:hint="eastAsia"/>
          <w:b/>
          <w:bCs/>
          <w:rtl/>
        </w:rPr>
        <w:t>שהגיע</w:t>
      </w:r>
      <w:r w:rsidRPr="001F2586">
        <w:rPr>
          <w:rFonts w:eastAsia="Calibri"/>
          <w:b/>
          <w:bCs/>
          <w:rtl/>
        </w:rPr>
        <w:t xml:space="preserve"> </w:t>
      </w:r>
      <w:r w:rsidRPr="001F2586">
        <w:rPr>
          <w:rFonts w:eastAsia="Calibri" w:hint="eastAsia"/>
          <w:b/>
          <w:bCs/>
          <w:rtl/>
        </w:rPr>
        <w:t>באפריל</w:t>
      </w:r>
      <w:r w:rsidRPr="001F2586">
        <w:rPr>
          <w:rFonts w:eastAsia="Calibri"/>
          <w:b/>
          <w:bCs/>
          <w:rtl/>
        </w:rPr>
        <w:t xml:space="preserve"> 2024 </w:t>
      </w:r>
      <w:r w:rsidRPr="001F2586">
        <w:rPr>
          <w:rFonts w:eastAsia="Calibri" w:hint="eastAsia"/>
          <w:b/>
          <w:bCs/>
          <w:rtl/>
        </w:rPr>
        <w:t>להיקף</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-1.3 </w:t>
      </w:r>
      <w:r w:rsidRPr="001F2586">
        <w:rPr>
          <w:rFonts w:eastAsia="Calibri" w:hint="eastAsia"/>
          <w:b/>
          <w:bCs/>
          <w:rtl/>
        </w:rPr>
        <w:t>מיליארד</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(מזה </w:t>
      </w:r>
      <w:r w:rsidRPr="001F2586">
        <w:rPr>
          <w:rFonts w:eastAsia="Calibri" w:hint="eastAsia"/>
          <w:b/>
          <w:bCs/>
          <w:rtl/>
        </w:rPr>
        <w:t>כ</w:t>
      </w:r>
      <w:r w:rsidRPr="001F2586">
        <w:rPr>
          <w:rFonts w:eastAsia="Calibri"/>
          <w:b/>
          <w:bCs/>
          <w:rtl/>
        </w:rPr>
        <w:t xml:space="preserve">-600 </w:t>
      </w:r>
      <w:r w:rsidRPr="001F2586">
        <w:rPr>
          <w:rFonts w:eastAsia="Calibri" w:hint="eastAsia"/>
          <w:b/>
          <w:bCs/>
          <w:rtl/>
        </w:rPr>
        <w:t>מלש</w:t>
      </w:r>
      <w:r w:rsidRPr="001F2586">
        <w:rPr>
          <w:rFonts w:eastAsia="Calibri"/>
          <w:b/>
          <w:bCs/>
          <w:rtl/>
        </w:rPr>
        <w:t>"ח</w:t>
      </w:r>
      <w:r w:rsidRPr="001F2586">
        <w:rPr>
          <w:rFonts w:eastAsia="Calibri"/>
          <w:b/>
          <w:bCs/>
          <w:rtl/>
        </w:rPr>
        <w:t xml:space="preserve"> </w:t>
      </w:r>
      <w:r w:rsidRPr="001F2586">
        <w:rPr>
          <w:rFonts w:eastAsia="Calibri" w:hint="eastAsia"/>
          <w:b/>
          <w:bCs/>
          <w:rtl/>
        </w:rPr>
        <w:t>בסבסוד</w:t>
      </w:r>
      <w:r w:rsidRPr="001F2586">
        <w:rPr>
          <w:rFonts w:eastAsia="Calibri"/>
          <w:b/>
          <w:bCs/>
          <w:rtl/>
        </w:rPr>
        <w:t xml:space="preserve"> </w:t>
      </w:r>
      <w:r w:rsidRPr="001F2586">
        <w:rPr>
          <w:rFonts w:eastAsia="Calibri" w:hint="eastAsia"/>
          <w:b/>
          <w:bCs/>
          <w:rtl/>
        </w:rPr>
        <w:t>קבלנים</w:t>
      </w:r>
      <w:r w:rsidRPr="001F2586">
        <w:rPr>
          <w:rFonts w:eastAsia="Calibri"/>
          <w:b/>
          <w:bCs/>
          <w:rtl/>
        </w:rPr>
        <w:t>)</w:t>
      </w:r>
      <w:r w:rsidRPr="001F2586">
        <w:rPr>
          <w:rFonts w:eastAsia="Calibri" w:hint="cs"/>
          <w:b/>
          <w:bCs/>
          <w:rtl/>
        </w:rPr>
        <w:t xml:space="preserve"> </w:t>
      </w:r>
      <w:r w:rsidRPr="001F2586">
        <w:rPr>
          <w:rFonts w:eastAsia="Calibri" w:hint="eastAsia"/>
          <w:b/>
          <w:bCs/>
          <w:rtl/>
        </w:rPr>
        <w:t>היה</w:t>
      </w:r>
      <w:r w:rsidRPr="001F2586">
        <w:rPr>
          <w:rFonts w:eastAsia="Calibri"/>
          <w:b/>
          <w:bCs/>
          <w:rtl/>
        </w:rPr>
        <w:t xml:space="preserve"> </w:t>
      </w:r>
      <w:r w:rsidRPr="001F2586">
        <w:rPr>
          <w:rFonts w:eastAsia="Calibri" w:hint="eastAsia"/>
          <w:b/>
          <w:bCs/>
          <w:rtl/>
        </w:rPr>
        <w:t>חריג</w:t>
      </w:r>
      <w:r w:rsidRPr="001F2586">
        <w:rPr>
          <w:rFonts w:eastAsia="Calibri"/>
          <w:b/>
          <w:bCs/>
          <w:rtl/>
        </w:rPr>
        <w:t xml:space="preserve"> </w:t>
      </w:r>
      <w:r w:rsidRPr="001F2586">
        <w:rPr>
          <w:rFonts w:eastAsia="Calibri" w:hint="eastAsia"/>
          <w:b/>
          <w:bCs/>
          <w:rtl/>
        </w:rPr>
        <w:t>בגובהו</w:t>
      </w:r>
      <w:r w:rsidRPr="001F2586">
        <w:rPr>
          <w:rFonts w:eastAsia="Calibri"/>
          <w:b/>
          <w:bCs/>
          <w:rtl/>
        </w:rPr>
        <w:t xml:space="preserve"> </w:t>
      </w:r>
      <w:r w:rsidRPr="001F2586">
        <w:rPr>
          <w:rFonts w:eastAsia="Calibri" w:hint="eastAsia"/>
          <w:b/>
          <w:bCs/>
          <w:rtl/>
        </w:rPr>
        <w:t>ביחס</w:t>
      </w:r>
      <w:r w:rsidRPr="001F2586">
        <w:rPr>
          <w:rFonts w:eastAsia="Calibri"/>
          <w:b/>
          <w:bCs/>
          <w:rtl/>
        </w:rPr>
        <w:t xml:space="preserve"> </w:t>
      </w:r>
      <w:r w:rsidRPr="001F2586">
        <w:rPr>
          <w:rFonts w:eastAsia="Calibri" w:hint="eastAsia"/>
          <w:b/>
          <w:bCs/>
          <w:rtl/>
        </w:rPr>
        <w:t>לשנים</w:t>
      </w:r>
      <w:r w:rsidRPr="001F2586">
        <w:rPr>
          <w:rFonts w:eastAsia="Calibri"/>
          <w:b/>
          <w:bCs/>
          <w:rtl/>
        </w:rPr>
        <w:t xml:space="preserve"> </w:t>
      </w:r>
      <w:r w:rsidRPr="001F2586">
        <w:rPr>
          <w:rFonts w:eastAsia="Calibri" w:hint="eastAsia"/>
          <w:b/>
          <w:bCs/>
          <w:rtl/>
        </w:rPr>
        <w:t>קודמות</w:t>
      </w:r>
      <w:r w:rsidRPr="001F2586">
        <w:rPr>
          <w:rFonts w:eastAsia="Calibri"/>
          <w:b/>
          <w:bCs/>
          <w:rtl/>
        </w:rPr>
        <w:t xml:space="preserve">. </w:t>
      </w:r>
      <w:r w:rsidRPr="001F2586">
        <w:rPr>
          <w:rFonts w:eastAsia="Calibri" w:hint="eastAsia"/>
          <w:b/>
          <w:bCs/>
          <w:rtl/>
        </w:rPr>
        <w:t>מגמה</w:t>
      </w:r>
      <w:r w:rsidRPr="001F2586">
        <w:rPr>
          <w:rFonts w:eastAsia="Calibri"/>
          <w:b/>
          <w:bCs/>
          <w:rtl/>
        </w:rPr>
        <w:t xml:space="preserve"> </w:t>
      </w:r>
      <w:r w:rsidRPr="001F2586">
        <w:rPr>
          <w:rFonts w:eastAsia="Calibri" w:hint="eastAsia"/>
          <w:b/>
          <w:bCs/>
          <w:rtl/>
        </w:rPr>
        <w:t>זו</w:t>
      </w:r>
      <w:r w:rsidRPr="001F2586">
        <w:rPr>
          <w:rFonts w:eastAsia="Calibri"/>
          <w:b/>
          <w:bCs/>
          <w:rtl/>
        </w:rPr>
        <w:t xml:space="preserve"> </w:t>
      </w:r>
      <w:r w:rsidRPr="001F2586">
        <w:rPr>
          <w:rFonts w:eastAsia="Calibri" w:hint="eastAsia"/>
          <w:b/>
          <w:bCs/>
          <w:rtl/>
        </w:rPr>
        <w:t>המשיכה</w:t>
      </w:r>
      <w:r w:rsidRPr="001F2586">
        <w:rPr>
          <w:rFonts w:eastAsia="Calibri"/>
          <w:b/>
          <w:bCs/>
          <w:rtl/>
        </w:rPr>
        <w:t xml:space="preserve"> </w:t>
      </w:r>
      <w:r w:rsidRPr="001F2586">
        <w:rPr>
          <w:rFonts w:eastAsia="Calibri" w:hint="eastAsia"/>
          <w:b/>
          <w:bCs/>
          <w:rtl/>
        </w:rPr>
        <w:t>גם</w:t>
      </w:r>
      <w:r w:rsidRPr="001F2586">
        <w:rPr>
          <w:rFonts w:eastAsia="Calibri"/>
          <w:b/>
          <w:bCs/>
          <w:rtl/>
        </w:rPr>
        <w:t xml:space="preserve"> </w:t>
      </w:r>
      <w:r w:rsidRPr="001F2586">
        <w:rPr>
          <w:rFonts w:eastAsia="Calibri" w:hint="eastAsia"/>
          <w:b/>
          <w:bCs/>
          <w:rtl/>
        </w:rPr>
        <w:t>לאחר</w:t>
      </w:r>
      <w:r w:rsidRPr="001F2586">
        <w:rPr>
          <w:rFonts w:eastAsia="Calibri"/>
          <w:b/>
          <w:bCs/>
          <w:rtl/>
        </w:rPr>
        <w:t xml:space="preserve"> </w:t>
      </w:r>
      <w:r w:rsidRPr="001F2586">
        <w:rPr>
          <w:rFonts w:eastAsia="Calibri" w:hint="eastAsia"/>
          <w:b/>
          <w:bCs/>
          <w:rtl/>
        </w:rPr>
        <w:t>מאי</w:t>
      </w:r>
      <w:r w:rsidRPr="001F2586">
        <w:rPr>
          <w:rFonts w:eastAsia="Calibri"/>
          <w:b/>
          <w:bCs/>
          <w:rtl/>
        </w:rPr>
        <w:t xml:space="preserve"> 2024. </w:t>
      </w:r>
      <w:r w:rsidRPr="001F2586">
        <w:rPr>
          <w:rFonts w:eastAsia="Calibri" w:hint="eastAsia"/>
          <w:b/>
          <w:bCs/>
          <w:rtl/>
        </w:rPr>
        <w:t>בנטרול</w:t>
      </w:r>
      <w:r w:rsidRPr="001F2586">
        <w:rPr>
          <w:rFonts w:eastAsia="Calibri"/>
          <w:b/>
          <w:bCs/>
          <w:rtl/>
        </w:rPr>
        <w:t xml:space="preserve"> </w:t>
      </w:r>
      <w:r w:rsidRPr="001F2586">
        <w:rPr>
          <w:rFonts w:eastAsia="Calibri" w:hint="eastAsia"/>
          <w:b/>
          <w:bCs/>
          <w:rtl/>
        </w:rPr>
        <w:t>ביצועי</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בלון</w:t>
      </w:r>
      <w:r w:rsidRPr="001F2586">
        <w:rPr>
          <w:rFonts w:eastAsia="Calibri"/>
          <w:b/>
          <w:bCs/>
          <w:rtl/>
        </w:rPr>
        <w:t xml:space="preserve"> </w:t>
      </w:r>
      <w:r w:rsidRPr="001F2586">
        <w:rPr>
          <w:rFonts w:eastAsia="Calibri" w:hint="eastAsia"/>
          <w:b/>
          <w:bCs/>
          <w:rtl/>
        </w:rPr>
        <w:t>בסבסוד</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לא</w:t>
      </w:r>
      <w:r w:rsidRPr="001F2586">
        <w:rPr>
          <w:rFonts w:eastAsia="Calibri"/>
          <w:b/>
          <w:bCs/>
          <w:rtl/>
        </w:rPr>
        <w:t xml:space="preserve"> </w:t>
      </w:r>
      <w:r w:rsidRPr="001F2586">
        <w:rPr>
          <w:rFonts w:eastAsia="Calibri" w:hint="eastAsia"/>
          <w:b/>
          <w:bCs/>
          <w:rtl/>
        </w:rPr>
        <w:t>מדובר</w:t>
      </w:r>
      <w:r w:rsidRPr="001F2586">
        <w:rPr>
          <w:rFonts w:eastAsia="Calibri"/>
          <w:b/>
          <w:bCs/>
          <w:rtl/>
        </w:rPr>
        <w:t xml:space="preserve"> </w:t>
      </w:r>
      <w:r w:rsidRPr="001F2586">
        <w:rPr>
          <w:rFonts w:eastAsia="Calibri" w:hint="eastAsia"/>
          <w:b/>
          <w:bCs/>
          <w:rtl/>
        </w:rPr>
        <w:t>בסך</w:t>
      </w:r>
      <w:r w:rsidRPr="001F2586">
        <w:rPr>
          <w:rFonts w:eastAsia="Calibri"/>
          <w:b/>
          <w:bCs/>
          <w:rtl/>
        </w:rPr>
        <w:t xml:space="preserve"> </w:t>
      </w:r>
      <w:r w:rsidRPr="001F2586">
        <w:rPr>
          <w:rFonts w:eastAsia="Calibri" w:hint="eastAsia"/>
          <w:b/>
          <w:bCs/>
          <w:rtl/>
        </w:rPr>
        <w:t>ביצועים</w:t>
      </w:r>
      <w:r w:rsidRPr="001F2586">
        <w:rPr>
          <w:rFonts w:eastAsia="Calibri"/>
          <w:b/>
          <w:bCs/>
          <w:rtl/>
        </w:rPr>
        <w:t xml:space="preserve"> </w:t>
      </w:r>
      <w:r w:rsidRPr="001F2586">
        <w:rPr>
          <w:rFonts w:eastAsia="Calibri" w:hint="eastAsia"/>
          <w:b/>
          <w:bCs/>
          <w:rtl/>
        </w:rPr>
        <w:t>חריג</w:t>
      </w:r>
      <w:r w:rsidRPr="001F2586">
        <w:rPr>
          <w:rFonts w:eastAsia="Calibri"/>
          <w:b/>
          <w:bCs/>
          <w:rtl/>
        </w:rPr>
        <w:t xml:space="preserve"> </w:t>
      </w:r>
      <w:r w:rsidRPr="001F2586">
        <w:rPr>
          <w:rFonts w:eastAsia="Calibri" w:hint="eastAsia"/>
          <w:b/>
          <w:bCs/>
          <w:rtl/>
        </w:rPr>
        <w:t>במיוחד</w:t>
      </w:r>
      <w:r w:rsidRPr="001F2586">
        <w:rPr>
          <w:rFonts w:eastAsia="Calibri"/>
          <w:b/>
          <w:bCs/>
          <w:rtl/>
        </w:rPr>
        <w:t xml:space="preserve">. </w:t>
      </w:r>
      <w:r w:rsidRPr="001F2586">
        <w:rPr>
          <w:rFonts w:eastAsia="Calibri" w:hint="eastAsia"/>
          <w:b/>
          <w:bCs/>
          <w:rtl/>
        </w:rPr>
        <w:t>כלומר</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בסבסוד</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הובילו</w:t>
      </w:r>
      <w:r w:rsidRPr="001F2586">
        <w:rPr>
          <w:rFonts w:eastAsia="Calibri"/>
          <w:b/>
          <w:bCs/>
          <w:rtl/>
        </w:rPr>
        <w:t xml:space="preserve"> </w:t>
      </w:r>
      <w:r w:rsidRPr="001F2586">
        <w:rPr>
          <w:rFonts w:eastAsia="Calibri" w:hint="eastAsia"/>
          <w:b/>
          <w:bCs/>
          <w:rtl/>
        </w:rPr>
        <w:t>לגידול</w:t>
      </w:r>
      <w:r w:rsidRPr="001F2586">
        <w:rPr>
          <w:rFonts w:eastAsia="Calibri"/>
          <w:b/>
          <w:bCs/>
          <w:rtl/>
        </w:rPr>
        <w:t xml:space="preserve"> </w:t>
      </w:r>
      <w:r w:rsidRPr="001F2586">
        <w:rPr>
          <w:rFonts w:eastAsia="Calibri" w:hint="eastAsia"/>
          <w:b/>
          <w:bCs/>
          <w:rtl/>
        </w:rPr>
        <w:t>בסך</w:t>
      </w:r>
      <w:r w:rsidRPr="001F2586">
        <w:rPr>
          <w:rFonts w:eastAsia="Calibri"/>
          <w:b/>
          <w:bCs/>
          <w:rtl/>
        </w:rPr>
        <w:t xml:space="preserve"> </w:t>
      </w:r>
      <w:r w:rsidRPr="001F2586">
        <w:rPr>
          <w:rFonts w:eastAsia="Calibri" w:hint="eastAsia"/>
          <w:b/>
          <w:bCs/>
          <w:rtl/>
        </w:rPr>
        <w:t>ביצועי</w:t>
      </w:r>
      <w:r w:rsidRPr="001F2586">
        <w:rPr>
          <w:rFonts w:eastAsia="Calibri"/>
          <w:b/>
          <w:bCs/>
          <w:rtl/>
        </w:rPr>
        <w:t xml:space="preserve"> </w:t>
      </w:r>
      <w:r w:rsidRPr="001F2586">
        <w:rPr>
          <w:rFonts w:eastAsia="Calibri" w:hint="eastAsia"/>
          <w:b/>
          <w:bCs/>
          <w:rtl/>
        </w:rPr>
        <w:t>אשראי</w:t>
      </w:r>
      <w:r w:rsidRPr="001F2586">
        <w:rPr>
          <w:rFonts w:eastAsia="Calibri"/>
          <w:b/>
          <w:bCs/>
          <w:rtl/>
        </w:rPr>
        <w:t xml:space="preserve"> </w:t>
      </w:r>
      <w:r w:rsidRPr="001F2586">
        <w:rPr>
          <w:rFonts w:eastAsia="Calibri" w:hint="eastAsia"/>
          <w:b/>
          <w:bCs/>
          <w:rtl/>
        </w:rPr>
        <w:t>בלון</w:t>
      </w:r>
      <w:r w:rsidRPr="001F2586">
        <w:rPr>
          <w:rFonts w:eastAsia="Calibri"/>
          <w:b/>
          <w:bCs/>
          <w:rtl/>
        </w:rPr>
        <w:t xml:space="preserve"> </w:t>
      </w:r>
      <w:r w:rsidRPr="001F2586">
        <w:rPr>
          <w:rFonts w:eastAsia="Calibri" w:hint="eastAsia"/>
          <w:b/>
          <w:bCs/>
          <w:rtl/>
        </w:rPr>
        <w:t>לדיור</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bookmarkStart w:id="49" w:name="_Hlk225173738"/>
      <w:r w:rsidRPr="001F2586">
        <w:rPr>
          <w:rFonts w:eastAsia="Calibri" w:hint="cs"/>
          <w:b/>
          <w:bCs/>
          <w:rtl/>
        </w:rPr>
        <w:t xml:space="preserve">הביקורת העלתה כי </w:t>
      </w:r>
      <w:r w:rsidRPr="001F2586">
        <w:rPr>
          <w:rFonts w:eastAsia="Calibri" w:hint="eastAsia"/>
          <w:b/>
          <w:bCs/>
          <w:rtl/>
        </w:rPr>
        <w:t>אף</w:t>
      </w:r>
      <w:r w:rsidRPr="001F2586">
        <w:rPr>
          <w:rFonts w:eastAsia="Calibri"/>
          <w:b/>
          <w:bCs/>
          <w:rtl/>
        </w:rPr>
        <w:t xml:space="preserve"> </w:t>
      </w:r>
      <w:r w:rsidRPr="001F2586">
        <w:rPr>
          <w:rFonts w:eastAsia="Calibri" w:hint="cs"/>
          <w:b/>
          <w:bCs/>
          <w:rtl/>
        </w:rPr>
        <w:t>ש</w:t>
      </w:r>
      <w:r w:rsidRPr="001F2586">
        <w:rPr>
          <w:rFonts w:eastAsia="Calibri" w:hint="eastAsia"/>
          <w:b/>
          <w:bCs/>
          <w:rtl/>
        </w:rPr>
        <w:t>הפיקוח</w:t>
      </w:r>
      <w:r w:rsidRPr="001F2586">
        <w:rPr>
          <w:rFonts w:eastAsia="Calibri"/>
          <w:b/>
          <w:bCs/>
          <w:rtl/>
        </w:rPr>
        <w:t xml:space="preserve"> על הבנקים החל בדצמבר 2023 לאסוף נתונים אודות חלקן של הלוואות בלון בסבסוד קבלנים מתוך כלל הלוואות בלון באשראי לדיור, נמצא כי עד מועד סיום </w:t>
      </w:r>
      <w:r w:rsidRPr="001F2586">
        <w:rPr>
          <w:rFonts w:eastAsia="Calibri"/>
          <w:b/>
          <w:bCs/>
          <w:rtl/>
        </w:rPr>
        <w:t>הביקורת</w:t>
      </w:r>
      <w:r w:rsidRPr="001F2586">
        <w:rPr>
          <w:rFonts w:eastAsia="Calibri" w:hint="cs"/>
          <w:b/>
          <w:bCs/>
          <w:rtl/>
        </w:rPr>
        <w:t xml:space="preserve"> אין בידי הפיקוח נתונים מדויקים על חלק ההלוואה המועמד במסגרת הלוואות בסבסוד קבלנים משווי הנכס. נתונים אלה נחוצים לאמידת הסיכון המתהווה כתוצאה מהעמדתם בהיקפים משמעותיים.</w:t>
      </w:r>
      <w:bookmarkEnd w:id="49"/>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בנק ישראל צוין כי </w:t>
      </w:r>
      <w:r w:rsidRPr="001F2586">
        <w:rPr>
          <w:rFonts w:eastAsia="Calibri"/>
          <w:rtl/>
        </w:rPr>
        <w:t>הפיקוח על הבנקים עוקב באופן שוטף אחר שוק הדיור</w:t>
      </w:r>
      <w:r w:rsidRPr="001F2586">
        <w:rPr>
          <w:rFonts w:eastAsia="Calibri" w:hint="cs"/>
          <w:rtl/>
        </w:rPr>
        <w:t>, ובתוך כך גם</w:t>
      </w:r>
      <w:r w:rsidRPr="001F2586">
        <w:rPr>
          <w:rFonts w:eastAsia="Calibri"/>
          <w:rtl/>
        </w:rPr>
        <w:t xml:space="preserve"> אחר ההתפתחויות בהיקפי הלוואות בסבסוד קבלנים. </w:t>
      </w:r>
      <w:r w:rsidRPr="001F2586">
        <w:rPr>
          <w:rFonts w:eastAsia="Calibri" w:hint="cs"/>
          <w:rtl/>
        </w:rPr>
        <w:t>המעקב כלל</w:t>
      </w:r>
      <w:r w:rsidRPr="001F2586">
        <w:rPr>
          <w:rFonts w:eastAsia="Calibri"/>
          <w:rtl/>
        </w:rPr>
        <w:t xml:space="preserve"> קבלת נתונים</w:t>
      </w:r>
      <w:r w:rsidRPr="001F2586">
        <w:rPr>
          <w:rFonts w:eastAsia="Calibri" w:hint="cs"/>
          <w:rtl/>
        </w:rPr>
        <w:t xml:space="preserve"> </w:t>
      </w:r>
      <w:r w:rsidRPr="001F2586">
        <w:rPr>
          <w:rFonts w:eastAsia="Calibri"/>
          <w:rtl/>
        </w:rPr>
        <w:t>אד-הוק והרחבה של הוראת הדיווח בנתונים רלוונטיים הנדרשים למעקב כאמור</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משרד מבקר המדינה מציין כי מעקב על נתוני ההלוואות בסבסוד קבלנים, ושיעורן משווי הנכסים, </w:t>
      </w:r>
      <w:r w:rsidRPr="001F2586">
        <w:rPr>
          <w:rFonts w:eastAsia="Calibri" w:hint="eastAsia"/>
          <w:rtl/>
        </w:rPr>
        <w:t>נדרש</w:t>
      </w:r>
      <w:r w:rsidRPr="001F2586">
        <w:rPr>
          <w:rFonts w:eastAsia="Calibri" w:hint="cs"/>
          <w:rtl/>
        </w:rPr>
        <w:t xml:space="preserve"> כדי לאמוד את הסיכון הספציפי מהן לתיק האשראי הדיור, שכן הנתונים על הלוואות אלו בשנים האחרונות הסתמכו על הערכות בלבד.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לפי מודל הלוואות בסבסוד קבלנים נדרשים הקבלנים לסבסד את עלויות ההלוואה. מדובר, ככלל, באשראי זול בהשוואה לזה המוצע לקבלנים במערכת הבנקאית במסגרת </w:t>
      </w:r>
      <w:r w:rsidRPr="001F2586">
        <w:rPr>
          <w:rFonts w:eastAsia="Calibri" w:hint="cs"/>
          <w:rtl/>
        </w:rPr>
        <w:t>פרויקטי</w:t>
      </w:r>
      <w:r w:rsidRPr="001F2586">
        <w:rPr>
          <w:rFonts w:eastAsia="Calibri" w:hint="cs"/>
          <w:rtl/>
        </w:rPr>
        <w:t xml:space="preserve"> בינוי, לכן נוצרת תועלת כלכלית עבורם</w:t>
      </w:r>
      <w:r>
        <w:rPr>
          <w:rFonts w:eastAsia="Calibri"/>
          <w:vertAlign w:val="superscript"/>
          <w:rtl/>
        </w:rPr>
        <w:footnoteReference w:id="176"/>
      </w:r>
      <w:r w:rsidRPr="001F2586">
        <w:rPr>
          <w:rFonts w:eastAsia="Calibri" w:hint="cs"/>
          <w:rtl/>
        </w:rPr>
        <w:t>. יצוין כי במקרים בהם קבלנים נוטלים אשראי מהמערכת הבנקאית יתרת תשלומי הרוכשים מוצמדים למדד תשומות הבנייה; מנגד, בהלוואות בסבסוד קבלנים ההלוואה שהועמדה בחשבון הרוכשים מוכרת כחלק מהתשלומים ששולמו בעסקה, לכן תופחת מיתרת התשלומים שיוצמדו למדד תשומות הבנייה.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התרשים להלן מציג בחלקו העליון את היקף הכספים המצטבר שהועמדו בהלוואות בסבסוד קבלנים בתקופה שבין דצמבר 2023 לאוגוסט 2025. בחלקו התחתון של התרשים מוצגים שיעורי הריבית הממוצעת</w:t>
      </w:r>
      <w:r>
        <w:rPr>
          <w:rFonts w:eastAsia="Calibri"/>
          <w:vertAlign w:val="superscript"/>
          <w:rtl/>
        </w:rPr>
        <w:footnoteReference w:id="177"/>
      </w:r>
      <w:r w:rsidRPr="001F2586">
        <w:rPr>
          <w:rFonts w:eastAsia="Calibri" w:hint="cs"/>
          <w:rtl/>
        </w:rPr>
        <w:t xml:space="preserve"> שבה הועמדו הלוואות בסבסוד קבלנים ובהשוואה לשיעור הריבית על אשראי לזמן קצוב שאינו צמוד בקרב עסקים בגדלים שונים בתקופה שבין דצמבר 2023 לאוגוסט 2025</w:t>
      </w:r>
      <w:r>
        <w:rPr>
          <w:rFonts w:eastAsia="Calibri"/>
          <w:vertAlign w:val="superscript"/>
          <w:rtl/>
        </w:rPr>
        <w:footnoteReference w:id="178"/>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bookmarkStart w:id="50" w:name="_Hlk233032234"/>
      <w:r w:rsidRPr="001F2586">
        <w:rPr>
          <w:rFonts w:eastAsia="Calibri" w:hint="cs"/>
          <w:b/>
          <w:sz w:val="24"/>
          <w:rtl/>
        </w:rPr>
        <w:t>תרשים 25:</w:t>
      </w:r>
      <w:r w:rsidRPr="001F2586">
        <w:rPr>
          <w:rFonts w:eastAsia="Calibri" w:hint="cs"/>
          <w:bCs/>
          <w:sz w:val="24"/>
          <w:rtl/>
        </w:rPr>
        <w:t xml:space="preserve"> </w:t>
      </w:r>
      <w:r w:rsidRPr="001F2586">
        <w:rPr>
          <w:rFonts w:eastAsia="Calibri" w:hint="eastAsia"/>
          <w:bCs/>
          <w:sz w:val="24"/>
          <w:rtl/>
        </w:rPr>
        <w:t>סך</w:t>
      </w:r>
      <w:r w:rsidRPr="001F2586">
        <w:rPr>
          <w:rFonts w:eastAsia="Calibri"/>
          <w:bCs/>
          <w:sz w:val="24"/>
          <w:rtl/>
        </w:rPr>
        <w:t xml:space="preserve"> הלוואות בסבסוד קבלנים שהועמדו במצטבר במיליוני ש"ח, שיעור הריבית בהן הועמדו, ושיעורי הריבית לזמן קצוב במגזר שאינו צמוד לעסקים, דצמבר 2023 - </w:t>
      </w:r>
      <w:r w:rsidRPr="001F2586">
        <w:rPr>
          <w:rFonts w:eastAsia="Calibri" w:hint="eastAsia"/>
          <w:bCs/>
          <w:sz w:val="24"/>
          <w:rtl/>
        </w:rPr>
        <w:t>אוגוסט</w:t>
      </w:r>
      <w:r w:rsidRPr="001F2586">
        <w:rPr>
          <w:rFonts w:eastAsia="Calibri"/>
          <w:bCs/>
          <w:sz w:val="24"/>
          <w:rtl/>
        </w:rPr>
        <w:t xml:space="preserve"> 2025</w:t>
      </w:r>
      <w:r w:rsidRPr="001F2586">
        <w:rPr>
          <w:rFonts w:eastAsia="Calibri" w:hint="cs"/>
          <w:bCs/>
          <w:sz w:val="24"/>
          <w:rtl/>
        </w:rPr>
        <w:t>*</w:t>
      </w:r>
    </w:p>
    <w:p w:rsidR="001F2586" w:rsidRPr="001F2586" w:rsidP="001F2586">
      <w:pPr>
        <w:spacing w:line="269" w:lineRule="auto"/>
        <w:jc w:val="center"/>
        <w:rPr>
          <w:rFonts w:eastAsia="Calibri"/>
          <w:rtl/>
        </w:rPr>
      </w:pPr>
      <w:r w:rsidRPr="001F2586">
        <w:rPr>
          <w:rFonts w:eastAsia="Calibri"/>
          <w:noProof/>
          <w:rtl/>
          <w:lang w:val="he-IL"/>
        </w:rPr>
        <w:drawing>
          <wp:inline distT="0" distB="0" distL="0" distR="0">
            <wp:extent cx="3757295" cy="3435541"/>
            <wp:effectExtent l="0" t="0" r="0" b="0"/>
            <wp:docPr id="2" name="תמונה 2" descr="גידול בהלואוות בסבסוד קבלנים עד לכ-8,377 מיליון ש&quot;ח באוגוסט 2025.&#10;בחודשים נובמבר 2024 עד פברואר 2025 לא היו נתונ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רשים 25א.JPG"/>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3783902" cy="3459869"/>
                    </a:xfrm>
                    <a:prstGeom prst="rect">
                      <a:avLst/>
                    </a:prstGeom>
                  </pic:spPr>
                </pic:pic>
              </a:graphicData>
            </a:graphic>
          </wp:inline>
        </w:drawing>
      </w:r>
    </w:p>
    <w:p w:rsidR="001F2586" w:rsidRPr="001F2586" w:rsidP="001F2586">
      <w:pPr>
        <w:spacing w:line="269" w:lineRule="auto"/>
        <w:jc w:val="center"/>
        <w:rPr>
          <w:rFonts w:eastAsia="Calibri"/>
          <w:rtl/>
        </w:rPr>
      </w:pPr>
      <w:r w:rsidRPr="001F2586">
        <w:rPr>
          <w:rFonts w:eastAsia="Calibri"/>
          <w:noProof/>
          <w:rtl/>
          <w:lang w:val="he-IL"/>
        </w:rPr>
        <w:drawing>
          <wp:inline distT="0" distB="0" distL="0" distR="0">
            <wp:extent cx="3828249" cy="3576324"/>
            <wp:effectExtent l="0" t="0" r="1270" b="5080"/>
            <wp:docPr id="24" name="תמונה 24" descr="שיוערי הריביות די יציבות בשנים 2024- 2025.&#10;שיעורי הריביות על אשראי באוגוסט 2025 הן אלו: ריבית ממוצע בהלוואות קבלן - 4.46%, עסקים גדולים - 6.49%, עסקים בינוניים-7.28%, עסקים קטנים - 7.71%, ועסקים זעירים-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רשים 25ב.JPG"/>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3850501" cy="3597111"/>
                    </a:xfrm>
                    <a:prstGeom prst="rect">
                      <a:avLst/>
                    </a:prstGeom>
                  </pic:spPr>
                </pic:pic>
              </a:graphicData>
            </a:graphic>
          </wp:inline>
        </w:drawing>
      </w:r>
    </w:p>
    <w:bookmarkEnd w:id="50"/>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rPr>
          <w:rFonts w:eastAsia="Calibri"/>
          <w:sz w:val="18"/>
          <w:szCs w:val="22"/>
          <w:rtl/>
        </w:rPr>
      </w:pPr>
      <w:r w:rsidRPr="001F2586">
        <w:rPr>
          <w:rFonts w:eastAsia="Calibri" w:hint="cs"/>
          <w:sz w:val="18"/>
          <w:szCs w:val="22"/>
          <w:rtl/>
        </w:rPr>
        <w:t xml:space="preserve">* </w:t>
      </w:r>
      <w:r w:rsidRPr="001F2586">
        <w:rPr>
          <w:rFonts w:eastAsia="Calibri" w:hint="cs"/>
          <w:sz w:val="16"/>
          <w:szCs w:val="20"/>
          <w:rtl/>
        </w:rPr>
        <w:t>בחודשים נובמבר 2024 עד פברואר 2025 לא התקבלו נתונים פרטניים על ביצועי בלון בסבסוד קבלן לעומת ביצועי בלון "רגילים" בשל מעבר מדיווח אד-הוק לדיווח חודשי ומוסדר. מהפיקוח על הבנקים נמסר כי בשיחות שקיים עם המערכת הבנקאית עלה כי התופעה נמשכה גם בתקופה זו.</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בחלקו</w:t>
      </w:r>
      <w:r w:rsidRPr="001F2586">
        <w:rPr>
          <w:rFonts w:eastAsia="Calibri"/>
          <w:b/>
          <w:bCs/>
          <w:rtl/>
        </w:rPr>
        <w:t xml:space="preserve"> </w:t>
      </w:r>
      <w:r w:rsidRPr="001F2586">
        <w:rPr>
          <w:rFonts w:eastAsia="Calibri" w:hint="eastAsia"/>
          <w:b/>
          <w:bCs/>
          <w:rtl/>
        </w:rPr>
        <w:t>העליון</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התרשים</w:t>
      </w:r>
      <w:r w:rsidRPr="001F2586">
        <w:rPr>
          <w:rFonts w:eastAsia="Calibri"/>
          <w:b/>
          <w:bCs/>
          <w:rtl/>
        </w:rPr>
        <w:t xml:space="preserve"> </w:t>
      </w:r>
      <w:r w:rsidRPr="001F2586">
        <w:rPr>
          <w:rFonts w:eastAsia="Calibri" w:hint="eastAsia"/>
          <w:b/>
          <w:bCs/>
          <w:rtl/>
        </w:rPr>
        <w:t>גידול</w:t>
      </w:r>
      <w:r w:rsidRPr="001F2586">
        <w:rPr>
          <w:rFonts w:eastAsia="Calibri"/>
          <w:b/>
          <w:bCs/>
          <w:rtl/>
        </w:rPr>
        <w:t xml:space="preserve"> </w:t>
      </w:r>
      <w:r w:rsidRPr="001F2586">
        <w:rPr>
          <w:rFonts w:eastAsia="Calibri" w:hint="eastAsia"/>
          <w:b/>
          <w:bCs/>
          <w:rtl/>
        </w:rPr>
        <w:t>חד</w:t>
      </w:r>
      <w:r w:rsidRPr="001F2586">
        <w:rPr>
          <w:rFonts w:eastAsia="Calibri"/>
          <w:b/>
          <w:bCs/>
          <w:rtl/>
        </w:rPr>
        <w:t xml:space="preserve"> </w:t>
      </w:r>
      <w:r w:rsidRPr="001F2586">
        <w:rPr>
          <w:rFonts w:eastAsia="Calibri" w:hint="eastAsia"/>
          <w:b/>
          <w:bCs/>
          <w:rtl/>
        </w:rPr>
        <w:t>בהיקף</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בסבסוד</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שניתנו</w:t>
      </w:r>
      <w:r w:rsidRPr="001F2586">
        <w:rPr>
          <w:rFonts w:eastAsia="Calibri"/>
          <w:b/>
          <w:bCs/>
          <w:rtl/>
        </w:rPr>
        <w:t xml:space="preserve"> </w:t>
      </w:r>
      <w:r w:rsidRPr="001F2586">
        <w:rPr>
          <w:rFonts w:eastAsia="Calibri" w:hint="eastAsia"/>
          <w:b/>
          <w:bCs/>
          <w:rtl/>
        </w:rPr>
        <w:t>לרוכשים</w:t>
      </w:r>
      <w:r w:rsidRPr="001F2586">
        <w:rPr>
          <w:rFonts w:eastAsia="Calibri"/>
          <w:b/>
          <w:bCs/>
          <w:rtl/>
        </w:rPr>
        <w:t xml:space="preserve"> </w:t>
      </w:r>
      <w:r w:rsidRPr="001F2586">
        <w:rPr>
          <w:rFonts w:eastAsia="Calibri" w:hint="eastAsia"/>
          <w:b/>
          <w:bCs/>
          <w:rtl/>
        </w:rPr>
        <w:t>בתקופה</w:t>
      </w:r>
      <w:r w:rsidRPr="001F2586">
        <w:rPr>
          <w:rFonts w:eastAsia="Calibri"/>
          <w:b/>
          <w:bCs/>
          <w:rtl/>
        </w:rPr>
        <w:t xml:space="preserve"> </w:t>
      </w:r>
      <w:r w:rsidRPr="001F2586">
        <w:rPr>
          <w:rFonts w:eastAsia="Calibri" w:hint="eastAsia"/>
          <w:b/>
          <w:bCs/>
          <w:rtl/>
        </w:rPr>
        <w:t>שבין</w:t>
      </w:r>
      <w:r w:rsidRPr="001F2586">
        <w:rPr>
          <w:rFonts w:eastAsia="Calibri"/>
          <w:b/>
          <w:bCs/>
          <w:rtl/>
        </w:rPr>
        <w:t xml:space="preserve"> </w:t>
      </w:r>
      <w:r w:rsidRPr="001F2586">
        <w:rPr>
          <w:rFonts w:eastAsia="Calibri" w:hint="eastAsia"/>
          <w:b/>
          <w:bCs/>
          <w:rtl/>
        </w:rPr>
        <w:t>דצמבר</w:t>
      </w:r>
      <w:r w:rsidRPr="001F2586">
        <w:rPr>
          <w:rFonts w:eastAsia="Calibri"/>
          <w:b/>
          <w:bCs/>
          <w:rtl/>
        </w:rPr>
        <w:t xml:space="preserve"> 2023 </w:t>
      </w:r>
      <w:r w:rsidRPr="001F2586">
        <w:rPr>
          <w:rFonts w:eastAsia="Calibri" w:hint="eastAsia"/>
          <w:b/>
          <w:bCs/>
          <w:rtl/>
        </w:rPr>
        <w:t>לאוגוסט</w:t>
      </w:r>
      <w:r w:rsidRPr="001F2586">
        <w:rPr>
          <w:rFonts w:eastAsia="Calibri"/>
          <w:b/>
          <w:bCs/>
          <w:rtl/>
        </w:rPr>
        <w:t xml:space="preserve"> 2025. </w:t>
      </w:r>
      <w:r w:rsidRPr="001F2586">
        <w:rPr>
          <w:rFonts w:eastAsia="Calibri" w:hint="eastAsia"/>
          <w:b/>
          <w:bCs/>
          <w:rtl/>
        </w:rPr>
        <w:t>בתקופה</w:t>
      </w:r>
      <w:r w:rsidRPr="001F2586">
        <w:rPr>
          <w:rFonts w:eastAsia="Calibri"/>
          <w:b/>
          <w:bCs/>
          <w:rtl/>
        </w:rPr>
        <w:t xml:space="preserve"> </w:t>
      </w:r>
      <w:r w:rsidRPr="001F2586">
        <w:rPr>
          <w:rFonts w:eastAsia="Calibri" w:hint="eastAsia"/>
          <w:b/>
          <w:bCs/>
          <w:rtl/>
        </w:rPr>
        <w:t>זו</w:t>
      </w:r>
      <w:r w:rsidRPr="001F2586">
        <w:rPr>
          <w:rFonts w:eastAsia="Calibri"/>
          <w:b/>
          <w:bCs/>
          <w:rtl/>
        </w:rPr>
        <w:t xml:space="preserve"> </w:t>
      </w:r>
      <w:r w:rsidRPr="001F2586">
        <w:rPr>
          <w:rFonts w:eastAsia="Calibri" w:hint="eastAsia"/>
          <w:b/>
          <w:bCs/>
          <w:rtl/>
        </w:rPr>
        <w:t>הועמדו</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בסבסוד</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בהיקף</w:t>
      </w:r>
      <w:r w:rsidRPr="001F2586">
        <w:rPr>
          <w:rFonts w:eastAsia="Calibri"/>
          <w:b/>
          <w:bCs/>
          <w:rtl/>
        </w:rPr>
        <w:t xml:space="preserve"> </w:t>
      </w:r>
      <w:r w:rsidRPr="001F2586">
        <w:rPr>
          <w:rFonts w:eastAsia="Calibri" w:hint="eastAsia"/>
          <w:b/>
          <w:bCs/>
          <w:rtl/>
        </w:rPr>
        <w:t>מצטבר</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8.3 </w:t>
      </w:r>
      <w:r w:rsidRPr="001F2586">
        <w:rPr>
          <w:rFonts w:eastAsia="Calibri" w:hint="eastAsia"/>
          <w:b/>
          <w:bCs/>
          <w:rtl/>
        </w:rPr>
        <w:t>מיליארד</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בניכוי</w:t>
      </w:r>
      <w:r w:rsidRPr="001F2586">
        <w:rPr>
          <w:rFonts w:eastAsia="Calibri"/>
          <w:b/>
          <w:bCs/>
          <w:rtl/>
        </w:rPr>
        <w:t xml:space="preserve"> </w:t>
      </w:r>
      <w:r w:rsidRPr="001F2586">
        <w:rPr>
          <w:rFonts w:eastAsia="Calibri" w:hint="eastAsia"/>
          <w:b/>
          <w:bCs/>
          <w:rtl/>
        </w:rPr>
        <w:t>ארבעה</w:t>
      </w:r>
      <w:r w:rsidRPr="001F2586">
        <w:rPr>
          <w:rFonts w:eastAsia="Calibri"/>
          <w:b/>
          <w:bCs/>
          <w:rtl/>
        </w:rPr>
        <w:t xml:space="preserve"> </w:t>
      </w:r>
      <w:r w:rsidRPr="001F2586">
        <w:rPr>
          <w:rFonts w:eastAsia="Calibri" w:hint="eastAsia"/>
          <w:b/>
          <w:bCs/>
          <w:rtl/>
        </w:rPr>
        <w:t>חודשי</w:t>
      </w:r>
      <w:r w:rsidRPr="001F2586">
        <w:rPr>
          <w:rFonts w:eastAsia="Calibri"/>
          <w:b/>
          <w:bCs/>
          <w:rtl/>
        </w:rPr>
        <w:t xml:space="preserve"> </w:t>
      </w:r>
      <w:r w:rsidRPr="001F2586">
        <w:rPr>
          <w:rFonts w:eastAsia="Calibri" w:hint="eastAsia"/>
          <w:b/>
          <w:bCs/>
          <w:rtl/>
        </w:rPr>
        <w:t>פעילות</w:t>
      </w:r>
      <w:r w:rsidRPr="001F2586">
        <w:rPr>
          <w:rFonts w:eastAsia="Calibri"/>
          <w:b/>
          <w:bCs/>
          <w:rtl/>
        </w:rPr>
        <w:t xml:space="preserve"> </w:t>
      </w:r>
      <w:r w:rsidRPr="001F2586">
        <w:rPr>
          <w:rFonts w:eastAsia="Calibri" w:hint="eastAsia"/>
          <w:b/>
          <w:bCs/>
          <w:rtl/>
        </w:rPr>
        <w:t>לגביהם</w:t>
      </w:r>
      <w:r w:rsidRPr="001F2586">
        <w:rPr>
          <w:rFonts w:eastAsia="Calibri"/>
          <w:b/>
          <w:bCs/>
          <w:rtl/>
        </w:rPr>
        <w:t xml:space="preserve"> </w:t>
      </w:r>
      <w:r w:rsidRPr="001F2586">
        <w:rPr>
          <w:rFonts w:eastAsia="Calibri" w:hint="eastAsia"/>
          <w:b/>
          <w:bCs/>
          <w:rtl/>
        </w:rPr>
        <w:t>אין</w:t>
      </w:r>
      <w:r w:rsidRPr="001F2586">
        <w:rPr>
          <w:rFonts w:eastAsia="Calibri"/>
          <w:b/>
          <w:bCs/>
          <w:rtl/>
        </w:rPr>
        <w:t xml:space="preserve"> </w:t>
      </w:r>
      <w:r w:rsidRPr="001F2586">
        <w:rPr>
          <w:rFonts w:eastAsia="Calibri" w:hint="eastAsia"/>
          <w:b/>
          <w:bCs/>
          <w:rtl/>
        </w:rPr>
        <w:t>נתונים</w:t>
      </w:r>
      <w:r w:rsidRPr="001F2586">
        <w:rPr>
          <w:rFonts w:eastAsia="Calibri"/>
          <w:b/>
          <w:bCs/>
          <w:rtl/>
        </w:rPr>
        <w:t xml:space="preserve"> </w:t>
      </w:r>
      <w:r w:rsidRPr="001F2586">
        <w:rPr>
          <w:rFonts w:eastAsia="Calibri" w:hint="eastAsia"/>
          <w:b/>
          <w:bCs/>
          <w:rtl/>
        </w:rPr>
        <w:t>בפיקוח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Pr>
          <w:rFonts w:eastAsia="Calibri"/>
          <w:b/>
          <w:bCs/>
          <w:vertAlign w:val="superscript"/>
          <w:rtl/>
        </w:rPr>
        <w:footnoteReference w:id="179"/>
      </w:r>
      <w:r w:rsidRPr="001F2586">
        <w:rPr>
          <w:rFonts w:eastAsia="Calibri"/>
          <w:b/>
          <w:bCs/>
          <w:rtl/>
        </w:rPr>
        <w:t xml:space="preserve">. בחלקו התחתון של התרשים ניתן לראות את פער הריבית הממוצע </w:t>
      </w:r>
      <w:r w:rsidRPr="001F2586">
        <w:rPr>
          <w:rFonts w:eastAsia="Calibri" w:hint="cs"/>
          <w:b/>
          <w:bCs/>
          <w:rtl/>
        </w:rPr>
        <w:t>בין שיעור הריבית הממוצעת על</w:t>
      </w:r>
      <w:r w:rsidRPr="001F2586">
        <w:rPr>
          <w:rFonts w:eastAsia="Calibri"/>
          <w:b/>
          <w:bCs/>
          <w:rtl/>
        </w:rPr>
        <w:t xml:space="preserve"> הלוואות בסבסוד קבלנים </w:t>
      </w:r>
      <w:r w:rsidRPr="001F2586">
        <w:rPr>
          <w:rFonts w:eastAsia="Calibri" w:hint="eastAsia"/>
          <w:b/>
          <w:bCs/>
          <w:rtl/>
        </w:rPr>
        <w:t>לריבית</w:t>
      </w:r>
      <w:r w:rsidRPr="001F2586">
        <w:rPr>
          <w:rFonts w:eastAsia="Calibri"/>
          <w:b/>
          <w:bCs/>
          <w:rtl/>
        </w:rPr>
        <w:t xml:space="preserve"> הממוצעת על אשראי במגזר העסקי בחלוקה לגודל העסק. בחישוב שערך צוות הביקורת, בהסתמך על פער הריביות המינימאלי והיקף ההלוואות המדווחות, התועלת השנתית </w:t>
      </w:r>
      <w:r w:rsidRPr="001F2586">
        <w:rPr>
          <w:rFonts w:eastAsia="Calibri" w:hint="eastAsia"/>
          <w:b/>
          <w:bCs/>
          <w:rtl/>
        </w:rPr>
        <w:t>לקבלנים</w:t>
      </w:r>
      <w:r w:rsidRPr="001F2586">
        <w:rPr>
          <w:rFonts w:eastAsia="Calibri"/>
          <w:b/>
          <w:bCs/>
          <w:rtl/>
        </w:rPr>
        <w:t xml:space="preserve"> </w:t>
      </w:r>
      <w:r w:rsidRPr="001F2586">
        <w:rPr>
          <w:rFonts w:eastAsia="Calibri" w:hint="cs"/>
          <w:b/>
          <w:bCs/>
          <w:rtl/>
        </w:rPr>
        <w:t>לפי פער ריביות זה</w:t>
      </w:r>
      <w:r w:rsidRPr="001F2586">
        <w:rPr>
          <w:rFonts w:eastAsia="Calibri"/>
          <w:b/>
          <w:bCs/>
          <w:rtl/>
        </w:rPr>
        <w:t xml:space="preserve"> </w:t>
      </w:r>
      <w:r w:rsidRPr="001F2586">
        <w:rPr>
          <w:rFonts w:eastAsia="Calibri" w:hint="eastAsia"/>
          <w:b/>
          <w:bCs/>
          <w:rtl/>
        </w:rPr>
        <w:t>מוערכת</w:t>
      </w:r>
      <w:r w:rsidRPr="001F2586">
        <w:rPr>
          <w:rFonts w:eastAsia="Calibri"/>
          <w:b/>
          <w:bCs/>
          <w:rtl/>
        </w:rPr>
        <w:t xml:space="preserve"> </w:t>
      </w:r>
      <w:r w:rsidRPr="001F2586">
        <w:rPr>
          <w:rFonts w:eastAsia="Calibri" w:hint="eastAsia"/>
          <w:b/>
          <w:bCs/>
          <w:rtl/>
        </w:rPr>
        <w:t>לכל</w:t>
      </w:r>
      <w:r w:rsidRPr="001F2586">
        <w:rPr>
          <w:rFonts w:eastAsia="Calibri"/>
          <w:b/>
          <w:bCs/>
          <w:rtl/>
        </w:rPr>
        <w:t xml:space="preserve"> </w:t>
      </w:r>
      <w:r w:rsidRPr="001F2586">
        <w:rPr>
          <w:rFonts w:eastAsia="Calibri" w:hint="eastAsia"/>
          <w:b/>
          <w:bCs/>
          <w:rtl/>
        </w:rPr>
        <w:t>הפחות</w:t>
      </w:r>
      <w:r w:rsidRPr="001F2586">
        <w:rPr>
          <w:rFonts w:eastAsia="Calibri"/>
          <w:b/>
          <w:bCs/>
          <w:rtl/>
        </w:rPr>
        <w:t xml:space="preserve"> </w:t>
      </w:r>
      <w:r w:rsidRPr="001F2586">
        <w:rPr>
          <w:rFonts w:eastAsia="Calibri" w:hint="eastAsia"/>
          <w:b/>
          <w:bCs/>
          <w:rtl/>
        </w:rPr>
        <w:t>ב</w:t>
      </w:r>
      <w:r w:rsidRPr="001F2586">
        <w:rPr>
          <w:rFonts w:eastAsia="Calibri"/>
          <w:b/>
          <w:bCs/>
          <w:rtl/>
        </w:rPr>
        <w:t xml:space="preserve">-192.5 </w:t>
      </w:r>
      <w:r w:rsidRPr="001F2586">
        <w:rPr>
          <w:rFonts w:eastAsia="Calibri" w:hint="eastAsia"/>
          <w:b/>
          <w:bCs/>
          <w:rtl/>
        </w:rPr>
        <w:t>מיליון</w:t>
      </w:r>
      <w:r w:rsidRPr="001F2586">
        <w:rPr>
          <w:rFonts w:eastAsia="Calibri"/>
          <w:b/>
          <w:bCs/>
          <w:rtl/>
        </w:rPr>
        <w:t xml:space="preserve"> </w:t>
      </w:r>
      <w:r w:rsidRPr="001F2586">
        <w:rPr>
          <w:rFonts w:eastAsia="Calibri" w:hint="eastAsia"/>
          <w:b/>
          <w:bCs/>
          <w:rtl/>
        </w:rPr>
        <w:t>ש</w:t>
      </w:r>
      <w:r w:rsidRPr="001F2586">
        <w:rPr>
          <w:rFonts w:eastAsia="Calibri"/>
          <w:b/>
          <w:bCs/>
          <w:rtl/>
        </w:rPr>
        <w:t>"ח.</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במועד נטילת הלוואה בסבסוד קבלנים נדרשים הרוכשים לעבור חיתום בנקאי, שנועד לבחון את יכולתם לעמוד בהחזר ההלוואה ולהשלים את העסקה בעתיד. תהליך חיתום איכותי מייצר ודאות מסוימת לקבלנים לכך שהסכם המכר לא יופר ומאותת לרוכשים כי יש ביכולתם להשלים את העסקה באותה נקודת זמן. העמדת הלוואות בסבסוד קבלנים ללא בדיקת חיתום נאותה יוצרת סיכון במועד פירעון ההלוואה והחלפתה בהלוואה לדיור. עם זאת אין בתהליך החיתום כדי לאפשר לרוכשים לחזות את התנאים הפיננסיים שישררו בשוק במועד נטילת הלוואת המשכנתא לדיור, שתתרחש בעוד כמה שנים עם מועד מסירת הדירה, ולכן קיימת אי-ודאות לגבי תנאיה בעתיד. בהתאם נכתב בדוח היציבות הפיננסית למחצית השנייה של 2024 כי הלוואות בסבסוד קבלנים מגדילות את </w:t>
      </w:r>
      <w:r w:rsidRPr="001F2586">
        <w:rPr>
          <w:rFonts w:eastAsia="Calibri"/>
          <w:rtl/>
        </w:rPr>
        <w:t>הסיכון בשוק הדיור</w:t>
      </w:r>
      <w:r w:rsidRPr="001F2586">
        <w:rPr>
          <w:rFonts w:eastAsia="Calibri" w:hint="cs"/>
          <w:rtl/>
        </w:rPr>
        <w:t>, ובמיוחד</w:t>
      </w:r>
      <w:r w:rsidRPr="001F2586">
        <w:rPr>
          <w:rFonts w:eastAsia="Calibri"/>
          <w:rtl/>
        </w:rPr>
        <w:t xml:space="preserve"> </w:t>
      </w:r>
      <w:r w:rsidRPr="001F2586">
        <w:rPr>
          <w:rFonts w:eastAsia="Calibri" w:hint="cs"/>
          <w:rtl/>
        </w:rPr>
        <w:t xml:space="preserve">עבור </w:t>
      </w:r>
      <w:r w:rsidRPr="001F2586">
        <w:rPr>
          <w:rFonts w:eastAsia="Calibri" w:hint="cs"/>
          <w:rtl/>
        </w:rPr>
        <w:t>רוכשי</w:t>
      </w:r>
      <w:r w:rsidRPr="001F2586">
        <w:rPr>
          <w:rFonts w:eastAsia="Calibri" w:hint="cs"/>
          <w:rtl/>
        </w:rPr>
        <w:t xml:space="preserve"> הדירות</w:t>
      </w:r>
      <w:r>
        <w:rPr>
          <w:rFonts w:eastAsia="Calibri"/>
          <w:vertAlign w:val="superscript"/>
          <w:rtl/>
        </w:rPr>
        <w:footnoteReference w:id="180"/>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כאמור, רישום הלוואות במודל הלוואה בסבסוד קבלנים נעשה בחשבונות הרוכשים. הרישום מאפשר לקבלנים להפחית את סך התחייבויותיהם כלפי הבנקים המלווים ("אובליגו")</w:t>
      </w:r>
      <w:r>
        <w:rPr>
          <w:rFonts w:eastAsia="Calibri"/>
          <w:vertAlign w:val="superscript"/>
          <w:rtl/>
        </w:rPr>
        <w:footnoteReference w:id="181"/>
      </w:r>
      <w:r w:rsidRPr="001F2586">
        <w:rPr>
          <w:rFonts w:eastAsia="Calibri" w:hint="cs"/>
          <w:rtl/>
        </w:rPr>
        <w:t>, מגדיל את יכולתם למנף את פעילותם ותומך בהיתכנות לשחרור הון עצמי שרותק לטובת פרויקט מסוים לקידום פרויקטים נוספים. מנגד, רישום הלוואות בחשבונות הרוכשים עלול לפגוע בדירוג האשראי של הרוכשים, להקשות עליהם בקבלת הלוואות נוספות ואף לפגוע ביכולתם לפעול לביטול הסכם המכר בהתאם להתניות החוזיות, שלפיהן נדרש לשלם פיצוי מוסכם (לרוב כ-10% מערך העסקה), וזאת כיוון שההלוואה נרשמה בחשבונם.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הלוואות בסבסוד קבלנים מקטינות את החשיפה של הבנקים המלווים למימון פרויקטים שאינם מתקדמים ומאפשרות להרחיב את המימון לפרויקטים נוספים. גישור על הפער </w:t>
      </w:r>
      <w:r w:rsidRPr="001F2586">
        <w:rPr>
          <w:rFonts w:eastAsia="Calibri" w:hint="cs"/>
          <w:rtl/>
        </w:rPr>
        <w:t>התזרימי</w:t>
      </w:r>
      <w:r w:rsidRPr="001F2586">
        <w:rPr>
          <w:rFonts w:eastAsia="Calibri" w:hint="cs"/>
          <w:rtl/>
        </w:rPr>
        <w:t xml:space="preserve"> שנוצר לקבלנים בשל דחיית תשלומי הרוכשים באמצעות הלוואות בסבסוד קבלנים מצריך העמדת ערבויות מכר בידי בנקים מלווים. ההון הנדרש להקצות בבנקים בגין העמדת ערבויות מכר נמוך מזה הנדרש להקצות כנגד אשראי עסקי בשל הסיכונים המופחתים של העמדת הלוואות לדיור, ולכן מודל הלוואות בסבסוד קבלנים מקל על עמידת הבנקים המלווים בהוראת ניהול בנקאי תקין 315, העוסקת במגבלת החבות הענפית</w:t>
      </w:r>
      <w:r>
        <w:rPr>
          <w:rFonts w:eastAsia="Calibri"/>
          <w:rtl/>
        </w:rPr>
        <w:footnoteReference w:id="182"/>
      </w:r>
      <w:r w:rsidRPr="001F2586">
        <w:rPr>
          <w:rFonts w:eastAsia="Calibri" w:hint="cs"/>
          <w:rtl/>
        </w:rPr>
        <w:t xml:space="preserve">, בהקצאת הון לענף הבינוי. זאת ועוד המודל מייצר תועלות נוספות לבנקים, בהן הגדלת נתח המשכנתאות ויצירת קשר ישיר עם רוכשים להגדלת ההיתכנות להעמדת הלוואה לדיור לטובתם במועד פירעון ההלוואה שהועמדה בסבסוד קבלנים.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bookmarkStart w:id="51" w:name="_Hlk225173784"/>
      <w:bookmarkStart w:id="52" w:name="_Hlk214777199"/>
      <w:r w:rsidRPr="001F2586">
        <w:rPr>
          <w:rFonts w:eastAsia="Calibri" w:hint="cs"/>
          <w:b/>
          <w:bCs/>
          <w:rtl/>
        </w:rPr>
        <w:t xml:space="preserve">הלוואות בסבסוד קבלנים מייצרות יתרונות שונים לקבלנים, לרוכשים ולבנקים המלווים. עם זאת, המודל אינו מייצר לציבור הרוכשים ודאות לגבי תנאי ההלוואה לדיור שיידרשו לשלם בעתיד. פרק הזמן הגדול בין מועד החיתום הבנקאי למועד נטילת הלוואת המשכנתא שנוטלים הרוכשים בסיום הבנייה, הנמשך לרוב מספר שנים, חושף את הרוכשים לתשלומי החזר גבוהים בעתיד, אגב הקטנת יכולתם לקבל הלוואות נוספות והתייקרות של עלויות ביטול ההסכם במידת </w:t>
      </w:r>
      <w:r w:rsidRPr="001F2586">
        <w:rPr>
          <w:rFonts w:eastAsia="Calibri" w:hint="cs"/>
          <w:b/>
          <w:bCs/>
          <w:rtl/>
        </w:rPr>
        <w:t>הצורך. לא זאת בלבד אלא שהעמדת הלוואות בסבסוד קבלנים עלולה לחרוג מתהליך חיתום בנקאי רגיל, לכן ביצועה בצורה שאינה נאותה יוצרת סיכון במועד פירעון ההלוואה והחלפתה בהלוואה לדיור לכל המעורבים בפרויקט.</w:t>
      </w:r>
      <w:bookmarkEnd w:id="51"/>
    </w:p>
    <w:p w:rsidR="001F2586" w:rsidRPr="001F2586" w:rsidP="001F2586">
      <w:pPr>
        <w:spacing w:line="269" w:lineRule="auto"/>
        <w:rPr>
          <w:rFonts w:eastAsia="Calibri"/>
          <w:b/>
          <w:bCs/>
          <w:rtl/>
        </w:rPr>
      </w:pPr>
    </w:p>
    <w:bookmarkEnd w:id="52"/>
    <w:p w:rsidR="001F2586" w:rsidRPr="001F2586" w:rsidP="001F2586">
      <w:pPr>
        <w:keepNext/>
        <w:keepLines/>
        <w:spacing w:line="269" w:lineRule="auto"/>
        <w:outlineLvl w:val="5"/>
        <w:rPr>
          <w:rFonts w:eastAsia="Times New Roman"/>
          <w:spacing w:val="40"/>
          <w:rtl/>
        </w:rPr>
      </w:pPr>
      <w:r w:rsidRPr="001F2586">
        <w:rPr>
          <w:rFonts w:eastAsia="Times New Roman" w:hint="eastAsia"/>
          <w:spacing w:val="40"/>
          <w:rtl/>
        </w:rPr>
        <w:t>מבצעי</w:t>
      </w:r>
      <w:r w:rsidRPr="001F2586">
        <w:rPr>
          <w:rFonts w:eastAsia="Times New Roman"/>
          <w:spacing w:val="40"/>
          <w:rtl/>
        </w:rPr>
        <w:t xml:space="preserve"> </w:t>
      </w:r>
      <w:r w:rsidRPr="001F2586">
        <w:rPr>
          <w:rFonts w:eastAsia="Times New Roman" w:hint="eastAsia"/>
          <w:spacing w:val="40"/>
          <w:rtl/>
        </w:rPr>
        <w:t>עידוד</w:t>
      </w:r>
      <w:r w:rsidRPr="001F2586">
        <w:rPr>
          <w:rFonts w:eastAsia="Times New Roman"/>
          <w:spacing w:val="40"/>
          <w:rtl/>
        </w:rPr>
        <w:t xml:space="preserve"> </w:t>
      </w:r>
      <w:r w:rsidRPr="001F2586">
        <w:rPr>
          <w:rFonts w:eastAsia="Times New Roman" w:hint="eastAsia"/>
          <w:spacing w:val="40"/>
          <w:rtl/>
        </w:rPr>
        <w:t>אחרים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בהתאם לדיווחים של המערכת הבנקאית ולסקירת הפיקוח על הבנקים רוב מבצעי העידוד ניתנו באמצעות דחייה משמעותית של התשלומים ובהלוואות בסבסוד קבלנים. מבצעי עידוד אחרים מציעים הנחות מסחריות שאינן באות לידי ביטוי במחיר העסקאות והנחות מימון ללא מרכיב של דחיית תשלומים. לכן מבצעים אלה פחות אטרקטיביים לרוכשים המעוניינים להימנע מתשלום מקביל של משכנתא ודמי שכירות ולרוכשים הנדרשים לזמן נוסף להשגת הון עצמי להשלמת עסקה.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Times New Roman" w:hint="cs"/>
          <w:bCs/>
          <w:spacing w:val="40"/>
          <w:rtl/>
        </w:rPr>
        <w:t>סבסוד משכנתאות:</w:t>
      </w:r>
      <w:r w:rsidRPr="001F2586">
        <w:rPr>
          <w:rFonts w:eastAsia="Calibri" w:hint="cs"/>
          <w:rtl/>
        </w:rPr>
        <w:t xml:space="preserve"> מבצע עידוד מימוני הדומה להלוואות בסבסוד קבלנים מבחינת התועלות והחסרונות לקבלנים. מבחינת הרוכשים מדובר במודל שונה הן מבחינת תקופת ההלוואה (לרוב בין 20 ל-30 שנים) והן מבחינת פריסת התשלומים ועיתוי החזרי ההלוואה שידרשו לשלם. בהודעות לתקשורת שפרסמו חברות קבלניות שונות הוצעו לרוב הנחות באמצעות הלוואות לדיור מהמערכת הבנקאית במסלול ריבית קבועה לא צמודה לתקופה של 20 עד 30 שנים. במסגרת זו הוצעו ריביות בשיעור של 2.5% עד 3% לעומת ריביות מקובלת בשוק באותה תקופה שנעו בטווח של 4.5% - 5%. לפיכך, החיסכון המוערך לרוכשים להלוואה ממוצעת של 1 מיליון ש"ח מוערך בכ-190 אלף ש"ח עד כ-340 אלף ש"ח שהוא כ-8% -15% ממחיר דירה ממוצעת</w:t>
      </w:r>
      <w:r>
        <w:rPr>
          <w:rFonts w:eastAsia="Calibri"/>
          <w:vertAlign w:val="superscript"/>
          <w:rtl/>
        </w:rPr>
        <w:footnoteReference w:id="183"/>
      </w:r>
      <w:r w:rsidRPr="001F2586">
        <w:rPr>
          <w:rFonts w:eastAsia="Calibri" w:hint="cs"/>
          <w:rtl/>
        </w:rPr>
        <w:t>, תלוי בתקופת ההלוואה ובהסדר שנקבע עם הקבלנים בבנק שהעמיד את ההלוואה.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Times New Roman" w:hint="cs"/>
          <w:bCs/>
          <w:spacing w:val="40"/>
          <w:rtl/>
        </w:rPr>
        <w:t>תוספות ושדרוגים:</w:t>
      </w:r>
      <w:r w:rsidRPr="001F2586">
        <w:rPr>
          <w:rFonts w:eastAsia="Calibri" w:hint="cs"/>
          <w:rtl/>
        </w:rPr>
        <w:t xml:space="preserve"> מגבירים את אטרקטיביות העסקה באמצעות השבחת ערך הדירה או יצירת ערך מוסף לרוכשים. אפשרויות התוספות והשדרוגים מגוונות ויכולות לכלול פריטים שונים, בהם ריצוף וחיפויים, מטבחים, פתרונות אחסון, כלים סניטריים</w:t>
      </w:r>
      <w:r>
        <w:rPr>
          <w:rFonts w:eastAsia="Calibri"/>
          <w:vertAlign w:val="superscript"/>
          <w:rtl/>
        </w:rPr>
        <w:footnoteReference w:id="184"/>
      </w:r>
      <w:r w:rsidRPr="001F2586">
        <w:rPr>
          <w:rFonts w:eastAsia="Calibri" w:hint="cs"/>
          <w:rtl/>
        </w:rPr>
        <w:t>, מערכות בית חכם, נקודות חשמל והתאמת מערך האינסטלציה, מוצרי חשמל ואף מוצרים נלווים לדירה כמו רכב. לרוב עלות התוספות והשדרוגים לקבלנים נמוכה מהעלות לרכושי הדירות, ולכן מעניקה הנחה מסחרית של עשרות עד מאות אלפי שקלים.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Times New Roman" w:hint="cs"/>
          <w:bCs/>
          <w:spacing w:val="40"/>
          <w:rtl/>
        </w:rPr>
        <w:t>פטור מהצמדה למדד תשומות הבנייה:</w:t>
      </w:r>
      <w:r w:rsidRPr="001F2586">
        <w:rPr>
          <w:rFonts w:eastAsia="Calibri" w:hint="cs"/>
          <w:rtl/>
        </w:rPr>
        <w:t xml:space="preserve"> עשוי</w:t>
      </w:r>
      <w:r w:rsidRPr="001F2586">
        <w:rPr>
          <w:rFonts w:eastAsia="Calibri"/>
          <w:rtl/>
        </w:rPr>
        <w:t xml:space="preserve"> להיות בעל השפעה משמעותית על העלויות הכוללות של פרויקט בנייה, במיוחד בפרויקטים שנמשכים זמן ר</w:t>
      </w:r>
      <w:r w:rsidRPr="001F2586">
        <w:rPr>
          <w:rFonts w:eastAsia="Calibri" w:hint="cs"/>
          <w:rtl/>
        </w:rPr>
        <w:t>ב</w:t>
      </w:r>
      <w:r w:rsidRPr="001F2586">
        <w:rPr>
          <w:rFonts w:eastAsia="Calibri"/>
          <w:rtl/>
        </w:rPr>
        <w:t>.</w:t>
      </w:r>
      <w:r w:rsidRPr="001F2586">
        <w:rPr>
          <w:rFonts w:eastAsia="Calibri" w:hint="cs"/>
          <w:rtl/>
        </w:rPr>
        <w:t xml:space="preserve"> בחישוב שערך צוות הביקורת, שהותאם לתיקון חוק המכר (דירות), התשל"ג-1973</w:t>
      </w:r>
      <w:r>
        <w:rPr>
          <w:rFonts w:eastAsia="Calibri"/>
          <w:vertAlign w:val="superscript"/>
          <w:rtl/>
        </w:rPr>
        <w:footnoteReference w:id="185"/>
      </w:r>
      <w:r w:rsidRPr="001F2586">
        <w:rPr>
          <w:rFonts w:eastAsia="Calibri" w:hint="cs"/>
          <w:rtl/>
        </w:rPr>
        <w:t>, ועל בסיס הנחות סבירות וקיומם של נתונים מלאים</w:t>
      </w:r>
      <w:r>
        <w:rPr>
          <w:rFonts w:eastAsia="Calibri"/>
          <w:vertAlign w:val="superscript"/>
          <w:rtl/>
        </w:rPr>
        <w:footnoteReference w:id="186"/>
      </w:r>
      <w:r w:rsidRPr="001F2586">
        <w:rPr>
          <w:rFonts w:eastAsia="Calibri" w:hint="cs"/>
          <w:rtl/>
        </w:rPr>
        <w:t xml:space="preserve">, גובה ההנחה לרוכשים בפטור מהצמדה למדד תשומות הבנייה הוערך בסך 75.8 אלף </w:t>
      </w:r>
      <w:r w:rsidR="00480481">
        <w:rPr>
          <w:rFonts w:eastAsia="Calibri" w:hint="cs"/>
          <w:rtl/>
        </w:rPr>
        <w:t>ש</w:t>
      </w:r>
      <w:r w:rsidR="00480481">
        <w:rPr>
          <w:rFonts w:eastAsia="Calibri"/>
          <w:rtl/>
        </w:rPr>
        <w:t>"</w:t>
      </w:r>
      <w:r w:rsidR="00480481">
        <w:rPr>
          <w:rFonts w:eastAsia="Calibri" w:hint="cs"/>
          <w:rtl/>
        </w:rPr>
        <w:t>ח</w:t>
      </w:r>
      <w:r w:rsidRPr="001F2586">
        <w:rPr>
          <w:rFonts w:eastAsia="Calibri" w:hint="cs"/>
          <w:rtl/>
        </w:rPr>
        <w:t xml:space="preserve">, שהוא כ-4.4% ממחיר של דירה ממוצעת </w:t>
      </w:r>
      <w:r>
        <w:rPr>
          <w:rFonts w:eastAsia="Calibri"/>
          <w:vertAlign w:val="superscript"/>
          <w:rtl/>
        </w:rPr>
        <w:footnoteReference w:id="187"/>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בלוח שלהלן מרוכזים ההבדלים בין מבצעי עידוד שונים בתבחיני תועלות וסיכונים מרכזיים לכל אחד מהגורמים הקשורים לעסקה.</w:t>
      </w:r>
    </w:p>
    <w:p w:rsidR="001F2586" w:rsidRPr="001F2586" w:rsidP="001F2586">
      <w:pPr>
        <w:spacing w:line="269" w:lineRule="auto"/>
        <w:ind w:left="-567"/>
        <w:rPr>
          <w:rFonts w:eastAsia="Calibri"/>
          <w:szCs w:val="20"/>
          <w:rtl/>
        </w:rPr>
      </w:pPr>
    </w:p>
    <w:p w:rsidR="00085225">
      <w:pPr>
        <w:bidi w:val="0"/>
        <w:spacing w:after="200" w:line="276" w:lineRule="auto"/>
        <w:rPr>
          <w:rFonts w:eastAsia="Calibri"/>
          <w:b/>
          <w:sz w:val="24"/>
          <w:rtl/>
        </w:rPr>
      </w:pPr>
      <w:r>
        <w:rPr>
          <w:rFonts w:eastAsia="Calibri"/>
          <w:b/>
          <w:sz w:val="24"/>
          <w:rtl/>
        </w:rPr>
        <w:br w:type="page"/>
      </w:r>
    </w:p>
    <w:p w:rsidR="001F2586" w:rsidRPr="001F2586" w:rsidP="000F32F8">
      <w:pPr>
        <w:keepNext/>
        <w:keepLines/>
        <w:spacing w:line="480" w:lineRule="auto"/>
        <w:ind w:left="-2"/>
        <w:jc w:val="center"/>
        <w:outlineLvl w:val="4"/>
        <w:rPr>
          <w:rFonts w:eastAsia="Calibri"/>
          <w:bCs/>
          <w:sz w:val="24"/>
          <w:rtl/>
        </w:rPr>
      </w:pPr>
      <w:r w:rsidRPr="001F2586">
        <w:rPr>
          <w:rFonts w:eastAsia="Calibri" w:hint="cs"/>
          <w:b/>
          <w:sz w:val="24"/>
          <w:rtl/>
        </w:rPr>
        <w:t>לוח 5:</w:t>
      </w:r>
      <w:r w:rsidRPr="001F2586">
        <w:rPr>
          <w:rFonts w:eastAsia="Calibri" w:hint="cs"/>
          <w:bCs/>
          <w:sz w:val="24"/>
          <w:rtl/>
        </w:rPr>
        <w:t xml:space="preserve"> </w:t>
      </w:r>
      <w:r w:rsidRPr="001F2586">
        <w:rPr>
          <w:rFonts w:eastAsia="Calibri" w:hint="eastAsia"/>
          <w:bCs/>
          <w:sz w:val="24"/>
          <w:rtl/>
        </w:rPr>
        <w:t>תועלות</w:t>
      </w:r>
      <w:r w:rsidRPr="001F2586">
        <w:rPr>
          <w:rFonts w:eastAsia="Calibri"/>
          <w:bCs/>
          <w:sz w:val="24"/>
          <w:rtl/>
        </w:rPr>
        <w:t xml:space="preserve"> </w:t>
      </w:r>
      <w:r w:rsidRPr="001F2586">
        <w:rPr>
          <w:rFonts w:eastAsia="Calibri" w:hint="eastAsia"/>
          <w:bCs/>
          <w:sz w:val="24"/>
          <w:rtl/>
        </w:rPr>
        <w:t>וסיכונים</w:t>
      </w:r>
      <w:r w:rsidRPr="001F2586">
        <w:rPr>
          <w:rFonts w:eastAsia="Calibri"/>
          <w:bCs/>
          <w:sz w:val="24"/>
          <w:rtl/>
        </w:rPr>
        <w:t xml:space="preserve"> </w:t>
      </w:r>
      <w:r w:rsidRPr="001F2586">
        <w:rPr>
          <w:rFonts w:eastAsia="Calibri" w:hint="eastAsia"/>
          <w:bCs/>
          <w:sz w:val="24"/>
          <w:rtl/>
        </w:rPr>
        <w:t>מרכזיים</w:t>
      </w:r>
      <w:r w:rsidRPr="001F2586">
        <w:rPr>
          <w:rFonts w:eastAsia="Calibri"/>
          <w:bCs/>
          <w:sz w:val="24"/>
          <w:rtl/>
        </w:rPr>
        <w:t xml:space="preserve"> </w:t>
      </w:r>
      <w:r w:rsidRPr="001F2586">
        <w:rPr>
          <w:rFonts w:eastAsia="Calibri" w:hint="eastAsia"/>
          <w:bCs/>
          <w:sz w:val="24"/>
          <w:rtl/>
        </w:rPr>
        <w:t>לגורמים</w:t>
      </w:r>
      <w:r w:rsidRPr="001F2586">
        <w:rPr>
          <w:rFonts w:eastAsia="Calibri"/>
          <w:bCs/>
          <w:sz w:val="24"/>
          <w:rtl/>
        </w:rPr>
        <w:t xml:space="preserve"> </w:t>
      </w:r>
      <w:r w:rsidRPr="001F2586">
        <w:rPr>
          <w:rFonts w:eastAsia="Calibri" w:hint="eastAsia"/>
          <w:bCs/>
          <w:sz w:val="24"/>
          <w:rtl/>
        </w:rPr>
        <w:t>השותפים</w:t>
      </w:r>
      <w:r w:rsidRPr="001F2586">
        <w:rPr>
          <w:rFonts w:eastAsia="Calibri"/>
          <w:bCs/>
          <w:sz w:val="24"/>
          <w:rtl/>
        </w:rPr>
        <w:t xml:space="preserve"> </w:t>
      </w:r>
      <w:r w:rsidRPr="001F2586">
        <w:rPr>
          <w:rFonts w:eastAsia="Calibri" w:hint="eastAsia"/>
          <w:bCs/>
          <w:sz w:val="24"/>
          <w:rtl/>
        </w:rPr>
        <w:t>לעסקאות</w:t>
      </w:r>
      <w:r w:rsidRPr="001F2586">
        <w:rPr>
          <w:rFonts w:eastAsia="Calibri"/>
          <w:bCs/>
          <w:sz w:val="24"/>
          <w:rtl/>
        </w:rPr>
        <w:t xml:space="preserve"> </w:t>
      </w:r>
      <w:r w:rsidRPr="001F2586">
        <w:rPr>
          <w:rFonts w:eastAsia="Calibri" w:hint="eastAsia"/>
          <w:bCs/>
          <w:sz w:val="24"/>
          <w:rtl/>
        </w:rPr>
        <w:t>הכוללות</w:t>
      </w:r>
      <w:r w:rsidRPr="001F2586">
        <w:rPr>
          <w:rFonts w:eastAsia="Calibri"/>
          <w:bCs/>
          <w:sz w:val="24"/>
          <w:rtl/>
        </w:rPr>
        <w:t xml:space="preserve"> </w:t>
      </w:r>
      <w:r w:rsidRPr="001F2586">
        <w:rPr>
          <w:rFonts w:eastAsia="Calibri" w:hint="eastAsia"/>
          <w:bCs/>
          <w:sz w:val="24"/>
          <w:rtl/>
        </w:rPr>
        <w:t>מבצעי</w:t>
      </w:r>
      <w:r w:rsidRPr="001F2586">
        <w:rPr>
          <w:rFonts w:eastAsia="Calibri"/>
          <w:bCs/>
          <w:sz w:val="24"/>
          <w:rtl/>
        </w:rPr>
        <w:t xml:space="preserve"> </w:t>
      </w:r>
      <w:r w:rsidRPr="001F2586">
        <w:rPr>
          <w:rFonts w:eastAsia="Calibri" w:hint="eastAsia"/>
          <w:bCs/>
          <w:sz w:val="24"/>
          <w:rtl/>
        </w:rPr>
        <w:t>עידוד</w:t>
      </w:r>
      <w:r w:rsidRPr="001F2586">
        <w:rPr>
          <w:rFonts w:eastAsia="Calibri"/>
          <w:bCs/>
          <w:sz w:val="24"/>
          <w:rtl/>
        </w:rPr>
        <w:t xml:space="preserve"> </w:t>
      </w:r>
      <w:r w:rsidRPr="001F2586">
        <w:rPr>
          <w:rFonts w:eastAsia="Calibri" w:hint="eastAsia"/>
          <w:bCs/>
          <w:sz w:val="24"/>
          <w:rtl/>
        </w:rPr>
        <w:t>שונים</w:t>
      </w:r>
    </w:p>
    <w:tbl>
      <w:tblPr>
        <w:bidiVisual/>
        <w:tblW w:w="0" w:type="auto"/>
        <w:tblLook w:val="04A0"/>
      </w:tblPr>
      <w:tblGrid>
        <w:gridCol w:w="1124"/>
        <w:gridCol w:w="819"/>
        <w:gridCol w:w="3021"/>
        <w:gridCol w:w="3256"/>
      </w:tblGrid>
      <w:tr w:rsidTr="00EB64F7">
        <w:tblPrEx>
          <w:tblW w:w="0" w:type="auto"/>
          <w:tblLook w:val="04A0"/>
        </w:tblPrEx>
        <w:tc>
          <w:tcPr>
            <w:tcW w:w="1124" w:type="dxa"/>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המודל</w:t>
            </w:r>
          </w:p>
        </w:tc>
        <w:tc>
          <w:tcPr>
            <w:tcW w:w="819" w:type="dxa"/>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הגורם</w:t>
            </w:r>
          </w:p>
        </w:tc>
        <w:tc>
          <w:tcPr>
            <w:tcW w:w="3021" w:type="dxa"/>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התועלות</w:t>
            </w:r>
          </w:p>
        </w:tc>
        <w:tc>
          <w:tcPr>
            <w:tcW w:w="3257" w:type="dxa"/>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הסיכונים</w:t>
            </w:r>
          </w:p>
        </w:tc>
      </w:tr>
      <w:tr w:rsidTr="001F2586">
        <w:tblPrEx>
          <w:tblW w:w="0" w:type="auto"/>
          <w:tblLook w:val="04A0"/>
        </w:tblPrEx>
        <w:tc>
          <w:tcPr>
            <w:tcW w:w="1124" w:type="dxa"/>
            <w:vMerge w:val="restart"/>
            <w:tcBorders>
              <w:top w:val="single" w:sz="4" w:space="0" w:color="7F7F7F"/>
            </w:tcBorders>
            <w:vAlign w:val="center"/>
          </w:tcPr>
          <w:p w:rsidR="001F2586" w:rsidRPr="001F2586" w:rsidP="001F2586">
            <w:pPr>
              <w:spacing w:line="269" w:lineRule="auto"/>
              <w:jc w:val="left"/>
              <w:rPr>
                <w:rFonts w:eastAsia="Calibri"/>
                <w:sz w:val="18"/>
                <w:szCs w:val="22"/>
                <w:rtl/>
              </w:rPr>
            </w:pPr>
            <w:r w:rsidRPr="001F2586">
              <w:rPr>
                <w:rFonts w:eastAsia="Calibri" w:hint="cs"/>
                <w:sz w:val="18"/>
                <w:szCs w:val="22"/>
                <w:rtl/>
              </w:rPr>
              <w:t>דחייה</w:t>
            </w:r>
          </w:p>
          <w:p w:rsidR="001F2586" w:rsidRPr="001F2586" w:rsidP="001F2586">
            <w:pPr>
              <w:spacing w:line="269" w:lineRule="auto"/>
              <w:jc w:val="left"/>
              <w:rPr>
                <w:rFonts w:eastAsia="Calibri"/>
                <w:sz w:val="18"/>
                <w:szCs w:val="22"/>
                <w:rtl/>
              </w:rPr>
            </w:pPr>
            <w:r w:rsidRPr="001F2586">
              <w:rPr>
                <w:rFonts w:eastAsia="Calibri" w:hint="cs"/>
                <w:sz w:val="18"/>
                <w:szCs w:val="22"/>
                <w:rtl/>
              </w:rPr>
              <w:t>מהותית</w:t>
            </w:r>
          </w:p>
          <w:p w:rsidR="001F2586" w:rsidRPr="001F2586" w:rsidP="001F2586">
            <w:pPr>
              <w:spacing w:line="269" w:lineRule="auto"/>
              <w:jc w:val="left"/>
              <w:rPr>
                <w:rFonts w:eastAsia="Calibri"/>
                <w:sz w:val="18"/>
                <w:szCs w:val="22"/>
                <w:rtl/>
              </w:rPr>
            </w:pPr>
            <w:r w:rsidRPr="001F2586">
              <w:rPr>
                <w:rFonts w:eastAsia="Calibri" w:hint="cs"/>
                <w:sz w:val="18"/>
                <w:szCs w:val="22"/>
                <w:rtl/>
              </w:rPr>
              <w:t>בתשלומים</w:t>
            </w:r>
          </w:p>
        </w:tc>
        <w:tc>
          <w:tcPr>
            <w:tcW w:w="819" w:type="dxa"/>
            <w:tcBorders>
              <w:top w:val="single" w:sz="4" w:space="0" w:color="7F7F7F"/>
              <w:righ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קבלן</w:t>
            </w:r>
          </w:p>
        </w:tc>
        <w:tc>
          <w:tcPr>
            <w:tcW w:w="3021" w:type="dxa"/>
            <w:tcBorders>
              <w:top w:val="single" w:sz="4" w:space="0" w:color="7F7F7F"/>
              <w:left w:val="single" w:sz="4" w:space="0" w:color="auto"/>
            </w:tcBorders>
            <w:shd w:val="clear" w:color="auto" w:fill="DBE5F1"/>
          </w:tcPr>
          <w:p w:rsidR="001F2586" w:rsidRPr="001F2586" w:rsidP="001F2586">
            <w:pPr>
              <w:spacing w:line="269" w:lineRule="auto"/>
              <w:jc w:val="left"/>
              <w:rPr>
                <w:rFonts w:eastAsia="Calibri"/>
                <w:sz w:val="18"/>
                <w:szCs w:val="22"/>
                <w:rtl/>
              </w:rPr>
            </w:pPr>
            <w:r w:rsidRPr="001F2586">
              <w:rPr>
                <w:rFonts w:eastAsia="Calibri" w:hint="cs"/>
                <w:sz w:val="18"/>
                <w:szCs w:val="22"/>
                <w:rtl/>
              </w:rPr>
              <w:t>הימנעות מהורדת מחירים וקידום מכירות</w:t>
            </w:r>
          </w:p>
        </w:tc>
        <w:tc>
          <w:tcPr>
            <w:tcW w:w="3257" w:type="dxa"/>
            <w:tcBorders>
              <w:top w:val="single" w:sz="4" w:space="0" w:color="7F7F7F"/>
            </w:tcBorders>
            <w:shd w:val="clear" w:color="auto" w:fill="F2DBDB"/>
          </w:tcPr>
          <w:p w:rsidR="001F2586" w:rsidRPr="001F2586" w:rsidP="001F2586">
            <w:pPr>
              <w:spacing w:line="269" w:lineRule="auto"/>
              <w:jc w:val="left"/>
              <w:rPr>
                <w:rFonts w:eastAsia="Calibri"/>
                <w:sz w:val="18"/>
                <w:szCs w:val="22"/>
                <w:rtl/>
              </w:rPr>
            </w:pPr>
            <w:r w:rsidRPr="001F2586">
              <w:rPr>
                <w:rFonts w:eastAsia="Calibri" w:hint="cs"/>
                <w:sz w:val="18"/>
                <w:szCs w:val="22"/>
                <w:rtl/>
              </w:rPr>
              <w:t>פער תזרימי, התייקרות עלויות מימון עקב ניצול מסגרות אשראי, חשש לאי-השלמת עסקאות מצד רוכשים המתעצם בירידת מחירים</w:t>
            </w:r>
          </w:p>
        </w:tc>
      </w:tr>
      <w:tr w:rsidTr="00EB64F7">
        <w:tblPrEx>
          <w:tblW w:w="0" w:type="auto"/>
          <w:tblLook w:val="04A0"/>
        </w:tblPrEx>
        <w:tc>
          <w:tcPr>
            <w:tcW w:w="1124" w:type="dxa"/>
            <w:vMerge/>
          </w:tcPr>
          <w:p w:rsidR="001F2586" w:rsidRPr="001F2586" w:rsidP="001F2586">
            <w:pPr>
              <w:spacing w:line="269" w:lineRule="auto"/>
              <w:jc w:val="left"/>
              <w:rPr>
                <w:rFonts w:eastAsia="Calibri"/>
                <w:sz w:val="18"/>
                <w:szCs w:val="22"/>
                <w:rtl/>
              </w:rPr>
            </w:pPr>
          </w:p>
        </w:tc>
        <w:tc>
          <w:tcPr>
            <w:tcW w:w="819" w:type="dxa"/>
            <w:tcBorders>
              <w:righ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רוכש</w:t>
            </w:r>
          </w:p>
        </w:tc>
        <w:tc>
          <w:tcPr>
            <w:tcW w:w="3021" w:type="dxa"/>
            <w:tcBorders>
              <w:lef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דחייה במועדי התשלום</w:t>
            </w:r>
          </w:p>
        </w:tc>
        <w:tc>
          <w:tcPr>
            <w:tcW w:w="3257"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אי-ודאות לגבי היכולת להשלים עסקה בעתיד</w:t>
            </w:r>
          </w:p>
        </w:tc>
      </w:tr>
      <w:tr w:rsidTr="001F2586">
        <w:tblPrEx>
          <w:tblW w:w="0" w:type="auto"/>
          <w:tblLook w:val="04A0"/>
        </w:tblPrEx>
        <w:tc>
          <w:tcPr>
            <w:tcW w:w="1124" w:type="dxa"/>
            <w:vMerge/>
            <w:tcBorders>
              <w:bottom w:val="single" w:sz="4" w:space="0" w:color="auto"/>
            </w:tcBorders>
          </w:tcPr>
          <w:p w:rsidR="001F2586" w:rsidRPr="001F2586" w:rsidP="001F2586">
            <w:pPr>
              <w:spacing w:line="269" w:lineRule="auto"/>
              <w:jc w:val="left"/>
              <w:rPr>
                <w:rFonts w:eastAsia="Calibri"/>
                <w:sz w:val="18"/>
                <w:szCs w:val="22"/>
                <w:rtl/>
              </w:rPr>
            </w:pPr>
          </w:p>
        </w:tc>
        <w:tc>
          <w:tcPr>
            <w:tcW w:w="819" w:type="dxa"/>
            <w:tcBorders>
              <w:bottom w:val="single" w:sz="4" w:space="0" w:color="auto"/>
              <w:righ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בנק מלווה</w:t>
            </w:r>
          </w:p>
        </w:tc>
        <w:tc>
          <w:tcPr>
            <w:tcW w:w="3021" w:type="dxa"/>
            <w:tcBorders>
              <w:left w:val="single" w:sz="4" w:space="0" w:color="auto"/>
              <w:bottom w:val="single" w:sz="4" w:space="0" w:color="auto"/>
            </w:tcBorders>
            <w:shd w:val="clear" w:color="auto" w:fill="DBE5F1"/>
          </w:tcPr>
          <w:p w:rsidR="001F2586" w:rsidRPr="001F2586" w:rsidP="001F2586">
            <w:pPr>
              <w:spacing w:line="269" w:lineRule="auto"/>
              <w:jc w:val="left"/>
              <w:rPr>
                <w:rFonts w:eastAsia="Calibri"/>
                <w:sz w:val="18"/>
                <w:szCs w:val="22"/>
                <w:rtl/>
              </w:rPr>
            </w:pPr>
            <w:r w:rsidRPr="001F2586">
              <w:rPr>
                <w:rFonts w:eastAsia="Calibri" w:hint="cs"/>
                <w:sz w:val="18"/>
                <w:szCs w:val="22"/>
                <w:rtl/>
              </w:rPr>
              <w:t>גידול בהכנסות ממימון</w:t>
            </w:r>
          </w:p>
        </w:tc>
        <w:tc>
          <w:tcPr>
            <w:tcW w:w="3257" w:type="dxa"/>
            <w:tcBorders>
              <w:bottom w:val="single" w:sz="4" w:space="0" w:color="auto"/>
            </w:tcBorders>
            <w:shd w:val="clear" w:color="auto" w:fill="F2DBDB"/>
          </w:tcPr>
          <w:p w:rsidR="001F2586" w:rsidRPr="001F2586" w:rsidP="001F2586">
            <w:pPr>
              <w:spacing w:line="269" w:lineRule="auto"/>
              <w:jc w:val="left"/>
              <w:rPr>
                <w:rFonts w:eastAsia="Calibri"/>
                <w:sz w:val="18"/>
                <w:szCs w:val="22"/>
                <w:rtl/>
              </w:rPr>
            </w:pPr>
            <w:r w:rsidRPr="001F2586">
              <w:rPr>
                <w:rFonts w:eastAsia="Calibri" w:hint="cs"/>
                <w:sz w:val="18"/>
                <w:szCs w:val="22"/>
                <w:rtl/>
              </w:rPr>
              <w:t>גידול בסיכון האשראי הבנקאי לקבלנים וצורך בהקצאת הון גדולה יותר, ניצול גבוה של מגבלת החבות הענפית, גידול בסיכון תמהיל תיק הדיור</w:t>
            </w:r>
          </w:p>
        </w:tc>
      </w:tr>
      <w:tr w:rsidTr="00EB64F7">
        <w:tblPrEx>
          <w:tblW w:w="0" w:type="auto"/>
          <w:tblLook w:val="04A0"/>
        </w:tblPrEx>
        <w:tc>
          <w:tcPr>
            <w:tcW w:w="1124" w:type="dxa"/>
            <w:vMerge w:val="restart"/>
            <w:tcBorders>
              <w:top w:val="single" w:sz="4" w:space="0" w:color="auto"/>
            </w:tcBorders>
            <w:vAlign w:val="center"/>
          </w:tcPr>
          <w:p w:rsidR="001F2586" w:rsidRPr="001F2586" w:rsidP="001F2586">
            <w:pPr>
              <w:spacing w:line="269" w:lineRule="auto"/>
              <w:jc w:val="left"/>
              <w:rPr>
                <w:rFonts w:eastAsia="Calibri"/>
                <w:sz w:val="18"/>
                <w:szCs w:val="22"/>
                <w:rtl/>
              </w:rPr>
            </w:pPr>
            <w:r w:rsidRPr="001F2586">
              <w:rPr>
                <w:rFonts w:eastAsia="Calibri" w:hint="cs"/>
                <w:sz w:val="18"/>
                <w:szCs w:val="22"/>
                <w:rtl/>
              </w:rPr>
              <w:t>הלוואות בסבסוד קבלנים</w:t>
            </w:r>
          </w:p>
        </w:tc>
        <w:tc>
          <w:tcPr>
            <w:tcW w:w="819" w:type="dxa"/>
            <w:tcBorders>
              <w:top w:val="single" w:sz="4" w:space="0" w:color="auto"/>
              <w:righ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קבלן</w:t>
            </w:r>
          </w:p>
        </w:tc>
        <w:tc>
          <w:tcPr>
            <w:tcW w:w="3021" w:type="dxa"/>
            <w:tcBorders>
              <w:top w:val="single" w:sz="4" w:space="0" w:color="auto"/>
              <w:lef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הימנעות מהורדת מחירים, קידום מכירות, סיוע בהיתכנות למשיכת הון עצמי, הקלה בעלויות מימון, הפחתת הסיכון בעת ירידת מחירים</w:t>
            </w:r>
          </w:p>
        </w:tc>
        <w:tc>
          <w:tcPr>
            <w:tcW w:w="3257" w:type="dxa"/>
            <w:tcBorders>
              <w:top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ירידה בהכנסות כתוצאה מהקדמת תשלומים שלא יוצמדו למדד תשומות הבניה וסבסוד הריבית בהלוואות בלון לדיור</w:t>
            </w:r>
          </w:p>
        </w:tc>
      </w:tr>
      <w:tr w:rsidTr="001F2586">
        <w:tblPrEx>
          <w:tblW w:w="0" w:type="auto"/>
          <w:tblLook w:val="04A0"/>
        </w:tblPrEx>
        <w:tc>
          <w:tcPr>
            <w:tcW w:w="1124" w:type="dxa"/>
            <w:vMerge/>
          </w:tcPr>
          <w:p w:rsidR="001F2586" w:rsidRPr="001F2586" w:rsidP="001F2586">
            <w:pPr>
              <w:spacing w:line="269" w:lineRule="auto"/>
              <w:jc w:val="left"/>
              <w:rPr>
                <w:rFonts w:eastAsia="Calibri"/>
                <w:sz w:val="18"/>
                <w:szCs w:val="22"/>
                <w:rtl/>
              </w:rPr>
            </w:pPr>
          </w:p>
        </w:tc>
        <w:tc>
          <w:tcPr>
            <w:tcW w:w="819" w:type="dxa"/>
            <w:tcBorders>
              <w:righ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רוכש</w:t>
            </w:r>
          </w:p>
        </w:tc>
        <w:tc>
          <w:tcPr>
            <w:tcW w:w="3021" w:type="dxa"/>
            <w:tcBorders>
              <w:left w:val="single" w:sz="4" w:space="0" w:color="auto"/>
            </w:tcBorders>
            <w:shd w:val="clear" w:color="auto" w:fill="DBE5F1"/>
          </w:tcPr>
          <w:p w:rsidR="001F2586" w:rsidRPr="001F2586" w:rsidP="001F2586">
            <w:pPr>
              <w:spacing w:line="269" w:lineRule="auto"/>
              <w:jc w:val="left"/>
              <w:rPr>
                <w:rFonts w:eastAsia="Calibri"/>
                <w:sz w:val="18"/>
                <w:szCs w:val="22"/>
                <w:rtl/>
              </w:rPr>
            </w:pPr>
            <w:r w:rsidRPr="001F2586">
              <w:rPr>
                <w:rFonts w:eastAsia="Calibri" w:hint="cs"/>
                <w:sz w:val="18"/>
                <w:szCs w:val="22"/>
                <w:rtl/>
              </w:rPr>
              <w:t>דחייה במועדי התשלום, פטור מהצמדה למדד תשומות הבניה על גובה ההלוואה שנלקחה</w:t>
            </w:r>
          </w:p>
        </w:tc>
        <w:tc>
          <w:tcPr>
            <w:tcW w:w="3257" w:type="dxa"/>
            <w:shd w:val="clear" w:color="auto" w:fill="F2DBDB"/>
          </w:tcPr>
          <w:p w:rsidR="001F2586" w:rsidRPr="001F2586" w:rsidP="001F2586">
            <w:pPr>
              <w:spacing w:line="269" w:lineRule="auto"/>
              <w:jc w:val="left"/>
              <w:rPr>
                <w:rFonts w:eastAsia="Calibri"/>
                <w:sz w:val="18"/>
                <w:szCs w:val="22"/>
                <w:rtl/>
              </w:rPr>
            </w:pPr>
            <w:r w:rsidRPr="001F2586">
              <w:rPr>
                <w:rFonts w:eastAsia="Calibri" w:hint="cs"/>
                <w:sz w:val="18"/>
                <w:szCs w:val="22"/>
                <w:rtl/>
              </w:rPr>
              <w:t>אי-ודאות לגבי תנאי ההלוואה לדיור שתועמד בעתיד, רישום הלוואה בסבסוד קבלנים בחשבונו</w:t>
            </w:r>
          </w:p>
        </w:tc>
      </w:tr>
      <w:tr w:rsidTr="00EB64F7">
        <w:tblPrEx>
          <w:tblW w:w="0" w:type="auto"/>
          <w:tblLook w:val="04A0"/>
        </w:tblPrEx>
        <w:tc>
          <w:tcPr>
            <w:tcW w:w="1124" w:type="dxa"/>
            <w:vMerge/>
            <w:tcBorders>
              <w:bottom w:val="single" w:sz="4" w:space="0" w:color="auto"/>
            </w:tcBorders>
          </w:tcPr>
          <w:p w:rsidR="001F2586" w:rsidRPr="001F2586" w:rsidP="001F2586">
            <w:pPr>
              <w:spacing w:line="269" w:lineRule="auto"/>
              <w:jc w:val="left"/>
              <w:rPr>
                <w:rFonts w:eastAsia="Calibri"/>
                <w:sz w:val="18"/>
                <w:szCs w:val="22"/>
                <w:rtl/>
              </w:rPr>
            </w:pPr>
          </w:p>
        </w:tc>
        <w:tc>
          <w:tcPr>
            <w:tcW w:w="819" w:type="dxa"/>
            <w:tcBorders>
              <w:bottom w:val="single" w:sz="4" w:space="0" w:color="auto"/>
              <w:righ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בנק מלווה</w:t>
            </w:r>
          </w:p>
        </w:tc>
        <w:tc>
          <w:tcPr>
            <w:tcW w:w="3021" w:type="dxa"/>
            <w:tcBorders>
              <w:left w:val="single" w:sz="4" w:space="0" w:color="auto"/>
              <w:bottom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הקטנת חשיפה למימון פרויקטים שאינם מתקדמים, הקלה בדרישה להקצאת הון ובמגבלת החבות הענפית, גידול בהיקף הפרויקטים המלווים ויצירת קשר ישיר עם הרוכשים בבנקים שהעמידו את ההלוואה</w:t>
            </w:r>
          </w:p>
        </w:tc>
        <w:tc>
          <w:tcPr>
            <w:tcW w:w="3257" w:type="dxa"/>
            <w:tcBorders>
              <w:bottom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ירידה באיכות החיתום עלולה להוביל לסיכון ביכולת לפרוע את ההלוואה לבנקים שהעמידו אותה וגידול בסיכון תמהיל תיק הדיור</w:t>
            </w:r>
          </w:p>
        </w:tc>
      </w:tr>
      <w:tr w:rsidTr="001F2586">
        <w:tblPrEx>
          <w:tblW w:w="0" w:type="auto"/>
          <w:tblLook w:val="04A0"/>
        </w:tblPrEx>
        <w:tc>
          <w:tcPr>
            <w:tcW w:w="1124" w:type="dxa"/>
            <w:vMerge w:val="restart"/>
            <w:tcBorders>
              <w:top w:val="single" w:sz="4" w:space="0" w:color="auto"/>
            </w:tcBorders>
            <w:vAlign w:val="center"/>
          </w:tcPr>
          <w:p w:rsidR="001F2586" w:rsidRPr="001F2586" w:rsidP="001F2586">
            <w:pPr>
              <w:spacing w:line="269" w:lineRule="auto"/>
              <w:jc w:val="left"/>
              <w:rPr>
                <w:rFonts w:eastAsia="Calibri"/>
                <w:sz w:val="18"/>
                <w:szCs w:val="22"/>
                <w:rtl/>
              </w:rPr>
            </w:pPr>
            <w:r w:rsidRPr="001F2586">
              <w:rPr>
                <w:rFonts w:eastAsia="Calibri" w:hint="cs"/>
                <w:sz w:val="18"/>
                <w:szCs w:val="22"/>
                <w:rtl/>
              </w:rPr>
              <w:t>מבצעי עידוד אחרים</w:t>
            </w:r>
          </w:p>
        </w:tc>
        <w:tc>
          <w:tcPr>
            <w:tcW w:w="819" w:type="dxa"/>
            <w:tcBorders>
              <w:top w:val="single" w:sz="4" w:space="0" w:color="auto"/>
              <w:righ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קבלן</w:t>
            </w:r>
          </w:p>
        </w:tc>
        <w:tc>
          <w:tcPr>
            <w:tcW w:w="3021" w:type="dxa"/>
            <w:tcBorders>
              <w:top w:val="single" w:sz="4" w:space="0" w:color="auto"/>
              <w:left w:val="single" w:sz="4" w:space="0" w:color="auto"/>
            </w:tcBorders>
            <w:shd w:val="clear" w:color="auto" w:fill="DBE5F1"/>
          </w:tcPr>
          <w:p w:rsidR="001F2586" w:rsidRPr="001F2586" w:rsidP="001F2586">
            <w:pPr>
              <w:spacing w:line="269" w:lineRule="auto"/>
              <w:jc w:val="left"/>
              <w:rPr>
                <w:rFonts w:eastAsia="Calibri"/>
                <w:sz w:val="18"/>
                <w:szCs w:val="22"/>
                <w:rtl/>
              </w:rPr>
            </w:pPr>
            <w:r w:rsidRPr="001F2586">
              <w:rPr>
                <w:rFonts w:eastAsia="Calibri" w:hint="cs"/>
                <w:sz w:val="18"/>
                <w:szCs w:val="22"/>
                <w:rtl/>
              </w:rPr>
              <w:t>הימנעות מהורדת מחירים וקידום מכירות, סיוע בהיתכנות למשיכת הון עצמי, הקלה בעלויות מימון, הפחתת הסיכון בעת ירידת מחירים</w:t>
            </w:r>
          </w:p>
        </w:tc>
        <w:tc>
          <w:tcPr>
            <w:tcW w:w="3257" w:type="dxa"/>
            <w:tcBorders>
              <w:top w:val="single" w:sz="4" w:space="0" w:color="auto"/>
            </w:tcBorders>
            <w:shd w:val="clear" w:color="auto" w:fill="F2DBDB"/>
          </w:tcPr>
          <w:p w:rsidR="001F2586" w:rsidRPr="001F2586" w:rsidP="001F2586">
            <w:pPr>
              <w:spacing w:line="269" w:lineRule="auto"/>
              <w:jc w:val="left"/>
              <w:rPr>
                <w:rFonts w:eastAsia="Calibri"/>
                <w:sz w:val="18"/>
                <w:szCs w:val="22"/>
                <w:rtl/>
              </w:rPr>
            </w:pPr>
            <w:r w:rsidRPr="001F2586">
              <w:rPr>
                <w:rFonts w:eastAsia="Calibri" w:hint="cs"/>
                <w:sz w:val="18"/>
                <w:szCs w:val="22"/>
                <w:rtl/>
              </w:rPr>
              <w:t>ירידה מסוימת בהכנסות כתוצאה מוויתור על תקבולי רוכשים המוצמדים למדד תשומות הבניה, סבסוד הריבית בהלוואות לדיור ותוספות ושדרוגים</w:t>
            </w:r>
          </w:p>
        </w:tc>
      </w:tr>
      <w:tr w:rsidTr="00EB64F7">
        <w:tblPrEx>
          <w:tblW w:w="0" w:type="auto"/>
          <w:tblLook w:val="04A0"/>
        </w:tblPrEx>
        <w:tc>
          <w:tcPr>
            <w:tcW w:w="1124" w:type="dxa"/>
            <w:vMerge/>
          </w:tcPr>
          <w:p w:rsidR="001F2586" w:rsidRPr="001F2586" w:rsidP="001F2586">
            <w:pPr>
              <w:spacing w:line="269" w:lineRule="auto"/>
              <w:jc w:val="left"/>
              <w:rPr>
                <w:rFonts w:eastAsia="Calibri"/>
                <w:sz w:val="18"/>
                <w:szCs w:val="22"/>
                <w:rtl/>
              </w:rPr>
            </w:pPr>
          </w:p>
        </w:tc>
        <w:tc>
          <w:tcPr>
            <w:tcW w:w="819" w:type="dxa"/>
            <w:tcBorders>
              <w:righ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רוכש</w:t>
            </w:r>
          </w:p>
        </w:tc>
        <w:tc>
          <w:tcPr>
            <w:tcW w:w="3021" w:type="dxa"/>
            <w:tcBorders>
              <w:lef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 xml:space="preserve">הלוואה לדיור בתנאים טובים מתנאי השוק, שדרוגים ותוספות המעלים את ערך הדירה או בעלי ערך לרוכש </w:t>
            </w:r>
          </w:p>
        </w:tc>
        <w:tc>
          <w:tcPr>
            <w:tcW w:w="3257" w:type="dxa"/>
          </w:tcPr>
          <w:p w:rsidR="001F2586" w:rsidRPr="001F2586" w:rsidP="001F2586">
            <w:pPr>
              <w:spacing w:line="269" w:lineRule="auto"/>
              <w:jc w:val="left"/>
              <w:rPr>
                <w:rFonts w:eastAsia="Calibri"/>
                <w:sz w:val="18"/>
                <w:szCs w:val="22"/>
                <w:rtl/>
              </w:rPr>
            </w:pPr>
            <w:r w:rsidRPr="001F2586">
              <w:rPr>
                <w:rFonts w:eastAsia="Calibri" w:hint="cs"/>
                <w:sz w:val="18"/>
                <w:szCs w:val="22"/>
                <w:rtl/>
              </w:rPr>
              <w:t xml:space="preserve">פריסת תשלומים ללא דחייה משמעותית </w:t>
            </w:r>
            <w:r w:rsidRPr="001F2586">
              <w:rPr>
                <w:rFonts w:eastAsia="Calibri"/>
                <w:sz w:val="18"/>
                <w:szCs w:val="22"/>
                <w:rtl/>
              </w:rPr>
              <w:t>פחות אטרקטיבי</w:t>
            </w:r>
            <w:r w:rsidRPr="001F2586">
              <w:rPr>
                <w:rFonts w:eastAsia="Calibri" w:hint="cs"/>
                <w:sz w:val="18"/>
                <w:szCs w:val="22"/>
                <w:rtl/>
              </w:rPr>
              <w:t>ת</w:t>
            </w:r>
            <w:r w:rsidRPr="001F2586">
              <w:rPr>
                <w:rFonts w:eastAsia="Calibri"/>
                <w:sz w:val="18"/>
                <w:szCs w:val="22"/>
                <w:rtl/>
              </w:rPr>
              <w:t xml:space="preserve"> לרוכשים המעוניינים להימנע מתשלום מקביל של משכנתא ודמי שכירות ולרוכשים הנדרשים לזמן נוסף להשגת הון עצמי להשלמת עסקה</w:t>
            </w:r>
          </w:p>
        </w:tc>
      </w:tr>
      <w:tr w:rsidTr="001F2586">
        <w:tblPrEx>
          <w:tblW w:w="0" w:type="auto"/>
          <w:tblLook w:val="04A0"/>
        </w:tblPrEx>
        <w:tc>
          <w:tcPr>
            <w:tcW w:w="1124" w:type="dxa"/>
            <w:vMerge/>
            <w:tcBorders>
              <w:bottom w:val="single" w:sz="4" w:space="0" w:color="auto"/>
            </w:tcBorders>
          </w:tcPr>
          <w:p w:rsidR="001F2586" w:rsidRPr="001F2586" w:rsidP="001F2586">
            <w:pPr>
              <w:spacing w:line="269" w:lineRule="auto"/>
              <w:jc w:val="left"/>
              <w:rPr>
                <w:rFonts w:eastAsia="Calibri"/>
                <w:sz w:val="18"/>
                <w:szCs w:val="22"/>
                <w:rtl/>
              </w:rPr>
            </w:pPr>
          </w:p>
        </w:tc>
        <w:tc>
          <w:tcPr>
            <w:tcW w:w="819" w:type="dxa"/>
            <w:tcBorders>
              <w:bottom w:val="single" w:sz="4" w:space="0" w:color="auto"/>
              <w:right w:val="single" w:sz="4" w:space="0" w:color="auto"/>
            </w:tcBorders>
          </w:tcPr>
          <w:p w:rsidR="001F2586" w:rsidRPr="001F2586" w:rsidP="001F2586">
            <w:pPr>
              <w:spacing w:line="269" w:lineRule="auto"/>
              <w:jc w:val="left"/>
              <w:rPr>
                <w:rFonts w:eastAsia="Calibri"/>
                <w:sz w:val="18"/>
                <w:szCs w:val="22"/>
                <w:rtl/>
              </w:rPr>
            </w:pPr>
            <w:r w:rsidRPr="001F2586">
              <w:rPr>
                <w:rFonts w:eastAsia="Calibri" w:hint="cs"/>
                <w:sz w:val="18"/>
                <w:szCs w:val="22"/>
                <w:rtl/>
              </w:rPr>
              <w:t>בנק מלווה</w:t>
            </w:r>
          </w:p>
        </w:tc>
        <w:tc>
          <w:tcPr>
            <w:tcW w:w="3021" w:type="dxa"/>
            <w:tcBorders>
              <w:left w:val="single" w:sz="4" w:space="0" w:color="auto"/>
              <w:bottom w:val="single" w:sz="4" w:space="0" w:color="auto"/>
            </w:tcBorders>
            <w:shd w:val="clear" w:color="auto" w:fill="DBE5F1"/>
          </w:tcPr>
          <w:p w:rsidR="001F2586" w:rsidRPr="001F2586" w:rsidP="001F2586">
            <w:pPr>
              <w:spacing w:line="269" w:lineRule="auto"/>
              <w:jc w:val="left"/>
              <w:rPr>
                <w:rFonts w:eastAsia="Calibri"/>
                <w:sz w:val="18"/>
                <w:szCs w:val="22"/>
                <w:rtl/>
              </w:rPr>
            </w:pPr>
            <w:r w:rsidRPr="001F2586">
              <w:rPr>
                <w:rFonts w:eastAsia="Calibri" w:hint="cs"/>
                <w:sz w:val="18"/>
                <w:szCs w:val="22"/>
                <w:rtl/>
              </w:rPr>
              <w:t>הקטנת חשיפה למימון פרויקטים שאינם מתקדמים, הקלה בדרישה להקצאת הון ובמגבלת החבות הענפית, גידול בהיקף הפרויקטים המלווים</w:t>
            </w:r>
          </w:p>
        </w:tc>
        <w:tc>
          <w:tcPr>
            <w:tcW w:w="3257" w:type="dxa"/>
            <w:tcBorders>
              <w:bottom w:val="single" w:sz="4" w:space="0" w:color="auto"/>
            </w:tcBorders>
            <w:shd w:val="clear" w:color="auto" w:fill="F2DBDB"/>
          </w:tcPr>
          <w:p w:rsidR="001F2586" w:rsidRPr="001F2586" w:rsidP="001F2586">
            <w:pPr>
              <w:spacing w:line="269" w:lineRule="auto"/>
              <w:jc w:val="left"/>
              <w:rPr>
                <w:rFonts w:eastAsia="Calibri"/>
                <w:sz w:val="18"/>
                <w:szCs w:val="22"/>
                <w:rtl/>
              </w:rPr>
            </w:pPr>
          </w:p>
        </w:tc>
      </w:tr>
    </w:tbl>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bookmarkStart w:id="53" w:name="_Hlk225073781"/>
      <w:bookmarkStart w:id="54" w:name="_Hlk214777312"/>
      <w:r w:rsidRPr="001F2586">
        <w:rPr>
          <w:rFonts w:eastAsia="Calibri" w:hint="cs"/>
          <w:b/>
          <w:bCs/>
          <w:rtl/>
        </w:rPr>
        <w:t xml:space="preserve">ברקע ההאטה בביקוש לדירות התעצמו מאמצי השיווק של קבלנים באמצעות מבצעי עידוד אגרסיביים משלהי שנת 2023. מבצעי עידוד שימשו כלי יעיל לקידום מכירות והנעת הפעילות בשוק וגילמו הנחות </w:t>
      </w:r>
      <w:r w:rsidRPr="001F2586">
        <w:rPr>
          <w:rFonts w:eastAsia="Calibri" w:hint="cs"/>
          <w:b/>
          <w:bCs/>
          <w:rtl/>
        </w:rPr>
        <w:t>מימוניות</w:t>
      </w:r>
      <w:r w:rsidRPr="001F2586">
        <w:rPr>
          <w:rFonts w:eastAsia="Calibri" w:hint="cs"/>
          <w:b/>
          <w:bCs/>
          <w:rtl/>
        </w:rPr>
        <w:t xml:space="preserve"> הנעות בטווח רחב של עשרות עד מאות אלפי ש"ח </w:t>
      </w:r>
      <w:r w:rsidRPr="001F2586">
        <w:rPr>
          <w:rFonts w:eastAsia="Calibri" w:hint="cs"/>
          <w:b/>
          <w:bCs/>
          <w:rtl/>
        </w:rPr>
        <w:t>לרוכשי</w:t>
      </w:r>
      <w:r w:rsidRPr="001F2586">
        <w:rPr>
          <w:rFonts w:eastAsia="Calibri" w:hint="cs"/>
          <w:b/>
          <w:bCs/>
          <w:rtl/>
        </w:rPr>
        <w:t xml:space="preserve"> הדירות, וזאת תוך הימנעות מהורדת מחירים. עם זאת, התעצמות מבצעי העידוד טומנת בחובה עלייה בסיכון לרוכשים, לקבלנים, ויתכן אף לאשראי שהעמידה המערכת הבנקאית. </w:t>
      </w:r>
      <w:bookmarkStart w:id="55" w:name="_Hlk225340117"/>
      <w:r w:rsidRPr="001F2586">
        <w:rPr>
          <w:rFonts w:eastAsia="Calibri" w:hint="eastAsia"/>
          <w:b/>
          <w:bCs/>
          <w:rtl/>
        </w:rPr>
        <w:t>כמו</w:t>
      </w:r>
      <w:r w:rsidRPr="001F2586">
        <w:rPr>
          <w:rFonts w:eastAsia="Calibri"/>
          <w:b/>
          <w:bCs/>
          <w:rtl/>
        </w:rPr>
        <w:t xml:space="preserve"> כן, </w:t>
      </w:r>
      <w:r w:rsidRPr="001F2586">
        <w:rPr>
          <w:rFonts w:eastAsia="Calibri" w:hint="eastAsia"/>
          <w:b/>
          <w:bCs/>
          <w:rtl/>
        </w:rPr>
        <w:t>למבצעי</w:t>
      </w:r>
      <w:r w:rsidRPr="001F2586">
        <w:rPr>
          <w:rFonts w:eastAsia="Calibri"/>
          <w:b/>
          <w:bCs/>
          <w:rtl/>
        </w:rPr>
        <w:t xml:space="preserve"> </w:t>
      </w:r>
      <w:r w:rsidRPr="001F2586">
        <w:rPr>
          <w:rFonts w:eastAsia="Calibri" w:hint="eastAsia"/>
          <w:b/>
          <w:bCs/>
          <w:rtl/>
        </w:rPr>
        <w:t>העידוד</w:t>
      </w:r>
      <w:r w:rsidRPr="001F2586">
        <w:rPr>
          <w:rFonts w:eastAsia="Calibri"/>
          <w:b/>
          <w:bCs/>
          <w:rtl/>
        </w:rPr>
        <w:t xml:space="preserve"> </w:t>
      </w:r>
      <w:r w:rsidRPr="001F2586">
        <w:rPr>
          <w:rFonts w:eastAsia="Calibri" w:hint="eastAsia"/>
          <w:b/>
          <w:bCs/>
          <w:rtl/>
        </w:rPr>
        <w:t>אף</w:t>
      </w:r>
      <w:r w:rsidRPr="001F2586">
        <w:rPr>
          <w:rFonts w:eastAsia="Calibri"/>
          <w:b/>
          <w:bCs/>
          <w:rtl/>
        </w:rPr>
        <w:t xml:space="preserve"> </w:t>
      </w:r>
      <w:r w:rsidRPr="001F2586">
        <w:rPr>
          <w:rFonts w:eastAsia="Calibri" w:hint="eastAsia"/>
          <w:b/>
          <w:bCs/>
          <w:rtl/>
        </w:rPr>
        <w:t>יכולות</w:t>
      </w:r>
      <w:r w:rsidRPr="001F2586">
        <w:rPr>
          <w:rFonts w:eastAsia="Calibri"/>
          <w:b/>
          <w:bCs/>
          <w:rtl/>
        </w:rPr>
        <w:t xml:space="preserve"> </w:t>
      </w:r>
      <w:r w:rsidRPr="001F2586">
        <w:rPr>
          <w:rFonts w:eastAsia="Calibri" w:hint="eastAsia"/>
          <w:b/>
          <w:bCs/>
          <w:rtl/>
        </w:rPr>
        <w:t>להיות</w:t>
      </w:r>
      <w:r w:rsidRPr="001F2586">
        <w:rPr>
          <w:rFonts w:eastAsia="Calibri"/>
          <w:b/>
          <w:bCs/>
          <w:rtl/>
        </w:rPr>
        <w:t xml:space="preserve"> השלכות מבחינ</w:t>
      </w:r>
      <w:r w:rsidRPr="001F2586">
        <w:rPr>
          <w:rFonts w:eastAsia="Calibri" w:hint="eastAsia"/>
          <w:b/>
          <w:bCs/>
          <w:rtl/>
        </w:rPr>
        <w:t>ת</w:t>
      </w:r>
      <w:r w:rsidRPr="001F2586">
        <w:rPr>
          <w:rFonts w:eastAsia="Calibri"/>
          <w:b/>
          <w:bCs/>
          <w:rtl/>
        </w:rPr>
        <w:t xml:space="preserve"> </w:t>
      </w:r>
      <w:r w:rsidRPr="001F2586">
        <w:rPr>
          <w:rFonts w:eastAsia="Calibri" w:hint="eastAsia"/>
          <w:b/>
          <w:bCs/>
          <w:rtl/>
        </w:rPr>
        <w:t>המיסוי</w:t>
      </w:r>
      <w:r w:rsidRPr="001F2586">
        <w:rPr>
          <w:rFonts w:eastAsia="Calibri"/>
          <w:b/>
          <w:bCs/>
          <w:rtl/>
        </w:rPr>
        <w:t xml:space="preserve"> לקבלנים ולרוכשים.</w:t>
      </w:r>
      <w:bookmarkEnd w:id="55"/>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המיסוי הישיר והעקיף נעשה מלכתחילה בפרקטיקה על העסקה המדווחת. ככל שהיו נבדקות כל העסקאות </w:t>
      </w:r>
      <w:r w:rsidRPr="001F2586">
        <w:rPr>
          <w:rFonts w:eastAsia="Calibri"/>
          <w:rtl/>
        </w:rPr>
        <w:t>שומתית</w:t>
      </w:r>
      <w:r w:rsidRPr="001F2586">
        <w:rPr>
          <w:rFonts w:eastAsia="Calibri"/>
          <w:rtl/>
        </w:rPr>
        <w:t xml:space="preserve"> ייתכן אכן שהיו מגלים ש</w:t>
      </w:r>
      <w:r w:rsidRPr="001F2586">
        <w:rPr>
          <w:rFonts w:eastAsia="Calibri" w:hint="cs"/>
          <w:rtl/>
        </w:rPr>
        <w:t>ה</w:t>
      </w:r>
      <w:r w:rsidRPr="001F2586">
        <w:rPr>
          <w:rFonts w:eastAsia="Calibri"/>
          <w:rtl/>
        </w:rPr>
        <w:t>שווי האמיתי של נכס שנמכר נמוך מהסכום שדווח שכן מבצע המימון מגלם הנחה במחיר, ומכך שהמיסוי (מס רכישה וכו</w:t>
      </w:r>
      <w:r w:rsidRPr="001F2586">
        <w:rPr>
          <w:rFonts w:eastAsia="Calibri" w:hint="cs"/>
          <w:rtl/>
        </w:rPr>
        <w:t>'</w:t>
      </w:r>
      <w:r w:rsidRPr="001F2586">
        <w:rPr>
          <w:rFonts w:eastAsia="Calibri"/>
          <w:rtl/>
        </w:rPr>
        <w:t xml:space="preserve">) היה אמור להיות מופחת. </w:t>
      </w:r>
      <w:r w:rsidRPr="001F2586">
        <w:rPr>
          <w:rFonts w:eastAsia="Calibri"/>
          <w:rtl/>
        </w:rPr>
        <w:t>אך אם הקבלן ייקר את סכום העסקה כדי לגלם בה את עלות המימון, הרשות מלכתחילה לא תדע על כך והמיסוי לכל הצדדים יחול על הסכום המדווח.</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נוכח</w:t>
      </w:r>
      <w:r w:rsidRPr="001F2586">
        <w:rPr>
          <w:rFonts w:eastAsia="Calibri"/>
          <w:b/>
          <w:bCs/>
          <w:rtl/>
        </w:rPr>
        <w:t xml:space="preserve"> </w:t>
      </w:r>
      <w:r w:rsidRPr="001F2586">
        <w:rPr>
          <w:rFonts w:eastAsia="Calibri" w:hint="eastAsia"/>
          <w:b/>
          <w:bCs/>
          <w:rtl/>
        </w:rPr>
        <w:t>ההשלכות</w:t>
      </w:r>
      <w:r w:rsidRPr="001F2586">
        <w:rPr>
          <w:rFonts w:eastAsia="Calibri"/>
          <w:b/>
          <w:bCs/>
          <w:rtl/>
        </w:rPr>
        <w:t xml:space="preserve"> </w:t>
      </w:r>
      <w:r w:rsidRPr="001F2586">
        <w:rPr>
          <w:rFonts w:eastAsia="Calibri" w:hint="eastAsia"/>
          <w:b/>
          <w:bCs/>
          <w:rtl/>
        </w:rPr>
        <w:t>הפוטנציאליות</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מבצעי</w:t>
      </w:r>
      <w:r w:rsidRPr="001F2586">
        <w:rPr>
          <w:rFonts w:eastAsia="Calibri"/>
          <w:b/>
          <w:bCs/>
          <w:rtl/>
        </w:rPr>
        <w:t xml:space="preserve"> </w:t>
      </w:r>
      <w:r w:rsidRPr="001F2586">
        <w:rPr>
          <w:rFonts w:eastAsia="Calibri" w:hint="eastAsia"/>
          <w:b/>
          <w:bCs/>
          <w:rtl/>
        </w:rPr>
        <w:t>העידוד</w:t>
      </w:r>
      <w:r w:rsidRPr="001F2586">
        <w:rPr>
          <w:rFonts w:eastAsia="Calibri"/>
          <w:b/>
          <w:bCs/>
          <w:rtl/>
        </w:rPr>
        <w:t xml:space="preserve"> </w:t>
      </w:r>
      <w:r w:rsidRPr="001F2586">
        <w:rPr>
          <w:rFonts w:eastAsia="Calibri" w:hint="eastAsia"/>
          <w:b/>
          <w:bCs/>
          <w:rtl/>
        </w:rPr>
        <w:t>מבחינת</w:t>
      </w:r>
      <w:r w:rsidRPr="001F2586">
        <w:rPr>
          <w:rFonts w:eastAsia="Calibri"/>
          <w:b/>
          <w:bCs/>
          <w:rtl/>
        </w:rPr>
        <w:t xml:space="preserve"> </w:t>
      </w:r>
      <w:r w:rsidRPr="001F2586">
        <w:rPr>
          <w:rFonts w:eastAsia="Calibri" w:hint="eastAsia"/>
          <w:b/>
          <w:bCs/>
          <w:rtl/>
        </w:rPr>
        <w:t>המיסוי</w:t>
      </w:r>
      <w:r w:rsidRPr="001F2586">
        <w:rPr>
          <w:rFonts w:eastAsia="Calibri"/>
          <w:b/>
          <w:bCs/>
          <w:rtl/>
        </w:rPr>
        <w:t xml:space="preserve"> </w:t>
      </w:r>
      <w:r w:rsidRPr="001F2586">
        <w:rPr>
          <w:rFonts w:eastAsia="Calibri" w:hint="eastAsia"/>
          <w:b/>
          <w:bCs/>
          <w:rtl/>
        </w:rPr>
        <w:t>מומלץ</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רשות</w:t>
      </w:r>
      <w:r w:rsidRPr="001F2586">
        <w:rPr>
          <w:rFonts w:eastAsia="Calibri"/>
          <w:b/>
          <w:bCs/>
          <w:rtl/>
        </w:rPr>
        <w:t xml:space="preserve"> המיסים </w:t>
      </w:r>
      <w:r w:rsidRPr="001F2586">
        <w:rPr>
          <w:rFonts w:eastAsia="Calibri" w:hint="eastAsia"/>
          <w:b/>
          <w:bCs/>
          <w:rtl/>
        </w:rPr>
        <w:t>תבחן</w:t>
      </w:r>
      <w:r w:rsidRPr="001F2586">
        <w:rPr>
          <w:rFonts w:eastAsia="Calibri"/>
          <w:b/>
          <w:bCs/>
          <w:rtl/>
        </w:rPr>
        <w:t xml:space="preserve"> את ההשלכות של מבצעי העידוד מבחינת </w:t>
      </w:r>
      <w:r w:rsidRPr="001F2586">
        <w:rPr>
          <w:rFonts w:eastAsia="Calibri" w:hint="eastAsia"/>
          <w:b/>
          <w:bCs/>
          <w:rtl/>
        </w:rPr>
        <w:t>מיסוי</w:t>
      </w:r>
      <w:r w:rsidRPr="001F2586">
        <w:rPr>
          <w:rFonts w:eastAsia="Calibri"/>
          <w:b/>
          <w:bCs/>
          <w:rtl/>
        </w:rPr>
        <w:t>.</w:t>
      </w:r>
    </w:p>
    <w:p w:rsidR="001F2586" w:rsidRPr="001F2586" w:rsidP="001F2586">
      <w:pPr>
        <w:spacing w:line="269" w:lineRule="auto"/>
        <w:rPr>
          <w:rFonts w:eastAsia="Calibri"/>
          <w:b/>
          <w:bCs/>
          <w:rtl/>
        </w:rPr>
      </w:pPr>
    </w:p>
    <w:bookmarkEnd w:id="53"/>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היקף מבצעי עידוד</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להיקף מבצעי העידוד השפעה על רמת הסיכון המתהווה בשוק מעבר לסיכונים העומדים לכל אחד מהגורמים הבודדים השותפים לעסקה מסוימת. אמידת היקף התופעה מהותית לצורך גיבוש צעדים פיקוחיים אפקטיביים ונכונים לגידור הסיכונים ובעיתוי הנכון.</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בסקירה שערך הפיקוח על הבנקים ביוני 2024 שהתבססה על דיווחי הבנקים הוערך כי לפחות מחצית מהעסקאות בחודשים הסמוכים לסקירה בוצעו עם הסדר של דחיית תשלומים משמעותית וכי בעסקאות נוספות בשוק המוערכות בטווח של 10% - 15% הועמדו הלוואות בסבסוד קבלנים. כלומר כ-60% מהעסקאות שבוצעו בחודשים הסמוכים ליוני 2024 כללו מבצעי עידוד הכוללים דחייה משמעותית בתשלומים. על פי הסקירה עידוד המכירות נעשה ככלל באמצעות מבצעי עידוד הכוללים דחייה משמעותית בתשלומים ולא באמצעות מתן הנחות ישירות במחיר הדירות, וזאת מתוך חשש של קבלנים שתיווצר דינמיקה של ירידת מחירים מתמשכת</w:t>
      </w:r>
      <w:r>
        <w:rPr>
          <w:rFonts w:eastAsia="Calibri"/>
          <w:vertAlign w:val="superscript"/>
          <w:rtl/>
        </w:rPr>
        <w:footnoteReference w:id="188"/>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ב-14.3.25 פרסמה </w:t>
      </w:r>
      <w:r w:rsidRPr="001F2586">
        <w:rPr>
          <w:rFonts w:eastAsia="Calibri" w:hint="cs"/>
          <w:rtl/>
        </w:rPr>
        <w:t>הלמ"ס</w:t>
      </w:r>
      <w:r w:rsidRPr="001F2586">
        <w:rPr>
          <w:rFonts w:eastAsia="Calibri" w:hint="cs"/>
          <w:rtl/>
        </w:rPr>
        <w:t xml:space="preserve"> בהודעה לתקשורת נספח בעניין בדיקות שנערכו על נתוני ההטבות במבצעי עידוד בהם קיימת הנחת מימון הנגזרת מדחייה משמעותית בתשלומים (20/80, 90/10 וכדומה)</w:t>
      </w:r>
      <w:r>
        <w:rPr>
          <w:rFonts w:eastAsia="Calibri"/>
          <w:vertAlign w:val="superscript"/>
          <w:rtl/>
        </w:rPr>
        <w:footnoteReference w:id="189"/>
      </w:r>
      <w:r w:rsidRPr="001F2586">
        <w:rPr>
          <w:rFonts w:eastAsia="Calibri" w:hint="cs"/>
          <w:rtl/>
        </w:rPr>
        <w:t xml:space="preserve">. ממצאי הבדיקות התבססו על נתונים שהתקבלו מרשות המסים בהתאם לדיווחי קבלנים אודות דירות חדשות שנמכרו עם הטבות מימון בחודשים נובמבר 2024 עד ינואר 2025. על פי ממצאי הבדיקה ניתנו בתקופה זו 1,734 הטבות מימון לדירות חדשות שנמכרו המהוות 14.4% מסך הדירות החדשות שנמכרו. הלוח להלן מציג את התפלגות הדירות החדשות שנמכרו עם הטבות מימון לפי מחוז בהתאם לממצאי הבדיקות שערכה </w:t>
      </w:r>
      <w:r w:rsidRPr="001F2586">
        <w:rPr>
          <w:rFonts w:eastAsia="Calibri" w:hint="cs"/>
          <w:rtl/>
        </w:rPr>
        <w:t>הלמ"ס</w:t>
      </w:r>
      <w:r w:rsidRPr="001F2586">
        <w:rPr>
          <w:rFonts w:eastAsia="Calibri" w:hint="cs"/>
          <w:rtl/>
        </w:rPr>
        <w:t>.</w:t>
      </w:r>
    </w:p>
    <w:p w:rsidR="001F2586" w:rsidRPr="001F2586" w:rsidP="001F2586">
      <w:pPr>
        <w:spacing w:line="269" w:lineRule="auto"/>
        <w:ind w:left="-567"/>
        <w:rPr>
          <w:rFonts w:eastAsia="Calibri"/>
          <w:szCs w:val="20"/>
          <w:rtl/>
        </w:rPr>
      </w:pPr>
    </w:p>
    <w:p w:rsidR="001F2586" w:rsidP="00507697">
      <w:pPr>
        <w:keepNext/>
        <w:keepLines/>
        <w:spacing w:line="269" w:lineRule="auto"/>
        <w:ind w:left="-2"/>
        <w:jc w:val="center"/>
        <w:outlineLvl w:val="4"/>
        <w:rPr>
          <w:rFonts w:eastAsia="Calibri"/>
          <w:bCs/>
          <w:sz w:val="24"/>
          <w:rtl/>
        </w:rPr>
      </w:pPr>
      <w:r w:rsidRPr="001F2586">
        <w:rPr>
          <w:rFonts w:eastAsia="Calibri" w:hint="cs"/>
          <w:b/>
          <w:sz w:val="24"/>
          <w:rtl/>
        </w:rPr>
        <w:t>לוח 6:</w:t>
      </w:r>
      <w:r w:rsidRPr="001F2586">
        <w:rPr>
          <w:rFonts w:eastAsia="Calibri" w:hint="cs"/>
          <w:bCs/>
          <w:sz w:val="24"/>
          <w:rtl/>
        </w:rPr>
        <w:t xml:space="preserve"> </w:t>
      </w:r>
      <w:r w:rsidRPr="001F2586">
        <w:rPr>
          <w:rFonts w:eastAsia="Calibri" w:hint="eastAsia"/>
          <w:bCs/>
          <w:sz w:val="24"/>
          <w:rtl/>
        </w:rPr>
        <w:t>סקירת</w:t>
      </w:r>
      <w:r w:rsidRPr="001F2586">
        <w:rPr>
          <w:rFonts w:eastAsia="Calibri"/>
          <w:bCs/>
          <w:sz w:val="24"/>
          <w:rtl/>
        </w:rPr>
        <w:t xml:space="preserve"> </w:t>
      </w:r>
      <w:r w:rsidRPr="001F2586">
        <w:rPr>
          <w:rFonts w:eastAsia="Calibri" w:hint="eastAsia"/>
          <w:bCs/>
          <w:sz w:val="24"/>
          <w:rtl/>
        </w:rPr>
        <w:t>הלמ</w:t>
      </w:r>
      <w:r w:rsidRPr="001F2586">
        <w:rPr>
          <w:rFonts w:eastAsia="Calibri"/>
          <w:bCs/>
          <w:sz w:val="24"/>
          <w:rtl/>
        </w:rPr>
        <w:t>"ס</w:t>
      </w:r>
      <w:r w:rsidRPr="001F2586">
        <w:rPr>
          <w:rFonts w:eastAsia="Calibri"/>
          <w:bCs/>
          <w:sz w:val="24"/>
          <w:rtl/>
        </w:rPr>
        <w:t xml:space="preserve"> </w:t>
      </w:r>
      <w:r w:rsidRPr="001F2586">
        <w:rPr>
          <w:rFonts w:eastAsia="Calibri" w:hint="eastAsia"/>
          <w:bCs/>
          <w:sz w:val="24"/>
          <w:rtl/>
        </w:rPr>
        <w:t>להתפלגות</w:t>
      </w:r>
      <w:r w:rsidRPr="001F2586">
        <w:rPr>
          <w:rFonts w:eastAsia="Calibri"/>
          <w:bCs/>
          <w:sz w:val="24"/>
          <w:rtl/>
        </w:rPr>
        <w:t xml:space="preserve"> הדירות החדשות שנמכרו עם </w:t>
      </w:r>
      <w:r w:rsidRPr="001F2586">
        <w:rPr>
          <w:rFonts w:eastAsia="Calibri" w:hint="eastAsia"/>
          <w:bCs/>
          <w:sz w:val="24"/>
          <w:rtl/>
        </w:rPr>
        <w:t>מבצעי</w:t>
      </w:r>
      <w:r w:rsidRPr="001F2586">
        <w:rPr>
          <w:rFonts w:eastAsia="Calibri"/>
          <w:bCs/>
          <w:sz w:val="24"/>
          <w:rtl/>
        </w:rPr>
        <w:t xml:space="preserve"> עידוד </w:t>
      </w:r>
      <w:r w:rsidRPr="001F2586">
        <w:rPr>
          <w:rFonts w:eastAsia="Calibri" w:hint="eastAsia"/>
          <w:bCs/>
          <w:sz w:val="24"/>
          <w:rtl/>
        </w:rPr>
        <w:t>הכוללים</w:t>
      </w:r>
      <w:r w:rsidRPr="001F2586">
        <w:rPr>
          <w:rFonts w:eastAsia="Calibri"/>
          <w:bCs/>
          <w:sz w:val="24"/>
          <w:rtl/>
        </w:rPr>
        <w:t xml:space="preserve"> הטבות מימון לפי מחוז</w:t>
      </w:r>
      <w:r w:rsidRPr="001F2586">
        <w:rPr>
          <w:rFonts w:eastAsia="Calibri" w:hint="cs"/>
          <w:bCs/>
          <w:sz w:val="24"/>
          <w:rtl/>
        </w:rPr>
        <w:t>,</w:t>
      </w:r>
      <w:r w:rsidRPr="001F2586">
        <w:rPr>
          <w:rFonts w:eastAsia="Calibri"/>
          <w:bCs/>
          <w:sz w:val="24"/>
          <w:rtl/>
        </w:rPr>
        <w:t xml:space="preserve"> </w:t>
      </w:r>
      <w:r w:rsidRPr="001F2586">
        <w:rPr>
          <w:rFonts w:eastAsia="Calibri" w:hint="eastAsia"/>
          <w:bCs/>
          <w:sz w:val="24"/>
          <w:rtl/>
        </w:rPr>
        <w:t>נובמבר</w:t>
      </w:r>
      <w:r w:rsidRPr="001F2586">
        <w:rPr>
          <w:rFonts w:eastAsia="Calibri"/>
          <w:bCs/>
          <w:sz w:val="24"/>
          <w:rtl/>
        </w:rPr>
        <w:t xml:space="preserve"> 2024 </w:t>
      </w:r>
      <w:r w:rsidRPr="001F2586">
        <w:rPr>
          <w:rFonts w:eastAsia="Calibri" w:hint="eastAsia"/>
          <w:bCs/>
          <w:sz w:val="24"/>
          <w:rtl/>
        </w:rPr>
        <w:t>עד</w:t>
      </w:r>
      <w:r w:rsidRPr="001F2586">
        <w:rPr>
          <w:rFonts w:eastAsia="Calibri"/>
          <w:bCs/>
          <w:sz w:val="24"/>
          <w:rtl/>
        </w:rPr>
        <w:t xml:space="preserve"> </w:t>
      </w:r>
      <w:r w:rsidRPr="001F2586">
        <w:rPr>
          <w:rFonts w:eastAsia="Calibri" w:hint="eastAsia"/>
          <w:bCs/>
          <w:sz w:val="24"/>
          <w:rtl/>
        </w:rPr>
        <w:t>ינואר</w:t>
      </w:r>
      <w:r w:rsidRPr="001F2586">
        <w:rPr>
          <w:rFonts w:eastAsia="Calibri"/>
          <w:bCs/>
          <w:sz w:val="24"/>
          <w:rtl/>
        </w:rPr>
        <w:t xml:space="preserve"> 2025</w:t>
      </w:r>
    </w:p>
    <w:p w:rsidR="000F32F8" w:rsidRPr="001F2586" w:rsidP="00507697">
      <w:pPr>
        <w:keepNext/>
        <w:keepLines/>
        <w:spacing w:line="269" w:lineRule="auto"/>
        <w:ind w:left="-2"/>
        <w:jc w:val="center"/>
        <w:outlineLvl w:val="4"/>
        <w:rPr>
          <w:rFonts w:eastAsia="Calibri"/>
          <w:bCs/>
          <w:sz w:val="24"/>
          <w:rtl/>
        </w:rPr>
      </w:pPr>
    </w:p>
    <w:tbl>
      <w:tblPr>
        <w:tblStyle w:val="310"/>
        <w:bidiVisual/>
        <w:tblW w:w="0" w:type="auto"/>
        <w:jc w:val="center"/>
        <w:tblLook w:val="04A0"/>
      </w:tblPr>
      <w:tblGrid>
        <w:gridCol w:w="1084"/>
        <w:gridCol w:w="911"/>
        <w:gridCol w:w="643"/>
        <w:gridCol w:w="740"/>
        <w:gridCol w:w="740"/>
        <w:gridCol w:w="1039"/>
        <w:gridCol w:w="740"/>
        <w:gridCol w:w="770"/>
      </w:tblGrid>
      <w:tr w:rsidTr="00EB64F7">
        <w:tblPrEx>
          <w:tblW w:w="0" w:type="auto"/>
          <w:tblLook w:val="04A0"/>
        </w:tblPrEx>
        <w:tc>
          <w:tcPr>
            <w:tcW w:w="1084" w:type="dxa"/>
          </w:tcPr>
          <w:p w:rsidR="001F2586" w:rsidRPr="001F2586" w:rsidP="001F2586">
            <w:pPr>
              <w:spacing w:line="269" w:lineRule="auto"/>
              <w:rPr>
                <w:rFonts w:eastAsia="Calibri"/>
                <w:szCs w:val="22"/>
                <w:rtl/>
              </w:rPr>
            </w:pPr>
          </w:p>
        </w:tc>
        <w:tc>
          <w:tcPr>
            <w:tcW w:w="911" w:type="dxa"/>
          </w:tcPr>
          <w:p w:rsidR="001F2586" w:rsidRPr="001F2586" w:rsidP="001F2586">
            <w:pPr>
              <w:spacing w:line="269" w:lineRule="auto"/>
              <w:jc w:val="center"/>
              <w:rPr>
                <w:rFonts w:eastAsia="Calibri"/>
                <w:szCs w:val="22"/>
                <w:rtl/>
              </w:rPr>
            </w:pPr>
            <w:r w:rsidRPr="001F2586">
              <w:rPr>
                <w:rFonts w:eastAsia="Calibri" w:hint="cs"/>
                <w:szCs w:val="22"/>
                <w:rtl/>
              </w:rPr>
              <w:t>ירושלים</w:t>
            </w:r>
          </w:p>
        </w:tc>
        <w:tc>
          <w:tcPr>
            <w:tcW w:w="643" w:type="dxa"/>
          </w:tcPr>
          <w:p w:rsidR="001F2586" w:rsidRPr="001F2586" w:rsidP="001F2586">
            <w:pPr>
              <w:spacing w:line="269" w:lineRule="auto"/>
              <w:jc w:val="center"/>
              <w:rPr>
                <w:rFonts w:eastAsia="Calibri"/>
                <w:szCs w:val="22"/>
                <w:rtl/>
              </w:rPr>
            </w:pPr>
            <w:r w:rsidRPr="001F2586">
              <w:rPr>
                <w:rFonts w:eastAsia="Calibri" w:hint="cs"/>
                <w:szCs w:val="22"/>
                <w:rtl/>
              </w:rPr>
              <w:t>צפון</w:t>
            </w:r>
          </w:p>
        </w:tc>
        <w:tc>
          <w:tcPr>
            <w:tcW w:w="740" w:type="dxa"/>
          </w:tcPr>
          <w:p w:rsidR="001F2586" w:rsidRPr="001F2586" w:rsidP="001F2586">
            <w:pPr>
              <w:spacing w:line="269" w:lineRule="auto"/>
              <w:jc w:val="center"/>
              <w:rPr>
                <w:rFonts w:eastAsia="Calibri"/>
                <w:szCs w:val="22"/>
                <w:rtl/>
              </w:rPr>
            </w:pPr>
            <w:r w:rsidRPr="001F2586">
              <w:rPr>
                <w:rFonts w:eastAsia="Calibri" w:hint="cs"/>
                <w:szCs w:val="22"/>
                <w:rtl/>
              </w:rPr>
              <w:t>חיפה</w:t>
            </w:r>
          </w:p>
        </w:tc>
        <w:tc>
          <w:tcPr>
            <w:tcW w:w="740" w:type="dxa"/>
          </w:tcPr>
          <w:p w:rsidR="001F2586" w:rsidRPr="001F2586" w:rsidP="001F2586">
            <w:pPr>
              <w:spacing w:line="269" w:lineRule="auto"/>
              <w:jc w:val="center"/>
              <w:rPr>
                <w:rFonts w:eastAsia="Calibri"/>
                <w:szCs w:val="22"/>
                <w:rtl/>
              </w:rPr>
            </w:pPr>
            <w:r w:rsidRPr="001F2586">
              <w:rPr>
                <w:rFonts w:eastAsia="Calibri" w:hint="cs"/>
                <w:szCs w:val="22"/>
                <w:rtl/>
              </w:rPr>
              <w:t>מרכז</w:t>
            </w:r>
          </w:p>
        </w:tc>
        <w:tc>
          <w:tcPr>
            <w:tcW w:w="1039" w:type="dxa"/>
          </w:tcPr>
          <w:p w:rsidR="001F2586" w:rsidRPr="001F2586" w:rsidP="001F2586">
            <w:pPr>
              <w:spacing w:line="269" w:lineRule="auto"/>
              <w:jc w:val="center"/>
              <w:rPr>
                <w:rFonts w:eastAsia="Calibri"/>
                <w:szCs w:val="22"/>
                <w:rtl/>
              </w:rPr>
            </w:pPr>
            <w:r w:rsidRPr="001F2586">
              <w:rPr>
                <w:rFonts w:eastAsia="Calibri" w:hint="cs"/>
                <w:szCs w:val="22"/>
                <w:rtl/>
              </w:rPr>
              <w:t>תל-אביב</w:t>
            </w:r>
          </w:p>
        </w:tc>
        <w:tc>
          <w:tcPr>
            <w:tcW w:w="740" w:type="dxa"/>
          </w:tcPr>
          <w:p w:rsidR="001F2586" w:rsidRPr="001F2586" w:rsidP="001F2586">
            <w:pPr>
              <w:spacing w:line="269" w:lineRule="auto"/>
              <w:jc w:val="center"/>
              <w:rPr>
                <w:rFonts w:eastAsia="Calibri"/>
                <w:szCs w:val="22"/>
                <w:rtl/>
              </w:rPr>
            </w:pPr>
            <w:r w:rsidRPr="001F2586">
              <w:rPr>
                <w:rFonts w:eastAsia="Calibri" w:hint="cs"/>
                <w:szCs w:val="22"/>
                <w:rtl/>
              </w:rPr>
              <w:t>דרום</w:t>
            </w:r>
          </w:p>
        </w:tc>
        <w:tc>
          <w:tcPr>
            <w:tcW w:w="770" w:type="dxa"/>
          </w:tcPr>
          <w:p w:rsidR="001F2586" w:rsidRPr="001F2586" w:rsidP="001F2586">
            <w:pPr>
              <w:spacing w:line="269" w:lineRule="auto"/>
              <w:jc w:val="center"/>
              <w:rPr>
                <w:rFonts w:eastAsia="Calibri"/>
                <w:szCs w:val="22"/>
                <w:rtl/>
              </w:rPr>
            </w:pPr>
            <w:r w:rsidRPr="001F2586">
              <w:rPr>
                <w:rFonts w:eastAsia="Calibri" w:hint="cs"/>
                <w:szCs w:val="22"/>
                <w:rtl/>
              </w:rPr>
              <w:t>סה"כ*</w:t>
            </w:r>
          </w:p>
        </w:tc>
      </w:tr>
      <w:tr w:rsidTr="001F2586">
        <w:tblPrEx>
          <w:tblW w:w="0" w:type="auto"/>
          <w:tblLook w:val="04A0"/>
        </w:tblPrEx>
        <w:tc>
          <w:tcPr>
            <w:tcW w:w="1084" w:type="dxa"/>
          </w:tcPr>
          <w:p w:rsidR="001F2586" w:rsidRPr="001F2586" w:rsidP="001F2586">
            <w:pPr>
              <w:spacing w:line="269" w:lineRule="auto"/>
              <w:jc w:val="left"/>
              <w:rPr>
                <w:rFonts w:eastAsia="Calibri"/>
                <w:szCs w:val="22"/>
                <w:rtl/>
              </w:rPr>
            </w:pPr>
            <w:r w:rsidRPr="001F2586">
              <w:rPr>
                <w:rFonts w:eastAsia="Calibri" w:hint="eastAsia"/>
                <w:szCs w:val="22"/>
                <w:rtl/>
              </w:rPr>
              <w:t>נובמבר</w:t>
            </w:r>
            <w:r w:rsidRPr="001F2586">
              <w:rPr>
                <w:rFonts w:eastAsia="Calibri"/>
                <w:szCs w:val="22"/>
                <w:rtl/>
              </w:rPr>
              <w:t xml:space="preserve"> 24</w:t>
            </w:r>
          </w:p>
        </w:tc>
        <w:tc>
          <w:tcPr>
            <w:tcW w:w="911" w:type="dxa"/>
          </w:tcPr>
          <w:p w:rsidR="001F2586" w:rsidRPr="001F2586" w:rsidP="001F2586">
            <w:pPr>
              <w:spacing w:line="269" w:lineRule="auto"/>
              <w:jc w:val="left"/>
              <w:rPr>
                <w:rFonts w:eastAsia="Calibri"/>
                <w:szCs w:val="22"/>
                <w:rtl/>
              </w:rPr>
            </w:pPr>
            <w:r w:rsidRPr="001F2586">
              <w:rPr>
                <w:rFonts w:eastAsia="Calibri" w:hint="cs"/>
                <w:szCs w:val="22"/>
                <w:rtl/>
              </w:rPr>
              <w:t>41</w:t>
            </w:r>
          </w:p>
        </w:tc>
        <w:tc>
          <w:tcPr>
            <w:tcW w:w="643" w:type="dxa"/>
          </w:tcPr>
          <w:p w:rsidR="001F2586" w:rsidRPr="001F2586" w:rsidP="001F2586">
            <w:pPr>
              <w:spacing w:line="269" w:lineRule="auto"/>
              <w:jc w:val="left"/>
              <w:rPr>
                <w:rFonts w:eastAsia="Calibri"/>
                <w:szCs w:val="22"/>
                <w:rtl/>
              </w:rPr>
            </w:pPr>
            <w:r w:rsidRPr="001F2586">
              <w:rPr>
                <w:rFonts w:eastAsia="Calibri" w:hint="cs"/>
                <w:szCs w:val="22"/>
                <w:rtl/>
              </w:rPr>
              <w:t>2</w:t>
            </w:r>
          </w:p>
        </w:tc>
        <w:tc>
          <w:tcPr>
            <w:tcW w:w="740" w:type="dxa"/>
          </w:tcPr>
          <w:p w:rsidR="001F2586" w:rsidRPr="001F2586" w:rsidP="001F2586">
            <w:pPr>
              <w:spacing w:line="269" w:lineRule="auto"/>
              <w:jc w:val="left"/>
              <w:rPr>
                <w:rFonts w:eastAsia="Calibri"/>
                <w:szCs w:val="22"/>
                <w:rtl/>
              </w:rPr>
            </w:pPr>
            <w:r w:rsidRPr="001F2586">
              <w:rPr>
                <w:rFonts w:eastAsia="Calibri" w:hint="cs"/>
                <w:szCs w:val="22"/>
                <w:rtl/>
              </w:rPr>
              <w:t>74</w:t>
            </w:r>
          </w:p>
        </w:tc>
        <w:tc>
          <w:tcPr>
            <w:tcW w:w="740" w:type="dxa"/>
          </w:tcPr>
          <w:p w:rsidR="001F2586" w:rsidRPr="001F2586" w:rsidP="001F2586">
            <w:pPr>
              <w:spacing w:line="269" w:lineRule="auto"/>
              <w:jc w:val="left"/>
              <w:rPr>
                <w:rFonts w:eastAsia="Calibri"/>
                <w:szCs w:val="22"/>
                <w:rtl/>
              </w:rPr>
            </w:pPr>
            <w:r w:rsidRPr="001F2586">
              <w:rPr>
                <w:rFonts w:eastAsia="Calibri" w:hint="cs"/>
                <w:szCs w:val="22"/>
                <w:rtl/>
              </w:rPr>
              <w:t>99</w:t>
            </w:r>
          </w:p>
        </w:tc>
        <w:tc>
          <w:tcPr>
            <w:tcW w:w="1039" w:type="dxa"/>
          </w:tcPr>
          <w:p w:rsidR="001F2586" w:rsidRPr="001F2586" w:rsidP="001F2586">
            <w:pPr>
              <w:spacing w:line="269" w:lineRule="auto"/>
              <w:jc w:val="left"/>
              <w:rPr>
                <w:rFonts w:eastAsia="Calibri"/>
                <w:szCs w:val="22"/>
                <w:rtl/>
              </w:rPr>
            </w:pPr>
            <w:r w:rsidRPr="001F2586">
              <w:rPr>
                <w:rFonts w:eastAsia="Calibri" w:hint="cs"/>
                <w:szCs w:val="22"/>
                <w:rtl/>
              </w:rPr>
              <w:t>79</w:t>
            </w:r>
          </w:p>
        </w:tc>
        <w:tc>
          <w:tcPr>
            <w:tcW w:w="740" w:type="dxa"/>
          </w:tcPr>
          <w:p w:rsidR="001F2586" w:rsidRPr="001F2586" w:rsidP="001F2586">
            <w:pPr>
              <w:spacing w:line="269" w:lineRule="auto"/>
              <w:jc w:val="left"/>
              <w:rPr>
                <w:rFonts w:eastAsia="Calibri"/>
                <w:szCs w:val="22"/>
                <w:rtl/>
              </w:rPr>
            </w:pPr>
            <w:r w:rsidRPr="001F2586">
              <w:rPr>
                <w:rFonts w:eastAsia="Calibri" w:hint="cs"/>
                <w:szCs w:val="22"/>
                <w:rtl/>
              </w:rPr>
              <w:t>98</w:t>
            </w:r>
          </w:p>
        </w:tc>
        <w:tc>
          <w:tcPr>
            <w:tcW w:w="770" w:type="dxa"/>
          </w:tcPr>
          <w:p w:rsidR="001F2586" w:rsidRPr="001F2586" w:rsidP="001F2586">
            <w:pPr>
              <w:spacing w:line="269" w:lineRule="auto"/>
              <w:jc w:val="left"/>
              <w:rPr>
                <w:rFonts w:eastAsia="Calibri"/>
                <w:szCs w:val="22"/>
                <w:rtl/>
              </w:rPr>
            </w:pPr>
            <w:r w:rsidRPr="001F2586">
              <w:rPr>
                <w:rFonts w:eastAsia="Calibri" w:hint="cs"/>
                <w:szCs w:val="22"/>
                <w:rtl/>
              </w:rPr>
              <w:t>397</w:t>
            </w:r>
          </w:p>
        </w:tc>
      </w:tr>
      <w:tr w:rsidTr="00EB64F7">
        <w:tblPrEx>
          <w:tblW w:w="0" w:type="auto"/>
          <w:tblLook w:val="04A0"/>
        </w:tblPrEx>
        <w:tc>
          <w:tcPr>
            <w:tcW w:w="1084" w:type="dxa"/>
          </w:tcPr>
          <w:p w:rsidR="001F2586" w:rsidRPr="001F2586" w:rsidP="001F2586">
            <w:pPr>
              <w:spacing w:line="269" w:lineRule="auto"/>
              <w:jc w:val="left"/>
              <w:rPr>
                <w:rFonts w:eastAsia="Calibri"/>
                <w:szCs w:val="22"/>
                <w:rtl/>
              </w:rPr>
            </w:pPr>
            <w:r w:rsidRPr="001F2586">
              <w:rPr>
                <w:rFonts w:eastAsia="Calibri" w:hint="cs"/>
                <w:szCs w:val="22"/>
                <w:rtl/>
              </w:rPr>
              <w:t>דצמבר 24</w:t>
            </w:r>
          </w:p>
        </w:tc>
        <w:tc>
          <w:tcPr>
            <w:tcW w:w="911" w:type="dxa"/>
          </w:tcPr>
          <w:p w:rsidR="001F2586" w:rsidRPr="001F2586" w:rsidP="001F2586">
            <w:pPr>
              <w:spacing w:line="269" w:lineRule="auto"/>
              <w:jc w:val="left"/>
              <w:rPr>
                <w:rFonts w:eastAsia="Calibri"/>
                <w:szCs w:val="22"/>
                <w:rtl/>
              </w:rPr>
            </w:pPr>
            <w:r w:rsidRPr="001F2586">
              <w:rPr>
                <w:rFonts w:eastAsia="Calibri" w:hint="cs"/>
                <w:szCs w:val="22"/>
                <w:rtl/>
              </w:rPr>
              <w:t>96</w:t>
            </w:r>
          </w:p>
        </w:tc>
        <w:tc>
          <w:tcPr>
            <w:tcW w:w="643" w:type="dxa"/>
          </w:tcPr>
          <w:p w:rsidR="001F2586" w:rsidRPr="001F2586" w:rsidP="001F2586">
            <w:pPr>
              <w:spacing w:line="269" w:lineRule="auto"/>
              <w:jc w:val="left"/>
              <w:rPr>
                <w:rFonts w:eastAsia="Calibri"/>
                <w:szCs w:val="22"/>
                <w:rtl/>
              </w:rPr>
            </w:pPr>
            <w:r w:rsidRPr="001F2586">
              <w:rPr>
                <w:rFonts w:eastAsia="Calibri" w:hint="cs"/>
                <w:szCs w:val="22"/>
                <w:rtl/>
              </w:rPr>
              <w:t>43</w:t>
            </w:r>
          </w:p>
        </w:tc>
        <w:tc>
          <w:tcPr>
            <w:tcW w:w="740" w:type="dxa"/>
          </w:tcPr>
          <w:p w:rsidR="001F2586" w:rsidRPr="001F2586" w:rsidP="001F2586">
            <w:pPr>
              <w:spacing w:line="269" w:lineRule="auto"/>
              <w:jc w:val="left"/>
              <w:rPr>
                <w:rFonts w:eastAsia="Calibri"/>
                <w:szCs w:val="22"/>
                <w:rtl/>
              </w:rPr>
            </w:pPr>
            <w:r w:rsidRPr="001F2586">
              <w:rPr>
                <w:rFonts w:eastAsia="Calibri" w:hint="cs"/>
                <w:szCs w:val="22"/>
                <w:rtl/>
              </w:rPr>
              <w:t>118</w:t>
            </w:r>
          </w:p>
        </w:tc>
        <w:tc>
          <w:tcPr>
            <w:tcW w:w="740" w:type="dxa"/>
          </w:tcPr>
          <w:p w:rsidR="001F2586" w:rsidRPr="001F2586" w:rsidP="001F2586">
            <w:pPr>
              <w:spacing w:line="269" w:lineRule="auto"/>
              <w:jc w:val="left"/>
              <w:rPr>
                <w:rFonts w:eastAsia="Calibri"/>
                <w:szCs w:val="22"/>
                <w:rtl/>
              </w:rPr>
            </w:pPr>
            <w:r w:rsidRPr="001F2586">
              <w:rPr>
                <w:rFonts w:eastAsia="Calibri" w:hint="cs"/>
                <w:szCs w:val="22"/>
                <w:rtl/>
              </w:rPr>
              <w:t>283</w:t>
            </w:r>
          </w:p>
        </w:tc>
        <w:tc>
          <w:tcPr>
            <w:tcW w:w="1039" w:type="dxa"/>
          </w:tcPr>
          <w:p w:rsidR="001F2586" w:rsidRPr="001F2586" w:rsidP="001F2586">
            <w:pPr>
              <w:spacing w:line="269" w:lineRule="auto"/>
              <w:jc w:val="left"/>
              <w:rPr>
                <w:rFonts w:eastAsia="Calibri"/>
                <w:szCs w:val="22"/>
                <w:rtl/>
              </w:rPr>
            </w:pPr>
            <w:r w:rsidRPr="001F2586">
              <w:rPr>
                <w:rFonts w:eastAsia="Calibri" w:hint="cs"/>
                <w:szCs w:val="22"/>
                <w:rtl/>
              </w:rPr>
              <w:t>207</w:t>
            </w:r>
          </w:p>
        </w:tc>
        <w:tc>
          <w:tcPr>
            <w:tcW w:w="740" w:type="dxa"/>
          </w:tcPr>
          <w:p w:rsidR="001F2586" w:rsidRPr="001F2586" w:rsidP="001F2586">
            <w:pPr>
              <w:spacing w:line="269" w:lineRule="auto"/>
              <w:jc w:val="left"/>
              <w:rPr>
                <w:rFonts w:eastAsia="Calibri"/>
                <w:szCs w:val="22"/>
                <w:rtl/>
              </w:rPr>
            </w:pPr>
            <w:r w:rsidRPr="001F2586">
              <w:rPr>
                <w:rFonts w:eastAsia="Calibri" w:hint="cs"/>
                <w:szCs w:val="22"/>
                <w:rtl/>
              </w:rPr>
              <w:t>261</w:t>
            </w:r>
          </w:p>
        </w:tc>
        <w:tc>
          <w:tcPr>
            <w:tcW w:w="770" w:type="dxa"/>
          </w:tcPr>
          <w:p w:rsidR="001F2586" w:rsidRPr="001F2586" w:rsidP="001F2586">
            <w:pPr>
              <w:spacing w:line="269" w:lineRule="auto"/>
              <w:jc w:val="left"/>
              <w:rPr>
                <w:rFonts w:eastAsia="Calibri"/>
                <w:szCs w:val="22"/>
                <w:rtl/>
              </w:rPr>
            </w:pPr>
            <w:r w:rsidRPr="001F2586">
              <w:rPr>
                <w:rFonts w:eastAsia="Calibri" w:hint="cs"/>
                <w:szCs w:val="22"/>
                <w:rtl/>
              </w:rPr>
              <w:t>1,012</w:t>
            </w:r>
          </w:p>
        </w:tc>
      </w:tr>
      <w:tr w:rsidTr="001F2586">
        <w:tblPrEx>
          <w:tblW w:w="0" w:type="auto"/>
          <w:tblLook w:val="04A0"/>
        </w:tblPrEx>
        <w:tc>
          <w:tcPr>
            <w:tcW w:w="1084" w:type="dxa"/>
          </w:tcPr>
          <w:p w:rsidR="001F2586" w:rsidRPr="001F2586" w:rsidP="001F2586">
            <w:pPr>
              <w:spacing w:line="269" w:lineRule="auto"/>
              <w:jc w:val="left"/>
              <w:rPr>
                <w:rFonts w:eastAsia="Calibri"/>
                <w:szCs w:val="22"/>
                <w:rtl/>
              </w:rPr>
            </w:pPr>
            <w:r w:rsidRPr="001F2586">
              <w:rPr>
                <w:rFonts w:eastAsia="Calibri" w:hint="cs"/>
                <w:szCs w:val="22"/>
                <w:rtl/>
              </w:rPr>
              <w:t>ינואר 25</w:t>
            </w:r>
          </w:p>
        </w:tc>
        <w:tc>
          <w:tcPr>
            <w:tcW w:w="911" w:type="dxa"/>
          </w:tcPr>
          <w:p w:rsidR="001F2586" w:rsidRPr="001F2586" w:rsidP="001F2586">
            <w:pPr>
              <w:spacing w:line="269" w:lineRule="auto"/>
              <w:jc w:val="left"/>
              <w:rPr>
                <w:rFonts w:eastAsia="Calibri"/>
                <w:szCs w:val="22"/>
                <w:rtl/>
              </w:rPr>
            </w:pPr>
            <w:r w:rsidRPr="001F2586">
              <w:rPr>
                <w:rFonts w:eastAsia="Calibri" w:hint="cs"/>
                <w:szCs w:val="22"/>
                <w:rtl/>
              </w:rPr>
              <w:t>16</w:t>
            </w:r>
          </w:p>
        </w:tc>
        <w:tc>
          <w:tcPr>
            <w:tcW w:w="643" w:type="dxa"/>
          </w:tcPr>
          <w:p w:rsidR="001F2586" w:rsidRPr="001F2586" w:rsidP="001F2586">
            <w:pPr>
              <w:spacing w:line="269" w:lineRule="auto"/>
              <w:jc w:val="left"/>
              <w:rPr>
                <w:rFonts w:eastAsia="Calibri"/>
                <w:szCs w:val="22"/>
                <w:rtl/>
              </w:rPr>
            </w:pPr>
            <w:r w:rsidRPr="001F2586">
              <w:rPr>
                <w:rFonts w:eastAsia="Calibri" w:hint="cs"/>
                <w:szCs w:val="22"/>
                <w:rtl/>
              </w:rPr>
              <w:t>29</w:t>
            </w:r>
          </w:p>
        </w:tc>
        <w:tc>
          <w:tcPr>
            <w:tcW w:w="740" w:type="dxa"/>
          </w:tcPr>
          <w:p w:rsidR="001F2586" w:rsidRPr="001F2586" w:rsidP="001F2586">
            <w:pPr>
              <w:spacing w:line="269" w:lineRule="auto"/>
              <w:jc w:val="left"/>
              <w:rPr>
                <w:rFonts w:eastAsia="Calibri"/>
                <w:szCs w:val="22"/>
                <w:rtl/>
              </w:rPr>
            </w:pPr>
            <w:r w:rsidRPr="001F2586">
              <w:rPr>
                <w:rFonts w:eastAsia="Calibri" w:hint="cs"/>
                <w:szCs w:val="22"/>
                <w:rtl/>
              </w:rPr>
              <w:t>26</w:t>
            </w:r>
          </w:p>
        </w:tc>
        <w:tc>
          <w:tcPr>
            <w:tcW w:w="740" w:type="dxa"/>
          </w:tcPr>
          <w:p w:rsidR="001F2586" w:rsidRPr="001F2586" w:rsidP="001F2586">
            <w:pPr>
              <w:spacing w:line="269" w:lineRule="auto"/>
              <w:jc w:val="left"/>
              <w:rPr>
                <w:rFonts w:eastAsia="Calibri"/>
                <w:szCs w:val="22"/>
                <w:rtl/>
              </w:rPr>
            </w:pPr>
            <w:r w:rsidRPr="001F2586">
              <w:rPr>
                <w:rFonts w:eastAsia="Calibri" w:hint="cs"/>
                <w:szCs w:val="22"/>
                <w:rtl/>
              </w:rPr>
              <w:t>83</w:t>
            </w:r>
          </w:p>
        </w:tc>
        <w:tc>
          <w:tcPr>
            <w:tcW w:w="1039" w:type="dxa"/>
          </w:tcPr>
          <w:p w:rsidR="001F2586" w:rsidRPr="001F2586" w:rsidP="001F2586">
            <w:pPr>
              <w:spacing w:line="269" w:lineRule="auto"/>
              <w:jc w:val="left"/>
              <w:rPr>
                <w:rFonts w:eastAsia="Calibri"/>
                <w:szCs w:val="22"/>
                <w:rtl/>
              </w:rPr>
            </w:pPr>
            <w:r w:rsidRPr="001F2586">
              <w:rPr>
                <w:rFonts w:eastAsia="Calibri" w:hint="cs"/>
                <w:szCs w:val="22"/>
                <w:rtl/>
              </w:rPr>
              <w:t>72</w:t>
            </w:r>
          </w:p>
        </w:tc>
        <w:tc>
          <w:tcPr>
            <w:tcW w:w="740" w:type="dxa"/>
          </w:tcPr>
          <w:p w:rsidR="001F2586" w:rsidRPr="001F2586" w:rsidP="001F2586">
            <w:pPr>
              <w:spacing w:line="269" w:lineRule="auto"/>
              <w:jc w:val="left"/>
              <w:rPr>
                <w:rFonts w:eastAsia="Calibri"/>
                <w:szCs w:val="22"/>
                <w:rtl/>
              </w:rPr>
            </w:pPr>
            <w:r w:rsidRPr="001F2586">
              <w:rPr>
                <w:rFonts w:eastAsia="Calibri" w:hint="cs"/>
                <w:szCs w:val="22"/>
                <w:rtl/>
              </w:rPr>
              <w:t>97</w:t>
            </w:r>
          </w:p>
        </w:tc>
        <w:tc>
          <w:tcPr>
            <w:tcW w:w="770" w:type="dxa"/>
          </w:tcPr>
          <w:p w:rsidR="001F2586" w:rsidRPr="001F2586" w:rsidP="001F2586">
            <w:pPr>
              <w:spacing w:line="269" w:lineRule="auto"/>
              <w:jc w:val="left"/>
              <w:rPr>
                <w:rFonts w:eastAsia="Calibri"/>
                <w:szCs w:val="22"/>
                <w:rtl/>
              </w:rPr>
            </w:pPr>
            <w:r w:rsidRPr="001F2586">
              <w:rPr>
                <w:rFonts w:eastAsia="Calibri" w:hint="cs"/>
                <w:szCs w:val="22"/>
                <w:rtl/>
              </w:rPr>
              <w:t>325</w:t>
            </w:r>
          </w:p>
        </w:tc>
      </w:tr>
      <w:tr w:rsidTr="00EB64F7">
        <w:tblPrEx>
          <w:tblW w:w="0" w:type="auto"/>
          <w:tblLook w:val="04A0"/>
        </w:tblPrEx>
        <w:tc>
          <w:tcPr>
            <w:tcW w:w="1084" w:type="dxa"/>
          </w:tcPr>
          <w:p w:rsidR="001F2586" w:rsidRPr="001F2586" w:rsidP="001F2586">
            <w:pPr>
              <w:spacing w:line="269" w:lineRule="auto"/>
              <w:jc w:val="left"/>
              <w:rPr>
                <w:rFonts w:eastAsia="Calibri"/>
                <w:szCs w:val="22"/>
                <w:rtl/>
              </w:rPr>
            </w:pPr>
            <w:r w:rsidRPr="001F2586">
              <w:rPr>
                <w:rFonts w:eastAsia="Calibri" w:hint="cs"/>
                <w:szCs w:val="22"/>
                <w:rtl/>
              </w:rPr>
              <w:t>סה"כ</w:t>
            </w:r>
          </w:p>
        </w:tc>
        <w:tc>
          <w:tcPr>
            <w:tcW w:w="911" w:type="dxa"/>
          </w:tcPr>
          <w:p w:rsidR="001F2586" w:rsidRPr="001F2586" w:rsidP="001F2586">
            <w:pPr>
              <w:spacing w:line="269" w:lineRule="auto"/>
              <w:jc w:val="left"/>
              <w:rPr>
                <w:rFonts w:eastAsia="Calibri"/>
                <w:b/>
                <w:bCs/>
                <w:szCs w:val="22"/>
                <w:rtl/>
              </w:rPr>
            </w:pPr>
            <w:r w:rsidRPr="001F2586">
              <w:rPr>
                <w:rFonts w:eastAsia="Calibri"/>
                <w:b/>
                <w:bCs/>
                <w:szCs w:val="22"/>
                <w:rtl/>
              </w:rPr>
              <w:t>153</w:t>
            </w:r>
          </w:p>
          <w:p w:rsidR="001F2586" w:rsidRPr="001F2586" w:rsidP="001F2586">
            <w:pPr>
              <w:spacing w:line="269" w:lineRule="auto"/>
              <w:jc w:val="left"/>
              <w:rPr>
                <w:rFonts w:eastAsia="Calibri"/>
                <w:b/>
                <w:bCs/>
                <w:szCs w:val="22"/>
                <w:rtl/>
              </w:rPr>
            </w:pPr>
            <w:r w:rsidRPr="001F2586">
              <w:rPr>
                <w:rFonts w:eastAsia="Calibri"/>
                <w:b/>
                <w:bCs/>
                <w:szCs w:val="22"/>
                <w:rtl/>
              </w:rPr>
              <w:t>8.8%</w:t>
            </w:r>
          </w:p>
        </w:tc>
        <w:tc>
          <w:tcPr>
            <w:tcW w:w="643" w:type="dxa"/>
          </w:tcPr>
          <w:p w:rsidR="001F2586" w:rsidRPr="001F2586" w:rsidP="001F2586">
            <w:pPr>
              <w:spacing w:line="269" w:lineRule="auto"/>
              <w:jc w:val="left"/>
              <w:rPr>
                <w:rFonts w:eastAsia="Calibri"/>
                <w:b/>
                <w:bCs/>
                <w:szCs w:val="22"/>
                <w:rtl/>
              </w:rPr>
            </w:pPr>
            <w:r w:rsidRPr="001F2586">
              <w:rPr>
                <w:rFonts w:eastAsia="Calibri"/>
                <w:b/>
                <w:bCs/>
                <w:szCs w:val="22"/>
                <w:rtl/>
              </w:rPr>
              <w:t>74</w:t>
            </w:r>
          </w:p>
          <w:p w:rsidR="001F2586" w:rsidRPr="001F2586" w:rsidP="001F2586">
            <w:pPr>
              <w:spacing w:line="269" w:lineRule="auto"/>
              <w:jc w:val="left"/>
              <w:rPr>
                <w:rFonts w:eastAsia="Calibri"/>
                <w:b/>
                <w:bCs/>
                <w:szCs w:val="22"/>
                <w:rtl/>
              </w:rPr>
            </w:pPr>
            <w:r w:rsidRPr="001F2586">
              <w:rPr>
                <w:rFonts w:eastAsia="Calibri"/>
                <w:b/>
                <w:bCs/>
                <w:szCs w:val="22"/>
                <w:rtl/>
              </w:rPr>
              <w:t>4.3%</w:t>
            </w:r>
          </w:p>
        </w:tc>
        <w:tc>
          <w:tcPr>
            <w:tcW w:w="740" w:type="dxa"/>
          </w:tcPr>
          <w:p w:rsidR="001F2586" w:rsidRPr="001F2586" w:rsidP="001F2586">
            <w:pPr>
              <w:spacing w:line="269" w:lineRule="auto"/>
              <w:jc w:val="left"/>
              <w:rPr>
                <w:rFonts w:eastAsia="Calibri"/>
                <w:b/>
                <w:bCs/>
                <w:szCs w:val="22"/>
                <w:rtl/>
              </w:rPr>
            </w:pPr>
            <w:r w:rsidRPr="001F2586">
              <w:rPr>
                <w:rFonts w:eastAsia="Calibri"/>
                <w:b/>
                <w:bCs/>
                <w:szCs w:val="22"/>
                <w:rtl/>
              </w:rPr>
              <w:t>218</w:t>
            </w:r>
          </w:p>
          <w:p w:rsidR="001F2586" w:rsidRPr="001F2586" w:rsidP="001F2586">
            <w:pPr>
              <w:spacing w:line="269" w:lineRule="auto"/>
              <w:jc w:val="left"/>
              <w:rPr>
                <w:rFonts w:eastAsia="Calibri"/>
                <w:b/>
                <w:bCs/>
                <w:szCs w:val="22"/>
                <w:rtl/>
              </w:rPr>
            </w:pPr>
            <w:r w:rsidRPr="001F2586">
              <w:rPr>
                <w:rFonts w:eastAsia="Calibri"/>
                <w:b/>
                <w:bCs/>
                <w:szCs w:val="22"/>
                <w:rtl/>
              </w:rPr>
              <w:t>12.6%</w:t>
            </w:r>
          </w:p>
        </w:tc>
        <w:tc>
          <w:tcPr>
            <w:tcW w:w="740" w:type="dxa"/>
          </w:tcPr>
          <w:p w:rsidR="001F2586" w:rsidRPr="001F2586" w:rsidP="001F2586">
            <w:pPr>
              <w:spacing w:line="269" w:lineRule="auto"/>
              <w:jc w:val="left"/>
              <w:rPr>
                <w:rFonts w:eastAsia="Calibri"/>
                <w:b/>
                <w:bCs/>
                <w:szCs w:val="22"/>
                <w:rtl/>
              </w:rPr>
            </w:pPr>
            <w:r w:rsidRPr="001F2586">
              <w:rPr>
                <w:rFonts w:eastAsia="Calibri"/>
                <w:b/>
                <w:bCs/>
                <w:szCs w:val="22"/>
                <w:rtl/>
              </w:rPr>
              <w:t>465</w:t>
            </w:r>
          </w:p>
          <w:p w:rsidR="001F2586" w:rsidRPr="001F2586" w:rsidP="001F2586">
            <w:pPr>
              <w:spacing w:line="269" w:lineRule="auto"/>
              <w:jc w:val="left"/>
              <w:rPr>
                <w:rFonts w:eastAsia="Calibri"/>
                <w:b/>
                <w:bCs/>
                <w:szCs w:val="22"/>
                <w:rtl/>
              </w:rPr>
            </w:pPr>
            <w:r w:rsidRPr="001F2586">
              <w:rPr>
                <w:rFonts w:eastAsia="Calibri"/>
                <w:b/>
                <w:bCs/>
                <w:szCs w:val="22"/>
                <w:rtl/>
              </w:rPr>
              <w:t>26.8%</w:t>
            </w:r>
          </w:p>
        </w:tc>
        <w:tc>
          <w:tcPr>
            <w:tcW w:w="1039" w:type="dxa"/>
          </w:tcPr>
          <w:p w:rsidR="001F2586" w:rsidRPr="001F2586" w:rsidP="001F2586">
            <w:pPr>
              <w:spacing w:line="269" w:lineRule="auto"/>
              <w:jc w:val="left"/>
              <w:rPr>
                <w:rFonts w:eastAsia="Calibri"/>
                <w:b/>
                <w:bCs/>
                <w:szCs w:val="22"/>
                <w:rtl/>
              </w:rPr>
            </w:pPr>
            <w:r w:rsidRPr="001F2586">
              <w:rPr>
                <w:rFonts w:eastAsia="Calibri"/>
                <w:b/>
                <w:bCs/>
                <w:szCs w:val="22"/>
                <w:rtl/>
              </w:rPr>
              <w:t>358</w:t>
            </w:r>
          </w:p>
          <w:p w:rsidR="001F2586" w:rsidRPr="001F2586" w:rsidP="001F2586">
            <w:pPr>
              <w:spacing w:line="269" w:lineRule="auto"/>
              <w:jc w:val="left"/>
              <w:rPr>
                <w:rFonts w:eastAsia="Calibri"/>
                <w:b/>
                <w:bCs/>
                <w:szCs w:val="22"/>
                <w:rtl/>
              </w:rPr>
            </w:pPr>
            <w:r w:rsidRPr="001F2586">
              <w:rPr>
                <w:rFonts w:eastAsia="Calibri"/>
                <w:b/>
                <w:bCs/>
                <w:szCs w:val="22"/>
                <w:rtl/>
              </w:rPr>
              <w:t>20.6%</w:t>
            </w:r>
          </w:p>
        </w:tc>
        <w:tc>
          <w:tcPr>
            <w:tcW w:w="740" w:type="dxa"/>
          </w:tcPr>
          <w:p w:rsidR="001F2586" w:rsidRPr="001F2586" w:rsidP="001F2586">
            <w:pPr>
              <w:spacing w:line="269" w:lineRule="auto"/>
              <w:jc w:val="left"/>
              <w:rPr>
                <w:rFonts w:eastAsia="Calibri"/>
                <w:b/>
                <w:bCs/>
                <w:szCs w:val="22"/>
                <w:rtl/>
              </w:rPr>
            </w:pPr>
            <w:r w:rsidRPr="001F2586">
              <w:rPr>
                <w:rFonts w:eastAsia="Calibri"/>
                <w:b/>
                <w:bCs/>
                <w:szCs w:val="22"/>
                <w:rtl/>
              </w:rPr>
              <w:t>456</w:t>
            </w:r>
          </w:p>
          <w:p w:rsidR="001F2586" w:rsidRPr="001F2586" w:rsidP="001F2586">
            <w:pPr>
              <w:spacing w:line="269" w:lineRule="auto"/>
              <w:jc w:val="left"/>
              <w:rPr>
                <w:rFonts w:eastAsia="Calibri"/>
                <w:b/>
                <w:bCs/>
                <w:szCs w:val="22"/>
                <w:rtl/>
              </w:rPr>
            </w:pPr>
            <w:r w:rsidRPr="001F2586">
              <w:rPr>
                <w:rFonts w:eastAsia="Calibri"/>
                <w:b/>
                <w:bCs/>
                <w:szCs w:val="22"/>
                <w:rtl/>
              </w:rPr>
              <w:t>26.3%</w:t>
            </w:r>
          </w:p>
        </w:tc>
        <w:tc>
          <w:tcPr>
            <w:tcW w:w="770" w:type="dxa"/>
          </w:tcPr>
          <w:p w:rsidR="001F2586" w:rsidRPr="001F2586" w:rsidP="001F2586">
            <w:pPr>
              <w:spacing w:line="269" w:lineRule="auto"/>
              <w:jc w:val="left"/>
              <w:rPr>
                <w:rFonts w:eastAsia="Calibri"/>
                <w:b/>
                <w:bCs/>
                <w:szCs w:val="22"/>
                <w:rtl/>
              </w:rPr>
            </w:pPr>
            <w:r w:rsidRPr="001F2586">
              <w:rPr>
                <w:rFonts w:eastAsia="Calibri"/>
                <w:b/>
                <w:bCs/>
                <w:szCs w:val="22"/>
                <w:rtl/>
              </w:rPr>
              <w:t>1,734</w:t>
            </w:r>
          </w:p>
          <w:p w:rsidR="001F2586" w:rsidRPr="001F2586" w:rsidP="001F2586">
            <w:pPr>
              <w:spacing w:line="269" w:lineRule="auto"/>
              <w:jc w:val="left"/>
              <w:rPr>
                <w:rFonts w:eastAsia="Calibri"/>
                <w:b/>
                <w:bCs/>
                <w:szCs w:val="22"/>
                <w:rtl/>
              </w:rPr>
            </w:pPr>
            <w:r w:rsidRPr="001F2586">
              <w:rPr>
                <w:rFonts w:eastAsia="Calibri"/>
                <w:b/>
                <w:bCs/>
                <w:szCs w:val="22"/>
                <w:rtl/>
              </w:rPr>
              <w:t>100%</w:t>
            </w:r>
          </w:p>
        </w:tc>
      </w:tr>
    </w:tbl>
    <w:p w:rsidR="001F2586" w:rsidRPr="001F2586" w:rsidP="001F2586">
      <w:pPr>
        <w:spacing w:line="269" w:lineRule="auto"/>
        <w:rPr>
          <w:rFonts w:eastAsia="Calibri"/>
          <w:sz w:val="16"/>
          <w:szCs w:val="20"/>
          <w:rtl/>
        </w:rPr>
      </w:pPr>
      <w:r w:rsidRPr="001F2586">
        <w:rPr>
          <w:rFonts w:eastAsia="Calibri" w:hint="cs"/>
          <w:sz w:val="16"/>
          <w:szCs w:val="20"/>
          <w:rtl/>
        </w:rPr>
        <w:t xml:space="preserve">נתוני </w:t>
      </w:r>
      <w:r w:rsidRPr="001F2586">
        <w:rPr>
          <w:rFonts w:eastAsia="Calibri" w:hint="cs"/>
          <w:sz w:val="16"/>
          <w:szCs w:val="20"/>
          <w:rtl/>
        </w:rPr>
        <w:t>הלמ"ס</w:t>
      </w:r>
      <w:r w:rsidRPr="001F2586">
        <w:rPr>
          <w:rFonts w:eastAsia="Calibri" w:hint="cs"/>
          <w:sz w:val="16"/>
          <w:szCs w:val="20"/>
          <w:rtl/>
        </w:rPr>
        <w:t>.</w:t>
      </w:r>
    </w:p>
    <w:p w:rsidR="001F2586" w:rsidRPr="001F2586" w:rsidP="001F2586">
      <w:pPr>
        <w:spacing w:line="269" w:lineRule="auto"/>
        <w:rPr>
          <w:rFonts w:eastAsia="Calibri"/>
          <w:sz w:val="16"/>
          <w:szCs w:val="20"/>
          <w:rtl/>
        </w:rPr>
      </w:pPr>
      <w:r w:rsidRPr="001F2586">
        <w:rPr>
          <w:rFonts w:eastAsia="Calibri" w:hint="cs"/>
          <w:sz w:val="16"/>
          <w:szCs w:val="20"/>
          <w:rtl/>
        </w:rPr>
        <w:t xml:space="preserve">* </w:t>
      </w:r>
      <w:r w:rsidRPr="001F2586">
        <w:rPr>
          <w:rFonts w:eastAsia="Calibri" w:hint="eastAsia"/>
          <w:sz w:val="16"/>
          <w:szCs w:val="20"/>
          <w:rtl/>
        </w:rPr>
        <w:t>עמודת</w:t>
      </w:r>
      <w:r w:rsidRPr="001F2586">
        <w:rPr>
          <w:rFonts w:eastAsia="Calibri"/>
          <w:sz w:val="16"/>
          <w:szCs w:val="20"/>
          <w:rtl/>
        </w:rPr>
        <w:t xml:space="preserve"> </w:t>
      </w:r>
      <w:r w:rsidRPr="001F2586">
        <w:rPr>
          <w:rFonts w:eastAsia="Calibri" w:hint="eastAsia"/>
          <w:sz w:val="16"/>
          <w:szCs w:val="20"/>
          <w:rtl/>
        </w:rPr>
        <w:t>סה</w:t>
      </w:r>
      <w:r w:rsidRPr="001F2586">
        <w:rPr>
          <w:rFonts w:eastAsia="Calibri"/>
          <w:sz w:val="16"/>
          <w:szCs w:val="20"/>
          <w:rtl/>
        </w:rPr>
        <w:t xml:space="preserve">"כ </w:t>
      </w:r>
      <w:r w:rsidRPr="001F2586">
        <w:rPr>
          <w:rFonts w:eastAsia="Calibri" w:hint="eastAsia"/>
          <w:sz w:val="16"/>
          <w:szCs w:val="20"/>
          <w:rtl/>
        </w:rPr>
        <w:t>כוללת</w:t>
      </w:r>
      <w:r w:rsidRPr="001F2586">
        <w:rPr>
          <w:rFonts w:eastAsia="Calibri"/>
          <w:sz w:val="16"/>
          <w:szCs w:val="20"/>
          <w:rtl/>
        </w:rPr>
        <w:t xml:space="preserve"> </w:t>
      </w:r>
      <w:r w:rsidRPr="001F2586">
        <w:rPr>
          <w:rFonts w:eastAsia="Calibri" w:hint="eastAsia"/>
          <w:sz w:val="16"/>
          <w:szCs w:val="20"/>
          <w:rtl/>
        </w:rPr>
        <w:t>גם</w:t>
      </w:r>
      <w:r w:rsidRPr="001F2586">
        <w:rPr>
          <w:rFonts w:eastAsia="Calibri"/>
          <w:sz w:val="16"/>
          <w:szCs w:val="20"/>
          <w:rtl/>
        </w:rPr>
        <w:t xml:space="preserve"> </w:t>
      </w:r>
      <w:r w:rsidRPr="001F2586">
        <w:rPr>
          <w:rFonts w:eastAsia="Calibri" w:hint="eastAsia"/>
          <w:sz w:val="16"/>
          <w:szCs w:val="20"/>
          <w:rtl/>
        </w:rPr>
        <w:t>עסקאות</w:t>
      </w:r>
      <w:r w:rsidRPr="001F2586">
        <w:rPr>
          <w:rFonts w:eastAsia="Calibri"/>
          <w:sz w:val="16"/>
          <w:szCs w:val="20"/>
          <w:rtl/>
        </w:rPr>
        <w:t xml:space="preserve"> </w:t>
      </w:r>
      <w:r w:rsidRPr="001F2586">
        <w:rPr>
          <w:rFonts w:eastAsia="Calibri" w:hint="eastAsia"/>
          <w:sz w:val="16"/>
          <w:szCs w:val="20"/>
          <w:rtl/>
        </w:rPr>
        <w:t>שבוצעו</w:t>
      </w:r>
      <w:r w:rsidRPr="001F2586">
        <w:rPr>
          <w:rFonts w:eastAsia="Calibri"/>
          <w:sz w:val="16"/>
          <w:szCs w:val="20"/>
          <w:rtl/>
        </w:rPr>
        <w:t xml:space="preserve"> </w:t>
      </w:r>
      <w:r w:rsidRPr="001F2586">
        <w:rPr>
          <w:rFonts w:eastAsia="Calibri" w:hint="eastAsia"/>
          <w:sz w:val="16"/>
          <w:szCs w:val="20"/>
          <w:rtl/>
        </w:rPr>
        <w:t>באזור</w:t>
      </w:r>
      <w:r w:rsidRPr="001F2586">
        <w:rPr>
          <w:rFonts w:eastAsia="Calibri"/>
          <w:sz w:val="16"/>
          <w:szCs w:val="20"/>
          <w:rtl/>
        </w:rPr>
        <w:t xml:space="preserve"> </w:t>
      </w:r>
      <w:r w:rsidRPr="001F2586">
        <w:rPr>
          <w:rFonts w:eastAsia="Calibri" w:hint="eastAsia"/>
          <w:sz w:val="16"/>
          <w:szCs w:val="20"/>
          <w:rtl/>
        </w:rPr>
        <w:t>יהודה</w:t>
      </w:r>
      <w:r w:rsidRPr="001F2586">
        <w:rPr>
          <w:rFonts w:eastAsia="Calibri"/>
          <w:sz w:val="16"/>
          <w:szCs w:val="20"/>
          <w:rtl/>
        </w:rPr>
        <w:t xml:space="preserve"> </w:t>
      </w:r>
      <w:r w:rsidRPr="001F2586">
        <w:rPr>
          <w:rFonts w:eastAsia="Calibri" w:hint="eastAsia"/>
          <w:sz w:val="16"/>
          <w:szCs w:val="20"/>
          <w:rtl/>
        </w:rPr>
        <w:t>ושומרון</w:t>
      </w:r>
      <w:r w:rsidRPr="001F2586">
        <w:rPr>
          <w:rFonts w:eastAsia="Calibri" w:hint="cs"/>
          <w:sz w:val="16"/>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ניתן לראות בלוח כי במחוזות המרכז, הדרום ותל-אביב ניתנו רוב ההטבות (26.8%, 26.3% </w:t>
      </w:r>
      <w:r w:rsidRPr="001F2586">
        <w:rPr>
          <w:rFonts w:eastAsia="Calibri"/>
          <w:rtl/>
        </w:rPr>
        <w:br/>
      </w:r>
      <w:r w:rsidRPr="001F2586">
        <w:rPr>
          <w:rFonts w:eastAsia="Calibri" w:hint="cs"/>
          <w:rtl/>
        </w:rPr>
        <w:t xml:space="preserve">ו-20.6% בהתאמה). עם זאת בבדיקה שערכה </w:t>
      </w:r>
      <w:r w:rsidRPr="001F2586">
        <w:rPr>
          <w:rFonts w:eastAsia="Calibri" w:hint="cs"/>
          <w:rtl/>
        </w:rPr>
        <w:t>הלמ"ס</w:t>
      </w:r>
      <w:r w:rsidRPr="001F2586">
        <w:rPr>
          <w:rFonts w:eastAsia="Calibri" w:hint="cs"/>
          <w:rtl/>
        </w:rPr>
        <w:t xml:space="preserve"> בדבר שיעור הדירות החדשות שנמכרו עם הטבות מימון ביחס לסך הדירות החדשות שנמכרו בכל אזור נמצא כי במחוזות חיפה, תל אביב וירושלים שיעור הדירות שנמכרו עם הטבות מימון היה הגבוה ביותר (18.8%, 17.3% ו-17.3% בהתאמה) ואילו במחוז הצפון שיעור הדירות שנמכרו עם הטבות מימון היה נמוך משמעותית (6.3%).</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מידע נוסף שהוצג במסגרת פרסום </w:t>
      </w:r>
      <w:r w:rsidRPr="001F2586">
        <w:rPr>
          <w:rFonts w:eastAsia="Calibri" w:hint="cs"/>
          <w:rtl/>
        </w:rPr>
        <w:t>הלמ"ס</w:t>
      </w:r>
      <w:r w:rsidRPr="001F2586">
        <w:rPr>
          <w:rFonts w:eastAsia="Calibri" w:hint="cs"/>
          <w:rtl/>
        </w:rPr>
        <w:t xml:space="preserve"> הציג את התפלגות סוגי הטבות המימון השכיחות. מנתונים אלה עלה כי ההטבה הנפוצה ביותר הייתה עסקאות מסוג 20/80 שהיוו כ-49% מסך </w:t>
      </w:r>
      <w:r w:rsidRPr="001F2586">
        <w:rPr>
          <w:rFonts w:eastAsia="Calibri" w:hint="cs"/>
          <w:rtl/>
        </w:rPr>
        <w:t xml:space="preserve">ההטבות שניתנו, ההטבה השנייה בשכיחותה הייתה עסקאות מסוג 10/90 שהיוו כ-19% מסך ההטבות שניתנו ואילו יתרת סוגי הטבות המימון היוו כ-4% מסך ההטבות שניתנו.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בסקירת ענף הנדל"ן למגורים שערך הכלכלן הראשי לחודש ינואר 2025 הוצג ניתוח של מבצעי המימון לתקופה שבין נובמבר 2024 לינואר 2025 </w:t>
      </w:r>
      <w:r>
        <w:rPr>
          <w:rFonts w:eastAsia="Calibri"/>
          <w:vertAlign w:val="superscript"/>
          <w:rtl/>
        </w:rPr>
        <w:footnoteReference w:id="190"/>
      </w:r>
      <w:r w:rsidRPr="001F2586">
        <w:rPr>
          <w:rFonts w:eastAsia="Calibri" w:hint="cs"/>
          <w:rtl/>
        </w:rPr>
        <w:t>. הבחינה התבססה על קובצי רשות המסים שהתקבלו על עסקאות בפועל בחמישה מתוך עשרה אזורי מיסוי (מרכז, תל-אביב, נתניה, באר-שבע</w:t>
      </w:r>
      <w:r>
        <w:rPr>
          <w:rFonts w:eastAsia="Calibri"/>
          <w:vertAlign w:val="superscript"/>
          <w:rtl/>
        </w:rPr>
        <w:footnoteReference w:id="191"/>
      </w:r>
      <w:r w:rsidRPr="001F2586">
        <w:rPr>
          <w:rFonts w:eastAsia="Calibri" w:hint="cs"/>
          <w:rtl/>
        </w:rPr>
        <w:t xml:space="preserve"> וחדרה) וכללה דירות שמכרו קבלנים בשוק החופשי ללא סבסוד ממשלתי שבהן תאריך המסירה היה לפחות שנה ממועד העסקה. התרשים להלן מציג את ממצאי הבדיקה.</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26:</w:t>
      </w:r>
      <w:r w:rsidRPr="001F2586">
        <w:rPr>
          <w:rFonts w:eastAsia="Calibri" w:hint="cs"/>
          <w:bCs/>
          <w:sz w:val="24"/>
          <w:rtl/>
        </w:rPr>
        <w:t xml:space="preserve"> </w:t>
      </w:r>
      <w:r w:rsidRPr="001F2586">
        <w:rPr>
          <w:rFonts w:eastAsia="Calibri" w:hint="eastAsia"/>
          <w:bCs/>
          <w:sz w:val="24"/>
          <w:rtl/>
        </w:rPr>
        <w:t>סקירת</w:t>
      </w:r>
      <w:r w:rsidRPr="001F2586">
        <w:rPr>
          <w:rFonts w:eastAsia="Calibri"/>
          <w:bCs/>
          <w:sz w:val="24"/>
          <w:rtl/>
        </w:rPr>
        <w:t xml:space="preserve"> </w:t>
      </w:r>
      <w:r w:rsidRPr="001F2586">
        <w:rPr>
          <w:rFonts w:eastAsia="Calibri" w:hint="eastAsia"/>
          <w:bCs/>
          <w:sz w:val="24"/>
          <w:rtl/>
        </w:rPr>
        <w:t>הכלכלן</w:t>
      </w:r>
      <w:r w:rsidRPr="001F2586">
        <w:rPr>
          <w:rFonts w:eastAsia="Calibri"/>
          <w:bCs/>
          <w:sz w:val="24"/>
          <w:rtl/>
        </w:rPr>
        <w:t xml:space="preserve"> </w:t>
      </w:r>
      <w:r w:rsidRPr="001F2586">
        <w:rPr>
          <w:rFonts w:eastAsia="Calibri" w:hint="eastAsia"/>
          <w:bCs/>
          <w:sz w:val="24"/>
          <w:rtl/>
        </w:rPr>
        <w:t>הראשי</w:t>
      </w:r>
      <w:r w:rsidRPr="001F2586">
        <w:rPr>
          <w:rFonts w:eastAsia="Calibri"/>
          <w:bCs/>
          <w:sz w:val="24"/>
          <w:rtl/>
        </w:rPr>
        <w:t xml:space="preserve"> </w:t>
      </w:r>
      <w:r w:rsidRPr="001F2586">
        <w:rPr>
          <w:rFonts w:eastAsia="Calibri" w:hint="eastAsia"/>
          <w:bCs/>
          <w:sz w:val="24"/>
          <w:rtl/>
        </w:rPr>
        <w:t>לשיעור</w:t>
      </w:r>
      <w:r w:rsidRPr="001F2586">
        <w:rPr>
          <w:rFonts w:eastAsia="Calibri"/>
          <w:bCs/>
          <w:sz w:val="24"/>
          <w:rtl/>
        </w:rPr>
        <w:t xml:space="preserve"> הדירות החדשות שנמכרו </w:t>
      </w:r>
      <w:r w:rsidRPr="001F2586">
        <w:rPr>
          <w:rFonts w:eastAsia="Calibri" w:hint="eastAsia"/>
          <w:bCs/>
          <w:sz w:val="24"/>
          <w:rtl/>
        </w:rPr>
        <w:t>בשוק</w:t>
      </w:r>
      <w:r w:rsidRPr="001F2586">
        <w:rPr>
          <w:rFonts w:eastAsia="Calibri"/>
          <w:bCs/>
          <w:sz w:val="24"/>
          <w:rtl/>
        </w:rPr>
        <w:t xml:space="preserve"> </w:t>
      </w:r>
      <w:r w:rsidRPr="001F2586">
        <w:rPr>
          <w:rFonts w:eastAsia="Calibri" w:hint="eastAsia"/>
          <w:bCs/>
          <w:sz w:val="24"/>
          <w:rtl/>
        </w:rPr>
        <w:t>החופשי</w:t>
      </w:r>
      <w:r w:rsidRPr="001F2586">
        <w:rPr>
          <w:rFonts w:eastAsia="Calibri"/>
          <w:bCs/>
          <w:sz w:val="24"/>
          <w:rtl/>
        </w:rPr>
        <w:t xml:space="preserve"> </w:t>
      </w:r>
      <w:r w:rsidRPr="001F2586">
        <w:rPr>
          <w:rFonts w:eastAsia="Calibri" w:hint="eastAsia"/>
          <w:bCs/>
          <w:sz w:val="24"/>
          <w:rtl/>
        </w:rPr>
        <w:t>עם</w:t>
      </w:r>
      <w:r w:rsidRPr="001F2586">
        <w:rPr>
          <w:rFonts w:eastAsia="Calibri"/>
          <w:bCs/>
          <w:sz w:val="24"/>
          <w:rtl/>
        </w:rPr>
        <w:t xml:space="preserve"> </w:t>
      </w:r>
      <w:r w:rsidRPr="001F2586">
        <w:rPr>
          <w:rFonts w:eastAsia="Calibri" w:hint="eastAsia"/>
          <w:bCs/>
          <w:sz w:val="24"/>
          <w:rtl/>
        </w:rPr>
        <w:t>הטבות</w:t>
      </w:r>
      <w:r w:rsidRPr="001F2586">
        <w:rPr>
          <w:rFonts w:eastAsia="Calibri"/>
          <w:bCs/>
          <w:sz w:val="24"/>
          <w:rtl/>
        </w:rPr>
        <w:t xml:space="preserve"> </w:t>
      </w:r>
      <w:r w:rsidRPr="001F2586">
        <w:rPr>
          <w:rFonts w:eastAsia="Calibri" w:hint="eastAsia"/>
          <w:bCs/>
          <w:sz w:val="24"/>
          <w:rtl/>
        </w:rPr>
        <w:t>מימון</w:t>
      </w:r>
      <w:r w:rsidRPr="001F2586">
        <w:rPr>
          <w:rFonts w:eastAsia="Calibri" w:hint="cs"/>
          <w:bCs/>
          <w:sz w:val="24"/>
          <w:rtl/>
        </w:rPr>
        <w:t>,</w:t>
      </w:r>
      <w:r w:rsidRPr="001F2586">
        <w:rPr>
          <w:rFonts w:eastAsia="Calibri"/>
          <w:bCs/>
          <w:sz w:val="24"/>
          <w:rtl/>
        </w:rPr>
        <w:t xml:space="preserve"> נובמבר 2024 עד ינואר 2025</w:t>
      </w:r>
    </w:p>
    <w:p w:rsidR="001F2586" w:rsidRPr="001F2586" w:rsidP="001F2586">
      <w:pPr>
        <w:spacing w:line="269" w:lineRule="auto"/>
        <w:jc w:val="center"/>
        <w:rPr>
          <w:rFonts w:eastAsia="Calibri"/>
          <w:rtl/>
        </w:rPr>
      </w:pPr>
      <w:r w:rsidRPr="001F2586">
        <w:rPr>
          <w:rFonts w:eastAsia="Calibri"/>
          <w:noProof/>
        </w:rPr>
        <w:drawing>
          <wp:inline distT="0" distB="0" distL="0" distR="0">
            <wp:extent cx="5218430" cy="3499485"/>
            <wp:effectExtent l="0" t="0" r="1270" b="5715"/>
            <wp:docPr id="27" name="תמונה 27" descr="השיעורים בנוב' 24: מרכז- 26.7%, ת&quot;א 23.5%, ב&quot;ש- 32.5%, בנתניה ובחדרה אין נתונים.&#10;השיעורים בדצמבר 2024 הם: מרכז-46.6%, ת&quot;א- 33.8%, ב&quot;ש- 40.8%, נתניה- 39%, וחדרה -60.6%.&#10;השיעורים בינואר 2025 הם:&#10;מרכז-43.8%, ת&quot;א- 25%, ב&quot;ש-40.2%, נתניה- 44.9%, חדרה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3499485"/>
                    </a:xfrm>
                    <a:prstGeom prst="rect">
                      <a:avLst/>
                    </a:prstGeom>
                    <a:noFill/>
                  </pic:spPr>
                </pic:pic>
              </a:graphicData>
            </a:graphic>
          </wp:inline>
        </w:drawing>
      </w:r>
    </w:p>
    <w:p w:rsidR="001F2586" w:rsidRPr="001F2586" w:rsidP="001F2586">
      <w:pPr>
        <w:spacing w:line="269" w:lineRule="auto"/>
        <w:rPr>
          <w:rFonts w:eastAsia="Calibri"/>
          <w:sz w:val="18"/>
          <w:szCs w:val="22"/>
          <w:rtl/>
        </w:rPr>
      </w:pPr>
      <w:r w:rsidRPr="001F2586">
        <w:rPr>
          <w:rFonts w:eastAsia="Calibri" w:hint="cs"/>
          <w:sz w:val="18"/>
          <w:szCs w:val="22"/>
          <w:rtl/>
        </w:rPr>
        <w:t>על פי נתוני הכלכלן הראשי.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ניתן לראות בתרשים כי הטבות המימון נרשמו בכל חמשת האזורים שנבחנו ובלטו במיוחד באזור חדרה. מבצעי מימון היוו בתקופה זו 23.5% - 60.6% מהמכירות בשוק החופשי, תלוי באזור. עוד ניתן לראות בתרשים כי באזורים בהם נאספו נתונים לחודש נובמבר נרשם גידול בשיעור הדירות שנמכרו בשוק החופשי עם הטבות מימון בשני החודשים העוקבים.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על</w:t>
      </w:r>
      <w:r w:rsidRPr="001F2586">
        <w:rPr>
          <w:rFonts w:eastAsia="Calibri"/>
          <w:b/>
          <w:bCs/>
          <w:rtl/>
        </w:rPr>
        <w:t xml:space="preserve"> </w:t>
      </w:r>
      <w:r w:rsidRPr="001F2586">
        <w:rPr>
          <w:rFonts w:eastAsia="Calibri" w:hint="eastAsia"/>
          <w:b/>
          <w:bCs/>
          <w:rtl/>
        </w:rPr>
        <w:t>פי</w:t>
      </w:r>
      <w:r w:rsidRPr="001F2586">
        <w:rPr>
          <w:rFonts w:eastAsia="Calibri"/>
          <w:b/>
          <w:bCs/>
          <w:rtl/>
        </w:rPr>
        <w:t xml:space="preserve"> </w:t>
      </w:r>
      <w:r w:rsidRPr="001F2586">
        <w:rPr>
          <w:rFonts w:eastAsia="Calibri" w:hint="eastAsia"/>
          <w:b/>
          <w:bCs/>
          <w:rtl/>
        </w:rPr>
        <w:t>ממצאי</w:t>
      </w:r>
      <w:r w:rsidRPr="001F2586">
        <w:rPr>
          <w:rFonts w:eastAsia="Calibri"/>
          <w:b/>
          <w:bCs/>
          <w:rtl/>
        </w:rPr>
        <w:t xml:space="preserve"> </w:t>
      </w:r>
      <w:r w:rsidRPr="001F2586">
        <w:rPr>
          <w:rFonts w:eastAsia="Calibri" w:hint="eastAsia"/>
          <w:b/>
          <w:bCs/>
          <w:rtl/>
        </w:rPr>
        <w:t>סקירת</w:t>
      </w:r>
      <w:r w:rsidRPr="001F2586">
        <w:rPr>
          <w:rFonts w:eastAsia="Calibri"/>
          <w:b/>
          <w:bCs/>
          <w:rtl/>
        </w:rPr>
        <w:t xml:space="preserve"> </w:t>
      </w:r>
      <w:r w:rsidRPr="001F2586">
        <w:rPr>
          <w:rFonts w:eastAsia="Calibri" w:hint="eastAsia"/>
          <w:b/>
          <w:bCs/>
          <w:rtl/>
        </w:rPr>
        <w:t>הכלכלן</w:t>
      </w:r>
      <w:r w:rsidRPr="001F2586">
        <w:rPr>
          <w:rFonts w:eastAsia="Calibri"/>
          <w:b/>
          <w:bCs/>
          <w:rtl/>
        </w:rPr>
        <w:t xml:space="preserve"> </w:t>
      </w:r>
      <w:r w:rsidRPr="001F2586">
        <w:rPr>
          <w:rFonts w:eastAsia="Calibri" w:hint="eastAsia"/>
          <w:b/>
          <w:bCs/>
          <w:rtl/>
        </w:rPr>
        <w:t>הראשי</w:t>
      </w:r>
      <w:r w:rsidRPr="001F2586">
        <w:rPr>
          <w:rFonts w:eastAsia="Calibri"/>
          <w:b/>
          <w:bCs/>
          <w:rtl/>
        </w:rPr>
        <w:t xml:space="preserve"> </w:t>
      </w:r>
      <w:r w:rsidRPr="001F2586">
        <w:rPr>
          <w:rFonts w:eastAsia="Calibri" w:hint="eastAsia"/>
          <w:b/>
          <w:bCs/>
          <w:rtl/>
        </w:rPr>
        <w:t>שכיחות</w:t>
      </w:r>
      <w:r w:rsidRPr="001F2586">
        <w:rPr>
          <w:rFonts w:eastAsia="Calibri"/>
          <w:b/>
          <w:bCs/>
          <w:rtl/>
        </w:rPr>
        <w:t xml:space="preserve"> </w:t>
      </w:r>
      <w:r w:rsidRPr="001F2586">
        <w:rPr>
          <w:rFonts w:eastAsia="Calibri" w:hint="eastAsia"/>
          <w:b/>
          <w:bCs/>
          <w:rtl/>
        </w:rPr>
        <w:t>הטבות</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hint="eastAsia"/>
          <w:b/>
          <w:bCs/>
          <w:rtl/>
        </w:rPr>
        <w:t>אינה</w:t>
      </w:r>
      <w:r w:rsidRPr="001F2586">
        <w:rPr>
          <w:rFonts w:eastAsia="Calibri"/>
          <w:b/>
          <w:bCs/>
          <w:rtl/>
        </w:rPr>
        <w:t xml:space="preserve"> </w:t>
      </w:r>
      <w:r w:rsidRPr="001F2586">
        <w:rPr>
          <w:rFonts w:eastAsia="Calibri" w:hint="eastAsia"/>
          <w:b/>
          <w:bCs/>
          <w:rtl/>
        </w:rPr>
        <w:t>אחידה</w:t>
      </w:r>
      <w:r w:rsidRPr="001F2586">
        <w:rPr>
          <w:rFonts w:eastAsia="Calibri"/>
          <w:b/>
          <w:bCs/>
          <w:rtl/>
        </w:rPr>
        <w:t xml:space="preserve"> </w:t>
      </w:r>
      <w:r w:rsidRPr="001F2586">
        <w:rPr>
          <w:rFonts w:eastAsia="Calibri" w:hint="eastAsia"/>
          <w:b/>
          <w:bCs/>
          <w:rtl/>
        </w:rPr>
        <w:t>בקרב</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כאשר</w:t>
      </w:r>
      <w:r w:rsidRPr="001F2586">
        <w:rPr>
          <w:rFonts w:eastAsia="Calibri"/>
          <w:b/>
          <w:bCs/>
          <w:rtl/>
        </w:rPr>
        <w:t xml:space="preserve"> </w:t>
      </w:r>
      <w:r w:rsidRPr="001F2586">
        <w:rPr>
          <w:rFonts w:eastAsia="Calibri" w:hint="eastAsia"/>
          <w:b/>
          <w:bCs/>
          <w:rtl/>
        </w:rPr>
        <w:t>לצד</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אצלם</w:t>
      </w:r>
      <w:r w:rsidRPr="001F2586">
        <w:rPr>
          <w:rFonts w:eastAsia="Calibri"/>
          <w:b/>
          <w:bCs/>
          <w:rtl/>
        </w:rPr>
        <w:t xml:space="preserve">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המכירות</w:t>
      </w:r>
      <w:r w:rsidRPr="001F2586">
        <w:rPr>
          <w:rFonts w:eastAsia="Calibri"/>
          <w:b/>
          <w:bCs/>
          <w:rtl/>
        </w:rPr>
        <w:t xml:space="preserve"> </w:t>
      </w:r>
      <w:r w:rsidRPr="001F2586">
        <w:rPr>
          <w:rFonts w:eastAsia="Calibri" w:hint="eastAsia"/>
          <w:b/>
          <w:bCs/>
          <w:rtl/>
        </w:rPr>
        <w:t>עם</w:t>
      </w:r>
      <w:r w:rsidRPr="001F2586">
        <w:rPr>
          <w:rFonts w:eastAsia="Calibri"/>
          <w:b/>
          <w:bCs/>
          <w:rtl/>
        </w:rPr>
        <w:t xml:space="preserve"> </w:t>
      </w:r>
      <w:r w:rsidRPr="001F2586">
        <w:rPr>
          <w:rFonts w:eastAsia="Calibri" w:hint="eastAsia"/>
          <w:b/>
          <w:bCs/>
          <w:rtl/>
        </w:rPr>
        <w:t>הטבות</w:t>
      </w:r>
      <w:r w:rsidRPr="001F2586">
        <w:rPr>
          <w:rFonts w:eastAsia="Calibri"/>
          <w:b/>
          <w:bCs/>
          <w:rtl/>
        </w:rPr>
        <w:t xml:space="preserve"> </w:t>
      </w:r>
      <w:r w:rsidRPr="001F2586">
        <w:rPr>
          <w:rFonts w:eastAsia="Calibri" w:hint="eastAsia"/>
          <w:b/>
          <w:bCs/>
          <w:rtl/>
        </w:rPr>
        <w:t>מימון</w:t>
      </w:r>
      <w:r w:rsidRPr="001F2586">
        <w:rPr>
          <w:rFonts w:eastAsia="Calibri"/>
          <w:b/>
          <w:bCs/>
          <w:rtl/>
        </w:rPr>
        <w:t xml:space="preserve"> </w:t>
      </w:r>
      <w:r w:rsidRPr="001F2586">
        <w:rPr>
          <w:rFonts w:eastAsia="Calibri" w:hint="eastAsia"/>
          <w:b/>
          <w:bCs/>
          <w:rtl/>
        </w:rPr>
        <w:t>נמוך</w:t>
      </w:r>
      <w:r w:rsidRPr="001F2586">
        <w:rPr>
          <w:rFonts w:eastAsia="Calibri"/>
          <w:b/>
          <w:bCs/>
          <w:rtl/>
        </w:rPr>
        <w:t xml:space="preserve"> </w:t>
      </w:r>
      <w:r w:rsidRPr="001F2586">
        <w:rPr>
          <w:rFonts w:eastAsia="Calibri" w:hint="eastAsia"/>
          <w:b/>
          <w:bCs/>
          <w:rtl/>
        </w:rPr>
        <w:t>מאוד</w:t>
      </w:r>
      <w:r w:rsidRPr="001F2586">
        <w:rPr>
          <w:rFonts w:eastAsia="Calibri"/>
          <w:b/>
          <w:bCs/>
          <w:rtl/>
        </w:rPr>
        <w:t xml:space="preserve"> </w:t>
      </w:r>
      <w:r w:rsidRPr="001F2586">
        <w:rPr>
          <w:rFonts w:eastAsia="Calibri" w:hint="eastAsia"/>
          <w:b/>
          <w:bCs/>
          <w:rtl/>
        </w:rPr>
        <w:t>או</w:t>
      </w:r>
      <w:r w:rsidRPr="001F2586">
        <w:rPr>
          <w:rFonts w:eastAsia="Calibri"/>
          <w:b/>
          <w:bCs/>
          <w:rtl/>
        </w:rPr>
        <w:t xml:space="preserve"> </w:t>
      </w:r>
      <w:r w:rsidRPr="001F2586">
        <w:rPr>
          <w:rFonts w:eastAsia="Calibri" w:hint="eastAsia"/>
          <w:b/>
          <w:bCs/>
          <w:rtl/>
        </w:rPr>
        <w:t>לא</w:t>
      </w:r>
      <w:r w:rsidRPr="001F2586">
        <w:rPr>
          <w:rFonts w:eastAsia="Calibri"/>
          <w:b/>
          <w:bCs/>
          <w:rtl/>
        </w:rPr>
        <w:t xml:space="preserve"> </w:t>
      </w:r>
      <w:r w:rsidRPr="001F2586">
        <w:rPr>
          <w:rFonts w:eastAsia="Calibri" w:hint="eastAsia"/>
          <w:b/>
          <w:bCs/>
          <w:rtl/>
        </w:rPr>
        <w:t>קיים</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אחרים</w:t>
      </w:r>
      <w:r w:rsidRPr="001F2586">
        <w:rPr>
          <w:rFonts w:eastAsia="Calibri"/>
          <w:b/>
          <w:bCs/>
          <w:rtl/>
        </w:rPr>
        <w:t xml:space="preserve"> </w:t>
      </w:r>
      <w:r w:rsidRPr="001F2586">
        <w:rPr>
          <w:rFonts w:eastAsia="Calibri" w:hint="eastAsia"/>
          <w:b/>
          <w:bCs/>
          <w:rtl/>
        </w:rPr>
        <w:t>עשו</w:t>
      </w:r>
      <w:r w:rsidRPr="001F2586">
        <w:rPr>
          <w:rFonts w:eastAsia="Calibri"/>
          <w:b/>
          <w:bCs/>
          <w:rtl/>
        </w:rPr>
        <w:t xml:space="preserve"> </w:t>
      </w:r>
      <w:r w:rsidRPr="001F2586">
        <w:rPr>
          <w:rFonts w:eastAsia="Calibri" w:hint="eastAsia"/>
          <w:b/>
          <w:bCs/>
          <w:rtl/>
        </w:rPr>
        <w:t>שימוש</w:t>
      </w:r>
      <w:r w:rsidRPr="001F2586">
        <w:rPr>
          <w:rFonts w:eastAsia="Calibri"/>
          <w:b/>
          <w:bCs/>
          <w:rtl/>
        </w:rPr>
        <w:t xml:space="preserve"> </w:t>
      </w:r>
      <w:r w:rsidRPr="001F2586">
        <w:rPr>
          <w:rFonts w:eastAsia="Calibri" w:hint="eastAsia"/>
          <w:b/>
          <w:bCs/>
          <w:rtl/>
        </w:rPr>
        <w:t>בהטבות</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hint="eastAsia"/>
          <w:b/>
          <w:bCs/>
          <w:rtl/>
        </w:rPr>
        <w:t>כמעט</w:t>
      </w:r>
      <w:r w:rsidRPr="001F2586">
        <w:rPr>
          <w:rFonts w:eastAsia="Calibri"/>
          <w:b/>
          <w:bCs/>
          <w:rtl/>
        </w:rPr>
        <w:t xml:space="preserve"> </w:t>
      </w:r>
      <w:r w:rsidRPr="001F2586">
        <w:rPr>
          <w:rFonts w:eastAsia="Calibri" w:hint="eastAsia"/>
          <w:b/>
          <w:bCs/>
          <w:rtl/>
        </w:rPr>
        <w:t>בכל</w:t>
      </w:r>
      <w:r w:rsidRPr="001F2586">
        <w:rPr>
          <w:rFonts w:eastAsia="Calibri"/>
          <w:b/>
          <w:bCs/>
          <w:rtl/>
        </w:rPr>
        <w:t xml:space="preserve"> </w:t>
      </w:r>
      <w:r w:rsidRPr="001F2586">
        <w:rPr>
          <w:rFonts w:eastAsia="Calibri" w:hint="eastAsia"/>
          <w:b/>
          <w:bCs/>
          <w:rtl/>
        </w:rPr>
        <w:t>המכירות</w:t>
      </w:r>
      <w:r w:rsidRPr="001F2586">
        <w:rPr>
          <w:rFonts w:eastAsia="Calibri"/>
          <w:b/>
          <w:bCs/>
          <w:rtl/>
        </w:rPr>
        <w:t xml:space="preserve"> </w:t>
      </w:r>
      <w:r w:rsidRPr="001F2586">
        <w:rPr>
          <w:rFonts w:eastAsia="Calibri" w:hint="eastAsia"/>
          <w:b/>
          <w:bCs/>
          <w:rtl/>
        </w:rPr>
        <w:t>בשוק</w:t>
      </w:r>
      <w:r w:rsidRPr="001F2586">
        <w:rPr>
          <w:rFonts w:eastAsia="Calibri"/>
          <w:b/>
          <w:bCs/>
          <w:rtl/>
        </w:rPr>
        <w:t xml:space="preserve"> </w:t>
      </w:r>
      <w:r w:rsidRPr="001F2586">
        <w:rPr>
          <w:rFonts w:eastAsia="Calibri" w:hint="eastAsia"/>
          <w:b/>
          <w:bCs/>
          <w:rtl/>
        </w:rPr>
        <w:t>החופשי</w:t>
      </w:r>
      <w:r w:rsidRPr="001F2586">
        <w:rPr>
          <w:rFonts w:eastAsia="Calibri"/>
          <w:b/>
          <w:bCs/>
          <w:rtl/>
        </w:rPr>
        <w:t xml:space="preserve">. </w:t>
      </w:r>
      <w:r w:rsidRPr="001F2586">
        <w:rPr>
          <w:rFonts w:eastAsia="Calibri" w:hint="eastAsia"/>
          <w:b/>
          <w:bCs/>
          <w:rtl/>
        </w:rPr>
        <w:t>כלומר</w:t>
      </w:r>
      <w:r w:rsidRPr="001F2586">
        <w:rPr>
          <w:rFonts w:eastAsia="Calibri"/>
          <w:b/>
          <w:bCs/>
          <w:rtl/>
        </w:rPr>
        <w:t xml:space="preserve"> </w:t>
      </w:r>
      <w:r w:rsidRPr="001F2586">
        <w:rPr>
          <w:rFonts w:eastAsia="Calibri" w:hint="eastAsia"/>
          <w:b/>
          <w:bCs/>
          <w:rtl/>
        </w:rPr>
        <w:t>החשיפה</w:t>
      </w:r>
      <w:r w:rsidRPr="001F2586">
        <w:rPr>
          <w:rFonts w:eastAsia="Calibri"/>
          <w:b/>
          <w:bCs/>
          <w:rtl/>
        </w:rPr>
        <w:t xml:space="preserve"> </w:t>
      </w:r>
      <w:r w:rsidRPr="001F2586">
        <w:rPr>
          <w:rFonts w:eastAsia="Calibri" w:hint="eastAsia"/>
          <w:b/>
          <w:bCs/>
          <w:rtl/>
        </w:rPr>
        <w:t>לאי</w:t>
      </w:r>
      <w:r w:rsidRPr="001F2586">
        <w:rPr>
          <w:rFonts w:eastAsia="Calibri"/>
          <w:b/>
          <w:bCs/>
          <w:rtl/>
        </w:rPr>
        <w:t xml:space="preserve">-יכולת </w:t>
      </w:r>
      <w:r w:rsidRPr="001F2586">
        <w:rPr>
          <w:rFonts w:eastAsia="Calibri" w:hint="eastAsia"/>
          <w:b/>
          <w:bCs/>
          <w:rtl/>
        </w:rPr>
        <w:t>הרוכשים</w:t>
      </w:r>
      <w:r w:rsidRPr="001F2586">
        <w:rPr>
          <w:rFonts w:eastAsia="Calibri"/>
          <w:b/>
          <w:bCs/>
          <w:rtl/>
        </w:rPr>
        <w:t xml:space="preserve"> </w:t>
      </w:r>
      <w:r w:rsidRPr="001F2586">
        <w:rPr>
          <w:rFonts w:eastAsia="Calibri" w:hint="eastAsia"/>
          <w:b/>
          <w:bCs/>
          <w:rtl/>
        </w:rPr>
        <w:t>להשלים</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עסקאות</w:t>
      </w:r>
      <w:r w:rsidRPr="001F2586">
        <w:rPr>
          <w:rFonts w:eastAsia="Calibri"/>
          <w:b/>
          <w:bCs/>
          <w:rtl/>
        </w:rPr>
        <w:t xml:space="preserve"> </w:t>
      </w:r>
      <w:r w:rsidRPr="001F2586">
        <w:rPr>
          <w:rFonts w:eastAsia="Calibri" w:hint="eastAsia"/>
          <w:b/>
          <w:bCs/>
          <w:rtl/>
        </w:rPr>
        <w:t>במועד</w:t>
      </w:r>
      <w:r w:rsidRPr="001F2586">
        <w:rPr>
          <w:rFonts w:eastAsia="Calibri"/>
          <w:b/>
          <w:bCs/>
          <w:rtl/>
        </w:rPr>
        <w:t xml:space="preserve"> </w:t>
      </w:r>
      <w:r w:rsidRPr="001F2586">
        <w:rPr>
          <w:rFonts w:eastAsia="Calibri" w:hint="eastAsia"/>
          <w:b/>
          <w:bCs/>
          <w:rtl/>
        </w:rPr>
        <w:t>המסירה</w:t>
      </w:r>
      <w:r w:rsidRPr="001F2586">
        <w:rPr>
          <w:rFonts w:eastAsia="Calibri"/>
          <w:b/>
          <w:bCs/>
          <w:rtl/>
        </w:rPr>
        <w:t xml:space="preserve"> </w:t>
      </w:r>
      <w:r w:rsidRPr="001F2586">
        <w:rPr>
          <w:rFonts w:eastAsia="Calibri" w:hint="eastAsia"/>
          <w:b/>
          <w:bCs/>
          <w:rtl/>
        </w:rPr>
        <w:t>מתפלג</w:t>
      </w:r>
      <w:r w:rsidRPr="001F2586">
        <w:rPr>
          <w:rFonts w:eastAsia="Calibri"/>
          <w:b/>
          <w:bCs/>
          <w:rtl/>
        </w:rPr>
        <w:t xml:space="preserve"> </w:t>
      </w:r>
      <w:r w:rsidRPr="001F2586">
        <w:rPr>
          <w:rFonts w:eastAsia="Calibri" w:hint="eastAsia"/>
          <w:b/>
          <w:bCs/>
          <w:rtl/>
        </w:rPr>
        <w:t>אחרת</w:t>
      </w:r>
      <w:r w:rsidRPr="001F2586">
        <w:rPr>
          <w:rFonts w:eastAsia="Calibri"/>
          <w:b/>
          <w:bCs/>
          <w:rtl/>
        </w:rPr>
        <w:t xml:space="preserve"> </w:t>
      </w:r>
      <w:r w:rsidRPr="001F2586">
        <w:rPr>
          <w:rFonts w:eastAsia="Calibri" w:hint="eastAsia"/>
          <w:b/>
          <w:bCs/>
          <w:rtl/>
        </w:rPr>
        <w:t>בקרב</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זאת</w:t>
      </w:r>
      <w:r w:rsidRPr="001F2586">
        <w:rPr>
          <w:rFonts w:eastAsia="Calibri"/>
          <w:b/>
          <w:bCs/>
          <w:rtl/>
        </w:rPr>
        <w:t xml:space="preserve"> </w:t>
      </w:r>
      <w:r w:rsidRPr="001F2586">
        <w:rPr>
          <w:rFonts w:eastAsia="Calibri" w:hint="eastAsia"/>
          <w:b/>
          <w:bCs/>
          <w:rtl/>
        </w:rPr>
        <w:t>ועוד</w:t>
      </w:r>
      <w:r w:rsidRPr="001F2586">
        <w:rPr>
          <w:rFonts w:eastAsia="Calibri"/>
          <w:b/>
          <w:bCs/>
          <w:rtl/>
        </w:rPr>
        <w:t xml:space="preserve"> </w:t>
      </w:r>
      <w:r w:rsidRPr="001F2586">
        <w:rPr>
          <w:rFonts w:eastAsia="Calibri" w:hint="eastAsia"/>
          <w:b/>
          <w:bCs/>
          <w:rtl/>
        </w:rPr>
        <w:t>ממצאי</w:t>
      </w:r>
      <w:r w:rsidRPr="001F2586">
        <w:rPr>
          <w:rFonts w:eastAsia="Calibri"/>
          <w:b/>
          <w:bCs/>
          <w:rtl/>
        </w:rPr>
        <w:t xml:space="preserve"> </w:t>
      </w:r>
      <w:r w:rsidRPr="001F2586">
        <w:rPr>
          <w:rFonts w:eastAsia="Calibri" w:hint="eastAsia"/>
          <w:b/>
          <w:bCs/>
          <w:rtl/>
        </w:rPr>
        <w:t>הסקירה</w:t>
      </w:r>
      <w:r w:rsidRPr="001F2586">
        <w:rPr>
          <w:rFonts w:eastAsia="Calibri"/>
          <w:b/>
          <w:bCs/>
          <w:rtl/>
        </w:rPr>
        <w:t xml:space="preserve"> </w:t>
      </w:r>
      <w:r w:rsidRPr="001F2586">
        <w:rPr>
          <w:rFonts w:eastAsia="Calibri" w:hint="eastAsia"/>
          <w:b/>
          <w:bCs/>
          <w:rtl/>
        </w:rPr>
        <w:t>הצביעו</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כך</w:t>
      </w:r>
      <w:r w:rsidRPr="001F2586">
        <w:rPr>
          <w:rFonts w:eastAsia="Calibri"/>
          <w:b/>
          <w:bCs/>
          <w:rtl/>
        </w:rPr>
        <w:t xml:space="preserve"> </w:t>
      </w:r>
      <w:r w:rsidRPr="001F2586">
        <w:rPr>
          <w:rFonts w:eastAsia="Calibri" w:hint="eastAsia"/>
          <w:b/>
          <w:bCs/>
          <w:rtl/>
        </w:rPr>
        <w:t>שברוב</w:t>
      </w:r>
      <w:r w:rsidRPr="001F2586">
        <w:rPr>
          <w:rFonts w:eastAsia="Calibri"/>
          <w:b/>
          <w:bCs/>
          <w:rtl/>
        </w:rPr>
        <w:t xml:space="preserve"> </w:t>
      </w:r>
      <w:r w:rsidRPr="001F2586">
        <w:rPr>
          <w:rFonts w:eastAsia="Calibri" w:hint="eastAsia"/>
          <w:b/>
          <w:bCs/>
          <w:rtl/>
        </w:rPr>
        <w:t>העסקאות</w:t>
      </w:r>
      <w:r w:rsidRPr="001F2586">
        <w:rPr>
          <w:rFonts w:eastAsia="Calibri"/>
          <w:b/>
          <w:bCs/>
          <w:rtl/>
        </w:rPr>
        <w:t xml:space="preserve"> </w:t>
      </w:r>
      <w:r w:rsidRPr="001F2586">
        <w:rPr>
          <w:rFonts w:eastAsia="Calibri" w:hint="eastAsia"/>
          <w:b/>
          <w:bCs/>
          <w:rtl/>
        </w:rPr>
        <w:t>בהן</w:t>
      </w:r>
      <w:r w:rsidRPr="001F2586">
        <w:rPr>
          <w:rFonts w:eastAsia="Calibri"/>
          <w:b/>
          <w:bCs/>
          <w:rtl/>
        </w:rPr>
        <w:t xml:space="preserve"> </w:t>
      </w:r>
      <w:r w:rsidRPr="001F2586">
        <w:rPr>
          <w:rFonts w:eastAsia="Calibri" w:hint="eastAsia"/>
          <w:b/>
          <w:bCs/>
          <w:rtl/>
        </w:rPr>
        <w:t>ניתנו</w:t>
      </w:r>
      <w:r w:rsidRPr="001F2586">
        <w:rPr>
          <w:rFonts w:eastAsia="Calibri"/>
          <w:b/>
          <w:bCs/>
          <w:rtl/>
        </w:rPr>
        <w:t xml:space="preserve"> </w:t>
      </w:r>
      <w:r w:rsidRPr="001F2586">
        <w:rPr>
          <w:rFonts w:eastAsia="Calibri" w:hint="eastAsia"/>
          <w:b/>
          <w:bCs/>
          <w:rtl/>
        </w:rPr>
        <w:t>הטבות</w:t>
      </w:r>
      <w:r w:rsidRPr="001F2586">
        <w:rPr>
          <w:rFonts w:eastAsia="Calibri"/>
          <w:b/>
          <w:bCs/>
          <w:rtl/>
        </w:rPr>
        <w:t xml:space="preserve"> </w:t>
      </w:r>
      <w:r w:rsidRPr="001F2586">
        <w:rPr>
          <w:rFonts w:eastAsia="Calibri" w:hint="eastAsia"/>
          <w:b/>
          <w:bCs/>
          <w:rtl/>
        </w:rPr>
        <w:t>מימון</w:t>
      </w:r>
      <w:r w:rsidRPr="001F2586">
        <w:rPr>
          <w:rFonts w:eastAsia="Calibri"/>
          <w:b/>
          <w:bCs/>
          <w:rtl/>
        </w:rPr>
        <w:t xml:space="preserve"> </w:t>
      </w:r>
      <w:r w:rsidRPr="001F2586">
        <w:rPr>
          <w:rFonts w:eastAsia="Calibri" w:hint="eastAsia"/>
          <w:b/>
          <w:bCs/>
          <w:rtl/>
        </w:rPr>
        <w:t>משלם</w:t>
      </w:r>
      <w:r w:rsidRPr="001F2586">
        <w:rPr>
          <w:rFonts w:eastAsia="Calibri"/>
          <w:b/>
          <w:bCs/>
          <w:rtl/>
        </w:rPr>
        <w:t xml:space="preserve"> </w:t>
      </w:r>
      <w:r w:rsidRPr="001F2586">
        <w:rPr>
          <w:rFonts w:eastAsia="Calibri" w:hint="eastAsia"/>
          <w:b/>
          <w:bCs/>
          <w:rtl/>
        </w:rPr>
        <w:t>הרוכש</w:t>
      </w:r>
      <w:r w:rsidRPr="001F2586">
        <w:rPr>
          <w:rFonts w:eastAsia="Calibri"/>
          <w:b/>
          <w:bCs/>
          <w:rtl/>
        </w:rPr>
        <w:t xml:space="preserve"> </w:t>
      </w:r>
      <w:r w:rsidRPr="001F2586">
        <w:rPr>
          <w:rFonts w:eastAsia="Calibri" w:hint="eastAsia"/>
          <w:b/>
          <w:bCs/>
          <w:rtl/>
        </w:rPr>
        <w:t>במועד</w:t>
      </w:r>
      <w:r w:rsidRPr="001F2586">
        <w:rPr>
          <w:rFonts w:eastAsia="Calibri"/>
          <w:b/>
          <w:bCs/>
          <w:rtl/>
        </w:rPr>
        <w:t xml:space="preserve"> </w:t>
      </w:r>
      <w:r w:rsidRPr="001F2586">
        <w:rPr>
          <w:rFonts w:eastAsia="Calibri" w:hint="eastAsia"/>
          <w:b/>
          <w:bCs/>
          <w:rtl/>
        </w:rPr>
        <w:t>העסקה</w:t>
      </w:r>
      <w:r w:rsidRPr="001F2586">
        <w:rPr>
          <w:rFonts w:eastAsia="Calibri"/>
          <w:b/>
          <w:bCs/>
          <w:rtl/>
        </w:rPr>
        <w:t xml:space="preserve"> </w:t>
      </w:r>
      <w:r w:rsidRPr="001F2586">
        <w:rPr>
          <w:rFonts w:eastAsia="Calibri" w:hint="eastAsia"/>
          <w:b/>
          <w:bCs/>
          <w:rtl/>
        </w:rPr>
        <w:t>לכל</w:t>
      </w:r>
      <w:r w:rsidRPr="001F2586">
        <w:rPr>
          <w:rFonts w:eastAsia="Calibri"/>
          <w:b/>
          <w:bCs/>
          <w:rtl/>
        </w:rPr>
        <w:t xml:space="preserve"> </w:t>
      </w:r>
      <w:r w:rsidRPr="001F2586">
        <w:rPr>
          <w:rFonts w:eastAsia="Calibri" w:hint="eastAsia"/>
          <w:b/>
          <w:bCs/>
          <w:rtl/>
        </w:rPr>
        <w:t>היותר</w:t>
      </w:r>
      <w:r w:rsidRPr="001F2586">
        <w:rPr>
          <w:rFonts w:eastAsia="Calibri"/>
          <w:b/>
          <w:bCs/>
          <w:rtl/>
        </w:rPr>
        <w:t xml:space="preserve"> 15% </w:t>
      </w:r>
      <w:r w:rsidRPr="001F2586">
        <w:rPr>
          <w:rFonts w:eastAsia="Calibri" w:hint="eastAsia"/>
          <w:b/>
          <w:bCs/>
          <w:rtl/>
        </w:rPr>
        <w:t>מהמחיר</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w:t>
      </w:r>
      <w:r w:rsidRPr="001F2586">
        <w:rPr>
          <w:rFonts w:eastAsia="Calibri" w:hint="cs"/>
          <w:b/>
          <w:bCs/>
          <w:rtl/>
        </w:rPr>
        <w:t xml:space="preserve">ן </w:t>
      </w:r>
      <w:r w:rsidRPr="001F2586">
        <w:rPr>
          <w:rFonts w:eastAsia="Calibri" w:hint="eastAsia"/>
          <w:b/>
          <w:bCs/>
          <w:rtl/>
        </w:rPr>
        <w:t>הנתונים</w:t>
      </w:r>
      <w:r w:rsidRPr="001F2586">
        <w:rPr>
          <w:rFonts w:eastAsia="Calibri"/>
          <w:b/>
          <w:bCs/>
          <w:rtl/>
        </w:rPr>
        <w:t xml:space="preserve"> שהוצגו עולה כי קיימים הבדלים בבסיס המידע או במתודולוגיה לאמידת היקף מבצעי עידוד בגופים שונים המתבטאים בפערים בהיקפם המדווח. כאמור, בהתאם לסקירת הכלכלן הראשי 23.5% - 60.6% מהעסקאות כוללות מבצעי עידוד בהם דחייה משמעותית </w:t>
      </w:r>
      <w:r w:rsidRPr="001F2586">
        <w:rPr>
          <w:rFonts w:eastAsia="Calibri"/>
          <w:b/>
          <w:bCs/>
          <w:rtl/>
        </w:rPr>
        <w:t>בתשלומים, ואילו הנתונים המדווחים בסקירת הפיקוח על הבנקים</w:t>
      </w:r>
      <w:r w:rsidRPr="001F2586">
        <w:rPr>
          <w:rFonts w:eastAsia="Calibri" w:hint="cs"/>
          <w:b/>
          <w:bCs/>
          <w:rtl/>
        </w:rPr>
        <w:t xml:space="preserve"> הם כ-60%</w:t>
      </w:r>
      <w:r w:rsidRPr="001F2586">
        <w:rPr>
          <w:rFonts w:eastAsia="Calibri"/>
          <w:b/>
          <w:bCs/>
          <w:rtl/>
        </w:rPr>
        <w:t xml:space="preserve"> ובהודעת </w:t>
      </w:r>
      <w:r w:rsidRPr="001F2586">
        <w:rPr>
          <w:rFonts w:eastAsia="Calibri"/>
          <w:b/>
          <w:bCs/>
          <w:rtl/>
        </w:rPr>
        <w:t>הלמ"ס</w:t>
      </w:r>
      <w:r w:rsidRPr="001F2586">
        <w:rPr>
          <w:rFonts w:eastAsia="Calibri"/>
          <w:b/>
          <w:bCs/>
          <w:rtl/>
        </w:rPr>
        <w:t xml:space="preserve"> הם כ-14.4%. </w:t>
      </w:r>
      <w:r w:rsidRPr="001F2586">
        <w:rPr>
          <w:rFonts w:eastAsia="Calibri" w:hint="eastAsia"/>
          <w:b/>
          <w:bCs/>
          <w:rtl/>
        </w:rPr>
        <w:t>נתוני</w:t>
      </w:r>
      <w:r w:rsidRPr="001F2586">
        <w:rPr>
          <w:rFonts w:eastAsia="Calibri"/>
          <w:b/>
          <w:bCs/>
          <w:rtl/>
        </w:rPr>
        <w:t xml:space="preserve">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מבוססים</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נתונים</w:t>
      </w:r>
      <w:r w:rsidRPr="001F2586">
        <w:rPr>
          <w:rFonts w:eastAsia="Calibri"/>
          <w:b/>
          <w:bCs/>
          <w:rtl/>
        </w:rPr>
        <w:t xml:space="preserve"> </w:t>
      </w:r>
      <w:r w:rsidRPr="001F2586">
        <w:rPr>
          <w:rFonts w:eastAsia="Calibri" w:hint="eastAsia"/>
          <w:b/>
          <w:bCs/>
          <w:rtl/>
        </w:rPr>
        <w:t>שהתקבלו</w:t>
      </w:r>
      <w:r w:rsidRPr="001F2586">
        <w:rPr>
          <w:rFonts w:eastAsia="Calibri"/>
          <w:b/>
          <w:bCs/>
          <w:rtl/>
        </w:rPr>
        <w:t xml:space="preserve"> </w:t>
      </w:r>
      <w:r w:rsidRPr="001F2586">
        <w:rPr>
          <w:rFonts w:eastAsia="Calibri" w:hint="eastAsia"/>
          <w:b/>
          <w:bCs/>
          <w:rtl/>
        </w:rPr>
        <w:t>מהמערכת</w:t>
      </w:r>
      <w:r w:rsidRPr="001F2586">
        <w:rPr>
          <w:rFonts w:eastAsia="Calibri"/>
          <w:b/>
          <w:bCs/>
          <w:rtl/>
        </w:rPr>
        <w:t xml:space="preserve"> </w:t>
      </w:r>
      <w:r w:rsidRPr="001F2586">
        <w:rPr>
          <w:rFonts w:eastAsia="Calibri" w:hint="eastAsia"/>
          <w:b/>
          <w:bCs/>
          <w:rtl/>
        </w:rPr>
        <w:t>הבנקאית</w:t>
      </w:r>
      <w:r w:rsidRPr="001F2586">
        <w:rPr>
          <w:rFonts w:eastAsia="Calibri"/>
          <w:b/>
          <w:bCs/>
          <w:rtl/>
        </w:rPr>
        <w:t xml:space="preserve">. </w:t>
      </w:r>
      <w:r w:rsidRPr="001F2586">
        <w:rPr>
          <w:rFonts w:eastAsia="Calibri" w:hint="eastAsia"/>
          <w:b/>
          <w:bCs/>
          <w:rtl/>
        </w:rPr>
        <w:t>לעומת</w:t>
      </w:r>
      <w:r w:rsidRPr="001F2586">
        <w:rPr>
          <w:rFonts w:eastAsia="Calibri"/>
          <w:b/>
          <w:bCs/>
          <w:rtl/>
        </w:rPr>
        <w:t xml:space="preserve"> </w:t>
      </w:r>
      <w:r w:rsidRPr="001F2586">
        <w:rPr>
          <w:rFonts w:eastAsia="Calibri" w:hint="eastAsia"/>
          <w:b/>
          <w:bCs/>
          <w:rtl/>
        </w:rPr>
        <w:t>זאת</w:t>
      </w:r>
      <w:r w:rsidRPr="001F2586">
        <w:rPr>
          <w:rFonts w:eastAsia="Calibri"/>
          <w:b/>
          <w:bCs/>
          <w:rtl/>
        </w:rPr>
        <w:t xml:space="preserve"> </w:t>
      </w:r>
      <w:r w:rsidRPr="001F2586">
        <w:rPr>
          <w:rFonts w:eastAsia="Calibri" w:hint="eastAsia"/>
          <w:b/>
          <w:bCs/>
          <w:rtl/>
        </w:rPr>
        <w:t>בסיס</w:t>
      </w:r>
      <w:r w:rsidRPr="001F2586">
        <w:rPr>
          <w:rFonts w:eastAsia="Calibri"/>
          <w:b/>
          <w:bCs/>
          <w:rtl/>
        </w:rPr>
        <w:t xml:space="preserve"> </w:t>
      </w:r>
      <w:r w:rsidRPr="001F2586">
        <w:rPr>
          <w:rFonts w:eastAsia="Calibri" w:hint="eastAsia"/>
          <w:b/>
          <w:bCs/>
          <w:rtl/>
        </w:rPr>
        <w:t>הנתונים</w:t>
      </w:r>
      <w:r w:rsidRPr="001F2586">
        <w:rPr>
          <w:rFonts w:eastAsia="Calibri"/>
          <w:b/>
          <w:bCs/>
          <w:rtl/>
        </w:rPr>
        <w:t xml:space="preserve"> </w:t>
      </w:r>
      <w:r w:rsidRPr="001F2586">
        <w:rPr>
          <w:rFonts w:eastAsia="Calibri" w:hint="eastAsia"/>
          <w:b/>
          <w:bCs/>
          <w:rtl/>
        </w:rPr>
        <w:t>לחישוב</w:t>
      </w:r>
      <w:r w:rsidRPr="001F2586">
        <w:rPr>
          <w:rFonts w:eastAsia="Calibri"/>
          <w:b/>
          <w:bCs/>
          <w:rtl/>
        </w:rPr>
        <w:t xml:space="preserve"> </w:t>
      </w:r>
      <w:r w:rsidRPr="001F2586">
        <w:rPr>
          <w:rFonts w:eastAsia="Calibri" w:hint="eastAsia"/>
          <w:b/>
          <w:bCs/>
          <w:rtl/>
        </w:rPr>
        <w:t>הלמ</w:t>
      </w:r>
      <w:r w:rsidRPr="001F2586">
        <w:rPr>
          <w:rFonts w:eastAsia="Calibri"/>
          <w:b/>
          <w:bCs/>
          <w:rtl/>
        </w:rPr>
        <w:t>"ס</w:t>
      </w:r>
      <w:r w:rsidRPr="001F2586">
        <w:rPr>
          <w:rFonts w:eastAsia="Calibri"/>
          <w:b/>
          <w:bCs/>
          <w:rtl/>
        </w:rPr>
        <w:t xml:space="preserve"> </w:t>
      </w:r>
      <w:r w:rsidRPr="001F2586">
        <w:rPr>
          <w:rFonts w:eastAsia="Calibri" w:hint="eastAsia"/>
          <w:b/>
          <w:bCs/>
          <w:rtl/>
        </w:rPr>
        <w:t>הוא</w:t>
      </w:r>
      <w:r w:rsidRPr="001F2586">
        <w:rPr>
          <w:rFonts w:eastAsia="Calibri"/>
          <w:b/>
          <w:bCs/>
          <w:rtl/>
        </w:rPr>
        <w:t xml:space="preserve"> </w:t>
      </w:r>
      <w:r w:rsidRPr="001F2586">
        <w:rPr>
          <w:rFonts w:eastAsia="Calibri" w:hint="eastAsia"/>
          <w:b/>
          <w:bCs/>
          <w:rtl/>
        </w:rPr>
        <w:t>נתוני</w:t>
      </w:r>
      <w:r w:rsidRPr="001F2586">
        <w:rPr>
          <w:rFonts w:eastAsia="Calibri"/>
          <w:b/>
          <w:bCs/>
          <w:rtl/>
        </w:rPr>
        <w:t xml:space="preserve"> </w:t>
      </w:r>
      <w:r w:rsidRPr="001F2586">
        <w:rPr>
          <w:rFonts w:eastAsia="Calibri" w:hint="eastAsia"/>
          <w:b/>
          <w:bCs/>
          <w:rtl/>
        </w:rPr>
        <w:t>רשות</w:t>
      </w:r>
      <w:r w:rsidRPr="001F2586">
        <w:rPr>
          <w:rFonts w:eastAsia="Calibri"/>
          <w:b/>
          <w:bCs/>
          <w:rtl/>
        </w:rPr>
        <w:t xml:space="preserve"> </w:t>
      </w:r>
      <w:r w:rsidRPr="001F2586">
        <w:rPr>
          <w:rFonts w:eastAsia="Calibri" w:hint="eastAsia"/>
          <w:b/>
          <w:bCs/>
          <w:rtl/>
        </w:rPr>
        <w:t>המסים</w:t>
      </w:r>
      <w:r w:rsidRPr="001F2586">
        <w:rPr>
          <w:rFonts w:eastAsia="Calibri"/>
          <w:b/>
          <w:bCs/>
          <w:rtl/>
        </w:rPr>
        <w:t xml:space="preserve">, </w:t>
      </w:r>
      <w:r w:rsidRPr="001F2586">
        <w:rPr>
          <w:rFonts w:eastAsia="Calibri" w:hint="eastAsia"/>
          <w:b/>
          <w:bCs/>
          <w:rtl/>
        </w:rPr>
        <w:t>שהתקבלו</w:t>
      </w:r>
      <w:r w:rsidRPr="001F2586">
        <w:rPr>
          <w:rFonts w:eastAsia="Calibri"/>
          <w:b/>
          <w:bCs/>
          <w:rtl/>
        </w:rPr>
        <w:t xml:space="preserve"> </w:t>
      </w:r>
      <w:r w:rsidRPr="001F2586">
        <w:rPr>
          <w:rFonts w:eastAsia="Calibri" w:hint="eastAsia"/>
          <w:b/>
          <w:bCs/>
          <w:rtl/>
        </w:rPr>
        <w:t>בעקבות</w:t>
      </w:r>
      <w:r w:rsidRPr="001F2586">
        <w:rPr>
          <w:rFonts w:eastAsia="Calibri"/>
          <w:b/>
          <w:bCs/>
          <w:rtl/>
        </w:rPr>
        <w:t xml:space="preserve"> </w:t>
      </w:r>
      <w:r w:rsidRPr="001F2586">
        <w:rPr>
          <w:rFonts w:eastAsia="Calibri" w:hint="eastAsia"/>
          <w:b/>
          <w:bCs/>
          <w:rtl/>
        </w:rPr>
        <w:t>חובת</w:t>
      </w:r>
      <w:r w:rsidRPr="001F2586">
        <w:rPr>
          <w:rFonts w:eastAsia="Calibri"/>
          <w:b/>
          <w:bCs/>
          <w:rtl/>
        </w:rPr>
        <w:t xml:space="preserve"> </w:t>
      </w:r>
      <w:r w:rsidRPr="001F2586">
        <w:rPr>
          <w:rFonts w:eastAsia="Calibri" w:hint="eastAsia"/>
          <w:b/>
          <w:bCs/>
          <w:rtl/>
        </w:rPr>
        <w:t>דיווח</w:t>
      </w:r>
      <w:r w:rsidRPr="001F2586">
        <w:rPr>
          <w:rFonts w:eastAsia="Calibri"/>
          <w:b/>
          <w:bCs/>
          <w:rtl/>
        </w:rPr>
        <w:t xml:space="preserve"> </w:t>
      </w:r>
      <w:r w:rsidRPr="001F2586">
        <w:rPr>
          <w:rFonts w:eastAsia="Calibri" w:hint="eastAsia"/>
          <w:b/>
          <w:bCs/>
          <w:rtl/>
        </w:rPr>
        <w:t>שהוטלה</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בנובמבר</w:t>
      </w:r>
      <w:r w:rsidRPr="001F2586">
        <w:rPr>
          <w:rFonts w:eastAsia="Calibri"/>
          <w:b/>
          <w:bCs/>
          <w:rtl/>
        </w:rPr>
        <w:t xml:space="preserve"> 2024, </w:t>
      </w:r>
      <w:r w:rsidRPr="001F2586">
        <w:rPr>
          <w:rFonts w:eastAsia="Calibri" w:hint="eastAsia"/>
          <w:b/>
          <w:bCs/>
          <w:rtl/>
        </w:rPr>
        <w:t>ולפיו</w:t>
      </w:r>
      <w:r w:rsidRPr="001F2586">
        <w:rPr>
          <w:rFonts w:eastAsia="Calibri"/>
          <w:b/>
          <w:bCs/>
          <w:rtl/>
        </w:rPr>
        <w:t xml:space="preserve"> </w:t>
      </w:r>
      <w:r w:rsidRPr="001F2586">
        <w:rPr>
          <w:rFonts w:eastAsia="Calibri" w:hint="eastAsia"/>
          <w:b/>
          <w:bCs/>
          <w:rtl/>
        </w:rPr>
        <w:t>התבצעו</w:t>
      </w:r>
      <w:r w:rsidRPr="001F2586">
        <w:rPr>
          <w:rFonts w:eastAsia="Calibri"/>
          <w:b/>
          <w:bCs/>
          <w:rtl/>
        </w:rPr>
        <w:t xml:space="preserve"> 1,734 </w:t>
      </w:r>
      <w:r w:rsidRPr="001F2586">
        <w:rPr>
          <w:rFonts w:eastAsia="Calibri" w:hint="eastAsia"/>
          <w:b/>
          <w:bCs/>
          <w:rtl/>
        </w:rPr>
        <w:t>עסקאות</w:t>
      </w:r>
      <w:r w:rsidRPr="001F2586">
        <w:rPr>
          <w:rFonts w:eastAsia="Calibri"/>
          <w:b/>
          <w:bCs/>
          <w:rtl/>
        </w:rPr>
        <w:t xml:space="preserve"> </w:t>
      </w:r>
      <w:r w:rsidRPr="001F2586">
        <w:rPr>
          <w:rFonts w:eastAsia="Calibri" w:hint="eastAsia"/>
          <w:b/>
          <w:bCs/>
          <w:rtl/>
        </w:rPr>
        <w:t>בתקופה</w:t>
      </w:r>
      <w:r w:rsidRPr="001F2586">
        <w:rPr>
          <w:rFonts w:eastAsia="Calibri"/>
          <w:b/>
          <w:bCs/>
          <w:rtl/>
        </w:rPr>
        <w:t xml:space="preserve"> </w:t>
      </w:r>
      <w:r w:rsidRPr="001F2586">
        <w:rPr>
          <w:rFonts w:eastAsia="Calibri" w:hint="eastAsia"/>
          <w:b/>
          <w:bCs/>
          <w:rtl/>
        </w:rPr>
        <w:t>שבין</w:t>
      </w:r>
      <w:r w:rsidRPr="001F2586">
        <w:rPr>
          <w:rFonts w:eastAsia="Calibri"/>
          <w:b/>
          <w:bCs/>
          <w:rtl/>
        </w:rPr>
        <w:t xml:space="preserve"> </w:t>
      </w:r>
      <w:r w:rsidRPr="001F2586">
        <w:rPr>
          <w:rFonts w:eastAsia="Calibri" w:hint="eastAsia"/>
          <w:b/>
          <w:bCs/>
          <w:rtl/>
        </w:rPr>
        <w:t>נובמבר</w:t>
      </w:r>
      <w:r w:rsidRPr="001F2586">
        <w:rPr>
          <w:rFonts w:eastAsia="Calibri"/>
          <w:b/>
          <w:bCs/>
          <w:rtl/>
        </w:rPr>
        <w:t xml:space="preserve"> 2024 - </w:t>
      </w:r>
      <w:r w:rsidRPr="001F2586">
        <w:rPr>
          <w:rFonts w:eastAsia="Calibri" w:hint="eastAsia"/>
          <w:b/>
          <w:bCs/>
          <w:rtl/>
        </w:rPr>
        <w:t>ינואר</w:t>
      </w:r>
      <w:r w:rsidRPr="001F2586">
        <w:rPr>
          <w:rFonts w:eastAsia="Calibri"/>
          <w:b/>
          <w:bCs/>
          <w:rtl/>
        </w:rPr>
        <w:t xml:space="preserve"> 2025. </w:t>
      </w:r>
      <w:r w:rsidRPr="001F2586">
        <w:rPr>
          <w:rFonts w:eastAsia="Calibri" w:hint="eastAsia"/>
          <w:b/>
          <w:bCs/>
          <w:rtl/>
        </w:rPr>
        <w:t>סקירת</w:t>
      </w:r>
      <w:r w:rsidRPr="001F2586">
        <w:rPr>
          <w:rFonts w:eastAsia="Calibri"/>
          <w:b/>
          <w:bCs/>
          <w:rtl/>
        </w:rPr>
        <w:t xml:space="preserve"> </w:t>
      </w:r>
      <w:r w:rsidRPr="001F2586">
        <w:rPr>
          <w:rFonts w:eastAsia="Calibri" w:hint="eastAsia"/>
          <w:b/>
          <w:bCs/>
          <w:rtl/>
        </w:rPr>
        <w:t>הכלכלן</w:t>
      </w:r>
      <w:r w:rsidRPr="001F2586">
        <w:rPr>
          <w:rFonts w:eastAsia="Calibri"/>
          <w:b/>
          <w:bCs/>
          <w:rtl/>
        </w:rPr>
        <w:t xml:space="preserve"> </w:t>
      </w:r>
      <w:r w:rsidRPr="001F2586">
        <w:rPr>
          <w:rFonts w:eastAsia="Calibri" w:hint="eastAsia"/>
          <w:b/>
          <w:bCs/>
          <w:rtl/>
        </w:rPr>
        <w:t>הראשי</w:t>
      </w:r>
      <w:r w:rsidRPr="001F2586">
        <w:rPr>
          <w:rFonts w:eastAsia="Calibri"/>
          <w:b/>
          <w:bCs/>
          <w:rtl/>
        </w:rPr>
        <w:t xml:space="preserve"> </w:t>
      </w:r>
      <w:r w:rsidRPr="001F2586">
        <w:rPr>
          <w:rFonts w:eastAsia="Calibri" w:hint="eastAsia"/>
          <w:b/>
          <w:bCs/>
          <w:rtl/>
        </w:rPr>
        <w:t>מבוססת</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נתוני</w:t>
      </w:r>
      <w:r w:rsidRPr="001F2586">
        <w:rPr>
          <w:rFonts w:eastAsia="Calibri"/>
          <w:b/>
          <w:bCs/>
          <w:rtl/>
        </w:rPr>
        <w:t xml:space="preserve"> </w:t>
      </w:r>
      <w:r w:rsidRPr="001F2586">
        <w:rPr>
          <w:rFonts w:eastAsia="Calibri" w:hint="eastAsia"/>
          <w:b/>
          <w:bCs/>
          <w:rtl/>
        </w:rPr>
        <w:t>רשות</w:t>
      </w:r>
      <w:r w:rsidRPr="001F2586">
        <w:rPr>
          <w:rFonts w:eastAsia="Calibri"/>
          <w:b/>
          <w:bCs/>
          <w:rtl/>
        </w:rPr>
        <w:t xml:space="preserve"> </w:t>
      </w:r>
      <w:r w:rsidRPr="001F2586">
        <w:rPr>
          <w:rFonts w:eastAsia="Calibri" w:hint="eastAsia"/>
          <w:b/>
          <w:bCs/>
          <w:rtl/>
        </w:rPr>
        <w:t>המסים</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עסקאות</w:t>
      </w:r>
      <w:r w:rsidRPr="001F2586">
        <w:rPr>
          <w:rFonts w:eastAsia="Calibri"/>
          <w:b/>
          <w:bCs/>
          <w:rtl/>
        </w:rPr>
        <w:t xml:space="preserve"> </w:t>
      </w:r>
      <w:r w:rsidRPr="001F2586">
        <w:rPr>
          <w:rFonts w:eastAsia="Calibri" w:hint="eastAsia"/>
          <w:b/>
          <w:bCs/>
          <w:rtl/>
        </w:rPr>
        <w:t>בפועל</w:t>
      </w:r>
      <w:r w:rsidRPr="001F2586">
        <w:rPr>
          <w:rFonts w:eastAsia="Calibri"/>
          <w:b/>
          <w:bCs/>
          <w:rtl/>
        </w:rPr>
        <w:t xml:space="preserve"> </w:t>
      </w:r>
      <w:r w:rsidRPr="001F2586">
        <w:rPr>
          <w:rFonts w:eastAsia="Calibri" w:hint="eastAsia"/>
          <w:b/>
          <w:bCs/>
          <w:rtl/>
        </w:rPr>
        <w:t>בחמישה</w:t>
      </w:r>
      <w:r w:rsidRPr="001F2586">
        <w:rPr>
          <w:rFonts w:eastAsia="Calibri"/>
          <w:b/>
          <w:bCs/>
          <w:rtl/>
        </w:rPr>
        <w:t xml:space="preserve"> </w:t>
      </w:r>
      <w:r w:rsidRPr="001F2586">
        <w:rPr>
          <w:rFonts w:eastAsia="Calibri" w:hint="eastAsia"/>
          <w:b/>
          <w:bCs/>
          <w:rtl/>
        </w:rPr>
        <w:t>מתוך</w:t>
      </w:r>
      <w:r w:rsidRPr="001F2586">
        <w:rPr>
          <w:rFonts w:eastAsia="Calibri"/>
          <w:b/>
          <w:bCs/>
          <w:rtl/>
        </w:rPr>
        <w:t xml:space="preserve"> </w:t>
      </w:r>
      <w:r w:rsidRPr="001F2586">
        <w:rPr>
          <w:rFonts w:eastAsia="Calibri" w:hint="eastAsia"/>
          <w:b/>
          <w:bCs/>
          <w:rtl/>
        </w:rPr>
        <w:t>עשרה</w:t>
      </w:r>
      <w:r w:rsidRPr="001F2586">
        <w:rPr>
          <w:rFonts w:eastAsia="Calibri"/>
          <w:b/>
          <w:bCs/>
          <w:rtl/>
        </w:rPr>
        <w:t xml:space="preserve"> </w:t>
      </w:r>
      <w:r w:rsidRPr="001F2586">
        <w:rPr>
          <w:rFonts w:eastAsia="Calibri" w:hint="eastAsia"/>
          <w:b/>
          <w:bCs/>
          <w:rtl/>
        </w:rPr>
        <w:t>אזורי</w:t>
      </w:r>
      <w:r w:rsidRPr="001F2586">
        <w:rPr>
          <w:rFonts w:eastAsia="Calibri"/>
          <w:b/>
          <w:bCs/>
          <w:rtl/>
        </w:rPr>
        <w:t xml:space="preserve"> </w:t>
      </w:r>
      <w:r w:rsidRPr="001F2586">
        <w:rPr>
          <w:rFonts w:eastAsia="Calibri" w:hint="eastAsia"/>
          <w:b/>
          <w:bCs/>
          <w:rtl/>
        </w:rPr>
        <w:t>מיסוי</w:t>
      </w:r>
      <w:r w:rsidRPr="001F2586">
        <w:rPr>
          <w:rFonts w:eastAsia="Calibri"/>
          <w:b/>
          <w:bCs/>
          <w:rtl/>
        </w:rPr>
        <w:t xml:space="preserve"> </w:t>
      </w:r>
      <w:r w:rsidRPr="001F2586">
        <w:rPr>
          <w:rFonts w:eastAsia="Calibri" w:hint="eastAsia"/>
          <w:b/>
          <w:bCs/>
          <w:rtl/>
        </w:rPr>
        <w:t>ולפיהן</w:t>
      </w:r>
      <w:r w:rsidRPr="001F2586">
        <w:rPr>
          <w:rFonts w:eastAsia="Calibri"/>
          <w:b/>
          <w:bCs/>
          <w:rtl/>
        </w:rPr>
        <w:t xml:space="preserve"> </w:t>
      </w:r>
      <w:r w:rsidRPr="001F2586">
        <w:rPr>
          <w:rFonts w:eastAsia="Calibri" w:hint="eastAsia"/>
          <w:b/>
          <w:bCs/>
          <w:rtl/>
        </w:rPr>
        <w:t>בוצעו</w:t>
      </w:r>
      <w:r w:rsidRPr="001F2586">
        <w:rPr>
          <w:rFonts w:eastAsia="Calibri"/>
          <w:b/>
          <w:bCs/>
          <w:rtl/>
        </w:rPr>
        <w:t xml:space="preserve"> </w:t>
      </w:r>
      <w:r w:rsidRPr="001F2586">
        <w:rPr>
          <w:rFonts w:eastAsia="Calibri" w:hint="eastAsia"/>
          <w:b/>
          <w:bCs/>
          <w:rtl/>
        </w:rPr>
        <w:t>בתקופה</w:t>
      </w:r>
      <w:r w:rsidRPr="001F2586">
        <w:rPr>
          <w:rFonts w:eastAsia="Calibri"/>
          <w:b/>
          <w:bCs/>
          <w:rtl/>
        </w:rPr>
        <w:t xml:space="preserve"> </w:t>
      </w:r>
      <w:r w:rsidRPr="001F2586">
        <w:rPr>
          <w:rFonts w:eastAsia="Calibri" w:hint="eastAsia"/>
          <w:b/>
          <w:bCs/>
          <w:rtl/>
        </w:rPr>
        <w:t>זו</w:t>
      </w:r>
      <w:r w:rsidRPr="001F2586">
        <w:rPr>
          <w:rFonts w:eastAsia="Calibri"/>
          <w:b/>
          <w:bCs/>
          <w:rtl/>
        </w:rPr>
        <w:t xml:space="preserve"> 11,700 </w:t>
      </w:r>
      <w:r w:rsidRPr="001F2586">
        <w:rPr>
          <w:rFonts w:eastAsia="Calibri" w:hint="eastAsia"/>
          <w:b/>
          <w:bCs/>
          <w:rtl/>
        </w:rPr>
        <w:t>עסקאות</w:t>
      </w:r>
      <w:r w:rsidRPr="001F2586">
        <w:rPr>
          <w:rFonts w:eastAsia="Calibri"/>
          <w:b/>
          <w:bCs/>
          <w:rtl/>
        </w:rPr>
        <w:t xml:space="preserve">. </w:t>
      </w:r>
      <w:r w:rsidRPr="001F2586">
        <w:rPr>
          <w:rFonts w:eastAsia="Calibri" w:hint="eastAsia"/>
          <w:b/>
          <w:bCs/>
          <w:rtl/>
        </w:rPr>
        <w:t>זאת</w:t>
      </w:r>
      <w:r w:rsidRPr="001F2586">
        <w:rPr>
          <w:rFonts w:eastAsia="Calibri"/>
          <w:b/>
          <w:bCs/>
          <w:rtl/>
        </w:rPr>
        <w:t xml:space="preserve"> </w:t>
      </w:r>
      <w:r w:rsidRPr="001F2586">
        <w:rPr>
          <w:rFonts w:eastAsia="Calibri" w:hint="eastAsia"/>
          <w:b/>
          <w:bCs/>
          <w:rtl/>
        </w:rPr>
        <w:t>ועוד</w:t>
      </w:r>
      <w:r w:rsidRPr="001F2586">
        <w:rPr>
          <w:rFonts w:eastAsia="Calibri"/>
          <w:b/>
          <w:bCs/>
          <w:rtl/>
        </w:rPr>
        <w:t xml:space="preserve">, </w:t>
      </w:r>
      <w:r w:rsidRPr="001F2586">
        <w:rPr>
          <w:rFonts w:eastAsia="Calibri" w:hint="eastAsia"/>
          <w:b/>
          <w:bCs/>
          <w:rtl/>
        </w:rPr>
        <w:t>בסקירת</w:t>
      </w:r>
      <w:r w:rsidRPr="001F2586">
        <w:rPr>
          <w:rFonts w:eastAsia="Calibri"/>
          <w:b/>
          <w:bCs/>
          <w:rtl/>
        </w:rPr>
        <w:t xml:space="preserve"> </w:t>
      </w:r>
      <w:r w:rsidRPr="001F2586">
        <w:rPr>
          <w:rFonts w:eastAsia="Calibri" w:hint="eastAsia"/>
          <w:b/>
          <w:bCs/>
          <w:rtl/>
        </w:rPr>
        <w:t>הכלכלן</w:t>
      </w:r>
      <w:r w:rsidRPr="001F2586">
        <w:rPr>
          <w:rFonts w:eastAsia="Calibri"/>
          <w:b/>
          <w:bCs/>
          <w:rtl/>
        </w:rPr>
        <w:t xml:space="preserve"> </w:t>
      </w:r>
      <w:r w:rsidRPr="001F2586">
        <w:rPr>
          <w:rFonts w:eastAsia="Calibri" w:hint="eastAsia"/>
          <w:b/>
          <w:bCs/>
          <w:rtl/>
        </w:rPr>
        <w:t>הראשי</w:t>
      </w:r>
      <w:r w:rsidRPr="001F2586">
        <w:rPr>
          <w:rFonts w:eastAsia="Calibri"/>
          <w:b/>
          <w:bCs/>
          <w:rtl/>
        </w:rPr>
        <w:t xml:space="preserve"> </w:t>
      </w:r>
      <w:r w:rsidRPr="001F2586">
        <w:rPr>
          <w:rFonts w:eastAsia="Calibri" w:hint="eastAsia"/>
          <w:b/>
          <w:bCs/>
          <w:rtl/>
        </w:rPr>
        <w:t>הופחתו</w:t>
      </w:r>
      <w:r w:rsidRPr="001F2586">
        <w:rPr>
          <w:rFonts w:eastAsia="Calibri"/>
          <w:b/>
          <w:bCs/>
          <w:rtl/>
        </w:rPr>
        <w:t xml:space="preserve"> </w:t>
      </w:r>
      <w:r w:rsidRPr="001F2586">
        <w:rPr>
          <w:rFonts w:eastAsia="Calibri" w:hint="eastAsia"/>
          <w:b/>
          <w:bCs/>
          <w:rtl/>
        </w:rPr>
        <w:t>עסקאות</w:t>
      </w:r>
      <w:r w:rsidRPr="001F2586">
        <w:rPr>
          <w:rFonts w:eastAsia="Calibri"/>
          <w:b/>
          <w:bCs/>
          <w:rtl/>
        </w:rPr>
        <w:t xml:space="preserve"> </w:t>
      </w:r>
      <w:r w:rsidRPr="001F2586">
        <w:rPr>
          <w:rFonts w:eastAsia="Calibri" w:hint="eastAsia"/>
          <w:b/>
          <w:bCs/>
          <w:rtl/>
        </w:rPr>
        <w:t>שנמכרו</w:t>
      </w:r>
      <w:r w:rsidRPr="001F2586">
        <w:rPr>
          <w:rFonts w:eastAsia="Calibri"/>
          <w:b/>
          <w:bCs/>
          <w:rtl/>
        </w:rPr>
        <w:t xml:space="preserve"> </w:t>
      </w:r>
      <w:r w:rsidRPr="001F2586">
        <w:rPr>
          <w:rFonts w:eastAsia="Calibri" w:hint="eastAsia"/>
          <w:b/>
          <w:bCs/>
          <w:rtl/>
        </w:rPr>
        <w:t>עם</w:t>
      </w:r>
      <w:r w:rsidRPr="001F2586">
        <w:rPr>
          <w:rFonts w:eastAsia="Calibri"/>
          <w:b/>
          <w:bCs/>
          <w:rtl/>
        </w:rPr>
        <w:t xml:space="preserve"> </w:t>
      </w:r>
      <w:r w:rsidRPr="001F2586">
        <w:rPr>
          <w:rFonts w:eastAsia="Calibri" w:hint="eastAsia"/>
          <w:b/>
          <w:bCs/>
          <w:rtl/>
        </w:rPr>
        <w:t>סבסוד</w:t>
      </w:r>
      <w:r w:rsidRPr="001F2586">
        <w:rPr>
          <w:rFonts w:eastAsia="Calibri"/>
          <w:b/>
          <w:bCs/>
          <w:rtl/>
        </w:rPr>
        <w:t xml:space="preserve"> </w:t>
      </w:r>
      <w:r w:rsidRPr="001F2586">
        <w:rPr>
          <w:rFonts w:eastAsia="Calibri" w:hint="eastAsia"/>
          <w:b/>
          <w:bCs/>
          <w:rtl/>
        </w:rPr>
        <w:t>ממשלתי</w:t>
      </w:r>
      <w:r w:rsidRPr="001F2586">
        <w:rPr>
          <w:rFonts w:eastAsia="Calibri"/>
          <w:b/>
          <w:bCs/>
          <w:rtl/>
        </w:rPr>
        <w:t xml:space="preserve"> </w:t>
      </w:r>
      <w:r w:rsidRPr="001F2586">
        <w:rPr>
          <w:rFonts w:eastAsia="Calibri" w:hint="eastAsia"/>
          <w:b/>
          <w:bCs/>
          <w:rtl/>
        </w:rPr>
        <w:t>ועסקאות</w:t>
      </w:r>
      <w:r w:rsidRPr="001F2586">
        <w:rPr>
          <w:rFonts w:eastAsia="Calibri"/>
          <w:b/>
          <w:bCs/>
          <w:rtl/>
        </w:rPr>
        <w:t xml:space="preserve"> </w:t>
      </w:r>
      <w:r w:rsidRPr="001F2586">
        <w:rPr>
          <w:rFonts w:eastAsia="Calibri" w:hint="eastAsia"/>
          <w:b/>
          <w:bCs/>
          <w:rtl/>
        </w:rPr>
        <w:t>בהן</w:t>
      </w:r>
      <w:r w:rsidRPr="001F2586">
        <w:rPr>
          <w:rFonts w:eastAsia="Calibri"/>
          <w:b/>
          <w:bCs/>
          <w:rtl/>
        </w:rPr>
        <w:t xml:space="preserve"> </w:t>
      </w:r>
      <w:r w:rsidRPr="001F2586">
        <w:rPr>
          <w:rFonts w:eastAsia="Calibri" w:hint="eastAsia"/>
          <w:b/>
          <w:bCs/>
          <w:rtl/>
        </w:rPr>
        <w:t>תאריך</w:t>
      </w:r>
      <w:r w:rsidRPr="001F2586">
        <w:rPr>
          <w:rFonts w:eastAsia="Calibri"/>
          <w:b/>
          <w:bCs/>
          <w:rtl/>
        </w:rPr>
        <w:t xml:space="preserve"> </w:t>
      </w:r>
      <w:r w:rsidRPr="001F2586">
        <w:rPr>
          <w:rFonts w:eastAsia="Calibri" w:hint="eastAsia"/>
          <w:b/>
          <w:bCs/>
          <w:rtl/>
        </w:rPr>
        <w:t>המסירה</w:t>
      </w:r>
      <w:r w:rsidRPr="001F2586">
        <w:rPr>
          <w:rFonts w:eastAsia="Calibri"/>
          <w:b/>
          <w:bCs/>
          <w:rtl/>
        </w:rPr>
        <w:t xml:space="preserve"> </w:t>
      </w:r>
      <w:r w:rsidRPr="001F2586">
        <w:rPr>
          <w:rFonts w:eastAsia="Calibri" w:hint="eastAsia"/>
          <w:b/>
          <w:bCs/>
          <w:rtl/>
        </w:rPr>
        <w:t>היה</w:t>
      </w:r>
      <w:r w:rsidRPr="001F2586">
        <w:rPr>
          <w:rFonts w:eastAsia="Calibri"/>
          <w:b/>
          <w:bCs/>
          <w:rtl/>
        </w:rPr>
        <w:t xml:space="preserve"> </w:t>
      </w:r>
      <w:r w:rsidRPr="001F2586">
        <w:rPr>
          <w:rFonts w:eastAsia="Calibri" w:hint="eastAsia"/>
          <w:b/>
          <w:bCs/>
          <w:rtl/>
        </w:rPr>
        <w:t>לפחות</w:t>
      </w:r>
      <w:r w:rsidRPr="001F2586">
        <w:rPr>
          <w:rFonts w:eastAsia="Calibri"/>
          <w:b/>
          <w:bCs/>
          <w:rtl/>
        </w:rPr>
        <w:t xml:space="preserve"> </w:t>
      </w:r>
      <w:r w:rsidRPr="001F2586">
        <w:rPr>
          <w:rFonts w:eastAsia="Calibri" w:hint="eastAsia"/>
          <w:b/>
          <w:bCs/>
          <w:rtl/>
        </w:rPr>
        <w:t>שנה</w:t>
      </w:r>
      <w:r w:rsidRPr="001F2586">
        <w:rPr>
          <w:rFonts w:eastAsia="Calibri"/>
          <w:b/>
          <w:bCs/>
          <w:rtl/>
        </w:rPr>
        <w:t xml:space="preserve"> </w:t>
      </w:r>
      <w:r w:rsidRPr="001F2586">
        <w:rPr>
          <w:rFonts w:eastAsia="Calibri" w:hint="eastAsia"/>
          <w:b/>
          <w:bCs/>
          <w:rtl/>
        </w:rPr>
        <w:t>ביחס</w:t>
      </w:r>
      <w:r w:rsidRPr="001F2586">
        <w:rPr>
          <w:rFonts w:eastAsia="Calibri"/>
          <w:b/>
          <w:bCs/>
          <w:rtl/>
        </w:rPr>
        <w:t xml:space="preserve"> </w:t>
      </w:r>
      <w:r w:rsidRPr="001F2586">
        <w:rPr>
          <w:rFonts w:eastAsia="Calibri" w:hint="eastAsia"/>
          <w:b/>
          <w:bCs/>
          <w:rtl/>
        </w:rPr>
        <w:t>למועד</w:t>
      </w:r>
      <w:r w:rsidRPr="001F2586">
        <w:rPr>
          <w:rFonts w:eastAsia="Calibri"/>
          <w:b/>
          <w:bCs/>
          <w:rtl/>
        </w:rPr>
        <w:t xml:space="preserve"> </w:t>
      </w:r>
      <w:r w:rsidRPr="001F2586">
        <w:rPr>
          <w:rFonts w:eastAsia="Calibri" w:hint="eastAsia"/>
          <w:b/>
          <w:bCs/>
          <w:rtl/>
        </w:rPr>
        <w:t>העסקה</w:t>
      </w:r>
      <w:r w:rsidRPr="001F2586">
        <w:rPr>
          <w:rFonts w:eastAsia="Calibri"/>
          <w:b/>
          <w:bCs/>
          <w:rtl/>
        </w:rPr>
        <w:t xml:space="preserve"> (כ-5,500 </w:t>
      </w:r>
      <w:r w:rsidRPr="001F2586">
        <w:rPr>
          <w:rFonts w:eastAsia="Calibri" w:hint="eastAsia"/>
          <w:b/>
          <w:bCs/>
          <w:rtl/>
        </w:rPr>
        <w:t>דירות</w:t>
      </w:r>
      <w:r w:rsidRPr="001F2586">
        <w:rPr>
          <w:rFonts w:eastAsia="Calibri"/>
          <w:b/>
          <w:bCs/>
          <w:rtl/>
        </w:rPr>
        <w:t xml:space="preserve"> </w:t>
      </w:r>
      <w:r w:rsidRPr="001F2586">
        <w:rPr>
          <w:rFonts w:eastAsia="Calibri" w:hint="eastAsia"/>
          <w:b/>
          <w:bCs/>
          <w:rtl/>
        </w:rPr>
        <w:t>יחד</w:t>
      </w:r>
      <w:r w:rsidRPr="001F2586">
        <w:rPr>
          <w:rFonts w:eastAsia="Calibri"/>
          <w:b/>
          <w:bCs/>
          <w:rtl/>
        </w:rPr>
        <w:t xml:space="preserve">), </w:t>
      </w:r>
      <w:r w:rsidRPr="001F2586">
        <w:rPr>
          <w:rFonts w:eastAsia="Calibri" w:hint="eastAsia"/>
          <w:b/>
          <w:bCs/>
          <w:rtl/>
        </w:rPr>
        <w:t>ואילו</w:t>
      </w:r>
      <w:r w:rsidRPr="001F2586">
        <w:rPr>
          <w:rFonts w:eastAsia="Calibri"/>
          <w:b/>
          <w:bCs/>
          <w:rtl/>
        </w:rPr>
        <w:t xml:space="preserve"> </w:t>
      </w:r>
      <w:r w:rsidRPr="001F2586">
        <w:rPr>
          <w:rFonts w:eastAsia="Calibri" w:hint="eastAsia"/>
          <w:b/>
          <w:bCs/>
          <w:rtl/>
        </w:rPr>
        <w:t>בחישוב</w:t>
      </w:r>
      <w:r w:rsidRPr="001F2586">
        <w:rPr>
          <w:rFonts w:eastAsia="Calibri"/>
          <w:b/>
          <w:bCs/>
          <w:rtl/>
        </w:rPr>
        <w:t xml:space="preserve"> </w:t>
      </w:r>
      <w:r w:rsidRPr="001F2586">
        <w:rPr>
          <w:rFonts w:eastAsia="Calibri" w:hint="eastAsia"/>
          <w:b/>
          <w:bCs/>
          <w:rtl/>
        </w:rPr>
        <w:t>הלמ</w:t>
      </w:r>
      <w:r w:rsidRPr="001F2586">
        <w:rPr>
          <w:rFonts w:eastAsia="Calibri"/>
          <w:b/>
          <w:bCs/>
          <w:rtl/>
        </w:rPr>
        <w:t>"ס</w:t>
      </w:r>
      <w:r w:rsidRPr="001F2586">
        <w:rPr>
          <w:rFonts w:eastAsia="Calibri"/>
          <w:b/>
          <w:bCs/>
          <w:rtl/>
        </w:rPr>
        <w:t xml:space="preserve"> </w:t>
      </w:r>
      <w:r w:rsidRPr="001F2586">
        <w:rPr>
          <w:rFonts w:eastAsia="Calibri" w:hint="eastAsia"/>
          <w:b/>
          <w:bCs/>
          <w:rtl/>
        </w:rPr>
        <w:t>לא</w:t>
      </w:r>
      <w:r w:rsidRPr="001F2586">
        <w:rPr>
          <w:rFonts w:eastAsia="Calibri"/>
          <w:b/>
          <w:bCs/>
          <w:rtl/>
        </w:rPr>
        <w:t xml:space="preserve"> </w:t>
      </w:r>
      <w:r w:rsidRPr="001F2586">
        <w:rPr>
          <w:rFonts w:eastAsia="Calibri" w:hint="eastAsia"/>
          <w:b/>
          <w:bCs/>
          <w:rtl/>
        </w:rPr>
        <w:t>בוצעה</w:t>
      </w:r>
      <w:r w:rsidRPr="001F2586">
        <w:rPr>
          <w:rFonts w:eastAsia="Calibri"/>
          <w:b/>
          <w:bCs/>
          <w:rtl/>
        </w:rPr>
        <w:t xml:space="preserve"> </w:t>
      </w:r>
      <w:r w:rsidRPr="001F2586">
        <w:rPr>
          <w:rFonts w:eastAsia="Calibri" w:hint="eastAsia"/>
          <w:b/>
          <w:bCs/>
          <w:rtl/>
        </w:rPr>
        <w:t>כלל</w:t>
      </w:r>
      <w:r w:rsidRPr="001F2586">
        <w:rPr>
          <w:rFonts w:eastAsia="Calibri"/>
          <w:b/>
          <w:bCs/>
          <w:rtl/>
        </w:rPr>
        <w:t xml:space="preserve"> </w:t>
      </w:r>
      <w:r w:rsidRPr="001F2586">
        <w:rPr>
          <w:rFonts w:eastAsia="Calibri" w:hint="eastAsia"/>
          <w:b/>
          <w:bCs/>
          <w:rtl/>
        </w:rPr>
        <w:t>הפחתה</w:t>
      </w:r>
      <w:r w:rsidRPr="001F2586">
        <w:rPr>
          <w:rFonts w:eastAsia="Calibri"/>
          <w:b/>
          <w:bCs/>
          <w:rtl/>
        </w:rPr>
        <w:t>.</w:t>
      </w:r>
      <w:r w:rsidRPr="001F2586">
        <w:rPr>
          <w:rFonts w:eastAsia="Calibri" w:hint="cs"/>
          <w:b/>
          <w:bCs/>
          <w:rtl/>
        </w:rPr>
        <w:t xml:space="preserve"> כלומר, </w:t>
      </w:r>
      <w:r w:rsidRPr="001F2586">
        <w:rPr>
          <w:rFonts w:eastAsia="Calibri" w:hint="cs"/>
          <w:b/>
          <w:bCs/>
          <w:rtl/>
        </w:rPr>
        <w:t>הלמ"ס</w:t>
      </w:r>
      <w:r w:rsidRPr="001F2586">
        <w:rPr>
          <w:rFonts w:eastAsia="Calibri" w:hint="cs"/>
          <w:b/>
          <w:bCs/>
          <w:rtl/>
        </w:rPr>
        <w:t xml:space="preserve"> והכלכלן הראשי עושים שימוש שונה בבסיסי הנתונים של רשות המיסים, ועל כן קיימים פערים בנתוני היקף מבצעי העידוד.</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נמצא כי בעוד הפיקוח על הבנקים משתמש בדיווחי המערכת הבנקאית להערכת היקף מבצעי העידוד, </w:t>
      </w:r>
      <w:r w:rsidRPr="001F2586">
        <w:rPr>
          <w:rFonts w:eastAsia="Calibri" w:hint="cs"/>
          <w:b/>
          <w:bCs/>
          <w:rtl/>
        </w:rPr>
        <w:t>הלמ"ס</w:t>
      </w:r>
      <w:r w:rsidRPr="001F2586">
        <w:rPr>
          <w:rFonts w:eastAsia="Calibri" w:hint="cs"/>
          <w:b/>
          <w:bCs/>
          <w:rtl/>
        </w:rPr>
        <w:t xml:space="preserve"> והכלכלן הראשי משתמשים בנתוני רשות המיסים להערכת היקף המבצעים, אך השימוש שהם עושים בבסיס הנתונים של </w:t>
      </w:r>
      <w:r w:rsidRPr="001F2586">
        <w:rPr>
          <w:rFonts w:eastAsia="Calibri" w:hint="cs"/>
          <w:b/>
          <w:bCs/>
          <w:rtl/>
        </w:rPr>
        <w:t>הלמ"ס</w:t>
      </w:r>
      <w:r w:rsidRPr="001F2586">
        <w:rPr>
          <w:rFonts w:eastAsia="Calibri" w:hint="cs"/>
          <w:b/>
          <w:bCs/>
          <w:rtl/>
        </w:rPr>
        <w:t xml:space="preserve"> הוא שונה ואינו אחיד. בשל כך קיימים פערים באמידת היקף מבצעי עידוד בין נתוני הפיקוח על הבנקים, </w:t>
      </w:r>
      <w:r w:rsidRPr="001F2586">
        <w:rPr>
          <w:rFonts w:eastAsia="Calibri" w:hint="cs"/>
          <w:b/>
          <w:bCs/>
          <w:rtl/>
        </w:rPr>
        <w:t>הלמ"ס</w:t>
      </w:r>
      <w:r w:rsidRPr="001F2586">
        <w:rPr>
          <w:rFonts w:eastAsia="Calibri" w:hint="cs"/>
          <w:b/>
          <w:bCs/>
          <w:rtl/>
        </w:rPr>
        <w:t xml:space="preserve"> והכלכלן הראשי הפוגעים ביכולת להעריך את היקף הסיכון המצרפי המתהווה ופוגעים ביעילות גיבוש צעדים פיקוחיים אפקטיביים ונכונים לגידור הסיכונים ובהפעלתם במועד הנחוץ.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sz w:val="24"/>
          <w:rtl/>
        </w:rPr>
        <w:t xml:space="preserve">כפי שעלה בדוחות קודמים של מבקר המדינה </w:t>
      </w:r>
      <w:r>
        <w:rPr>
          <w:rFonts w:eastAsia="Calibri"/>
          <w:b/>
          <w:bCs/>
          <w:sz w:val="24"/>
          <w:vertAlign w:val="superscript"/>
          <w:rtl/>
        </w:rPr>
        <w:footnoteReference w:id="192"/>
      </w:r>
      <w:r w:rsidRPr="001F2586">
        <w:rPr>
          <w:rFonts w:eastAsia="Calibri" w:hint="cs"/>
          <w:b/>
          <w:bCs/>
          <w:sz w:val="24"/>
          <w:rtl/>
        </w:rPr>
        <w:t xml:space="preserve">, </w:t>
      </w:r>
      <w:r w:rsidRPr="001F2586">
        <w:rPr>
          <w:rFonts w:eastAsia="Calibri" w:hint="eastAsia"/>
          <w:b/>
          <w:bCs/>
          <w:sz w:val="24"/>
          <w:rtl/>
        </w:rPr>
        <w:t>קיימים</w:t>
      </w:r>
      <w:r w:rsidRPr="001F2586">
        <w:rPr>
          <w:rFonts w:eastAsia="Calibri"/>
          <w:b/>
          <w:bCs/>
          <w:sz w:val="24"/>
          <w:rtl/>
        </w:rPr>
        <w:t xml:space="preserve"> ליק</w:t>
      </w:r>
      <w:r w:rsidRPr="001F2586">
        <w:rPr>
          <w:rFonts w:eastAsia="Calibri" w:hint="eastAsia"/>
          <w:b/>
          <w:bCs/>
          <w:sz w:val="24"/>
          <w:rtl/>
        </w:rPr>
        <w:t>וים</w:t>
      </w:r>
      <w:r w:rsidRPr="001F2586">
        <w:rPr>
          <w:rFonts w:eastAsia="Calibri"/>
          <w:b/>
          <w:bCs/>
          <w:sz w:val="24"/>
          <w:rtl/>
        </w:rPr>
        <w:t xml:space="preserve"> </w:t>
      </w:r>
      <w:r w:rsidRPr="001F2586">
        <w:rPr>
          <w:rFonts w:eastAsia="Calibri" w:hint="eastAsia"/>
          <w:b/>
          <w:bCs/>
          <w:sz w:val="24"/>
          <w:rtl/>
        </w:rPr>
        <w:t>במהימנות</w:t>
      </w:r>
      <w:r w:rsidRPr="001F2586">
        <w:rPr>
          <w:rFonts w:eastAsia="Calibri"/>
          <w:b/>
          <w:bCs/>
          <w:sz w:val="24"/>
          <w:rtl/>
        </w:rPr>
        <w:t xml:space="preserve"> ושלמות של </w:t>
      </w:r>
      <w:r w:rsidRPr="001F2586">
        <w:rPr>
          <w:rFonts w:eastAsia="Calibri" w:hint="eastAsia"/>
          <w:b/>
          <w:bCs/>
          <w:sz w:val="24"/>
          <w:rtl/>
        </w:rPr>
        <w:t>דיווחי</w:t>
      </w:r>
      <w:r w:rsidRPr="001F2586">
        <w:rPr>
          <w:rFonts w:eastAsia="Calibri"/>
          <w:b/>
          <w:bCs/>
          <w:sz w:val="24"/>
          <w:rtl/>
        </w:rPr>
        <w:t xml:space="preserve"> עסקאות </w:t>
      </w:r>
      <w:r w:rsidRPr="001F2586">
        <w:rPr>
          <w:rFonts w:eastAsia="Calibri" w:hint="cs"/>
          <w:b/>
          <w:bCs/>
          <w:sz w:val="24"/>
          <w:rtl/>
        </w:rPr>
        <w:t xml:space="preserve">עליהם מתבססים קבצי רשות המסים. לפיכך, נראה כי היקף מבצעי העידוד רחב מההיקף המדווח בידי </w:t>
      </w:r>
      <w:r w:rsidRPr="001F2586">
        <w:rPr>
          <w:rFonts w:eastAsia="Calibri" w:hint="cs"/>
          <w:b/>
          <w:bCs/>
          <w:sz w:val="24"/>
          <w:rtl/>
        </w:rPr>
        <w:t>הלמ"ס</w:t>
      </w:r>
      <w:r w:rsidRPr="001F2586">
        <w:rPr>
          <w:rFonts w:eastAsia="Calibri" w:hint="cs"/>
          <w:b/>
          <w:bCs/>
          <w:sz w:val="24"/>
          <w:rtl/>
        </w:rPr>
        <w:t xml:space="preserve"> והכלכלן הראשי, וזאת כפי שמובא בנתוני הפיקוח הנשענים על דיווחי מערכת הבנקאית, ועל כן יש להתייחס לסיכון בהתאם</w:t>
      </w:r>
      <w:r w:rsidRPr="001F2586">
        <w:rPr>
          <w:rFonts w:eastAsia="Calibri"/>
          <w:b/>
          <w:bCs/>
          <w:sz w:val="24"/>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רשות המיסים ממאי 2026 צוין כי היא שלחה בסיסי נתונים זהים ואחידים לאגף הכלכלן הראשי </w:t>
      </w:r>
      <w:r w:rsidRPr="001F2586">
        <w:rPr>
          <w:rFonts w:eastAsia="Calibri" w:hint="cs"/>
          <w:rtl/>
        </w:rPr>
        <w:t>וללמ"ס</w:t>
      </w:r>
      <w:r w:rsidRPr="001F2586">
        <w:rPr>
          <w:rFonts w:eastAsia="Calibri" w:hint="cs"/>
          <w:rtl/>
        </w:rPr>
        <w:t>, וכי היא הוסיפה לדיווחי העסקאות שדה נתונים חדש על "הטבות מימון" אשר גרם למספר אי דיוקים טכניים, שטופלו מאז, שייתכן והשפיעו באופן מסוים על הנתונים.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אגף הכלכלן הראשי במשרד האוצר ממאי 2026 (להלן - תשובת הכלכלן הראשי) צוין כי מבדיקות שהוא ביצע על קבצי העסקאות של רשות המיסים עלה כי מהימנות הדיווחים של הקבלנים לגבי מבצעי המימון היא נמוכה, בשל אי התאמה בין החוזים לדיווחים לרשות, ובשל כך האגף מציג בסקירותיו את שכיחות המבצעים באזורים בהם מהימנות הדיווחים היא גבוהה בלבד. עוד ציין האגף בתשובתו כי נתון </w:t>
      </w:r>
      <w:r w:rsidRPr="001F2586">
        <w:rPr>
          <w:rFonts w:eastAsia="Calibri" w:hint="cs"/>
          <w:rtl/>
        </w:rPr>
        <w:t>הלמ"ס</w:t>
      </w:r>
      <w:r w:rsidRPr="001F2586">
        <w:rPr>
          <w:rFonts w:eastAsia="Calibri" w:hint="cs"/>
          <w:rtl/>
        </w:rPr>
        <w:t xml:space="preserve"> לפיו שכיחות הטבות המימון היא 14% הושפע בין היתר מכשלים מסוימים בקובץ העסקאות של רשות המיסים שהיו בחודשים הראשונים לדיווחים של הקבלנים על מבצעי המימון, וכי האגף זיהה כשלים אלו והעביר אותם לרשות המיסים על מנת שיתוקנו. בנוסף ציין האגף בתשובתו כי הוא מקיים שיח רציף עם הפיקוח על הבנקים בנוגע להטבות המימון ומציג לו תובנות מדיווחי הקבלנים לרשות, וכי הפערים בנתונים בין האגף לפיקוח על הבנקים הם נמוכים.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כי </w:t>
      </w:r>
      <w:r w:rsidRPr="001F2586">
        <w:rPr>
          <w:rFonts w:eastAsia="Calibri" w:hint="cs"/>
          <w:b/>
          <w:bCs/>
          <w:rtl/>
        </w:rPr>
        <w:t>הלמ"ס</w:t>
      </w:r>
      <w:r w:rsidRPr="001F2586">
        <w:rPr>
          <w:rFonts w:eastAsia="Calibri" w:hint="cs"/>
          <w:b/>
          <w:bCs/>
          <w:rtl/>
        </w:rPr>
        <w:t xml:space="preserve"> והכלכלן הראשי, בשיתוף רשות המיסים, יגבשו בסיס נתונים שלם ומהימן של דיווחי עסקאות אשר יאפשר לבצע הערכה מהימנה של נתונים בשוק הדיור, ובתוך כך של מבצעי העידוד.</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w:t>
      </w:r>
      <w:r w:rsidRPr="001F2586">
        <w:rPr>
          <w:rFonts w:eastAsia="Calibri" w:hint="cs"/>
          <w:rtl/>
        </w:rPr>
        <w:t>הלמ"ס</w:t>
      </w:r>
      <w:r w:rsidRPr="001F2586">
        <w:rPr>
          <w:rFonts w:eastAsia="Calibri" w:hint="cs"/>
          <w:rtl/>
        </w:rPr>
        <w:t xml:space="preserve"> ממאי 2026 צוין כי היא תפעל לקדם את בחינת הנושא עם הגורמים הרלוונטיים.</w:t>
      </w:r>
    </w:p>
    <w:p w:rsidR="001F2586" w:rsidRPr="001F2586" w:rsidP="001F2586">
      <w:pPr>
        <w:spacing w:line="269" w:lineRule="auto"/>
        <w:rPr>
          <w:rFonts w:eastAsia="Calibri"/>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פעולות הפיקוח על הבנקים בנוגע למבצעי העידוד</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תפקידיו וסמכויותיו של המפקח על הבנקים עוגנו במסגרת כמה חוקים</w:t>
      </w:r>
      <w:r>
        <w:rPr>
          <w:rFonts w:eastAsia="Calibri"/>
          <w:vertAlign w:val="superscript"/>
          <w:rtl/>
        </w:rPr>
        <w:footnoteReference w:id="193"/>
      </w:r>
      <w:r w:rsidRPr="001F2586">
        <w:rPr>
          <w:rFonts w:eastAsia="Calibri" w:hint="cs"/>
          <w:rtl/>
        </w:rPr>
        <w:t xml:space="preserve">, לפיהם הוא נדרש לפעול כאמור להבטחת יציבות המערכת הבנקאית, להגן על לקוחות, להבטיח ניהול תקין של התאגידים </w:t>
      </w:r>
      <w:r w:rsidRPr="001F2586">
        <w:rPr>
          <w:rFonts w:eastAsia="Calibri" w:hint="cs"/>
          <w:rtl/>
        </w:rPr>
        <w:t>הבנקאיים ולתמוך ביציבות המערכת הפיננסית ובפעילותה הסדירה. בנוסף לכך, קבע הפיקוח על הבנקים את קידום התחרות כיעד אסטרטגי לתמיכה במילוי תפקידיו.</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בדצמבר 2023 </w:t>
      </w:r>
      <w:r w:rsidRPr="001F2586">
        <w:rPr>
          <w:rFonts w:eastAsia="Calibri"/>
          <w:rtl/>
        </w:rPr>
        <w:t>קיים</w:t>
      </w:r>
      <w:r w:rsidRPr="001F2586">
        <w:rPr>
          <w:rFonts w:eastAsia="Calibri" w:hint="cs"/>
          <w:rtl/>
        </w:rPr>
        <w:t xml:space="preserve"> הפיקוח על בנקים בירור</w:t>
      </w:r>
      <w:r w:rsidRPr="001F2586">
        <w:rPr>
          <w:rFonts w:eastAsia="Calibri"/>
          <w:rtl/>
        </w:rPr>
        <w:t xml:space="preserve"> מול הבנקים </w:t>
      </w:r>
      <w:r w:rsidRPr="001F2586">
        <w:rPr>
          <w:rFonts w:eastAsia="Calibri" w:hint="cs"/>
          <w:rtl/>
        </w:rPr>
        <w:t xml:space="preserve">על רקע זיהוי </w:t>
      </w:r>
      <w:r w:rsidRPr="001F2586">
        <w:rPr>
          <w:rFonts w:eastAsia="Calibri"/>
          <w:rtl/>
        </w:rPr>
        <w:t xml:space="preserve">גידול ניכר בהלוואות </w:t>
      </w:r>
      <w:r w:rsidRPr="001F2586">
        <w:rPr>
          <w:rFonts w:eastAsia="Calibri" w:hint="cs"/>
          <w:rtl/>
        </w:rPr>
        <w:t>בלון</w:t>
      </w:r>
      <w:r w:rsidRPr="001F2586">
        <w:rPr>
          <w:rFonts w:eastAsia="Calibri"/>
          <w:rtl/>
        </w:rPr>
        <w:t xml:space="preserve"> באשראי לדיור. מהבירור עלה כי גידול בהלוואות מסוג זה נבע משיווק הלוואות בסבסוד </w:t>
      </w:r>
      <w:r w:rsidRPr="001F2586">
        <w:rPr>
          <w:rFonts w:eastAsia="Calibri" w:hint="cs"/>
          <w:rtl/>
        </w:rPr>
        <w:t>קבלנים,</w:t>
      </w:r>
      <w:r w:rsidRPr="001F2586">
        <w:rPr>
          <w:rFonts w:eastAsia="Calibri"/>
          <w:rtl/>
        </w:rPr>
        <w:t xml:space="preserve"> </w:t>
      </w:r>
      <w:r w:rsidRPr="001F2586">
        <w:rPr>
          <w:rFonts w:eastAsia="Calibri" w:hint="cs"/>
          <w:rtl/>
        </w:rPr>
        <w:t>ש</w:t>
      </w:r>
      <w:r w:rsidRPr="001F2586">
        <w:rPr>
          <w:rFonts w:eastAsia="Calibri"/>
          <w:rtl/>
        </w:rPr>
        <w:t xml:space="preserve">החל על רקע קושי של </w:t>
      </w:r>
      <w:r w:rsidRPr="001F2586">
        <w:rPr>
          <w:rFonts w:eastAsia="Calibri" w:hint="cs"/>
          <w:rtl/>
        </w:rPr>
        <w:t>קבלנים</w:t>
      </w:r>
      <w:r w:rsidRPr="001F2586">
        <w:rPr>
          <w:rFonts w:eastAsia="Calibri"/>
          <w:rtl/>
        </w:rPr>
        <w:t xml:space="preserve"> למכור דירות, בין היתר, בשל סביבת הריבית ובשל המצב הביטחוני, עם פרוץ מלחמת חרבות ברזל בא</w:t>
      </w:r>
      <w:r w:rsidRPr="001F2586">
        <w:rPr>
          <w:rFonts w:eastAsia="Calibri" w:hint="cs"/>
          <w:rtl/>
        </w:rPr>
        <w:t>וקטובר 2023</w:t>
      </w:r>
      <w:r>
        <w:rPr>
          <w:rFonts w:eastAsia="Calibri"/>
          <w:vertAlign w:val="superscript"/>
          <w:rtl/>
        </w:rPr>
        <w:footnoteReference w:id="194"/>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בינואר 2024 התקבלו בפיקוח נתונים שהצביעו על עלייה משמעותית בהיקף ביצועי הלוואות בלון. בעקבות כך הוחלט להרחיב את המעקב הפיקוחי אחר התפתחויות שונות בתחום מבצעי עידוד במגוון כלים, לרבות דרישת נתונים אד-הוק וניתוחם, שיח עם נציגי המערכת הבנקאית</w:t>
      </w:r>
      <w:r>
        <w:rPr>
          <w:rFonts w:eastAsia="Calibri"/>
          <w:rtl/>
        </w:rPr>
        <w:footnoteReference w:id="195"/>
      </w:r>
      <w:r w:rsidRPr="001F2586">
        <w:rPr>
          <w:rFonts w:eastAsia="Calibri" w:hint="cs"/>
          <w:rtl/>
        </w:rPr>
        <w:t>, ביצוע ניתוח דוחות כספיים של תאגידים בנקאיים וקיום דיונים תכופים בפיקוח ובלשכת הנגיד. לצורך כך דרש הפיקוח מהבנקים להעביר דיווח חודשי, החל מחודש דצמבר 2023, בדבר הלוואות בסבסוד קבלנים והורחבה הבחינה גם לעסקאות הכוללות דחייה משמעותית בתשלומים. בעקבות הדיווחים שהתקבלו בפיקוח התחדד הצורך בהמשך בחינת היקף התופעה והסיכונים הנגזרים ממנה טרם נקיטת צעדים רגולטוריים.</w:t>
      </w:r>
    </w:p>
    <w:p w:rsidR="001F2586" w:rsidRPr="001F2586" w:rsidP="001F2586">
      <w:pPr>
        <w:spacing w:line="269" w:lineRule="auto"/>
        <w:ind w:left="-567"/>
        <w:rPr>
          <w:rFonts w:eastAsia="Calibri"/>
          <w:rtl/>
        </w:rPr>
      </w:pPr>
    </w:p>
    <w:p w:rsidR="001F2586" w:rsidRPr="001F2586" w:rsidP="001F2586">
      <w:pPr>
        <w:spacing w:line="269" w:lineRule="auto"/>
        <w:rPr>
          <w:rFonts w:eastAsia="Calibri"/>
          <w:rtl/>
        </w:rPr>
      </w:pPr>
      <w:r w:rsidRPr="001F2586">
        <w:rPr>
          <w:rFonts w:eastAsia="Calibri" w:hint="cs"/>
          <w:rtl/>
        </w:rPr>
        <w:t xml:space="preserve">במאי 2024 הפיקוח דיווח במסגרת דיונים שהתקיימו עם הנגיד על השלמת </w:t>
      </w:r>
      <w:r w:rsidRPr="001F2586">
        <w:rPr>
          <w:rFonts w:eastAsia="Calibri"/>
          <w:rtl/>
        </w:rPr>
        <w:t>בדיק</w:t>
      </w:r>
      <w:r w:rsidRPr="001F2586">
        <w:rPr>
          <w:rFonts w:eastAsia="Calibri" w:hint="cs"/>
          <w:rtl/>
        </w:rPr>
        <w:t xml:space="preserve">ת </w:t>
      </w:r>
      <w:r w:rsidRPr="001F2586">
        <w:rPr>
          <w:rFonts w:eastAsia="Calibri"/>
          <w:rtl/>
        </w:rPr>
        <w:t xml:space="preserve">נהלי חיתום </w:t>
      </w:r>
      <w:r w:rsidRPr="001F2586">
        <w:rPr>
          <w:rFonts w:eastAsia="Calibri" w:hint="cs"/>
          <w:rtl/>
        </w:rPr>
        <w:t>ופרקטיקות</w:t>
      </w:r>
      <w:r w:rsidRPr="001F2586">
        <w:rPr>
          <w:rFonts w:eastAsia="Calibri" w:hint="cs"/>
          <w:rtl/>
        </w:rPr>
        <w:t xml:space="preserve"> </w:t>
      </w:r>
      <w:r w:rsidRPr="001F2586">
        <w:rPr>
          <w:rFonts w:eastAsia="Calibri"/>
          <w:rtl/>
        </w:rPr>
        <w:t>נהוגות בבנק</w:t>
      </w:r>
      <w:r w:rsidRPr="001F2586">
        <w:rPr>
          <w:rFonts w:eastAsia="Calibri" w:hint="cs"/>
          <w:rtl/>
        </w:rPr>
        <w:t>ים מסחריים</w:t>
      </w:r>
      <w:r w:rsidRPr="001F2586">
        <w:rPr>
          <w:rFonts w:eastAsia="Calibri"/>
          <w:rtl/>
        </w:rPr>
        <w:t xml:space="preserve"> בקשר להלוואות בסבסוד קבלנים.</w:t>
      </w:r>
      <w:r w:rsidRPr="001F2586">
        <w:rPr>
          <w:rFonts w:eastAsia="Calibri" w:hint="cs"/>
          <w:rtl/>
        </w:rPr>
        <w:t xml:space="preserve"> ממצאי הבדיקה העלו ליקויים שונים בתהליך החיתום, במיוחד בבחינת כושר ההחזר לפירעון ההלוואה, בהערכת יכולת ההחזר של ההלוואה המשלימה לצורך רכישת הדירה ובבחינת מקורות ההון העצמי להשלמת העסקה. בעקבות</w:t>
      </w:r>
      <w:r w:rsidRPr="001F2586">
        <w:rPr>
          <w:rFonts w:eastAsia="Calibri"/>
          <w:rtl/>
        </w:rPr>
        <w:t xml:space="preserve"> ממצאי </w:t>
      </w:r>
      <w:r w:rsidRPr="001F2586">
        <w:rPr>
          <w:rFonts w:eastAsia="Calibri" w:hint="cs"/>
          <w:rtl/>
        </w:rPr>
        <w:t>ה</w:t>
      </w:r>
      <w:r w:rsidRPr="001F2586">
        <w:rPr>
          <w:rFonts w:eastAsia="Calibri"/>
          <w:rtl/>
        </w:rPr>
        <w:t>בדיקה שלח</w:t>
      </w:r>
      <w:r w:rsidRPr="001F2586">
        <w:rPr>
          <w:rFonts w:eastAsia="Calibri" w:hint="cs"/>
          <w:rtl/>
        </w:rPr>
        <w:t xml:space="preserve"> הפיקוח</w:t>
      </w:r>
      <w:r w:rsidRPr="001F2586">
        <w:rPr>
          <w:rFonts w:eastAsia="Calibri"/>
          <w:rtl/>
        </w:rPr>
        <w:t xml:space="preserve"> </w:t>
      </w:r>
      <w:r w:rsidRPr="001F2586">
        <w:rPr>
          <w:rFonts w:eastAsia="Calibri" w:hint="cs"/>
          <w:rtl/>
        </w:rPr>
        <w:t xml:space="preserve">לבנקים במאי 2024 </w:t>
      </w:r>
      <w:r w:rsidRPr="001F2586">
        <w:rPr>
          <w:rFonts w:eastAsia="Calibri"/>
          <w:rtl/>
        </w:rPr>
        <w:t>מכתבי הנחיות בדבר ביצוע חיתום מלא ומתן גילוי נאות ללקוח</w:t>
      </w:r>
      <w:r w:rsidRPr="001F2586">
        <w:rPr>
          <w:rFonts w:eastAsia="Calibri" w:hint="cs"/>
          <w:rtl/>
        </w:rPr>
        <w:t>,</w:t>
      </w:r>
      <w:r w:rsidRPr="001F2586">
        <w:rPr>
          <w:rFonts w:eastAsia="Calibri"/>
          <w:rtl/>
        </w:rPr>
        <w:t xml:space="preserve"> וכן דרישה לגיבוש מסגרת ניהול סיכונים מותאמת, לרבות מגבלות וקריטריונים לחיתום.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הפיקוח</w:t>
      </w:r>
      <w:r w:rsidRPr="001F2586">
        <w:rPr>
          <w:rFonts w:eastAsia="Calibri"/>
          <w:b/>
          <w:bCs/>
          <w:rtl/>
        </w:rPr>
        <w:t xml:space="preserve"> </w:t>
      </w:r>
      <w:r w:rsidRPr="001F2586">
        <w:rPr>
          <w:rFonts w:eastAsia="Calibri" w:hint="cs"/>
          <w:b/>
          <w:bCs/>
          <w:rtl/>
        </w:rPr>
        <w:t xml:space="preserve">על הבנקים שלח במאי 2024 </w:t>
      </w:r>
      <w:r w:rsidRPr="001F2586">
        <w:rPr>
          <w:rFonts w:eastAsia="Calibri"/>
          <w:b/>
          <w:bCs/>
          <w:rtl/>
        </w:rPr>
        <w:t xml:space="preserve">מכתבי הנחיות </w:t>
      </w:r>
      <w:r w:rsidRPr="001F2586">
        <w:rPr>
          <w:rFonts w:eastAsia="Calibri" w:hint="cs"/>
          <w:b/>
          <w:bCs/>
          <w:rtl/>
        </w:rPr>
        <w:t xml:space="preserve">לבנקים </w:t>
      </w:r>
      <w:r w:rsidRPr="001F2586">
        <w:rPr>
          <w:rFonts w:eastAsia="Calibri"/>
          <w:b/>
          <w:bCs/>
          <w:rtl/>
        </w:rPr>
        <w:t xml:space="preserve">בדבר </w:t>
      </w:r>
      <w:r w:rsidRPr="001F2586">
        <w:rPr>
          <w:rFonts w:eastAsia="Calibri" w:hint="cs"/>
          <w:b/>
          <w:bCs/>
          <w:rtl/>
        </w:rPr>
        <w:t>ב</w:t>
      </w:r>
      <w:r w:rsidRPr="001F2586">
        <w:rPr>
          <w:rFonts w:eastAsia="Calibri"/>
          <w:b/>
          <w:bCs/>
          <w:rtl/>
        </w:rPr>
        <w:t xml:space="preserve">יצוע חיתום מלא </w:t>
      </w:r>
      <w:r w:rsidRPr="001F2586">
        <w:rPr>
          <w:rFonts w:eastAsia="Calibri" w:hint="cs"/>
          <w:b/>
          <w:bCs/>
          <w:rtl/>
        </w:rPr>
        <w:t>וניהול סיכונים מותאם בהלוואות בסבסוד קבלנים לאור ליקויים שונים שמצא בתהליך החיתום של הבנקים להלוואות אלו</w:t>
      </w:r>
      <w:r w:rsidRPr="001F2586">
        <w:rPr>
          <w:rFonts w:eastAsia="Calibri"/>
          <w:rtl/>
        </w:rPr>
        <w:t>.</w:t>
      </w:r>
      <w:r w:rsidRPr="001F2586">
        <w:rPr>
          <w:rFonts w:eastAsia="Calibri" w:hint="cs"/>
          <w:b/>
          <w:bCs/>
          <w:rtl/>
        </w:rPr>
        <w:t xml:space="preserve"> עם זאת, נמצא כי במסגרת מכתבים אלו הפיקוח על הבנקים לא נתן את דעתו לעקיפת מגבלת ההון העצמי באמצעות הלוואות בסבסוד קבלן, בהן לא נעשית בחינה בידי חלק מהבנקים של ווידוא ההון העצמי להשלמת העסקה במועד מתן ההלוואה. זאת למרות שהלוואה זו ניתנה לצורך רכישת דירה והרציונל העומד בבסיס מגבלת ההון העצמי הנדרש חל גם עליה.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בנק ישראל צוין כי "הבקשה לבצע חיתום מלא וניהול סיכונים מותאם בהלוואות בסבסוד קבלנים </w:t>
      </w:r>
      <w:r w:rsidRPr="001F2586">
        <w:rPr>
          <w:rFonts w:eastAsia="Calibri" w:hint="eastAsia"/>
          <w:rtl/>
        </w:rPr>
        <w:t>כוללת</w:t>
      </w:r>
      <w:r w:rsidRPr="001F2586">
        <w:rPr>
          <w:rFonts w:eastAsia="Calibri"/>
          <w:rtl/>
        </w:rPr>
        <w:t xml:space="preserve"> הצהרה של הלוו</w:t>
      </w:r>
      <w:r w:rsidRPr="001F2586">
        <w:rPr>
          <w:rFonts w:eastAsia="Calibri" w:hint="eastAsia"/>
          <w:rtl/>
        </w:rPr>
        <w:t>ה</w:t>
      </w:r>
      <w:r w:rsidRPr="001F2586">
        <w:rPr>
          <w:rFonts w:eastAsia="Calibri"/>
          <w:rtl/>
        </w:rPr>
        <w:t xml:space="preserve"> </w:t>
      </w:r>
      <w:r w:rsidRPr="001F2586">
        <w:rPr>
          <w:rFonts w:eastAsia="Calibri" w:hint="eastAsia"/>
          <w:rtl/>
        </w:rPr>
        <w:t>לגבי</w:t>
      </w:r>
      <w:r w:rsidRPr="001F2586">
        <w:rPr>
          <w:rFonts w:eastAsia="Calibri"/>
          <w:rtl/>
        </w:rPr>
        <w:t xml:space="preserve"> </w:t>
      </w:r>
      <w:r w:rsidRPr="001F2586">
        <w:rPr>
          <w:rFonts w:eastAsia="Calibri" w:hint="eastAsia"/>
          <w:rtl/>
        </w:rPr>
        <w:t>ההון</w:t>
      </w:r>
      <w:r w:rsidRPr="001F2586">
        <w:rPr>
          <w:rFonts w:eastAsia="Calibri"/>
          <w:rtl/>
        </w:rPr>
        <w:t xml:space="preserve"> </w:t>
      </w:r>
      <w:r w:rsidRPr="001F2586">
        <w:rPr>
          <w:rFonts w:eastAsia="Calibri" w:hint="eastAsia"/>
          <w:rtl/>
        </w:rPr>
        <w:t>העצמי</w:t>
      </w:r>
      <w:r w:rsidRPr="001F2586">
        <w:rPr>
          <w:rFonts w:eastAsia="Calibri"/>
          <w:rtl/>
        </w:rPr>
        <w:t xml:space="preserve"> </w:t>
      </w:r>
      <w:r w:rsidRPr="001F2586">
        <w:rPr>
          <w:rFonts w:eastAsia="Calibri" w:hint="eastAsia"/>
          <w:rtl/>
        </w:rPr>
        <w:t>הקיים</w:t>
      </w:r>
      <w:r w:rsidRPr="001F2586">
        <w:rPr>
          <w:rFonts w:eastAsia="Calibri"/>
          <w:rtl/>
        </w:rPr>
        <w:t xml:space="preserve"> </w:t>
      </w:r>
      <w:r w:rsidRPr="001F2586">
        <w:rPr>
          <w:rFonts w:eastAsia="Calibri" w:hint="eastAsia"/>
          <w:rtl/>
        </w:rPr>
        <w:t>לו</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מכיוון והלוואות בסבסוד קבלנים מיועדות לרוב לפירעון (מלא או חלקי) ומוחלפות במשכנתא סטנדרטית לאחר מספר שנים, עולה ספק אם קיומה של הצהרה כאמור של הלווה היא מספקת לעניין וידוא ההון העצמי שיידרש להשלמת העסקה בעת החיתום.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ניתוח ממצאי הבדיקה ונתונים שהעביר הפיקוח על הבנקים למשרד מבקר המדינה מדיון שהתקיים בראשות הנגיד ביוני 2024, בדבר התפלגות הלוואות בסבסוד קבלנים בין בנקים מסחריים עד מאי 2024, מעלים כי ליקויים מהותיים בתהליך החיתום התקיימו בבנקים מסחריים בהם שיעורי הלוואות בסבסוד קבלנים היו גבוהים. נתונים אלה מעלים חשש כי איכות החיתום הירודה הובילה לגידול בתופעה ואף לגידול בסיכון להיווצרות כשל מערכתי. לא </w:t>
      </w:r>
      <w:r w:rsidRPr="001F2586">
        <w:rPr>
          <w:rFonts w:eastAsia="Calibri"/>
          <w:rtl/>
        </w:rPr>
        <w:t>נמצא תיעוד לכך שהפיקוח על הבנקים ביצע מעקב ליישום הנחיותיו לביצוע חיתום איכותי בבנקים מסחריים מאז איתור הכשלים במאי 2024</w:t>
      </w:r>
      <w:r w:rsidRPr="001F2586">
        <w:rPr>
          <w:rFonts w:eastAsia="Calibri" w:hint="cs"/>
          <w:rtl/>
        </w:rPr>
        <w:t xml:space="preserve">. המשך מגמת גידול היקף הלוואות בסבסוד קבלנים לאחר מועד מתן הנחיות ביצוע החיתום מדגיש את הצורך בביצוע ביקורת מעקב. </w:t>
      </w:r>
    </w:p>
    <w:p w:rsidR="001F2586" w:rsidRPr="001F2586" w:rsidP="001F2586">
      <w:pPr>
        <w:spacing w:line="269" w:lineRule="auto"/>
        <w:rPr>
          <w:rFonts w:eastAsia="Calibri"/>
          <w:b/>
          <w:bCs/>
          <w:rtl/>
        </w:rPr>
      </w:pPr>
      <w:bookmarkStart w:id="56" w:name="_Hlk214777496"/>
      <w:r w:rsidRPr="001F2586">
        <w:rPr>
          <w:rFonts w:eastAsia="Calibri" w:hint="cs"/>
          <w:b/>
          <w:bCs/>
          <w:rtl/>
        </w:rPr>
        <w:t xml:space="preserve">הפיקוח על הבנקים פעל בשנת 2024 לאיתור כשלים הנגזרים מטיב איכות החיתום הבנקאי בהלוואות בסבסוד קבלנים סמוך למועד בו זיהה גידול ניכר בהם. נמצא כי </w:t>
      </w:r>
      <w:r w:rsidRPr="001F2586">
        <w:rPr>
          <w:rFonts w:eastAsia="Calibri"/>
          <w:b/>
          <w:bCs/>
          <w:rtl/>
        </w:rPr>
        <w:t>ליקויים מהותיים בתהליך החיתום התקיימו בבנקים מסחריים בהם שיעורי הלוואות בסבסוד קבלנים היו גבוהים</w:t>
      </w:r>
      <w:r w:rsidRPr="001F2586">
        <w:rPr>
          <w:rFonts w:eastAsia="Calibri" w:hint="cs"/>
          <w:b/>
          <w:bCs/>
          <w:rtl/>
        </w:rPr>
        <w:t xml:space="preserve">. לכן עולה חשש כי איכות החיתום הירודה הובילה לגידול בתופעה ואף לגידול בסיכון להיווצרות כשל מערכתי. </w:t>
      </w:r>
      <w:r w:rsidRPr="001F2586">
        <w:rPr>
          <w:rFonts w:eastAsia="Calibri"/>
          <w:b/>
          <w:bCs/>
          <w:rtl/>
        </w:rPr>
        <w:t>לא נמצא</w:t>
      </w:r>
      <w:r w:rsidRPr="001F2586">
        <w:rPr>
          <w:rFonts w:eastAsia="Calibri" w:hint="cs"/>
          <w:b/>
          <w:bCs/>
          <w:rtl/>
        </w:rPr>
        <w:t xml:space="preserve"> תיעוד לכך ש</w:t>
      </w:r>
      <w:r w:rsidRPr="001F2586">
        <w:rPr>
          <w:rFonts w:eastAsia="Calibri"/>
          <w:b/>
          <w:bCs/>
          <w:rtl/>
        </w:rPr>
        <w:t xml:space="preserve">הפיקוח על הבנקים ביצע מעקב </w:t>
      </w:r>
      <w:r w:rsidRPr="001F2586">
        <w:rPr>
          <w:rFonts w:eastAsia="Calibri" w:hint="cs"/>
          <w:b/>
          <w:bCs/>
          <w:rtl/>
        </w:rPr>
        <w:t>ליישום</w:t>
      </w:r>
      <w:r w:rsidRPr="001F2586">
        <w:rPr>
          <w:rFonts w:eastAsia="Calibri"/>
          <w:b/>
          <w:bCs/>
          <w:rtl/>
        </w:rPr>
        <w:t xml:space="preserve"> הנחיות</w:t>
      </w:r>
      <w:r w:rsidRPr="001F2586">
        <w:rPr>
          <w:rFonts w:eastAsia="Calibri" w:hint="cs"/>
          <w:b/>
          <w:bCs/>
          <w:rtl/>
        </w:rPr>
        <w:t>יו</w:t>
      </w:r>
      <w:r w:rsidRPr="001F2586">
        <w:rPr>
          <w:rFonts w:eastAsia="Calibri"/>
          <w:b/>
          <w:bCs/>
          <w:rtl/>
        </w:rPr>
        <w:t xml:space="preserve"> </w:t>
      </w:r>
      <w:r w:rsidRPr="001F2586">
        <w:rPr>
          <w:rFonts w:eastAsia="Calibri" w:hint="cs"/>
          <w:b/>
          <w:bCs/>
          <w:rtl/>
        </w:rPr>
        <w:t>ל</w:t>
      </w:r>
      <w:r w:rsidRPr="001F2586">
        <w:rPr>
          <w:rFonts w:eastAsia="Calibri"/>
          <w:b/>
          <w:bCs/>
          <w:rtl/>
        </w:rPr>
        <w:t>ביצוע חיתום</w:t>
      </w:r>
      <w:r w:rsidRPr="001F2586">
        <w:rPr>
          <w:rFonts w:eastAsia="Calibri" w:hint="cs"/>
          <w:b/>
          <w:bCs/>
          <w:rtl/>
        </w:rPr>
        <w:t xml:space="preserve"> איכותי</w:t>
      </w:r>
      <w:r w:rsidRPr="001F2586">
        <w:rPr>
          <w:rFonts w:eastAsia="Calibri"/>
          <w:b/>
          <w:bCs/>
          <w:rtl/>
        </w:rPr>
        <w:t xml:space="preserve"> בבנקים</w:t>
      </w:r>
      <w:r w:rsidRPr="001F2586">
        <w:rPr>
          <w:rFonts w:eastAsia="Calibri" w:hint="cs"/>
          <w:b/>
          <w:bCs/>
          <w:rtl/>
        </w:rPr>
        <w:t xml:space="preserve"> מסחריים</w:t>
      </w:r>
      <w:r w:rsidRPr="001F2586">
        <w:rPr>
          <w:rFonts w:eastAsia="Calibri"/>
          <w:b/>
          <w:bCs/>
          <w:rtl/>
        </w:rPr>
        <w:t xml:space="preserve"> מאז איתור הכשלים</w:t>
      </w:r>
      <w:r w:rsidRPr="001F2586">
        <w:rPr>
          <w:rFonts w:eastAsia="Calibri" w:hint="cs"/>
          <w:b/>
          <w:bCs/>
          <w:rtl/>
        </w:rPr>
        <w:t xml:space="preserve"> בידיו</w:t>
      </w:r>
      <w:r w:rsidRPr="001F2586">
        <w:rPr>
          <w:rFonts w:eastAsia="Calibri"/>
          <w:b/>
          <w:bCs/>
          <w:rtl/>
        </w:rPr>
        <w:t xml:space="preserve"> במאי 2024.</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משרד מבקר המדינה ממליץ לפיקוח על הבנקים לבצע מעקב על יישום הנחיותיו לביצוע חיתום איכותי, ולפעול כנגד בנקים מסחריים המפירים את הנחיותיו, בשים לב לכך שהיעדר החיתום מביא להגדלת הסיכון ועלול להוביל לכשל מערכתי.</w:t>
      </w:r>
    </w:p>
    <w:bookmarkEnd w:id="56"/>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באוגוסט 2024 דרש הפיקוח מהתאגידים הבנקאיים לוודא כי שיטת החישוב להקצאת מסגרות אשראי ללווי פרויקטים לבנייה מביאה בחשבון באופן נאות את השינויים בלוחות התשלומים של </w:t>
      </w:r>
      <w:r w:rsidRPr="001F2586">
        <w:rPr>
          <w:rFonts w:eastAsia="Calibri" w:hint="cs"/>
          <w:rtl/>
        </w:rPr>
        <w:t>רוכשי</w:t>
      </w:r>
      <w:r w:rsidRPr="001F2586">
        <w:rPr>
          <w:rFonts w:eastAsia="Calibri" w:hint="cs"/>
          <w:rtl/>
        </w:rPr>
        <w:t xml:space="preserve"> דירות ועונה באופן שמרני ומספק על צרכי האשראי הכספי העדכניים הצפויים. במסגרת זו בנקים נדרשו לבצע התאמות בשיטת החישוב במידת הצורך, וכן להעביר לפיקוח נתונים פרטניים על פרויקטים מסוימים בהם החבות היא הגבוהה ביותר.</w:t>
      </w:r>
    </w:p>
    <w:p w:rsidR="001F2586" w:rsidRPr="001F2586" w:rsidP="001F2586">
      <w:pPr>
        <w:spacing w:line="269" w:lineRule="auto"/>
        <w:ind w:left="-567"/>
        <w:rPr>
          <w:rFonts w:eastAsia="Calibri"/>
          <w:rtl/>
        </w:rPr>
      </w:pPr>
    </w:p>
    <w:p w:rsidR="001F2586" w:rsidRPr="001F2586" w:rsidP="001F2586">
      <w:pPr>
        <w:spacing w:line="269" w:lineRule="auto"/>
        <w:rPr>
          <w:rFonts w:eastAsia="Calibri"/>
          <w:rtl/>
        </w:rPr>
      </w:pPr>
      <w:r w:rsidRPr="001F2586">
        <w:rPr>
          <w:rFonts w:eastAsia="Calibri" w:hint="cs"/>
          <w:rtl/>
        </w:rPr>
        <w:t>ב-7.10.24 התקיים בבנק ישראל דיון בראשות הנגיד במסגרתו הועלו בין היתר סיכונים שזוהו בפיקוח כתוצאה מעלייה במבצעי עידוד. הסיכונים המרכזיים שזוהו הם: (א) תדלוק שוק הדיור והמשך עליית המחירים; (ב) אי-יכולת רוכשים לממש עסקאות כתוצאה מדחיית תשלומים וחיתום שאינו מספק; (ג) התהוות סיכון יציבותי כתוצאה משינוי בתמהיל תיק הדיור להלוואות המוגדרות בסיכון גדול יותר, ובשינוי תמהיל מימון הקבלנים, אגב אפשרות לפגיעה בהם כתוצאה מירידת מחירים או קיפאון בשוק בשילוב אי-יכולת רוכשים לממש עסקאות. במסגרת הדיון הועלו חלופות בהם נשקלו הסיכונים והתועלות הנגזרים מצעדי התערבות</w:t>
      </w:r>
      <w:r>
        <w:rPr>
          <w:rFonts w:eastAsia="Calibri"/>
          <w:vertAlign w:val="superscript"/>
          <w:rtl/>
        </w:rPr>
        <w:footnoteReference w:id="196"/>
      </w:r>
      <w:r w:rsidRPr="001F2586">
        <w:rPr>
          <w:rFonts w:eastAsia="Calibri" w:hint="cs"/>
          <w:rtl/>
        </w:rPr>
        <w:t xml:space="preserve">. בהתאם להמלצת הפיקוח על הבנקים התקבלה החלטה לדרוש מהבנקים לבצע בחינה של תמהיל תיק הדיור ותמהיל מבצעי המימון, אגב קביעת מגבלות פנימיות להפחתת הסיכון </w:t>
      </w:r>
      <w:r w:rsidRPr="001F2586">
        <w:rPr>
          <w:rFonts w:eastAsia="Calibri" w:hint="cs"/>
          <w:rtl/>
        </w:rPr>
        <w:t>היציבותי</w:t>
      </w:r>
      <w:r w:rsidRPr="001F2586">
        <w:rPr>
          <w:rFonts w:eastAsia="Calibri" w:hint="cs"/>
          <w:rtl/>
        </w:rPr>
        <w:t xml:space="preserve"> שעלול להתפתח. הבחירה בצעד זה נתמכה בשיקולים לפיהם קיים קושי לכמת את ההשפעה הישירה של מבצעי העידוד על עליית המחירים, וכי לא זוהה סיכון יציבותי למערכת הבנקאות ומתוך חשש לקביעת מגבלה שאינה מדויקת שעלולה להביא לפגיעה בהיצע האשראי לענף.</w:t>
      </w:r>
    </w:p>
    <w:p w:rsidR="001F2586" w:rsidRPr="001F2586" w:rsidP="001F2586">
      <w:pPr>
        <w:spacing w:line="269" w:lineRule="auto"/>
        <w:ind w:left="-567"/>
        <w:rPr>
          <w:rFonts w:eastAsia="Calibri"/>
          <w:rtl/>
        </w:rPr>
      </w:pPr>
    </w:p>
    <w:p w:rsidR="001F2586" w:rsidRPr="001F2586" w:rsidP="001F2586">
      <w:pPr>
        <w:spacing w:line="269" w:lineRule="auto"/>
        <w:rPr>
          <w:rFonts w:eastAsia="Calibri"/>
          <w:rtl/>
        </w:rPr>
      </w:pPr>
      <w:r w:rsidRPr="001F2586">
        <w:rPr>
          <w:rFonts w:eastAsia="Calibri" w:hint="cs"/>
          <w:rtl/>
        </w:rPr>
        <w:t>ב-15.10.24 הפיקוח דרש מהתאגידים הבנקאיים לערוך ניתוח מקיף של השפעת ההתפתחויות בשוק על הסיכונים לחשיפותיהם בענף הבינוי והנדל"ן ובתיק הדיור, ולערוך ניתוח של ההשפעה על הלימת הבקרות והכללים במדיניות האשראי הקיימת אצלם. במסגרת זו נדרשו התאגידים הבנקאיים להעביר לעיון הפיקוח על הבנקים את הניתוח וההמלצות עד סוף נובמבר 2024, ולקיים דיון בדירקטוריון בעניין זה ולהעביר את מסקנותיו לידי הפיקוח על הבנקים עד סוף 2024.</w:t>
      </w:r>
    </w:p>
    <w:p w:rsidR="001F2586" w:rsidRPr="001F2586" w:rsidP="001F2586">
      <w:pPr>
        <w:spacing w:line="269" w:lineRule="auto"/>
        <w:ind w:left="-567"/>
        <w:rPr>
          <w:rFonts w:eastAsia="Calibri"/>
          <w:rtl/>
        </w:rPr>
      </w:pPr>
    </w:p>
    <w:p w:rsidR="001F2586" w:rsidRPr="001F2586" w:rsidP="001F2586">
      <w:pPr>
        <w:spacing w:line="269" w:lineRule="auto"/>
        <w:rPr>
          <w:rFonts w:eastAsia="Calibri"/>
          <w:rtl/>
        </w:rPr>
      </w:pPr>
      <w:r w:rsidRPr="001F2586">
        <w:rPr>
          <w:rFonts w:eastAsia="Calibri" w:hint="cs"/>
          <w:rtl/>
        </w:rPr>
        <w:t>בדצמבר 2024 התקיים דיון בראשות הנגיד לאחר שהתקבלו בפיקוח דיווחי ההמלצות שגיבשו הבנקים לשינויים במדיניות האשראי במענה לדרישת הפיקוח. המלצות לשינויים במדיניות האשראי כללו: (א) הגבלות על שיעור מכירת דירות בלוח תשלומים לא ליניארי מסך הדירות בפרויקט מסוים ומכלל היחידות שבפרויקטים בליווי; (ב) החמרה בנוסחת שחרור עודפים לקבלנים</w:t>
      </w:r>
      <w:r>
        <w:rPr>
          <w:rFonts w:eastAsia="Calibri"/>
          <w:vertAlign w:val="superscript"/>
          <w:rtl/>
        </w:rPr>
        <w:footnoteReference w:id="197"/>
      </w:r>
      <w:r w:rsidRPr="001F2586">
        <w:rPr>
          <w:rFonts w:eastAsia="Calibri" w:hint="cs"/>
          <w:rtl/>
        </w:rPr>
        <w:t>; (ג) הקשחת שיעור הפרויקטים המלווים בכושר ספיגה</w:t>
      </w:r>
      <w:r>
        <w:rPr>
          <w:rFonts w:eastAsia="Calibri"/>
          <w:vertAlign w:val="superscript"/>
          <w:rtl/>
        </w:rPr>
        <w:footnoteReference w:id="198"/>
      </w:r>
      <w:r w:rsidRPr="001F2586">
        <w:rPr>
          <w:rFonts w:eastAsia="Calibri" w:hint="cs"/>
          <w:rtl/>
        </w:rPr>
        <w:t xml:space="preserve"> נמוך באופן יחסי; (ד) קביעת קריטריונים שונים להלוואות לדיור בסבסוד קבלן</w:t>
      </w:r>
      <w:r>
        <w:rPr>
          <w:rFonts w:eastAsia="Calibri"/>
          <w:vertAlign w:val="superscript"/>
          <w:rtl/>
        </w:rPr>
        <w:footnoteReference w:id="199"/>
      </w:r>
      <w:r w:rsidRPr="001F2586">
        <w:rPr>
          <w:rFonts w:eastAsia="Calibri" w:hint="cs"/>
          <w:rtl/>
        </w:rPr>
        <w:t>. בעקבות דיווחי הבנקים גיבש הפיקוח בחינה של צעדי פיקוח שונים</w:t>
      </w:r>
      <w:r>
        <w:rPr>
          <w:rFonts w:eastAsia="Calibri"/>
          <w:vertAlign w:val="superscript"/>
          <w:rtl/>
        </w:rPr>
        <w:footnoteReference w:id="200"/>
      </w:r>
      <w:r w:rsidRPr="001F2586">
        <w:rPr>
          <w:rFonts w:eastAsia="Calibri" w:hint="cs"/>
          <w:rtl/>
        </w:rPr>
        <w:t xml:space="preserve">, לרבות, תועלתם, עלותם, מועד החלתם והיקפם. במסגרת זו הוחלט כי </w:t>
      </w:r>
      <w:r w:rsidRPr="001F2586">
        <w:rPr>
          <w:rFonts w:eastAsia="Calibri" w:hint="cs"/>
          <w:rtl/>
        </w:rPr>
        <w:t xml:space="preserve">צעד פיקוחי יקודם לאחר שיתקבל מידע על השפעת מהלכי ההידוק </w:t>
      </w:r>
      <w:r w:rsidRPr="001F2586" w:rsidR="007F31A8">
        <w:rPr>
          <w:rFonts w:eastAsia="Calibri" w:hint="cs"/>
          <w:rtl/>
        </w:rPr>
        <w:t>הוולונטר</w:t>
      </w:r>
      <w:r w:rsidRPr="001F2586" w:rsidR="007F31A8">
        <w:rPr>
          <w:rFonts w:eastAsia="Calibri" w:hint="eastAsia"/>
          <w:rtl/>
        </w:rPr>
        <w:t>י</w:t>
      </w:r>
      <w:r w:rsidRPr="001F2586">
        <w:rPr>
          <w:rFonts w:eastAsia="Calibri" w:hint="cs"/>
          <w:rtl/>
        </w:rPr>
        <w:t xml:space="preserve"> של הבנקים על השוק.</w:t>
      </w:r>
    </w:p>
    <w:p w:rsidR="001F2586" w:rsidRPr="001F2586" w:rsidP="001F2586">
      <w:pPr>
        <w:spacing w:line="269" w:lineRule="auto"/>
        <w:ind w:left="-567"/>
        <w:rPr>
          <w:rFonts w:eastAsia="Calibri"/>
          <w:rtl/>
        </w:rPr>
      </w:pPr>
    </w:p>
    <w:p w:rsidR="001F2586" w:rsidRPr="001F2586" w:rsidP="001F2586">
      <w:pPr>
        <w:spacing w:line="269" w:lineRule="auto"/>
        <w:rPr>
          <w:rFonts w:eastAsia="Calibri"/>
          <w:rtl/>
        </w:rPr>
      </w:pPr>
      <w:r w:rsidRPr="001F2586">
        <w:rPr>
          <w:rFonts w:eastAsia="Calibri" w:hint="cs"/>
          <w:rtl/>
        </w:rPr>
        <w:t>בפברואר 2025 הפיקוח על הבנקים העלה בדיון בראשות הנגיד הצעה לקביעת מגבלות על מבצעי עידוד באמצעות הוראת-שעה. המגבלות גובשו לאחר בחינת השפעתן לפי הנחות ותרחישים שונים על כל הגורמים המעורבים בעסקה</w:t>
      </w:r>
      <w:r>
        <w:rPr>
          <w:rFonts w:eastAsia="Calibri"/>
          <w:vertAlign w:val="superscript"/>
          <w:rtl/>
        </w:rPr>
        <w:footnoteReference w:id="201"/>
      </w:r>
      <w:r w:rsidRPr="001F2586">
        <w:rPr>
          <w:rFonts w:eastAsia="Calibri" w:hint="cs"/>
          <w:rtl/>
        </w:rPr>
        <w:t>. במהלך מרץ 2025 התקיימו דיונים נוספים בראשות הנגיד במסגרתם הורחבו ניתוחים לאיתור סיכונים הנגזרים מהתרחבות מבצעי העידוד, לאמידת ההשלכות והתועלות הנגזרות מנקיטת צעד פיקוחי והועלה הצורך בדיוק הוראת-השעה.</w:t>
      </w:r>
    </w:p>
    <w:p w:rsidR="001F2586" w:rsidRPr="001F2586" w:rsidP="001F2586">
      <w:pPr>
        <w:spacing w:line="269" w:lineRule="auto"/>
        <w:ind w:left="-567"/>
        <w:rPr>
          <w:rFonts w:eastAsia="Calibri"/>
          <w:rtl/>
        </w:rPr>
      </w:pPr>
    </w:p>
    <w:p w:rsidR="001F2586" w:rsidRPr="001F2586" w:rsidP="001F2586">
      <w:pPr>
        <w:spacing w:line="269" w:lineRule="auto"/>
        <w:rPr>
          <w:rFonts w:eastAsia="Calibri"/>
          <w:rtl/>
        </w:rPr>
      </w:pPr>
      <w:r w:rsidRPr="001F2586">
        <w:rPr>
          <w:rFonts w:eastAsia="Calibri" w:hint="cs"/>
          <w:rtl/>
        </w:rPr>
        <w:t>ב-23.3.25 הופצה טיוטה של הוראת-השעה להערות הציבור</w:t>
      </w:r>
      <w:r>
        <w:rPr>
          <w:rFonts w:eastAsia="Calibri"/>
          <w:vertAlign w:val="superscript"/>
          <w:rtl/>
        </w:rPr>
        <w:footnoteReference w:id="202"/>
      </w:r>
      <w:r w:rsidRPr="001F2586">
        <w:rPr>
          <w:rFonts w:eastAsia="Calibri" w:hint="cs"/>
          <w:rtl/>
        </w:rPr>
        <w:t>. במכתב שהופץ למערכת הבנקאית נכתב כי ההוראה הופצה לאחר שיח בשיתוף הגורמים המעורבים בשוק. בהודעה שפורסמה לעיתונות נכתב כי מגבלות הוראת-השעה "</w:t>
      </w:r>
      <w:r w:rsidRPr="001F2586">
        <w:rPr>
          <w:rFonts w:eastAsia="Calibri"/>
          <w:rtl/>
        </w:rPr>
        <w:t>כוללות הנחיות נוספות שמטרתן צמצום הסיכון לכלל הגורמים המעורבים בשוק על ידי חיזוק ניהול הסיכונים, חיזוק כושר הניטור וחיזוק הגנת הצרכן. צעדים אלה מאזנים בין הפחתת הסיכון</w:t>
      </w:r>
      <w:r w:rsidRPr="001F2586">
        <w:rPr>
          <w:rFonts w:ascii="David" w:eastAsia="Calibri" w:hAnsi="David"/>
          <w:sz w:val="24"/>
          <w:rtl/>
        </w:rPr>
        <w:t xml:space="preserve"> המתגבר מהשימוש במנגנוני המימון לבין המשך שימוש מבוקר בכלי זה בשוק הדיור</w:t>
      </w:r>
      <w:r w:rsidRPr="001F2586">
        <w:rPr>
          <w:rFonts w:ascii="David" w:eastAsia="Calibri" w:hAnsi="David" w:hint="cs"/>
          <w:sz w:val="24"/>
          <w:rtl/>
        </w:rPr>
        <w:t>"</w:t>
      </w:r>
      <w:r w:rsidRPr="001F2586">
        <w:rPr>
          <w:rFonts w:ascii="David" w:eastAsia="Calibri" w:hAnsi="David"/>
          <w:sz w:val="24"/>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ב</w:t>
      </w:r>
      <w:r w:rsidRPr="001F2586">
        <w:rPr>
          <w:rFonts w:eastAsia="Calibri"/>
          <w:b/>
          <w:bCs/>
          <w:rtl/>
        </w:rPr>
        <w:t xml:space="preserve">-6.4.25 </w:t>
      </w:r>
      <w:r w:rsidRPr="001F2586">
        <w:rPr>
          <w:rFonts w:eastAsia="Calibri" w:hint="eastAsia"/>
          <w:b/>
          <w:bCs/>
          <w:rtl/>
        </w:rPr>
        <w:t>נכנסה</w:t>
      </w:r>
      <w:r w:rsidRPr="001F2586">
        <w:rPr>
          <w:rFonts w:eastAsia="Calibri"/>
          <w:b/>
          <w:bCs/>
          <w:rtl/>
        </w:rPr>
        <w:t xml:space="preserve"> </w:t>
      </w:r>
      <w:r w:rsidRPr="001F2586">
        <w:rPr>
          <w:rFonts w:eastAsia="Calibri" w:hint="eastAsia"/>
          <w:b/>
          <w:bCs/>
          <w:rtl/>
        </w:rPr>
        <w:t>לתוקף</w:t>
      </w:r>
      <w:r w:rsidRPr="001F2586">
        <w:rPr>
          <w:rFonts w:eastAsia="Calibri"/>
          <w:b/>
          <w:bCs/>
          <w:rtl/>
        </w:rPr>
        <w:t xml:space="preserve"> </w:t>
      </w:r>
      <w:r w:rsidRPr="001F2586">
        <w:rPr>
          <w:rFonts w:eastAsia="Calibri" w:hint="eastAsia"/>
          <w:b/>
          <w:bCs/>
          <w:rtl/>
        </w:rPr>
        <w:t>הוראת</w:t>
      </w:r>
      <w:r w:rsidRPr="001F2586">
        <w:rPr>
          <w:rFonts w:eastAsia="Calibri"/>
          <w:b/>
          <w:bCs/>
          <w:rtl/>
        </w:rPr>
        <w:t xml:space="preserve">-שעה עד לסוף שנת 2026 ובתוכה כמה הגבלות: </w:t>
      </w:r>
      <w:r w:rsidRPr="001F2586">
        <w:rPr>
          <w:rFonts w:eastAsia="Calibri" w:hint="cs"/>
          <w:b/>
          <w:bCs/>
          <w:rtl/>
        </w:rPr>
        <w:t>(א)</w:t>
      </w:r>
      <w:r w:rsidRPr="001F2586">
        <w:rPr>
          <w:rFonts w:eastAsia="Calibri"/>
          <w:b/>
          <w:bCs/>
          <w:rtl/>
        </w:rPr>
        <w:t xml:space="preserve"> אשראי במסגרת הסכם-ליווי לפרויקט בנייה למגורים ששיעור החוזים למכירת דירה שחלק משמעותי ממחירה</w:t>
      </w:r>
      <w:r>
        <w:rPr>
          <w:rFonts w:eastAsia="Calibri"/>
          <w:b/>
          <w:bCs/>
          <w:vertAlign w:val="superscript"/>
          <w:rtl/>
        </w:rPr>
        <w:footnoteReference w:id="203"/>
      </w:r>
      <w:r w:rsidRPr="001F2586">
        <w:rPr>
          <w:rFonts w:eastAsia="Calibri"/>
          <w:b/>
          <w:bCs/>
          <w:rtl/>
        </w:rPr>
        <w:t xml:space="preserve"> נדחה למועד המסירה עולה על 25% ישוקלל במשקל סיכון 150% במקום 100%; </w:t>
      </w:r>
      <w:r w:rsidRPr="001F2586">
        <w:rPr>
          <w:rFonts w:eastAsia="Calibri" w:hint="cs"/>
          <w:b/>
          <w:bCs/>
          <w:rtl/>
        </w:rPr>
        <w:t>(ב)</w:t>
      </w:r>
      <w:r w:rsidRPr="001F2586">
        <w:rPr>
          <w:rFonts w:eastAsia="Calibri"/>
          <w:b/>
          <w:bCs/>
          <w:rtl/>
        </w:rPr>
        <w:t xml:space="preserve"> אשראי בפרויקטים קיימים שבהם שיעור החוזים למכירת דירה שחלק משמעותי בהם נדחה </w:t>
      </w:r>
      <w:r w:rsidRPr="001F2586">
        <w:rPr>
          <w:rFonts w:eastAsia="Calibri" w:hint="eastAsia"/>
          <w:b/>
          <w:bCs/>
          <w:rtl/>
        </w:rPr>
        <w:t>למועד</w:t>
      </w:r>
      <w:r w:rsidRPr="001F2586">
        <w:rPr>
          <w:rFonts w:eastAsia="Calibri"/>
          <w:b/>
          <w:bCs/>
          <w:rtl/>
        </w:rPr>
        <w:t xml:space="preserve"> </w:t>
      </w:r>
      <w:r w:rsidRPr="001F2586">
        <w:rPr>
          <w:rFonts w:eastAsia="Calibri" w:hint="eastAsia"/>
          <w:b/>
          <w:bCs/>
          <w:rtl/>
        </w:rPr>
        <w:t>המסירה</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20% </w:t>
      </w:r>
      <w:r w:rsidRPr="001F2586">
        <w:rPr>
          <w:rFonts w:eastAsia="Calibri" w:hint="eastAsia"/>
          <w:b/>
          <w:bCs/>
          <w:rtl/>
        </w:rPr>
        <w:t>ישוקלל</w:t>
      </w:r>
      <w:r w:rsidRPr="001F2586">
        <w:rPr>
          <w:rFonts w:eastAsia="Calibri"/>
          <w:b/>
          <w:bCs/>
          <w:rtl/>
        </w:rPr>
        <w:t xml:space="preserve"> </w:t>
      </w:r>
      <w:r w:rsidRPr="001F2586">
        <w:rPr>
          <w:rFonts w:eastAsia="Calibri" w:hint="eastAsia"/>
          <w:b/>
          <w:bCs/>
          <w:rtl/>
        </w:rPr>
        <w:t>ב</w:t>
      </w:r>
      <w:r w:rsidRPr="001F2586">
        <w:rPr>
          <w:rFonts w:eastAsia="Calibri"/>
          <w:b/>
          <w:bCs/>
          <w:rtl/>
        </w:rPr>
        <w:t xml:space="preserve">-150% </w:t>
      </w:r>
      <w:r w:rsidRPr="001F2586">
        <w:rPr>
          <w:rFonts w:eastAsia="Calibri" w:hint="eastAsia"/>
          <w:b/>
          <w:bCs/>
          <w:rtl/>
        </w:rPr>
        <w:t>רק</w:t>
      </w:r>
      <w:r w:rsidRPr="001F2586">
        <w:rPr>
          <w:rFonts w:eastAsia="Calibri"/>
          <w:b/>
          <w:bCs/>
          <w:rtl/>
        </w:rPr>
        <w:t xml:space="preserve"> </w:t>
      </w:r>
      <w:r w:rsidRPr="001F2586">
        <w:rPr>
          <w:rFonts w:eastAsia="Calibri" w:hint="eastAsia"/>
          <w:b/>
          <w:bCs/>
          <w:rtl/>
        </w:rPr>
        <w:t>אם</w:t>
      </w:r>
      <w:r w:rsidRPr="001F2586">
        <w:rPr>
          <w:rFonts w:eastAsia="Calibri"/>
          <w:b/>
          <w:bCs/>
          <w:rtl/>
        </w:rPr>
        <w:t xml:space="preserve">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הדירות</w:t>
      </w:r>
      <w:r w:rsidRPr="001F2586">
        <w:rPr>
          <w:rFonts w:eastAsia="Calibri"/>
          <w:b/>
          <w:bCs/>
          <w:rtl/>
        </w:rPr>
        <w:t xml:space="preserve"> </w:t>
      </w:r>
      <w:r w:rsidRPr="001F2586">
        <w:rPr>
          <w:rFonts w:eastAsia="Calibri" w:hint="eastAsia"/>
          <w:b/>
          <w:bCs/>
          <w:rtl/>
        </w:rPr>
        <w:t>כאמור</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ב</w:t>
      </w:r>
      <w:r w:rsidRPr="001F2586">
        <w:rPr>
          <w:rFonts w:eastAsia="Calibri"/>
          <w:b/>
          <w:bCs/>
          <w:rtl/>
        </w:rPr>
        <w:t xml:space="preserve">-5 </w:t>
      </w:r>
      <w:r w:rsidRPr="001F2586">
        <w:rPr>
          <w:rFonts w:eastAsia="Calibri" w:hint="eastAsia"/>
          <w:b/>
          <w:bCs/>
          <w:rtl/>
        </w:rPr>
        <w:t>נקודות</w:t>
      </w:r>
      <w:r w:rsidRPr="001F2586">
        <w:rPr>
          <w:rFonts w:eastAsia="Calibri"/>
          <w:b/>
          <w:bCs/>
          <w:rtl/>
        </w:rPr>
        <w:t xml:space="preserve"> </w:t>
      </w:r>
      <w:r w:rsidRPr="001F2586">
        <w:rPr>
          <w:rFonts w:eastAsia="Calibri" w:hint="eastAsia"/>
          <w:b/>
          <w:bCs/>
          <w:rtl/>
        </w:rPr>
        <w:t>אחוז</w:t>
      </w:r>
      <w:r w:rsidRPr="001F2586">
        <w:rPr>
          <w:rFonts w:eastAsia="Calibri"/>
          <w:b/>
          <w:bCs/>
          <w:rtl/>
        </w:rPr>
        <w:t xml:space="preserve"> </w:t>
      </w:r>
      <w:r w:rsidRPr="001F2586">
        <w:rPr>
          <w:rFonts w:eastAsia="Calibri" w:hint="eastAsia"/>
          <w:b/>
          <w:bCs/>
          <w:rtl/>
        </w:rPr>
        <w:t>או</w:t>
      </w:r>
      <w:r w:rsidRPr="001F2586">
        <w:rPr>
          <w:rFonts w:eastAsia="Calibri"/>
          <w:b/>
          <w:bCs/>
          <w:rtl/>
        </w:rPr>
        <w:t xml:space="preserve"> </w:t>
      </w:r>
      <w:r w:rsidRPr="001F2586">
        <w:rPr>
          <w:rFonts w:eastAsia="Calibri" w:hint="eastAsia"/>
          <w:b/>
          <w:bCs/>
          <w:rtl/>
        </w:rPr>
        <w:t>יותר</w:t>
      </w:r>
      <w:r w:rsidRPr="001F2586">
        <w:rPr>
          <w:rFonts w:eastAsia="Calibri"/>
          <w:b/>
          <w:bCs/>
          <w:rtl/>
        </w:rPr>
        <w:t xml:space="preserve"> </w:t>
      </w:r>
      <w:r w:rsidRPr="001F2586">
        <w:rPr>
          <w:rFonts w:eastAsia="Calibri" w:hint="eastAsia"/>
          <w:b/>
          <w:bCs/>
          <w:rtl/>
        </w:rPr>
        <w:t>מהשיעור</w:t>
      </w:r>
      <w:r w:rsidRPr="001F2586">
        <w:rPr>
          <w:rFonts w:eastAsia="Calibri"/>
          <w:b/>
          <w:bCs/>
          <w:rtl/>
        </w:rPr>
        <w:t xml:space="preserve"> </w:t>
      </w:r>
      <w:r w:rsidRPr="001F2586">
        <w:rPr>
          <w:rFonts w:eastAsia="Calibri" w:hint="eastAsia"/>
          <w:b/>
          <w:bCs/>
          <w:rtl/>
        </w:rPr>
        <w:t>במועד</w:t>
      </w:r>
      <w:r w:rsidRPr="001F2586">
        <w:rPr>
          <w:rFonts w:eastAsia="Calibri"/>
          <w:b/>
          <w:bCs/>
          <w:rtl/>
        </w:rPr>
        <w:t xml:space="preserve"> </w:t>
      </w:r>
      <w:r w:rsidRPr="001F2586">
        <w:rPr>
          <w:rFonts w:eastAsia="Calibri" w:hint="eastAsia"/>
          <w:b/>
          <w:bCs/>
          <w:rtl/>
        </w:rPr>
        <w:t>התחילה</w:t>
      </w:r>
      <w:r w:rsidRPr="001F2586">
        <w:rPr>
          <w:rFonts w:eastAsia="Calibri"/>
          <w:b/>
          <w:bCs/>
          <w:rtl/>
        </w:rPr>
        <w:t xml:space="preserve">; </w:t>
      </w:r>
      <w:r w:rsidRPr="001F2586">
        <w:rPr>
          <w:rFonts w:eastAsia="Calibri" w:hint="cs"/>
          <w:b/>
          <w:bCs/>
          <w:rtl/>
        </w:rPr>
        <w:t xml:space="preserve">(ג)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הביצועים</w:t>
      </w:r>
      <w:r w:rsidRPr="001F2586">
        <w:rPr>
          <w:rFonts w:eastAsia="Calibri"/>
          <w:b/>
          <w:bCs/>
          <w:rtl/>
        </w:rPr>
        <w:t xml:space="preserve"> </w:t>
      </w:r>
      <w:r w:rsidRPr="001F2586">
        <w:rPr>
          <w:rFonts w:eastAsia="Calibri" w:hint="eastAsia"/>
          <w:b/>
          <w:bCs/>
          <w:rtl/>
        </w:rPr>
        <w:t>בגין</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בלון</w:t>
      </w:r>
      <w:r w:rsidRPr="001F2586">
        <w:rPr>
          <w:rFonts w:eastAsia="Calibri"/>
          <w:b/>
          <w:bCs/>
          <w:rtl/>
        </w:rPr>
        <w:t xml:space="preserve"> </w:t>
      </w:r>
      <w:r w:rsidRPr="001F2586">
        <w:rPr>
          <w:rFonts w:eastAsia="Calibri" w:hint="eastAsia"/>
          <w:b/>
          <w:bCs/>
          <w:rtl/>
        </w:rPr>
        <w:t>בסבסוד</w:t>
      </w:r>
      <w:r w:rsidRPr="001F2586">
        <w:rPr>
          <w:rFonts w:eastAsia="Calibri"/>
          <w:b/>
          <w:bCs/>
          <w:rtl/>
        </w:rPr>
        <w:t xml:space="preserve"> </w:t>
      </w:r>
      <w:r w:rsidRPr="001F2586">
        <w:rPr>
          <w:rFonts w:eastAsia="Calibri" w:hint="eastAsia"/>
          <w:b/>
          <w:bCs/>
          <w:rtl/>
        </w:rPr>
        <w:t>קבלנים</w:t>
      </w:r>
      <w:r w:rsidRPr="001F2586">
        <w:rPr>
          <w:rFonts w:eastAsia="Calibri"/>
          <w:b/>
          <w:bCs/>
          <w:rtl/>
        </w:rPr>
        <w:t xml:space="preserve"> </w:t>
      </w:r>
      <w:r w:rsidRPr="001F2586">
        <w:rPr>
          <w:rFonts w:eastAsia="Calibri" w:hint="eastAsia"/>
          <w:b/>
          <w:bCs/>
          <w:rtl/>
        </w:rPr>
        <w:t>לא</w:t>
      </w:r>
      <w:r w:rsidRPr="001F2586">
        <w:rPr>
          <w:rFonts w:eastAsia="Calibri"/>
          <w:b/>
          <w:bCs/>
          <w:rtl/>
        </w:rPr>
        <w:t xml:space="preserve"> </w:t>
      </w:r>
      <w:r w:rsidRPr="001F2586">
        <w:rPr>
          <w:rFonts w:eastAsia="Calibri" w:hint="eastAsia"/>
          <w:b/>
          <w:bCs/>
          <w:rtl/>
        </w:rPr>
        <w:t>יעלה</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10% </w:t>
      </w:r>
      <w:r w:rsidRPr="001F2586">
        <w:rPr>
          <w:rFonts w:eastAsia="Calibri" w:hint="eastAsia"/>
          <w:b/>
          <w:bCs/>
          <w:rtl/>
        </w:rPr>
        <w:t>מסך</w:t>
      </w:r>
      <w:r w:rsidRPr="001F2586">
        <w:rPr>
          <w:rFonts w:eastAsia="Calibri"/>
          <w:b/>
          <w:bCs/>
          <w:rtl/>
        </w:rPr>
        <w:t xml:space="preserve"> </w:t>
      </w:r>
      <w:r w:rsidRPr="001F2586">
        <w:rPr>
          <w:rFonts w:eastAsia="Calibri" w:hint="eastAsia"/>
          <w:b/>
          <w:bCs/>
          <w:rtl/>
        </w:rPr>
        <w:t>הביצועים</w:t>
      </w:r>
      <w:r w:rsidRPr="001F2586">
        <w:rPr>
          <w:rFonts w:eastAsia="Calibri"/>
          <w:b/>
          <w:bCs/>
          <w:rtl/>
        </w:rPr>
        <w:t xml:space="preserve"> </w:t>
      </w:r>
      <w:r w:rsidRPr="001F2586">
        <w:rPr>
          <w:rFonts w:eastAsia="Calibri" w:hint="eastAsia"/>
          <w:b/>
          <w:bCs/>
          <w:rtl/>
        </w:rPr>
        <w:t>ברבעון</w:t>
      </w:r>
      <w:r w:rsidRPr="001F2586">
        <w:rPr>
          <w:rFonts w:eastAsia="Calibri"/>
          <w:b/>
          <w:bCs/>
          <w:rtl/>
        </w:rPr>
        <w:t xml:space="preserve"> </w:t>
      </w:r>
      <w:r w:rsidRPr="001F2586">
        <w:rPr>
          <w:rFonts w:eastAsia="Calibri" w:hint="eastAsia"/>
          <w:b/>
          <w:bCs/>
          <w:rtl/>
        </w:rPr>
        <w:t>קלנדרי</w:t>
      </w:r>
      <w:r w:rsidRPr="001F2586">
        <w:rPr>
          <w:rFonts w:eastAsia="Calibri"/>
          <w:b/>
          <w:bCs/>
          <w:rtl/>
        </w:rPr>
        <w:t xml:space="preserve"> </w:t>
      </w:r>
      <w:r w:rsidRPr="001F2586">
        <w:rPr>
          <w:rFonts w:eastAsia="Calibri" w:hint="eastAsia"/>
          <w:b/>
          <w:bCs/>
          <w:rtl/>
        </w:rPr>
        <w:t>בגין</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w:t>
      </w:r>
      <w:r w:rsidRPr="001F2586">
        <w:rPr>
          <w:rFonts w:eastAsia="Calibri" w:hint="eastAsia"/>
          <w:b/>
          <w:bCs/>
          <w:rtl/>
        </w:rPr>
        <w:t>למעט</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w:t>
      </w:r>
      <w:r w:rsidRPr="001F2586">
        <w:rPr>
          <w:rFonts w:eastAsia="Calibri" w:hint="eastAsia"/>
          <w:b/>
          <w:bCs/>
          <w:rtl/>
        </w:rPr>
        <w:t>שלא</w:t>
      </w:r>
      <w:r w:rsidRPr="001F2586">
        <w:rPr>
          <w:rFonts w:eastAsia="Calibri"/>
          <w:b/>
          <w:bCs/>
          <w:rtl/>
        </w:rPr>
        <w:t xml:space="preserve"> </w:t>
      </w:r>
      <w:r w:rsidRPr="001F2586">
        <w:rPr>
          <w:rFonts w:eastAsia="Calibri" w:hint="eastAsia"/>
          <w:b/>
          <w:bCs/>
          <w:rtl/>
        </w:rPr>
        <w:t>לצורך</w:t>
      </w:r>
      <w:r w:rsidRPr="001F2586">
        <w:rPr>
          <w:rFonts w:eastAsia="Calibri"/>
          <w:b/>
          <w:bCs/>
          <w:rtl/>
        </w:rPr>
        <w:t xml:space="preserve"> </w:t>
      </w:r>
      <w:r w:rsidRPr="001F2586">
        <w:rPr>
          <w:rFonts w:eastAsia="Calibri" w:hint="eastAsia"/>
          <w:b/>
          <w:bCs/>
          <w:rtl/>
        </w:rPr>
        <w:t>רכישת</w:t>
      </w:r>
      <w:r w:rsidRPr="001F2586">
        <w:rPr>
          <w:rFonts w:eastAsia="Calibri"/>
          <w:b/>
          <w:bCs/>
          <w:rtl/>
        </w:rPr>
        <w:t xml:space="preserve"> </w:t>
      </w:r>
      <w:r w:rsidRPr="001F2586">
        <w:rPr>
          <w:rFonts w:eastAsia="Calibri" w:hint="eastAsia"/>
          <w:b/>
          <w:bCs/>
          <w:rtl/>
        </w:rPr>
        <w:t>זכות</w:t>
      </w:r>
      <w:r w:rsidRPr="001F2586">
        <w:rPr>
          <w:rFonts w:eastAsia="Calibri"/>
          <w:b/>
          <w:bCs/>
          <w:rtl/>
        </w:rPr>
        <w:t xml:space="preserve"> </w:t>
      </w:r>
      <w:r w:rsidRPr="001F2586">
        <w:rPr>
          <w:rFonts w:eastAsia="Calibri" w:hint="eastAsia"/>
          <w:b/>
          <w:bCs/>
          <w:rtl/>
        </w:rPr>
        <w:t>במקרקעין</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התרשים להלן מרכז את פעולות הפיקוח בעניין מבצעי עידוד לפי סדר כרונולוגי ממועד זיהוי מבצעי העידוד ועד למועד פרסום הוראת-שעה בעניין.</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noProof/>
          <w:rtl/>
          <w:lang w:val="he-IL"/>
        </w:rPr>
      </w:pPr>
      <w:bookmarkStart w:id="57" w:name="_Hlk233032338"/>
      <w:r w:rsidRPr="001F2586">
        <w:rPr>
          <w:rFonts w:eastAsia="Calibri" w:hint="cs"/>
          <w:b/>
          <w:sz w:val="24"/>
          <w:rtl/>
        </w:rPr>
        <w:t>תרשים 27:</w:t>
      </w:r>
      <w:r w:rsidRPr="001F2586">
        <w:rPr>
          <w:rFonts w:eastAsia="Calibri" w:hint="cs"/>
          <w:bCs/>
          <w:sz w:val="24"/>
          <w:rtl/>
        </w:rPr>
        <w:t xml:space="preserve"> פעולות הפיקוח על הבנקים לפיקוח ובקרה על מבצעי עידוד</w:t>
      </w:r>
    </w:p>
    <w:bookmarkEnd w:id="57"/>
    <w:p w:rsidR="001F2586" w:rsidRPr="001F2586" w:rsidP="001F2586">
      <w:pPr>
        <w:spacing w:line="269" w:lineRule="auto"/>
        <w:jc w:val="center"/>
        <w:rPr>
          <w:rFonts w:eastAsia="Calibri"/>
          <w:rtl/>
        </w:rPr>
      </w:pPr>
      <w:r w:rsidRPr="001F2586">
        <w:rPr>
          <w:rFonts w:eastAsia="Calibri"/>
          <w:noProof/>
        </w:rPr>
        <w:drawing>
          <wp:inline distT="0" distB="0" distL="0" distR="0">
            <wp:extent cx="5218430" cy="3743325"/>
            <wp:effectExtent l="0" t="0" r="1270" b="9525"/>
            <wp:docPr id="29" name="תמונה 29" descr="דצמ-23 הפיקוח זיהה גידול ניכר בהלוואות בלון באשראי לדיור וקיים בירור מול הבנקים בנושא.&#10;&#10;ינו-24 הורחב המעקב הפיקוחי והתקבלו נתונים אד הוק על מבצעי העידוד מהבנקים.&#10;&#10;מאי-24 התקיימו דיונים בראשות הנגיד בעניין נהלי חיתום ופרקטיקות נהוגות בבנק בקשר להלוואות בלון.&#10;&#10;יונ-24 התקיים דיון בראשות הנגיד בעניין זיהוי מגמות ומוקדי סיכון הנגזרים ממבצעי עידוד&#10;&#10;אוג-24 דרישה לביצוע בחינה של הקצאת מסגרת אשראי כספי לפרויקטים בליווי בנייה&#10;&#10;7.10.24 התקיים דיון בלשכת הנגיד לבחינת הסיכונים וצעדי התערבות והוחלט להטיל על הבנקים לבצע ניתוח ובחינה מקיפה של הסיכונים והמלצות לצעדים מתאימים&#10;&#10;15.10.24 הפיקוח דרש מהבנקים לבצע ניתוח מקיף של השפעת ההתפתחויות על הסיכונים לחשיפות והמלצות לצעדים מתאימים לקביעת מגבלות בהתאם לצורך&#10;&#10;דצמ-24 בוצע ניתוח של המלצות המערכת הבנקאית ובחינה של צעדי פיקוח שונים. הוחלט כי צעד יקודם לאחר שיתקבל מידע בדבר השפעת שינוי המדיניות של הבנקים.&#10;&#10;פברואר 2025 - הפיקוח הביא לאישור הנגיד הצעה לקביעת מגבלה על מבצעי עידוד בהוראת-שעה&#10;&#10;מרץ-24 התקיימו דיונים בראשות הנגיד לניתוח הסיכונים, ההשלכות והתועלות הנגזרות מהפצת הוראת-שעה&#10;&#10;23.3.25 הופצה טיוטת הוראת-שעה להערות הציבור וחברי הוועדה המייעצת.&#10;&#10;4.6.25 פרסום הוראת שעה בתוקף עד לסוף שנת 20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3743325"/>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הפיקוח על הבנקים,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bookmarkStart w:id="58" w:name="_Hlk224059333"/>
      <w:bookmarkStart w:id="59" w:name="_Hlk214777516"/>
      <w:r w:rsidRPr="001F2586">
        <w:rPr>
          <w:rFonts w:eastAsia="Calibri" w:hint="cs"/>
          <w:b/>
          <w:bCs/>
          <w:rtl/>
        </w:rPr>
        <w:t xml:space="preserve">נמצא כי הפיקוח על הבנקים </w:t>
      </w:r>
      <w:r w:rsidRPr="001F2586">
        <w:rPr>
          <w:rFonts w:eastAsia="Calibri" w:hint="eastAsia"/>
          <w:b/>
          <w:bCs/>
          <w:rtl/>
        </w:rPr>
        <w:t>ביצע</w:t>
      </w:r>
      <w:r w:rsidRPr="001F2586">
        <w:rPr>
          <w:rFonts w:eastAsia="Calibri"/>
          <w:b/>
          <w:bCs/>
          <w:rtl/>
        </w:rPr>
        <w:t xml:space="preserve"> </w:t>
      </w:r>
      <w:r w:rsidRPr="001F2586">
        <w:rPr>
          <w:rFonts w:eastAsia="Calibri" w:hint="cs"/>
          <w:b/>
          <w:bCs/>
          <w:rtl/>
        </w:rPr>
        <w:t>מעקב במהלך השנים 2023 - 2025 לאיתור סיכונים הנגזרים ממבצעי עידוד וכן קיים תהליך קבלת החלטות בטרם יישום צעדים פיקוחיים בעניין זה. עם זאת, בשנים 2023 - 2025 הסיכון לא הופחת ואף גדל בהיקפים משמעותיים ביותר, כפי שבא לידי ביטוי בין היתר בגידול נרחב ביותר של פי 18.5 בהיקף האשראי המצטבר שניתן בהלוואות בסבסוד קבלנים מכ-453 מיליו</w:t>
      </w:r>
      <w:r w:rsidRPr="001F2586">
        <w:rPr>
          <w:rFonts w:eastAsia="Calibri" w:hint="eastAsia"/>
          <w:b/>
          <w:bCs/>
          <w:rtl/>
        </w:rPr>
        <w:t>ן</w:t>
      </w:r>
      <w:r w:rsidRPr="001F2586">
        <w:rPr>
          <w:rFonts w:eastAsia="Calibri" w:hint="cs"/>
          <w:b/>
          <w:bCs/>
          <w:rtl/>
        </w:rPr>
        <w:t xml:space="preserve"> ש"ח בדצמבר 2023 לכ-8.3 מיליארד ש"ח באוגוסט 2025. עלה כי</w:t>
      </w:r>
      <w:r w:rsidRPr="001F2586">
        <w:rPr>
          <w:rFonts w:eastAsia="Calibri"/>
          <w:b/>
          <w:bCs/>
          <w:rtl/>
        </w:rPr>
        <w:t xml:space="preserve"> </w:t>
      </w:r>
      <w:r w:rsidRPr="001F2586">
        <w:rPr>
          <w:rFonts w:eastAsia="Calibri" w:hint="eastAsia"/>
          <w:b/>
          <w:bCs/>
          <w:rtl/>
        </w:rPr>
        <w:t>עד</w:t>
      </w:r>
      <w:r w:rsidRPr="001F2586">
        <w:rPr>
          <w:rFonts w:eastAsia="Calibri" w:hint="cs"/>
          <w:b/>
          <w:bCs/>
          <w:rtl/>
        </w:rPr>
        <w:t xml:space="preserve"> מתן הוראת השעה באפריל 2025 פעל הפיקוח על הבנקים במגוון פעולות להפחתת הסיכון של מבצעי העידוד (ובהן העברת מסרים, הנחיות וגיבוש מתווה וולונטרי מול המערכת הבנקאית) שלא הביאו לירידה בהיקף האשראי המצטבר שניתן בהלוואות בסבסוד קבלנים.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בנק ישראל צוין כי </w:t>
      </w:r>
      <w:r w:rsidRPr="001F2586">
        <w:rPr>
          <w:rFonts w:eastAsia="Calibri"/>
          <w:rtl/>
        </w:rPr>
        <w:t>לפיקוח על הבנקים קיימים כלי פיקוח ובקרה מגוונים ובטרם</w:t>
      </w:r>
      <w:r w:rsidRPr="001F2586">
        <w:rPr>
          <w:rFonts w:eastAsia="Calibri" w:hint="cs"/>
          <w:rtl/>
        </w:rPr>
        <w:t xml:space="preserve"> הוא </w:t>
      </w:r>
      <w:r w:rsidRPr="001F2586">
        <w:rPr>
          <w:rFonts w:eastAsia="Calibri"/>
          <w:rtl/>
        </w:rPr>
        <w:t xml:space="preserve">נוקט בצעד כזה או אחר </w:t>
      </w:r>
      <w:r w:rsidRPr="001F2586">
        <w:rPr>
          <w:rFonts w:eastAsia="Calibri" w:hint="cs"/>
          <w:rtl/>
        </w:rPr>
        <w:t>נשקלים</w:t>
      </w:r>
      <w:r w:rsidRPr="001F2586">
        <w:rPr>
          <w:rFonts w:eastAsia="Calibri"/>
          <w:rtl/>
        </w:rPr>
        <w:t xml:space="preserve"> מכלול ההשפעות </w:t>
      </w:r>
      <w:r w:rsidRPr="001F2586">
        <w:rPr>
          <w:rFonts w:eastAsia="Calibri" w:hint="cs"/>
          <w:rtl/>
        </w:rPr>
        <w:t>הצפויות שלו, וכי "</w:t>
      </w:r>
      <w:r w:rsidRPr="001F2586">
        <w:rPr>
          <w:rFonts w:eastAsia="Calibri"/>
          <w:rtl/>
        </w:rPr>
        <w:t xml:space="preserve">הבחירה </w:t>
      </w:r>
      <w:r w:rsidRPr="001F2586">
        <w:rPr>
          <w:rFonts w:eastAsia="Calibri" w:hint="cs"/>
          <w:rtl/>
        </w:rPr>
        <w:t>להפעלת כלים הדרגתית</w:t>
      </w:r>
      <w:r w:rsidRPr="001F2586">
        <w:rPr>
          <w:rFonts w:eastAsia="Calibri"/>
          <w:rtl/>
        </w:rPr>
        <w:t xml:space="preserve"> </w:t>
      </w:r>
      <w:r w:rsidRPr="001F2586">
        <w:rPr>
          <w:rFonts w:eastAsia="Calibri" w:hint="cs"/>
          <w:rtl/>
        </w:rPr>
        <w:t xml:space="preserve">בהתייחס </w:t>
      </w:r>
      <w:r w:rsidRPr="001F2586">
        <w:rPr>
          <w:rFonts w:eastAsia="Calibri"/>
          <w:rtl/>
        </w:rPr>
        <w:t>למבצעי</w:t>
      </w:r>
      <w:r w:rsidRPr="001F2586">
        <w:rPr>
          <w:rFonts w:eastAsia="Calibri" w:hint="cs"/>
          <w:rtl/>
        </w:rPr>
        <w:t xml:space="preserve"> </w:t>
      </w:r>
      <w:r w:rsidRPr="001F2586">
        <w:rPr>
          <w:rFonts w:eastAsia="Calibri"/>
          <w:rtl/>
        </w:rPr>
        <w:t xml:space="preserve">העידוד של יזמים </w:t>
      </w:r>
      <w:r w:rsidRPr="001F2586">
        <w:rPr>
          <w:rFonts w:eastAsia="Calibri" w:hint="cs"/>
          <w:rtl/>
        </w:rPr>
        <w:t>הינה</w:t>
      </w:r>
      <w:r w:rsidRPr="001F2586">
        <w:rPr>
          <w:rFonts w:eastAsia="Calibri"/>
          <w:rtl/>
        </w:rPr>
        <w:t xml:space="preserve"> החלטה </w:t>
      </w:r>
      <w:r w:rsidRPr="001F2586">
        <w:rPr>
          <w:rFonts w:eastAsia="Calibri" w:hint="cs"/>
          <w:rtl/>
        </w:rPr>
        <w:t>פיקוחית שנבעה מ</w:t>
      </w:r>
      <w:r w:rsidRPr="001F2586">
        <w:rPr>
          <w:rFonts w:eastAsia="Calibri"/>
          <w:rtl/>
        </w:rPr>
        <w:t>מכלול של שיקולים</w:t>
      </w:r>
      <w:r w:rsidRPr="001F2586">
        <w:rPr>
          <w:rFonts w:eastAsia="Calibri" w:hint="cs"/>
          <w:rtl/>
        </w:rPr>
        <w:t xml:space="preserve"> ו</w:t>
      </w:r>
      <w:r w:rsidRPr="001F2586">
        <w:rPr>
          <w:rFonts w:eastAsia="Calibri"/>
          <w:rtl/>
        </w:rPr>
        <w:t xml:space="preserve">ניתוח </w:t>
      </w:r>
      <w:r w:rsidRPr="001F2586">
        <w:rPr>
          <w:rFonts w:eastAsia="Calibri" w:hint="cs"/>
          <w:rtl/>
        </w:rPr>
        <w:t xml:space="preserve">השלכות של חלופות שונות, ולאחר </w:t>
      </w:r>
      <w:r w:rsidRPr="001F2586">
        <w:rPr>
          <w:rFonts w:eastAsia="Calibri"/>
          <w:rtl/>
        </w:rPr>
        <w:t xml:space="preserve">דיונים שוטפים </w:t>
      </w:r>
      <w:r w:rsidRPr="001F2586">
        <w:rPr>
          <w:rFonts w:eastAsia="Calibri" w:hint="cs"/>
          <w:rtl/>
        </w:rPr>
        <w:t>בפיקוח על הבנקים ובבנק ישראל שכללו, בין היתר, מעקב אחר שינויים שחלו בהמשך לצעדים שננקטו". עוד צוין בתשובה כי "</w:t>
      </w:r>
      <w:r w:rsidRPr="001F2586">
        <w:rPr>
          <w:rFonts w:eastAsia="Calibri" w:hint="eastAsia"/>
          <w:b/>
          <w:bCs/>
          <w:rtl/>
        </w:rPr>
        <w:t>צעדים</w:t>
      </w:r>
      <w:r w:rsidRPr="001F2586">
        <w:rPr>
          <w:rFonts w:eastAsia="Calibri"/>
          <w:b/>
          <w:bCs/>
          <w:rtl/>
        </w:rPr>
        <w:t xml:space="preserve"> אלו </w:t>
      </w:r>
      <w:r w:rsidRPr="001F2586">
        <w:rPr>
          <w:rFonts w:eastAsia="Calibri" w:hint="eastAsia"/>
          <w:b/>
          <w:bCs/>
          <w:rtl/>
        </w:rPr>
        <w:t>מילאו</w:t>
      </w:r>
      <w:r w:rsidRPr="001F2586">
        <w:rPr>
          <w:rFonts w:eastAsia="Calibri"/>
          <w:b/>
          <w:bCs/>
          <w:rtl/>
        </w:rPr>
        <w:t xml:space="preserve"> </w:t>
      </w:r>
      <w:r w:rsidRPr="001F2586">
        <w:rPr>
          <w:rFonts w:eastAsia="Calibri" w:hint="eastAsia"/>
          <w:b/>
          <w:bCs/>
          <w:rtl/>
        </w:rPr>
        <w:t>תפקיד</w:t>
      </w:r>
      <w:r w:rsidRPr="001F2586">
        <w:rPr>
          <w:rFonts w:eastAsia="Calibri"/>
          <w:b/>
          <w:bCs/>
          <w:rtl/>
        </w:rPr>
        <w:t xml:space="preserve"> </w:t>
      </w:r>
      <w:r w:rsidRPr="001F2586">
        <w:rPr>
          <w:rFonts w:eastAsia="Calibri" w:hint="eastAsia"/>
          <w:b/>
          <w:bCs/>
          <w:rtl/>
        </w:rPr>
        <w:t>רגולטורי</w:t>
      </w:r>
      <w:r w:rsidRPr="001F2586">
        <w:rPr>
          <w:rFonts w:eastAsia="Calibri"/>
          <w:b/>
          <w:bCs/>
          <w:rtl/>
        </w:rPr>
        <w:t xml:space="preserve"> </w:t>
      </w:r>
      <w:r w:rsidRPr="001F2586">
        <w:rPr>
          <w:rFonts w:eastAsia="Calibri" w:hint="eastAsia"/>
          <w:b/>
          <w:bCs/>
          <w:rtl/>
        </w:rPr>
        <w:t>מהותי</w:t>
      </w:r>
      <w:r w:rsidRPr="001F2586">
        <w:rPr>
          <w:rFonts w:eastAsia="Calibri" w:hint="cs"/>
          <w:b/>
          <w:bCs/>
          <w:rtl/>
        </w:rPr>
        <w:t xml:space="preserve"> (ההדגשה במקור)</w:t>
      </w:r>
      <w:r w:rsidRPr="001F2586">
        <w:rPr>
          <w:rFonts w:eastAsia="Calibri" w:hint="cs"/>
          <w:rtl/>
        </w:rPr>
        <w:t xml:space="preserve">: הם אותתו לשוק, אפשרו בחינה אמפירית של תגובותיו, ויצרו את התשתית המקצועית והמעשית לגיבוש המגבלה." </w:t>
      </w:r>
    </w:p>
    <w:bookmarkEnd w:id="58"/>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נוכח הגידול בהיקפים של השימוש במבצעי עידוד במהלך השנים 2023 - 2025 מומלץ כי הפיקוח על הבנקים ייבחן את המקרים בהם נדרש להדק את הפעילות הפיקוחית כדי להפחית סיכון מערכתי ולהגן על הציבור, ואת מידת ההסתמכות על צעדים וולונטריים של המערכת הבנקאית. </w:t>
      </w:r>
    </w:p>
    <w:bookmarkEnd w:id="59"/>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בחינת אפקטיביות צעדי הפיקוח על הבנקים יכולה להיעשות בין היתר באמצעות בחינת השפעתם על מדד מחירי הדירות, ובמיוחד על מדד מחירי הדירות החדשות</w:t>
      </w:r>
      <w:r>
        <w:rPr>
          <w:rFonts w:eastAsia="Calibri"/>
          <w:vertAlign w:val="superscript"/>
          <w:rtl/>
        </w:rPr>
        <w:footnoteReference w:id="204"/>
      </w:r>
      <w:r w:rsidRPr="001F2586">
        <w:rPr>
          <w:rFonts w:eastAsia="Calibri" w:hint="cs"/>
          <w:rtl/>
        </w:rPr>
        <w:t xml:space="preserve">. מדד מחירי דירות חדשות משמש רכיב מרכזי במדד הכולל של מחירי הדירות ובעל השפעה על מחירי דירות יד שנייה כיוון </w:t>
      </w:r>
      <w:r w:rsidRPr="001F2586">
        <w:rPr>
          <w:rFonts w:eastAsia="Calibri" w:hint="cs"/>
          <w:rtl/>
        </w:rPr>
        <w:t xml:space="preserve">שמשמש נקודת ייחוס למחירי דיור באזור מסוים. התרשים להלן מציג את מדד מחירי הדירות ואת מדד מחירי הדירות החדשות בדגש לשתי תקופות מרכזיות. תקופה אחת מתחילה מהמועד בו זוהו לראשונה מבצעי העידוד בפיקוח על הבנקים, בדצמבר 2023, ומסתיימת במועד פרסום טיוטת הוראת הפיקוח במרץ 2025. התקופה השנייה מתייחסת לפרק הזמן ממועד פרסום טיוטת ההוראה ועד למועד האחרון בו התקבלו נתוני </w:t>
      </w:r>
      <w:r w:rsidRPr="001F2586">
        <w:rPr>
          <w:rFonts w:eastAsia="Calibri" w:hint="cs"/>
          <w:rtl/>
        </w:rPr>
        <w:t>הלמ"ס</w:t>
      </w:r>
      <w:r w:rsidRPr="001F2586">
        <w:rPr>
          <w:rFonts w:eastAsia="Calibri" w:hint="cs"/>
          <w:rtl/>
        </w:rPr>
        <w:t xml:space="preserve"> בדבר מדדי המחירים נכון למועד סיום הביקורת.</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28:</w:t>
      </w:r>
      <w:r w:rsidRPr="001F2586">
        <w:rPr>
          <w:rFonts w:eastAsia="Calibri" w:hint="cs"/>
          <w:bCs/>
          <w:sz w:val="24"/>
          <w:rtl/>
        </w:rPr>
        <w:t xml:space="preserve"> </w:t>
      </w:r>
      <w:r w:rsidRPr="001F2586">
        <w:rPr>
          <w:rFonts w:eastAsia="Calibri" w:hint="eastAsia"/>
          <w:bCs/>
          <w:sz w:val="24"/>
          <w:rtl/>
        </w:rPr>
        <w:t>מדד</w:t>
      </w:r>
      <w:r w:rsidRPr="001F2586">
        <w:rPr>
          <w:rFonts w:eastAsia="Calibri"/>
          <w:bCs/>
          <w:sz w:val="24"/>
          <w:rtl/>
        </w:rPr>
        <w:t xml:space="preserve"> </w:t>
      </w:r>
      <w:r w:rsidRPr="001F2586">
        <w:rPr>
          <w:rFonts w:eastAsia="Calibri" w:hint="eastAsia"/>
          <w:bCs/>
          <w:sz w:val="24"/>
          <w:rtl/>
        </w:rPr>
        <w:t>מחירי</w:t>
      </w:r>
      <w:r w:rsidRPr="001F2586">
        <w:rPr>
          <w:rFonts w:eastAsia="Calibri"/>
          <w:bCs/>
          <w:sz w:val="24"/>
          <w:rtl/>
        </w:rPr>
        <w:t xml:space="preserve"> </w:t>
      </w:r>
      <w:r w:rsidRPr="001F2586">
        <w:rPr>
          <w:rFonts w:eastAsia="Calibri" w:hint="eastAsia"/>
          <w:bCs/>
          <w:sz w:val="24"/>
          <w:rtl/>
        </w:rPr>
        <w:t>הדירות</w:t>
      </w:r>
      <w:r w:rsidRPr="001F2586">
        <w:rPr>
          <w:rFonts w:eastAsia="Calibri"/>
          <w:bCs/>
          <w:sz w:val="24"/>
          <w:rtl/>
        </w:rPr>
        <w:t xml:space="preserve"> </w:t>
      </w:r>
      <w:r w:rsidRPr="001F2586">
        <w:rPr>
          <w:rFonts w:eastAsia="Calibri" w:hint="eastAsia"/>
          <w:bCs/>
          <w:sz w:val="24"/>
          <w:rtl/>
        </w:rPr>
        <w:t>ומדד</w:t>
      </w:r>
      <w:r w:rsidRPr="001F2586">
        <w:rPr>
          <w:rFonts w:eastAsia="Calibri"/>
          <w:bCs/>
          <w:sz w:val="24"/>
          <w:rtl/>
        </w:rPr>
        <w:t xml:space="preserve"> </w:t>
      </w:r>
      <w:r w:rsidRPr="001F2586">
        <w:rPr>
          <w:rFonts w:eastAsia="Calibri" w:hint="eastAsia"/>
          <w:bCs/>
          <w:sz w:val="24"/>
          <w:rtl/>
        </w:rPr>
        <w:t>מחירי</w:t>
      </w:r>
      <w:r w:rsidRPr="001F2586">
        <w:rPr>
          <w:rFonts w:eastAsia="Calibri"/>
          <w:bCs/>
          <w:sz w:val="24"/>
          <w:rtl/>
        </w:rPr>
        <w:t xml:space="preserve"> </w:t>
      </w:r>
      <w:r w:rsidRPr="001F2586">
        <w:rPr>
          <w:rFonts w:eastAsia="Calibri" w:hint="eastAsia"/>
          <w:bCs/>
          <w:sz w:val="24"/>
          <w:rtl/>
        </w:rPr>
        <w:t>הדירות</w:t>
      </w:r>
      <w:r w:rsidRPr="001F2586">
        <w:rPr>
          <w:rFonts w:eastAsia="Calibri"/>
          <w:bCs/>
          <w:sz w:val="24"/>
          <w:rtl/>
        </w:rPr>
        <w:t xml:space="preserve"> </w:t>
      </w:r>
      <w:r w:rsidRPr="001F2586">
        <w:rPr>
          <w:rFonts w:eastAsia="Calibri" w:hint="eastAsia"/>
          <w:bCs/>
          <w:sz w:val="24"/>
          <w:rtl/>
        </w:rPr>
        <w:t>החדשות</w:t>
      </w:r>
      <w:r w:rsidRPr="001F2586">
        <w:rPr>
          <w:rFonts w:eastAsia="Calibri" w:hint="cs"/>
          <w:bCs/>
          <w:sz w:val="24"/>
          <w:rtl/>
        </w:rPr>
        <w:t>, ינואר 2022 עד אוקטובר 2025</w:t>
      </w:r>
    </w:p>
    <w:p w:rsidR="001F2586" w:rsidRPr="001F2586" w:rsidP="001F2586">
      <w:pPr>
        <w:spacing w:line="269" w:lineRule="auto"/>
        <w:jc w:val="center"/>
        <w:rPr>
          <w:rFonts w:eastAsia="Calibri"/>
          <w:sz w:val="18"/>
          <w:szCs w:val="22"/>
          <w:rtl/>
        </w:rPr>
      </w:pPr>
      <w:r w:rsidRPr="001F2586">
        <w:rPr>
          <w:rFonts w:eastAsia="Calibri"/>
          <w:noProof/>
          <w:sz w:val="18"/>
          <w:szCs w:val="22"/>
        </w:rPr>
        <w:drawing>
          <wp:inline distT="0" distB="0" distL="0" distR="0">
            <wp:extent cx="5218430" cy="2688590"/>
            <wp:effectExtent l="0" t="0" r="1270" b="0"/>
            <wp:docPr id="30" name="תמונה 30" descr="מדד מחירים כל הדירות עלה מכ-500 לכ-600 ומדד מחירי דירות חדשות עלה מכ-450 לכ-500 בתקופה מינואר 2022 עד אוקטובר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2688590"/>
                    </a:xfrm>
                    <a:prstGeom prst="rect">
                      <a:avLst/>
                    </a:prstGeom>
                    <a:noFill/>
                  </pic:spPr>
                </pic:pic>
              </a:graphicData>
            </a:graphic>
          </wp:inline>
        </w:drawing>
      </w:r>
    </w:p>
    <w:p w:rsidR="001F2586" w:rsidRPr="001F2586" w:rsidP="000F32F8">
      <w:pPr>
        <w:spacing w:before="120" w:line="269" w:lineRule="auto"/>
        <w:rPr>
          <w:rFonts w:eastAsia="Calibri"/>
          <w:sz w:val="16"/>
          <w:szCs w:val="20"/>
          <w:rtl/>
        </w:rPr>
      </w:pPr>
      <w:r w:rsidRPr="001F2586">
        <w:rPr>
          <w:rFonts w:eastAsia="Calibri" w:hint="cs"/>
          <w:sz w:val="16"/>
          <w:szCs w:val="20"/>
          <w:rtl/>
        </w:rPr>
        <w:t>נתוני הלשכה המרכזית לסטטיסטיקה בעיבוד משרד מבקר המדינה.</w:t>
      </w:r>
    </w:p>
    <w:p w:rsidR="001F2586" w:rsidRPr="001F2586" w:rsidP="001F2586">
      <w:pPr>
        <w:spacing w:line="269" w:lineRule="auto"/>
        <w:rPr>
          <w:rFonts w:eastAsia="Calibri"/>
          <w:sz w:val="18"/>
          <w:szCs w:val="22"/>
          <w:rtl/>
        </w:rPr>
      </w:pPr>
    </w:p>
    <w:p w:rsidR="001F2586" w:rsidRPr="001F2586" w:rsidP="001F2586">
      <w:pPr>
        <w:spacing w:line="269" w:lineRule="auto"/>
        <w:rPr>
          <w:rFonts w:eastAsia="Calibri"/>
          <w:b/>
          <w:bCs/>
          <w:rtl/>
        </w:rPr>
      </w:pP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בתרשים</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החל</w:t>
      </w:r>
      <w:r w:rsidRPr="001F2586">
        <w:rPr>
          <w:rFonts w:eastAsia="Calibri"/>
          <w:b/>
          <w:bCs/>
          <w:rtl/>
        </w:rPr>
        <w:t xml:space="preserve"> </w:t>
      </w:r>
      <w:r w:rsidRPr="001F2586">
        <w:rPr>
          <w:rFonts w:eastAsia="Calibri" w:hint="eastAsia"/>
          <w:b/>
          <w:bCs/>
          <w:rtl/>
        </w:rPr>
        <w:t>מדצמבר</w:t>
      </w:r>
      <w:r w:rsidRPr="001F2586">
        <w:rPr>
          <w:rFonts w:eastAsia="Calibri"/>
          <w:b/>
          <w:bCs/>
          <w:rtl/>
        </w:rPr>
        <w:t xml:space="preserve"> 2023 </w:t>
      </w:r>
      <w:r w:rsidRPr="001F2586">
        <w:rPr>
          <w:rFonts w:eastAsia="Calibri" w:hint="eastAsia"/>
          <w:b/>
          <w:bCs/>
          <w:rtl/>
        </w:rPr>
        <w:t>חלה</w:t>
      </w:r>
      <w:r w:rsidRPr="001F2586">
        <w:rPr>
          <w:rFonts w:eastAsia="Calibri"/>
          <w:b/>
          <w:bCs/>
          <w:rtl/>
        </w:rPr>
        <w:t xml:space="preserve"> </w:t>
      </w:r>
      <w:r w:rsidRPr="001F2586">
        <w:rPr>
          <w:rFonts w:eastAsia="Calibri" w:hint="eastAsia"/>
          <w:b/>
          <w:bCs/>
          <w:rtl/>
        </w:rPr>
        <w:t>עלייה</w:t>
      </w:r>
      <w:r w:rsidRPr="001F2586">
        <w:rPr>
          <w:rFonts w:eastAsia="Calibri"/>
          <w:b/>
          <w:bCs/>
          <w:rtl/>
        </w:rPr>
        <w:t xml:space="preserve"> </w:t>
      </w:r>
      <w:r w:rsidRPr="001F2586">
        <w:rPr>
          <w:rFonts w:eastAsia="Calibri" w:hint="eastAsia"/>
          <w:b/>
          <w:bCs/>
          <w:rtl/>
        </w:rPr>
        <w:t>בשני</w:t>
      </w:r>
      <w:r w:rsidRPr="001F2586">
        <w:rPr>
          <w:rFonts w:eastAsia="Calibri"/>
          <w:b/>
          <w:bCs/>
          <w:rtl/>
        </w:rPr>
        <w:t xml:space="preserve"> </w:t>
      </w:r>
      <w:r w:rsidRPr="001F2586">
        <w:rPr>
          <w:rFonts w:eastAsia="Calibri" w:hint="eastAsia"/>
          <w:b/>
          <w:bCs/>
          <w:rtl/>
        </w:rPr>
        <w:t>המדדים</w:t>
      </w:r>
      <w:r w:rsidRPr="001F2586">
        <w:rPr>
          <w:rFonts w:eastAsia="Calibri"/>
          <w:b/>
          <w:bCs/>
          <w:rtl/>
        </w:rPr>
        <w:t xml:space="preserve"> </w:t>
      </w:r>
      <w:r w:rsidRPr="001F2586">
        <w:rPr>
          <w:rFonts w:eastAsia="Calibri" w:hint="eastAsia"/>
          <w:b/>
          <w:bCs/>
          <w:rtl/>
        </w:rPr>
        <w:t>לאחר</w:t>
      </w:r>
      <w:r w:rsidRPr="001F2586">
        <w:rPr>
          <w:rFonts w:eastAsia="Calibri"/>
          <w:b/>
          <w:bCs/>
          <w:rtl/>
        </w:rPr>
        <w:t xml:space="preserve"> </w:t>
      </w:r>
      <w:r w:rsidRPr="001F2586">
        <w:rPr>
          <w:rFonts w:eastAsia="Calibri" w:hint="eastAsia"/>
          <w:b/>
          <w:bCs/>
          <w:rtl/>
        </w:rPr>
        <w:t>ירידה</w:t>
      </w:r>
      <w:r w:rsidRPr="001F2586">
        <w:rPr>
          <w:rFonts w:eastAsia="Calibri"/>
          <w:b/>
          <w:bCs/>
          <w:rtl/>
        </w:rPr>
        <w:t xml:space="preserve"> </w:t>
      </w:r>
      <w:r w:rsidRPr="001F2586">
        <w:rPr>
          <w:rFonts w:eastAsia="Calibri" w:hint="eastAsia"/>
          <w:b/>
          <w:bCs/>
          <w:rtl/>
        </w:rPr>
        <w:t>הדרגתית</w:t>
      </w:r>
      <w:r w:rsidRPr="001F2586">
        <w:rPr>
          <w:rFonts w:eastAsia="Calibri"/>
          <w:b/>
          <w:bCs/>
          <w:rtl/>
        </w:rPr>
        <w:t xml:space="preserve"> </w:t>
      </w:r>
      <w:r w:rsidRPr="001F2586">
        <w:rPr>
          <w:rFonts w:eastAsia="Calibri" w:hint="eastAsia"/>
          <w:b/>
          <w:bCs/>
          <w:rtl/>
        </w:rPr>
        <w:t>ומתמשכת</w:t>
      </w:r>
      <w:r w:rsidRPr="001F2586">
        <w:rPr>
          <w:rFonts w:eastAsia="Calibri"/>
          <w:b/>
          <w:bCs/>
          <w:rtl/>
        </w:rPr>
        <w:t xml:space="preserve">, </w:t>
      </w:r>
      <w:r w:rsidRPr="001F2586">
        <w:rPr>
          <w:rFonts w:eastAsia="Calibri" w:hint="eastAsia"/>
          <w:b/>
          <w:bCs/>
          <w:rtl/>
        </w:rPr>
        <w:t>שראשיתה</w:t>
      </w:r>
      <w:r w:rsidRPr="001F2586">
        <w:rPr>
          <w:rFonts w:eastAsia="Calibri"/>
          <w:b/>
          <w:bCs/>
          <w:rtl/>
        </w:rPr>
        <w:t xml:space="preserve"> </w:t>
      </w:r>
      <w:r w:rsidRPr="001F2586">
        <w:rPr>
          <w:rFonts w:eastAsia="Calibri" w:hint="eastAsia"/>
          <w:b/>
          <w:bCs/>
          <w:rtl/>
        </w:rPr>
        <w:t>במחצית</w:t>
      </w:r>
      <w:r w:rsidRPr="001F2586">
        <w:rPr>
          <w:rFonts w:eastAsia="Calibri"/>
          <w:b/>
          <w:bCs/>
          <w:rtl/>
        </w:rPr>
        <w:t xml:space="preserve"> </w:t>
      </w:r>
      <w:r w:rsidRPr="001F2586">
        <w:rPr>
          <w:rFonts w:eastAsia="Calibri" w:hint="eastAsia"/>
          <w:b/>
          <w:bCs/>
          <w:rtl/>
        </w:rPr>
        <w:t>השנייה</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2022, </w:t>
      </w:r>
      <w:r w:rsidRPr="001F2586">
        <w:rPr>
          <w:rFonts w:eastAsia="Calibri" w:hint="eastAsia"/>
          <w:b/>
          <w:bCs/>
          <w:rtl/>
        </w:rPr>
        <w:t>בסמוך</w:t>
      </w:r>
      <w:r w:rsidRPr="001F2586">
        <w:rPr>
          <w:rFonts w:eastAsia="Calibri"/>
          <w:b/>
          <w:bCs/>
          <w:rtl/>
        </w:rPr>
        <w:t xml:space="preserve"> </w:t>
      </w:r>
      <w:r w:rsidRPr="001F2586">
        <w:rPr>
          <w:rFonts w:eastAsia="Calibri" w:hint="eastAsia"/>
          <w:b/>
          <w:bCs/>
          <w:rtl/>
        </w:rPr>
        <w:t>להעלאת</w:t>
      </w:r>
      <w:r w:rsidRPr="001F2586">
        <w:rPr>
          <w:rFonts w:eastAsia="Calibri"/>
          <w:b/>
          <w:bCs/>
          <w:rtl/>
        </w:rPr>
        <w:t xml:space="preserve">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הריבית</w:t>
      </w:r>
      <w:r w:rsidRPr="001F2586">
        <w:rPr>
          <w:rFonts w:eastAsia="Calibri"/>
          <w:b/>
          <w:bCs/>
          <w:rtl/>
        </w:rPr>
        <w:t xml:space="preserve"> </w:t>
      </w:r>
      <w:r w:rsidRPr="001F2586">
        <w:rPr>
          <w:rFonts w:eastAsia="Calibri" w:hint="eastAsia"/>
          <w:b/>
          <w:bCs/>
          <w:rtl/>
        </w:rPr>
        <w:t>במשק</w:t>
      </w:r>
      <w:r w:rsidRPr="001F2586">
        <w:rPr>
          <w:rFonts w:eastAsia="Calibri"/>
          <w:b/>
          <w:bCs/>
          <w:rtl/>
        </w:rPr>
        <w:t xml:space="preserve">. </w:t>
      </w:r>
      <w:r w:rsidRPr="001F2586">
        <w:rPr>
          <w:rFonts w:eastAsia="Calibri" w:hint="eastAsia"/>
          <w:b/>
          <w:bCs/>
          <w:rtl/>
        </w:rPr>
        <w:t>בהתאם</w:t>
      </w:r>
      <w:r w:rsidRPr="001F2586">
        <w:rPr>
          <w:rFonts w:eastAsia="Calibri"/>
          <w:b/>
          <w:bCs/>
          <w:rtl/>
        </w:rPr>
        <w:t xml:space="preserve">, </w:t>
      </w:r>
      <w:r w:rsidRPr="001F2586">
        <w:rPr>
          <w:rFonts w:eastAsia="Calibri" w:hint="eastAsia"/>
          <w:b/>
          <w:bCs/>
          <w:rtl/>
        </w:rPr>
        <w:t>מדד</w:t>
      </w:r>
      <w:r w:rsidRPr="001F2586">
        <w:rPr>
          <w:rFonts w:eastAsia="Calibri"/>
          <w:b/>
          <w:bCs/>
          <w:rtl/>
        </w:rPr>
        <w:t xml:space="preserve"> </w:t>
      </w:r>
      <w:r w:rsidRPr="001F2586">
        <w:rPr>
          <w:rFonts w:eastAsia="Calibri" w:hint="eastAsia"/>
          <w:b/>
          <w:bCs/>
          <w:rtl/>
        </w:rPr>
        <w:t>מחירי</w:t>
      </w:r>
      <w:r w:rsidRPr="001F2586">
        <w:rPr>
          <w:rFonts w:eastAsia="Calibri"/>
          <w:b/>
          <w:bCs/>
          <w:rtl/>
        </w:rPr>
        <w:t xml:space="preserve"> </w:t>
      </w:r>
      <w:r w:rsidRPr="001F2586">
        <w:rPr>
          <w:rFonts w:eastAsia="Calibri" w:hint="eastAsia"/>
          <w:b/>
          <w:bCs/>
          <w:rtl/>
        </w:rPr>
        <w:t>הדירות</w:t>
      </w:r>
      <w:r w:rsidRPr="001F2586">
        <w:rPr>
          <w:rFonts w:eastAsia="Calibri"/>
          <w:b/>
          <w:bCs/>
          <w:rtl/>
        </w:rPr>
        <w:t xml:space="preserve"> </w:t>
      </w:r>
      <w:r w:rsidRPr="001F2586">
        <w:rPr>
          <w:rFonts w:eastAsia="Calibri" w:hint="eastAsia"/>
          <w:b/>
          <w:bCs/>
          <w:rtl/>
        </w:rPr>
        <w:t>עלה</w:t>
      </w:r>
      <w:r w:rsidRPr="001F2586">
        <w:rPr>
          <w:rFonts w:eastAsia="Calibri"/>
          <w:b/>
          <w:bCs/>
          <w:rtl/>
        </w:rPr>
        <w:t xml:space="preserve"> </w:t>
      </w:r>
      <w:r w:rsidRPr="001F2586">
        <w:rPr>
          <w:rFonts w:eastAsia="Calibri" w:hint="eastAsia"/>
          <w:b/>
          <w:bCs/>
          <w:rtl/>
        </w:rPr>
        <w:t>בין</w:t>
      </w:r>
      <w:r w:rsidRPr="001F2586">
        <w:rPr>
          <w:rFonts w:eastAsia="Calibri"/>
          <w:b/>
          <w:bCs/>
          <w:rtl/>
        </w:rPr>
        <w:t xml:space="preserve"> </w:t>
      </w:r>
      <w:r w:rsidRPr="001F2586">
        <w:rPr>
          <w:rFonts w:eastAsia="Calibri" w:hint="eastAsia"/>
          <w:b/>
          <w:bCs/>
          <w:rtl/>
        </w:rPr>
        <w:t>דצמבר</w:t>
      </w:r>
      <w:r w:rsidRPr="001F2586">
        <w:rPr>
          <w:rFonts w:eastAsia="Calibri"/>
          <w:b/>
          <w:bCs/>
          <w:rtl/>
        </w:rPr>
        <w:t xml:space="preserve"> 2023 </w:t>
      </w:r>
      <w:r w:rsidRPr="001F2586">
        <w:rPr>
          <w:rFonts w:eastAsia="Calibri" w:hint="eastAsia"/>
          <w:b/>
          <w:bCs/>
          <w:rtl/>
        </w:rPr>
        <w:t>למרץ</w:t>
      </w:r>
      <w:r w:rsidRPr="001F2586">
        <w:rPr>
          <w:rFonts w:eastAsia="Calibri"/>
          <w:b/>
          <w:bCs/>
          <w:rtl/>
        </w:rPr>
        <w:t xml:space="preserve"> 2025 </w:t>
      </w:r>
      <w:r w:rsidRPr="001F2586">
        <w:rPr>
          <w:rFonts w:eastAsia="Calibri" w:hint="eastAsia"/>
          <w:b/>
          <w:bCs/>
          <w:rtl/>
        </w:rPr>
        <w:t>ב</w:t>
      </w:r>
      <w:r w:rsidRPr="001F2586">
        <w:rPr>
          <w:rFonts w:eastAsia="Calibri"/>
          <w:b/>
          <w:bCs/>
          <w:rtl/>
        </w:rPr>
        <w:t xml:space="preserve">-9.9% </w:t>
      </w:r>
      <w:r w:rsidRPr="001F2586">
        <w:rPr>
          <w:rFonts w:eastAsia="Calibri" w:hint="eastAsia"/>
          <w:b/>
          <w:bCs/>
          <w:rtl/>
        </w:rPr>
        <w:t>ומדד</w:t>
      </w:r>
      <w:r w:rsidRPr="001F2586">
        <w:rPr>
          <w:rFonts w:eastAsia="Calibri"/>
          <w:b/>
          <w:bCs/>
          <w:rtl/>
        </w:rPr>
        <w:t xml:space="preserve"> </w:t>
      </w:r>
      <w:r w:rsidRPr="001F2586">
        <w:rPr>
          <w:rFonts w:eastAsia="Calibri" w:hint="eastAsia"/>
          <w:b/>
          <w:bCs/>
          <w:rtl/>
        </w:rPr>
        <w:t>הדירות</w:t>
      </w:r>
      <w:r w:rsidRPr="001F2586">
        <w:rPr>
          <w:rFonts w:eastAsia="Calibri"/>
          <w:b/>
          <w:bCs/>
          <w:rtl/>
        </w:rPr>
        <w:t xml:space="preserve"> </w:t>
      </w:r>
      <w:r w:rsidRPr="001F2586">
        <w:rPr>
          <w:rFonts w:eastAsia="Calibri" w:hint="eastAsia"/>
          <w:b/>
          <w:bCs/>
          <w:rtl/>
        </w:rPr>
        <w:t>החדשות</w:t>
      </w:r>
      <w:r w:rsidRPr="001F2586">
        <w:rPr>
          <w:rFonts w:eastAsia="Calibri"/>
          <w:b/>
          <w:bCs/>
          <w:rtl/>
        </w:rPr>
        <w:t xml:space="preserve"> </w:t>
      </w:r>
      <w:r w:rsidRPr="001F2586">
        <w:rPr>
          <w:rFonts w:eastAsia="Calibri"/>
          <w:b/>
          <w:bCs/>
          <w:rtl/>
        </w:rPr>
        <w:br/>
      </w:r>
      <w:r w:rsidRPr="001F2586">
        <w:rPr>
          <w:rFonts w:eastAsia="Calibri" w:hint="eastAsia"/>
          <w:b/>
          <w:bCs/>
          <w:rtl/>
        </w:rPr>
        <w:t>ב</w:t>
      </w:r>
      <w:r w:rsidRPr="001F2586">
        <w:rPr>
          <w:rFonts w:eastAsia="Calibri"/>
          <w:b/>
          <w:bCs/>
          <w:rtl/>
        </w:rPr>
        <w:t xml:space="preserve">-8.1%. </w:t>
      </w:r>
      <w:r w:rsidRPr="001F2586">
        <w:rPr>
          <w:rFonts w:eastAsia="Calibri" w:hint="eastAsia"/>
          <w:b/>
          <w:bCs/>
          <w:rtl/>
        </w:rPr>
        <w:t>עם</w:t>
      </w:r>
      <w:r w:rsidRPr="001F2586">
        <w:rPr>
          <w:rFonts w:eastAsia="Calibri"/>
          <w:b/>
          <w:bCs/>
          <w:rtl/>
        </w:rPr>
        <w:t xml:space="preserve"> </w:t>
      </w:r>
      <w:r w:rsidRPr="001F2586">
        <w:rPr>
          <w:rFonts w:eastAsia="Calibri" w:hint="eastAsia"/>
          <w:b/>
          <w:bCs/>
          <w:rtl/>
        </w:rPr>
        <w:t>זאת</w:t>
      </w:r>
      <w:r w:rsidRPr="001F2586">
        <w:rPr>
          <w:rFonts w:eastAsia="Calibri"/>
          <w:b/>
          <w:bCs/>
          <w:rtl/>
        </w:rPr>
        <w:t xml:space="preserve">, </w:t>
      </w:r>
      <w:r w:rsidRPr="001F2586">
        <w:rPr>
          <w:rFonts w:eastAsia="Calibri" w:hint="eastAsia"/>
          <w:b/>
          <w:bCs/>
          <w:rtl/>
        </w:rPr>
        <w:t>ממרץ</w:t>
      </w:r>
      <w:r w:rsidRPr="001F2586">
        <w:rPr>
          <w:rFonts w:eastAsia="Calibri"/>
          <w:b/>
          <w:bCs/>
          <w:rtl/>
        </w:rPr>
        <w:t xml:space="preserve"> 2025 </w:t>
      </w:r>
      <w:r w:rsidRPr="001F2586">
        <w:rPr>
          <w:rFonts w:eastAsia="Calibri" w:hint="eastAsia"/>
          <w:b/>
          <w:bCs/>
          <w:rtl/>
        </w:rPr>
        <w:t>חל</w:t>
      </w:r>
      <w:r w:rsidRPr="001F2586">
        <w:rPr>
          <w:rFonts w:eastAsia="Calibri"/>
          <w:b/>
          <w:bCs/>
          <w:rtl/>
        </w:rPr>
        <w:t xml:space="preserve"> </w:t>
      </w:r>
      <w:r w:rsidRPr="001F2586">
        <w:rPr>
          <w:rFonts w:eastAsia="Calibri" w:hint="eastAsia"/>
          <w:b/>
          <w:bCs/>
          <w:rtl/>
        </w:rPr>
        <w:t>שינוי</w:t>
      </w:r>
      <w:r w:rsidRPr="001F2586">
        <w:rPr>
          <w:rFonts w:eastAsia="Calibri"/>
          <w:b/>
          <w:bCs/>
          <w:rtl/>
        </w:rPr>
        <w:t xml:space="preserve"> </w:t>
      </w:r>
      <w:r w:rsidRPr="001F2586">
        <w:rPr>
          <w:rFonts w:eastAsia="Calibri" w:hint="eastAsia"/>
          <w:b/>
          <w:bCs/>
          <w:rtl/>
        </w:rPr>
        <w:t>מגמה</w:t>
      </w:r>
      <w:r w:rsidRPr="001F2586">
        <w:rPr>
          <w:rFonts w:eastAsia="Calibri"/>
          <w:b/>
          <w:bCs/>
          <w:rtl/>
        </w:rPr>
        <w:t xml:space="preserve"> </w:t>
      </w:r>
      <w:r w:rsidRPr="001F2586">
        <w:rPr>
          <w:rFonts w:eastAsia="Calibri" w:hint="eastAsia"/>
          <w:b/>
          <w:bCs/>
          <w:rtl/>
        </w:rPr>
        <w:t>בשני</w:t>
      </w:r>
      <w:r w:rsidRPr="001F2586">
        <w:rPr>
          <w:rFonts w:eastAsia="Calibri"/>
          <w:b/>
          <w:bCs/>
          <w:rtl/>
        </w:rPr>
        <w:t xml:space="preserve"> </w:t>
      </w:r>
      <w:r w:rsidRPr="001F2586">
        <w:rPr>
          <w:rFonts w:eastAsia="Calibri" w:hint="eastAsia"/>
          <w:b/>
          <w:bCs/>
          <w:rtl/>
        </w:rPr>
        <w:t>המדדים</w:t>
      </w:r>
      <w:r w:rsidRPr="001F2586">
        <w:rPr>
          <w:rFonts w:eastAsia="Calibri"/>
          <w:b/>
          <w:bCs/>
          <w:rtl/>
        </w:rPr>
        <w:t xml:space="preserve">, </w:t>
      </w:r>
      <w:r w:rsidRPr="001F2586">
        <w:rPr>
          <w:rFonts w:eastAsia="Calibri" w:hint="eastAsia"/>
          <w:b/>
          <w:bCs/>
          <w:rtl/>
        </w:rPr>
        <w:t>כך</w:t>
      </w:r>
      <w:r w:rsidRPr="001F2586">
        <w:rPr>
          <w:rFonts w:eastAsia="Calibri"/>
          <w:b/>
          <w:bCs/>
          <w:rtl/>
        </w:rPr>
        <w:t xml:space="preserve"> </w:t>
      </w:r>
      <w:r w:rsidRPr="001F2586">
        <w:rPr>
          <w:rFonts w:eastAsia="Calibri" w:hint="eastAsia"/>
          <w:b/>
          <w:bCs/>
          <w:rtl/>
        </w:rPr>
        <w:t>שעד</w:t>
      </w:r>
      <w:r w:rsidRPr="001F2586">
        <w:rPr>
          <w:rFonts w:eastAsia="Calibri"/>
          <w:b/>
          <w:bCs/>
          <w:rtl/>
        </w:rPr>
        <w:t xml:space="preserve"> </w:t>
      </w:r>
      <w:r w:rsidRPr="001F2586">
        <w:rPr>
          <w:rFonts w:eastAsia="Calibri" w:hint="eastAsia"/>
          <w:b/>
          <w:bCs/>
          <w:rtl/>
        </w:rPr>
        <w:t>אוקטובר</w:t>
      </w:r>
      <w:r w:rsidRPr="001F2586">
        <w:rPr>
          <w:rFonts w:eastAsia="Calibri"/>
          <w:b/>
          <w:bCs/>
          <w:rtl/>
        </w:rPr>
        <w:t xml:space="preserve"> 2025 </w:t>
      </w:r>
      <w:r w:rsidRPr="001F2586">
        <w:rPr>
          <w:rFonts w:eastAsia="Calibri" w:hint="eastAsia"/>
          <w:b/>
          <w:bCs/>
          <w:rtl/>
        </w:rPr>
        <w:t>מדד</w:t>
      </w:r>
      <w:r w:rsidRPr="001F2586">
        <w:rPr>
          <w:rFonts w:eastAsia="Calibri"/>
          <w:b/>
          <w:bCs/>
          <w:rtl/>
        </w:rPr>
        <w:t xml:space="preserve"> </w:t>
      </w:r>
      <w:r w:rsidRPr="001F2586">
        <w:rPr>
          <w:rFonts w:eastAsia="Calibri" w:hint="eastAsia"/>
          <w:b/>
          <w:bCs/>
          <w:rtl/>
        </w:rPr>
        <w:t>מחירי</w:t>
      </w:r>
      <w:r w:rsidRPr="001F2586">
        <w:rPr>
          <w:rFonts w:eastAsia="Calibri"/>
          <w:b/>
          <w:bCs/>
          <w:rtl/>
        </w:rPr>
        <w:t xml:space="preserve"> </w:t>
      </w:r>
      <w:r w:rsidRPr="001F2586">
        <w:rPr>
          <w:rFonts w:eastAsia="Calibri" w:hint="eastAsia"/>
          <w:b/>
          <w:bCs/>
          <w:rtl/>
        </w:rPr>
        <w:t>הדירות</w:t>
      </w:r>
      <w:r w:rsidRPr="001F2586">
        <w:rPr>
          <w:rFonts w:eastAsia="Calibri"/>
          <w:b/>
          <w:bCs/>
          <w:rtl/>
        </w:rPr>
        <w:t xml:space="preserve"> </w:t>
      </w:r>
      <w:r w:rsidRPr="001F2586">
        <w:rPr>
          <w:rFonts w:eastAsia="Calibri" w:hint="eastAsia"/>
          <w:b/>
          <w:bCs/>
          <w:rtl/>
        </w:rPr>
        <w:t>ירד</w:t>
      </w:r>
      <w:r w:rsidRPr="001F2586">
        <w:rPr>
          <w:rFonts w:eastAsia="Calibri"/>
          <w:b/>
          <w:bCs/>
          <w:rtl/>
        </w:rPr>
        <w:t xml:space="preserve"> </w:t>
      </w:r>
      <w:r w:rsidRPr="001F2586">
        <w:rPr>
          <w:rFonts w:eastAsia="Calibri" w:hint="eastAsia"/>
          <w:b/>
          <w:bCs/>
          <w:rtl/>
        </w:rPr>
        <w:t>ב</w:t>
      </w:r>
      <w:r w:rsidRPr="001F2586">
        <w:rPr>
          <w:rFonts w:eastAsia="Calibri"/>
          <w:b/>
          <w:bCs/>
          <w:rtl/>
        </w:rPr>
        <w:t xml:space="preserve">-2.4% </w:t>
      </w:r>
      <w:r w:rsidRPr="001F2586">
        <w:rPr>
          <w:rFonts w:eastAsia="Calibri" w:hint="eastAsia"/>
          <w:b/>
          <w:bCs/>
          <w:rtl/>
        </w:rPr>
        <w:t>ומדד</w:t>
      </w:r>
      <w:r w:rsidRPr="001F2586">
        <w:rPr>
          <w:rFonts w:eastAsia="Calibri"/>
          <w:b/>
          <w:bCs/>
          <w:rtl/>
        </w:rPr>
        <w:t xml:space="preserve"> </w:t>
      </w:r>
      <w:r w:rsidRPr="001F2586">
        <w:rPr>
          <w:rFonts w:eastAsia="Calibri" w:hint="eastAsia"/>
          <w:b/>
          <w:bCs/>
          <w:rtl/>
        </w:rPr>
        <w:t>מחירי</w:t>
      </w:r>
      <w:r w:rsidRPr="001F2586">
        <w:rPr>
          <w:rFonts w:eastAsia="Calibri"/>
          <w:b/>
          <w:bCs/>
          <w:rtl/>
        </w:rPr>
        <w:t xml:space="preserve"> </w:t>
      </w:r>
      <w:r w:rsidRPr="001F2586">
        <w:rPr>
          <w:rFonts w:eastAsia="Calibri" w:hint="eastAsia"/>
          <w:b/>
          <w:bCs/>
          <w:rtl/>
        </w:rPr>
        <w:t>הדירות</w:t>
      </w:r>
      <w:r w:rsidRPr="001F2586">
        <w:rPr>
          <w:rFonts w:eastAsia="Calibri"/>
          <w:b/>
          <w:bCs/>
          <w:rtl/>
        </w:rPr>
        <w:t xml:space="preserve"> </w:t>
      </w:r>
      <w:r w:rsidRPr="001F2586">
        <w:rPr>
          <w:rFonts w:eastAsia="Calibri" w:hint="eastAsia"/>
          <w:b/>
          <w:bCs/>
          <w:rtl/>
        </w:rPr>
        <w:t>החדשות</w:t>
      </w:r>
      <w:r w:rsidRPr="001F2586">
        <w:rPr>
          <w:rFonts w:eastAsia="Calibri"/>
          <w:b/>
          <w:bCs/>
          <w:rtl/>
        </w:rPr>
        <w:t xml:space="preserve"> </w:t>
      </w:r>
      <w:r w:rsidRPr="001F2586">
        <w:rPr>
          <w:rFonts w:eastAsia="Calibri" w:hint="eastAsia"/>
          <w:b/>
          <w:bCs/>
          <w:rtl/>
        </w:rPr>
        <w:t>ירד</w:t>
      </w:r>
      <w:r w:rsidRPr="001F2586">
        <w:rPr>
          <w:rFonts w:eastAsia="Calibri"/>
          <w:b/>
          <w:bCs/>
          <w:rtl/>
        </w:rPr>
        <w:t xml:space="preserve"> </w:t>
      </w:r>
      <w:r w:rsidRPr="001F2586">
        <w:rPr>
          <w:rFonts w:eastAsia="Calibri" w:hint="eastAsia"/>
          <w:b/>
          <w:bCs/>
          <w:rtl/>
        </w:rPr>
        <w:t>ב</w:t>
      </w:r>
      <w:r w:rsidRPr="001F2586">
        <w:rPr>
          <w:rFonts w:eastAsia="Calibri"/>
          <w:b/>
          <w:bCs/>
          <w:rtl/>
        </w:rPr>
        <w:t xml:space="preserve">-4.2%.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היפוך</w:t>
      </w:r>
      <w:r w:rsidRPr="001F2586">
        <w:rPr>
          <w:rFonts w:eastAsia="Calibri"/>
          <w:b/>
          <w:bCs/>
          <w:rtl/>
        </w:rPr>
        <w:t xml:space="preserve"> </w:t>
      </w:r>
      <w:r w:rsidRPr="001F2586">
        <w:rPr>
          <w:rFonts w:eastAsia="Calibri" w:hint="eastAsia"/>
          <w:b/>
          <w:bCs/>
          <w:rtl/>
        </w:rPr>
        <w:t>המגמה</w:t>
      </w:r>
      <w:r w:rsidRPr="001F2586">
        <w:rPr>
          <w:rFonts w:eastAsia="Calibri"/>
          <w:b/>
          <w:bCs/>
          <w:rtl/>
        </w:rPr>
        <w:t xml:space="preserve"> </w:t>
      </w: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לייחס</w:t>
      </w:r>
      <w:r w:rsidRPr="001F2586">
        <w:rPr>
          <w:rFonts w:eastAsia="Calibri"/>
          <w:b/>
          <w:bCs/>
          <w:rtl/>
        </w:rPr>
        <w:t xml:space="preserve"> </w:t>
      </w:r>
      <w:r w:rsidRPr="001F2586">
        <w:rPr>
          <w:rFonts w:eastAsia="Calibri" w:hint="eastAsia"/>
          <w:b/>
          <w:bCs/>
          <w:rtl/>
        </w:rPr>
        <w:t>במידה</w:t>
      </w:r>
      <w:r w:rsidRPr="001F2586">
        <w:rPr>
          <w:rFonts w:eastAsia="Calibri"/>
          <w:b/>
          <w:bCs/>
          <w:rtl/>
        </w:rPr>
        <w:t xml:space="preserve"> </w:t>
      </w:r>
      <w:r w:rsidRPr="001F2586">
        <w:rPr>
          <w:rFonts w:eastAsia="Calibri" w:hint="eastAsia"/>
          <w:b/>
          <w:bCs/>
          <w:rtl/>
        </w:rPr>
        <w:t>מסוימת</w:t>
      </w:r>
      <w:r w:rsidRPr="001F2586">
        <w:rPr>
          <w:rFonts w:eastAsia="Calibri"/>
          <w:b/>
          <w:bCs/>
          <w:rtl/>
        </w:rPr>
        <w:t xml:space="preserve"> </w:t>
      </w:r>
      <w:r w:rsidRPr="001F2586">
        <w:rPr>
          <w:rFonts w:eastAsia="Calibri" w:hint="eastAsia"/>
          <w:b/>
          <w:bCs/>
          <w:rtl/>
        </w:rPr>
        <w:t>להוראת</w:t>
      </w:r>
      <w:r w:rsidRPr="001F2586">
        <w:rPr>
          <w:rFonts w:eastAsia="Calibri"/>
          <w:b/>
          <w:bCs/>
          <w:rtl/>
        </w:rPr>
        <w:t xml:space="preserve">-השעה </w:t>
      </w:r>
      <w:r w:rsidRPr="001F2586">
        <w:rPr>
          <w:rFonts w:eastAsia="Calibri" w:hint="eastAsia"/>
          <w:b/>
          <w:bCs/>
          <w:rtl/>
        </w:rPr>
        <w:t>שפרסם</w:t>
      </w:r>
      <w:r w:rsidRPr="001F2586">
        <w:rPr>
          <w:rFonts w:eastAsia="Calibri"/>
          <w:b/>
          <w:bCs/>
          <w:rtl/>
        </w:rPr>
        <w:t xml:space="preserve">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כאמור</w:t>
      </w:r>
      <w:r w:rsidRPr="001F2586">
        <w:rPr>
          <w:rFonts w:eastAsia="Calibri"/>
          <w:b/>
          <w:bCs/>
          <w:rtl/>
        </w:rPr>
        <w:t xml:space="preserve"> </w:t>
      </w:r>
      <w:r w:rsidRPr="001F2586">
        <w:rPr>
          <w:rFonts w:eastAsia="Calibri" w:hint="eastAsia"/>
          <w:b/>
          <w:bCs/>
          <w:rtl/>
        </w:rPr>
        <w:t>באפריל</w:t>
      </w:r>
      <w:r w:rsidRPr="001F2586">
        <w:rPr>
          <w:rFonts w:eastAsia="Calibri"/>
          <w:b/>
          <w:bCs/>
          <w:rtl/>
        </w:rPr>
        <w:t xml:space="preserve"> 2025, במיוחד לנוכח </w:t>
      </w:r>
      <w:r w:rsidRPr="001F2586">
        <w:rPr>
          <w:rFonts w:eastAsia="Calibri" w:hint="eastAsia"/>
          <w:b/>
          <w:bCs/>
          <w:rtl/>
        </w:rPr>
        <w:t>האופן</w:t>
      </w:r>
      <w:r w:rsidRPr="001F2586">
        <w:rPr>
          <w:rFonts w:eastAsia="Calibri"/>
          <w:b/>
          <w:bCs/>
          <w:rtl/>
        </w:rPr>
        <w:t xml:space="preserve"> בו התבטא ביתר שאת שינוי המגמה במדד מחירי הדירות החדשות. היפוך המגמה יכול להעיד כי אלמלא מבצעי העידוד מגמת העלייה במחירי הדירות שהתרחשה בין דצמבר 2023 למרץ 2025 הייתה נחלשת באופן משמעותי ויתכן כי כלל לא הייתה מתקיימת.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אינדיקציה נוספת לאפקטיביות צעדי הפיקוח היא באמצעות בחינת השפעתם על היקף המכירות בעסקאות נדל"ן. זאת בהתאם לניתוח שערך הפיקוח במרץ 2025 בדבר השפעת צעדי הפיקוח על השוק שחזה היתכנות להאטה ברכישות כתוצאה מנקיטת צעד פיקוחי. התרשים להלן מציג את היקף העסקאות למכירת דירות חדשות, דירות חדשות ללא סבסוד ממשלתי ודירות יד שנייה בתקופה שבין אוגוסט 2023 לספטמבר 2025.</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29:</w:t>
      </w:r>
      <w:r w:rsidRPr="001F2586">
        <w:rPr>
          <w:rFonts w:eastAsia="Calibri" w:hint="cs"/>
          <w:bCs/>
          <w:sz w:val="24"/>
          <w:rtl/>
        </w:rPr>
        <w:t xml:space="preserve"> </w:t>
      </w:r>
      <w:r w:rsidRPr="001F2586">
        <w:rPr>
          <w:rFonts w:eastAsia="Calibri" w:hint="eastAsia"/>
          <w:bCs/>
          <w:sz w:val="24"/>
          <w:rtl/>
        </w:rPr>
        <w:t>דירות</w:t>
      </w:r>
      <w:r w:rsidRPr="001F2586">
        <w:rPr>
          <w:rFonts w:eastAsia="Calibri"/>
          <w:bCs/>
          <w:sz w:val="24"/>
          <w:rtl/>
        </w:rPr>
        <w:t xml:space="preserve"> </w:t>
      </w:r>
      <w:r w:rsidRPr="001F2586">
        <w:rPr>
          <w:rFonts w:eastAsia="Calibri" w:hint="eastAsia"/>
          <w:bCs/>
          <w:sz w:val="24"/>
          <w:rtl/>
        </w:rPr>
        <w:t>חדשות</w:t>
      </w:r>
      <w:r w:rsidRPr="001F2586">
        <w:rPr>
          <w:rFonts w:eastAsia="Calibri"/>
          <w:bCs/>
          <w:sz w:val="24"/>
          <w:rtl/>
        </w:rPr>
        <w:t xml:space="preserve"> </w:t>
      </w:r>
      <w:r w:rsidRPr="001F2586">
        <w:rPr>
          <w:rFonts w:eastAsia="Calibri" w:hint="eastAsia"/>
          <w:bCs/>
          <w:sz w:val="24"/>
          <w:rtl/>
        </w:rPr>
        <w:t>ודירות</w:t>
      </w:r>
      <w:r w:rsidRPr="001F2586">
        <w:rPr>
          <w:rFonts w:eastAsia="Calibri"/>
          <w:bCs/>
          <w:sz w:val="24"/>
          <w:rtl/>
        </w:rPr>
        <w:t xml:space="preserve"> </w:t>
      </w:r>
      <w:r w:rsidRPr="001F2586">
        <w:rPr>
          <w:rFonts w:eastAsia="Calibri" w:hint="eastAsia"/>
          <w:bCs/>
          <w:sz w:val="24"/>
          <w:rtl/>
        </w:rPr>
        <w:t>יד</w:t>
      </w:r>
      <w:r w:rsidRPr="001F2586">
        <w:rPr>
          <w:rFonts w:eastAsia="Calibri"/>
          <w:bCs/>
          <w:sz w:val="24"/>
          <w:rtl/>
        </w:rPr>
        <w:t xml:space="preserve"> </w:t>
      </w:r>
      <w:r w:rsidRPr="001F2586">
        <w:rPr>
          <w:rFonts w:eastAsia="Calibri" w:hint="eastAsia"/>
          <w:bCs/>
          <w:sz w:val="24"/>
          <w:rtl/>
        </w:rPr>
        <w:t>שנייה</w:t>
      </w:r>
      <w:r w:rsidRPr="001F2586">
        <w:rPr>
          <w:rFonts w:eastAsia="Calibri"/>
          <w:bCs/>
          <w:sz w:val="24"/>
          <w:rtl/>
        </w:rPr>
        <w:t xml:space="preserve"> </w:t>
      </w:r>
      <w:r w:rsidRPr="001F2586">
        <w:rPr>
          <w:rFonts w:eastAsia="Calibri" w:hint="eastAsia"/>
          <w:bCs/>
          <w:sz w:val="24"/>
          <w:rtl/>
        </w:rPr>
        <w:t>שנמכרו</w:t>
      </w:r>
      <w:r w:rsidRPr="001F2586">
        <w:rPr>
          <w:rFonts w:eastAsia="Calibri"/>
          <w:bCs/>
          <w:sz w:val="24"/>
          <w:rtl/>
        </w:rPr>
        <w:t xml:space="preserve"> </w:t>
      </w:r>
      <w:r w:rsidRPr="001F2586">
        <w:rPr>
          <w:rFonts w:eastAsia="Calibri" w:hint="eastAsia"/>
          <w:bCs/>
          <w:sz w:val="24"/>
          <w:rtl/>
        </w:rPr>
        <w:t>בעסקאות</w:t>
      </w:r>
      <w:r w:rsidRPr="001F2586">
        <w:rPr>
          <w:rFonts w:eastAsia="Calibri"/>
          <w:bCs/>
          <w:sz w:val="24"/>
          <w:rtl/>
        </w:rPr>
        <w:t xml:space="preserve"> </w:t>
      </w:r>
      <w:r w:rsidRPr="001F2586">
        <w:rPr>
          <w:rFonts w:eastAsia="Calibri" w:hint="eastAsia"/>
          <w:bCs/>
          <w:sz w:val="24"/>
          <w:rtl/>
        </w:rPr>
        <w:t>נדל</w:t>
      </w:r>
      <w:r w:rsidRPr="001F2586">
        <w:rPr>
          <w:rFonts w:eastAsia="Calibri"/>
          <w:bCs/>
          <w:sz w:val="24"/>
          <w:rtl/>
        </w:rPr>
        <w:t xml:space="preserve">"ן, אוגוסט 2023 עד ספטמבר 2025 </w:t>
      </w:r>
    </w:p>
    <w:p w:rsidR="001F2586" w:rsidRPr="001F2586" w:rsidP="001F2586">
      <w:pPr>
        <w:spacing w:line="269" w:lineRule="auto"/>
        <w:rPr>
          <w:rFonts w:eastAsia="Calibri"/>
          <w:sz w:val="18"/>
          <w:szCs w:val="22"/>
          <w:rtl/>
        </w:rPr>
      </w:pPr>
      <w:r w:rsidRPr="001F2586">
        <w:rPr>
          <w:rFonts w:eastAsia="Calibri"/>
          <w:noProof/>
          <w:sz w:val="18"/>
          <w:szCs w:val="22"/>
          <w:rtl/>
          <w:lang w:val="he-IL"/>
        </w:rPr>
        <w:drawing>
          <wp:inline distT="0" distB="0" distL="0" distR="0">
            <wp:extent cx="5220335" cy="3003564"/>
            <wp:effectExtent l="0" t="0" r="0" b="6350"/>
            <wp:docPr id="31" name="תמונה 31" descr="דירות חדשות, דירות יד שנייה ודירות חדשות ללא סבסוד -היקפי העסקאות ירדו מאוגוסט עד אוקטובר 2023 בפרוץ מלחמת חרבות ברזל. לאחר מכן בשנת 2024 עלו עד ספטמבר 2024, ירדו ירידה חדה ועלו באופן חד עד דצמבר 2024 לפני עליית שיעור מע&quot;מ.  לאחר מכן בשנת 2025 ירדו, וממועד פרסום הוראת השעה במרץ 2025 ירדו היקפי העסק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רשים 29.JPG"/>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t="6113"/>
                    <a:stretch>
                      <a:fillRect/>
                    </a:stretch>
                  </pic:blipFill>
                  <pic:spPr bwMode="auto">
                    <a:xfrm>
                      <a:off x="0" y="0"/>
                      <a:ext cx="5220335" cy="30035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 xml:space="preserve">על פי נתוני </w:t>
      </w:r>
      <w:r w:rsidRPr="001F2586">
        <w:rPr>
          <w:rFonts w:eastAsia="Calibri" w:hint="cs"/>
          <w:sz w:val="16"/>
          <w:szCs w:val="20"/>
          <w:rtl/>
        </w:rPr>
        <w:t>הלמ"ס</w:t>
      </w:r>
      <w:r w:rsidRPr="001F2586">
        <w:rPr>
          <w:rFonts w:eastAsia="Calibri" w:hint="cs"/>
          <w:sz w:val="16"/>
          <w:szCs w:val="20"/>
          <w:rtl/>
        </w:rPr>
        <w:t>, בעיבוד משרד מבקר המדינה.</w:t>
      </w:r>
    </w:p>
    <w:p w:rsidR="001F2586" w:rsidRPr="001F2586" w:rsidP="001F2586">
      <w:pPr>
        <w:spacing w:line="269" w:lineRule="auto"/>
        <w:rPr>
          <w:rFonts w:eastAsia="Calibri"/>
          <w:sz w:val="16"/>
          <w:szCs w:val="20"/>
          <w:rtl/>
        </w:rPr>
      </w:pPr>
    </w:p>
    <w:p w:rsidR="001F2586" w:rsidRPr="001F2586" w:rsidP="001F2586">
      <w:pPr>
        <w:spacing w:line="269" w:lineRule="auto"/>
        <w:rPr>
          <w:rFonts w:eastAsia="Calibri"/>
          <w:rtl/>
        </w:rPr>
      </w:pPr>
      <w:r w:rsidRPr="001F2586">
        <w:rPr>
          <w:rFonts w:eastAsia="Calibri" w:hint="cs"/>
          <w:rtl/>
        </w:rPr>
        <w:t xml:space="preserve">ניתן לראות בתרשים כי ממועד פרסום הוראת הפיקוח חלה מגמת ירידה בהיקף העסקאות לרכישת דירות מכל הסוגים. ירידה זו הגיעה לשפל בחודש יוני 2025, שבו נצפו היקפי עסקאות למכירת דירות חדשות בהיקפים דומים לאלה שתועדו בחודשים נובמבר ודצמבר 2023, טרם הגידול המשמעותי במבצעי עידוד. בחודש יולי 2025 התרחש גידול בהיקף העסקאות, אולם מגמה זו לא נמשכה בחודש ספטמבר 2025 בו תועדה צניחה בכמות העסקאות. במסגרת דיון בראשות הנגיד מ-4.3.25 העלה הפיקוח טענה שלפיה הוראת שעה המגבילה את מבצעי העידוד הקיימים עלולה להוביל בסבירות גבוהה להתפתחות מבצעי עידוד חדשים שהמגבלה לא חלה עליהם.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מאז כניסת הוראת השעה לתוקף תועדו מבצעי עידוד חדשים בשוק שעוקפים את הוראות השעה, ביניהם עסקאות עם דחיית תשלומים משמעותית אך בפריסה שונה מזו שהוגבלה בהוראות הפיקוח</w:t>
      </w:r>
      <w:r>
        <w:rPr>
          <w:rFonts w:eastAsia="Calibri"/>
          <w:vertAlign w:val="superscript"/>
          <w:rtl/>
        </w:rPr>
        <w:footnoteReference w:id="205"/>
      </w:r>
      <w:r w:rsidRPr="001F2586">
        <w:rPr>
          <w:rFonts w:eastAsia="Calibri" w:hint="cs"/>
          <w:rtl/>
        </w:rPr>
        <w:t xml:space="preserve">, הבטחת תשואה על ההון העצמי של הרוכשים עד למועד מסירת הדירה, והתחייבות לפיצוי כספי לרוכשים בגובה ההפרש ממחיר העסקה עליה שילמו במידה ויפחת מחירה. מבצעים אלה מוצעים לציבור הרוכשים לצד שימוש במבצעי עידוד מוכרים שלא הוגבל השימוש בהם בהוראת השעה. מבצעים אלה יכולים להעיד על הסתגלות השוק והתאמתו להוראת השעה ומעלים חשש בדבר האפקטיביות הגלומה בה.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הפיקוח על הבנקים כתב למשרד מבקר המדינה ב-14.11.25 כי הוא ממשיך במעקב הדוק</w:t>
      </w:r>
      <w:r w:rsidRPr="001F2586">
        <w:rPr>
          <w:rFonts w:eastAsia="Calibri"/>
          <w:rtl/>
        </w:rPr>
        <w:t xml:space="preserve"> אחר התפתחויות</w:t>
      </w:r>
      <w:r w:rsidRPr="001F2586">
        <w:rPr>
          <w:rFonts w:eastAsia="Calibri" w:hint="cs"/>
          <w:rtl/>
        </w:rPr>
        <w:t xml:space="preserve"> בשוק</w:t>
      </w:r>
      <w:r w:rsidRPr="001F2586">
        <w:rPr>
          <w:rFonts w:eastAsia="Calibri"/>
          <w:rtl/>
        </w:rPr>
        <w:t xml:space="preserve"> ו</w:t>
      </w:r>
      <w:r w:rsidRPr="001F2586">
        <w:rPr>
          <w:rFonts w:eastAsia="Calibri" w:hint="cs"/>
          <w:rtl/>
        </w:rPr>
        <w:t>במידת ה</w:t>
      </w:r>
      <w:r w:rsidRPr="001F2586">
        <w:rPr>
          <w:rFonts w:eastAsia="Calibri"/>
          <w:rtl/>
        </w:rPr>
        <w:t>צורך י</w:t>
      </w:r>
      <w:r w:rsidRPr="001F2586">
        <w:rPr>
          <w:rFonts w:eastAsia="Calibri" w:hint="cs"/>
          <w:rtl/>
        </w:rPr>
        <w:t>ו</w:t>
      </w:r>
      <w:r w:rsidRPr="001F2586">
        <w:rPr>
          <w:rFonts w:eastAsia="Calibri"/>
          <w:rtl/>
        </w:rPr>
        <w:t>פעל</w:t>
      </w:r>
      <w:r w:rsidRPr="001F2586">
        <w:rPr>
          <w:rFonts w:eastAsia="Calibri" w:hint="cs"/>
          <w:rtl/>
        </w:rPr>
        <w:t>ו</w:t>
      </w:r>
      <w:r w:rsidRPr="001F2586">
        <w:rPr>
          <w:rFonts w:eastAsia="Calibri"/>
          <w:rtl/>
        </w:rPr>
        <w:t xml:space="preserve"> כלים נוספים העומדים</w:t>
      </w:r>
      <w:r w:rsidRPr="001F2586">
        <w:rPr>
          <w:rFonts w:eastAsia="Calibri" w:hint="cs"/>
          <w:rtl/>
        </w:rPr>
        <w:t xml:space="preserve"> ל</w:t>
      </w:r>
      <w:r w:rsidRPr="001F2586">
        <w:rPr>
          <w:rFonts w:eastAsia="Calibri"/>
          <w:rtl/>
        </w:rPr>
        <w:t>רשותו.</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מאז הוראת השעה שפרסם הפיקוח על הבנקים באפריל 2025 פחת היקף העסקאות בשוק הדיור מ-3,244 דירות חדשות במרץ 2025 ל-2,609 דירות חדשות בספטמבר 2025, וכן תועדה ירידה במגמת מחירי הדירות כפי שמשתקף בירידת מדד מחירי הדירות החדשות בכ-4.2% מאפריל 2025 עד אוקטובר 2025. נתונים אלה יכולים להעיד על אפקטיביות ההוראה בהקטנת הסיכון המערכתי, ובמיוחד ביחס למתווה הוולונטרי שגובש עם המערכת הבנקאית לפני פרסום הוראת הפיקוח. עם זאת, שיווק של דירות עם מבצעי עידוד חדשים לאחר הוראת השעה באפריל 2025 לצד שימוש במבצעי עידוד קיימים, מעלה חשש כי הגורמים הפועלים בשוק מתאימים עצמם במהירות למגבלות הפיקוחיות ומייצרים דרכים שונות לעקיפתן.</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מומלץ כי הפיקוח על הבנקים יבצע מעקב עיתי על שוק הדיור ועל מבצעי העידוד השונים וינקוט בצעדים פיקוחיים מתאימים לרמת הסיכון תוך שמירה גם על הוגנות הלקוחות. כמו כן מומלץ לפיקוח לאמץ דרכים לבחינת אפקטיביות צעדיו הפיקוחיים בנוגע לפיקוח ההדוק שהוא מקיים אחר ההתפתחויות בשוק ולגבש דרכי פעולה אפשריים מבעוד מועד.</w:t>
      </w:r>
    </w:p>
    <w:p w:rsidR="001F2586" w:rsidRPr="001F2586" w:rsidP="001F2586">
      <w:pPr>
        <w:spacing w:line="269" w:lineRule="auto"/>
        <w:rPr>
          <w:rFonts w:eastAsia="Calibri"/>
          <w:b/>
          <w:bCs/>
          <w:rtl/>
        </w:rPr>
      </w:pPr>
    </w:p>
    <w:bookmarkEnd w:id="54"/>
    <w:p w:rsidR="001F2586" w:rsidRPr="001F2586" w:rsidP="001F2586">
      <w:pPr>
        <w:keepNext/>
        <w:keepLines/>
        <w:spacing w:line="269" w:lineRule="auto"/>
        <w:outlineLvl w:val="4"/>
        <w:rPr>
          <w:rFonts w:eastAsia="Times New Roman"/>
          <w:bCs/>
          <w:spacing w:val="40"/>
          <w:rtl/>
        </w:rPr>
      </w:pPr>
      <w:r w:rsidRPr="001F2586">
        <w:rPr>
          <w:rFonts w:eastAsia="Times New Roman" w:hint="eastAsia"/>
          <w:bCs/>
          <w:spacing w:val="40"/>
          <w:rtl/>
        </w:rPr>
        <w:t>השפעת</w:t>
      </w:r>
      <w:r w:rsidRPr="001F2586">
        <w:rPr>
          <w:rFonts w:eastAsia="Times New Roman"/>
          <w:bCs/>
          <w:spacing w:val="40"/>
          <w:rtl/>
        </w:rPr>
        <w:t xml:space="preserve"> </w:t>
      </w:r>
      <w:r w:rsidRPr="001F2586">
        <w:rPr>
          <w:rFonts w:eastAsia="Times New Roman" w:hint="eastAsia"/>
          <w:bCs/>
          <w:spacing w:val="40"/>
          <w:rtl/>
        </w:rPr>
        <w:t>מבצעי</w:t>
      </w:r>
      <w:r w:rsidRPr="001F2586">
        <w:rPr>
          <w:rFonts w:eastAsia="Times New Roman"/>
          <w:bCs/>
          <w:spacing w:val="40"/>
          <w:rtl/>
        </w:rPr>
        <w:t xml:space="preserve"> </w:t>
      </w:r>
      <w:r w:rsidRPr="001F2586">
        <w:rPr>
          <w:rFonts w:eastAsia="Times New Roman" w:hint="eastAsia"/>
          <w:bCs/>
          <w:spacing w:val="40"/>
          <w:rtl/>
        </w:rPr>
        <w:t>העידוד</w:t>
      </w:r>
      <w:r w:rsidRPr="001F2586">
        <w:rPr>
          <w:rFonts w:eastAsia="Times New Roman"/>
          <w:bCs/>
          <w:spacing w:val="40"/>
          <w:rtl/>
        </w:rPr>
        <w:t xml:space="preserve"> </w:t>
      </w:r>
      <w:r w:rsidRPr="001F2586">
        <w:rPr>
          <w:rFonts w:eastAsia="Times New Roman" w:hint="eastAsia"/>
          <w:bCs/>
          <w:spacing w:val="40"/>
          <w:rtl/>
        </w:rPr>
        <w:t>על</w:t>
      </w:r>
      <w:r w:rsidRPr="001F2586">
        <w:rPr>
          <w:rFonts w:eastAsia="Times New Roman"/>
          <w:bCs/>
          <w:spacing w:val="40"/>
          <w:rtl/>
        </w:rPr>
        <w:t xml:space="preserve"> </w:t>
      </w:r>
      <w:r w:rsidRPr="001F2586">
        <w:rPr>
          <w:rFonts w:eastAsia="Times New Roman" w:hint="eastAsia"/>
          <w:bCs/>
          <w:spacing w:val="40"/>
          <w:rtl/>
        </w:rPr>
        <w:t>מחירי</w:t>
      </w:r>
      <w:r w:rsidRPr="001F2586">
        <w:rPr>
          <w:rFonts w:eastAsia="Times New Roman"/>
          <w:bCs/>
          <w:spacing w:val="40"/>
          <w:rtl/>
        </w:rPr>
        <w:t xml:space="preserve"> </w:t>
      </w:r>
      <w:r w:rsidRPr="001F2586">
        <w:rPr>
          <w:rFonts w:eastAsia="Times New Roman" w:hint="eastAsia"/>
          <w:bCs/>
          <w:spacing w:val="40"/>
          <w:rtl/>
        </w:rPr>
        <w:t>הדירות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רכישת דירה כרוכה בעלויות נוספות מעבר למחיר הדירה המוצהר בחוזה המכר. עלויות נוספות תלויות בסוג הנכס, במצבו ובמצבם של הרוכש והמוכר, וכוללות בין היתר תשלומי מיסים, הוצאות משפטיות, הוצאות מימון, הוצאות שיפוץ, תחזוקה ושדרוגים והוצאות תיווך. הניצבים בפני קבלת החלטה על רכישת דירה נדרשים לשקלל את סך העלויות שידרשו להשלמת העסקה ולכלכל את צעדיהם בהתאם.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בהתאם לתקינה השמאית</w:t>
      </w:r>
      <w:r>
        <w:rPr>
          <w:rFonts w:eastAsia="Calibri"/>
          <w:vertAlign w:val="superscript"/>
          <w:rtl/>
        </w:rPr>
        <w:footnoteReference w:id="206"/>
      </w:r>
      <w:r w:rsidRPr="001F2586">
        <w:rPr>
          <w:rFonts w:eastAsia="Calibri" w:hint="cs"/>
          <w:rtl/>
        </w:rPr>
        <w:t xml:space="preserve"> מחיר דירה הוא ערך מספרי המייצג את התמורה שסוכמה בין מוכר לקונה תחת נסיבות מסוימות בעסקה מסוימת. מחיר הדירה שונה במהותו משווי שוק של דירה, המוגדר בתקינה השמאית, המבטא את "המחיר הסביר ביותר להתקבל, במונחי כסף, עבור זכות במקרקעין, בשוק פתוח, תחרותי ובזמן חשיפה ראוי, תחת כל התנאים הנדרשים למכירה נאותה, כשהמוכר והקונה פועלים באופן מושכל ואינם מושפעים משיקולים מיוחדים". ככלל, עלויות נוספות לרכישת דירה אינן מקבלות ביטוי במחיר הדירה או בשווי השוק על פי התקינה השמאית, ובפרט הנחות </w:t>
      </w:r>
      <w:r w:rsidRPr="001F2586">
        <w:rPr>
          <w:rFonts w:eastAsia="Calibri" w:hint="cs"/>
          <w:rtl/>
        </w:rPr>
        <w:t>מימוניות</w:t>
      </w:r>
      <w:r w:rsidRPr="001F2586">
        <w:rPr>
          <w:rFonts w:eastAsia="Calibri" w:hint="cs"/>
          <w:rtl/>
        </w:rPr>
        <w:t xml:space="preserve"> הנוגעות לרוב לתנאים האישיים של הרוכש והמוכר.</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הלמ"ס</w:t>
      </w:r>
      <w:r w:rsidRPr="001F2586">
        <w:rPr>
          <w:rFonts w:eastAsia="Calibri" w:hint="cs"/>
          <w:rtl/>
        </w:rPr>
        <w:t xml:space="preserve"> מפרסמת מדי חודש את מדד מחירי הדירות המחושב באמצעות רגרסיה </w:t>
      </w:r>
      <w:r w:rsidRPr="001F2586">
        <w:rPr>
          <w:rFonts w:eastAsia="Calibri" w:hint="cs"/>
          <w:rtl/>
        </w:rPr>
        <w:t>הדונית</w:t>
      </w:r>
      <w:r>
        <w:rPr>
          <w:rFonts w:eastAsia="Calibri"/>
          <w:vertAlign w:val="superscript"/>
          <w:rtl/>
        </w:rPr>
        <w:footnoteReference w:id="207"/>
      </w:r>
      <w:r w:rsidRPr="001F2586">
        <w:rPr>
          <w:rFonts w:eastAsia="Calibri" w:hint="cs"/>
          <w:rtl/>
        </w:rPr>
        <w:t>, המביאה בחשבון את מאפייני הדירות ומנכה את השינויים באיכותן. המדד בוחן את השינוי שחל במחירי הדירות בישראל על בסיס חודשי ומציג את מגמת מחירי הדירות בשוק. משוואת האמידה כוללת מרכיבים רבים, ביניהם מחיר, מספר חדרים, שטח, סוג, מועד ביצוע העסקה ושנת הבנייה</w:t>
      </w:r>
      <w:r>
        <w:rPr>
          <w:rFonts w:eastAsia="Calibri"/>
          <w:vertAlign w:val="superscript"/>
          <w:rtl/>
        </w:rPr>
        <w:footnoteReference w:id="208"/>
      </w:r>
      <w:r w:rsidRPr="001F2586">
        <w:rPr>
          <w:rFonts w:eastAsia="Calibri" w:hint="cs"/>
          <w:rtl/>
        </w:rPr>
        <w:t xml:space="preserve">. על פי שיטת החישוב של </w:t>
      </w:r>
      <w:r w:rsidRPr="001F2586">
        <w:rPr>
          <w:rFonts w:eastAsia="Calibri" w:hint="cs"/>
          <w:rtl/>
        </w:rPr>
        <w:t>הלמ"ס</w:t>
      </w:r>
      <w:r w:rsidRPr="001F2586">
        <w:rPr>
          <w:rFonts w:eastAsia="Calibri" w:hint="cs"/>
          <w:rtl/>
        </w:rPr>
        <w:t xml:space="preserve"> מבצעי מימון של קבלנים נכללים במסגרת המחיר של הנכס, אף ששווי השוק של הנכס לא עלה ולעיתים אף ירד.</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בסקירת</w:t>
      </w:r>
      <w:r w:rsidRPr="001F2586">
        <w:rPr>
          <w:rFonts w:eastAsia="Calibri"/>
          <w:b/>
          <w:bCs/>
          <w:rtl/>
        </w:rPr>
        <w:t xml:space="preserve"> </w:t>
      </w:r>
      <w:r w:rsidRPr="001F2586">
        <w:rPr>
          <w:rFonts w:eastAsia="Calibri" w:hint="eastAsia"/>
          <w:b/>
          <w:bCs/>
          <w:rtl/>
        </w:rPr>
        <w:t>ענף</w:t>
      </w:r>
      <w:r w:rsidRPr="001F2586">
        <w:rPr>
          <w:rFonts w:eastAsia="Calibri"/>
          <w:b/>
          <w:bCs/>
          <w:rtl/>
        </w:rPr>
        <w:t xml:space="preserve"> </w:t>
      </w:r>
      <w:r w:rsidRPr="001F2586">
        <w:rPr>
          <w:rFonts w:eastAsia="Calibri" w:hint="eastAsia"/>
          <w:b/>
          <w:bCs/>
          <w:rtl/>
        </w:rPr>
        <w:t>הנדל</w:t>
      </w:r>
      <w:r w:rsidRPr="001F2586">
        <w:rPr>
          <w:rFonts w:eastAsia="Calibri"/>
          <w:b/>
          <w:bCs/>
          <w:rtl/>
        </w:rPr>
        <w:t xml:space="preserve">"ן </w:t>
      </w:r>
      <w:r w:rsidRPr="001F2586">
        <w:rPr>
          <w:rFonts w:eastAsia="Calibri" w:hint="eastAsia"/>
          <w:b/>
          <w:bCs/>
          <w:rtl/>
        </w:rPr>
        <w:t>למגורים</w:t>
      </w:r>
      <w:r w:rsidRPr="001F2586">
        <w:rPr>
          <w:rFonts w:eastAsia="Calibri"/>
          <w:b/>
          <w:bCs/>
          <w:rtl/>
        </w:rPr>
        <w:t xml:space="preserve"> </w:t>
      </w:r>
      <w:r w:rsidRPr="001F2586">
        <w:rPr>
          <w:rFonts w:eastAsia="Calibri" w:hint="eastAsia"/>
          <w:b/>
          <w:bCs/>
          <w:rtl/>
        </w:rPr>
        <w:t>לדצמבר</w:t>
      </w:r>
      <w:r w:rsidRPr="001F2586">
        <w:rPr>
          <w:rFonts w:eastAsia="Calibri"/>
          <w:b/>
          <w:bCs/>
          <w:rtl/>
        </w:rPr>
        <w:t xml:space="preserve"> 2023 הזכיר לראשונה אגף הכלכלן הראשי במשרד האוצר את קיומם של מבצעי שיווק משמעותיים המוצעים בידי קבלנים באזור המרכז. בסקירה זו ציין האגף כי מבצעים אלה התבטאו בתנאי תשלום נוחים, אי-הצמדה למדד תשומות הבניה ועוד, ואינם באים לידי ביטוי במחיר הדירה הרשמי</w:t>
      </w:r>
      <w:r>
        <w:rPr>
          <w:rFonts w:eastAsia="Calibri"/>
          <w:b/>
          <w:bCs/>
          <w:vertAlign w:val="superscript"/>
          <w:rtl/>
        </w:rPr>
        <w:footnoteReference w:id="209"/>
      </w:r>
      <w:r w:rsidRPr="001F2586">
        <w:rPr>
          <w:rFonts w:eastAsia="Calibri"/>
          <w:b/>
          <w:bCs/>
          <w:rtl/>
        </w:rPr>
        <w:t xml:space="preserve">. </w:t>
      </w:r>
      <w:r w:rsidRPr="001F2586">
        <w:rPr>
          <w:rFonts w:eastAsia="Calibri" w:hint="eastAsia"/>
          <w:b/>
          <w:bCs/>
          <w:rtl/>
        </w:rPr>
        <w:t>הכלכלן</w:t>
      </w:r>
      <w:r w:rsidRPr="001F2586">
        <w:rPr>
          <w:rFonts w:eastAsia="Calibri"/>
          <w:b/>
          <w:bCs/>
          <w:rtl/>
        </w:rPr>
        <w:t xml:space="preserve"> </w:t>
      </w:r>
      <w:r w:rsidRPr="001F2586">
        <w:rPr>
          <w:rFonts w:eastAsia="Calibri" w:hint="eastAsia"/>
          <w:b/>
          <w:bCs/>
          <w:rtl/>
        </w:rPr>
        <w:t>הראשי</w:t>
      </w:r>
      <w:r w:rsidRPr="001F2586">
        <w:rPr>
          <w:rFonts w:eastAsia="Calibri"/>
          <w:b/>
          <w:bCs/>
          <w:rtl/>
        </w:rPr>
        <w:t xml:space="preserve"> </w:t>
      </w:r>
      <w:r w:rsidRPr="001F2586">
        <w:rPr>
          <w:rFonts w:eastAsia="Calibri" w:hint="eastAsia"/>
          <w:b/>
          <w:bCs/>
          <w:rtl/>
        </w:rPr>
        <w:t>ציין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אי</w:t>
      </w:r>
      <w:r w:rsidRPr="001F2586">
        <w:rPr>
          <w:rFonts w:eastAsia="Calibri"/>
          <w:b/>
          <w:bCs/>
          <w:rtl/>
        </w:rPr>
        <w:t xml:space="preserve">-שיקוף </w:t>
      </w:r>
      <w:r w:rsidRPr="001F2586">
        <w:rPr>
          <w:rFonts w:eastAsia="Calibri" w:hint="eastAsia"/>
          <w:b/>
          <w:bCs/>
          <w:rtl/>
        </w:rPr>
        <w:t>המבצעים</w:t>
      </w:r>
      <w:r w:rsidRPr="001F2586">
        <w:rPr>
          <w:rFonts w:eastAsia="Calibri"/>
          <w:b/>
          <w:bCs/>
          <w:rtl/>
        </w:rPr>
        <w:t xml:space="preserve"> </w:t>
      </w:r>
      <w:r w:rsidRPr="001F2586">
        <w:rPr>
          <w:rFonts w:eastAsia="Calibri" w:hint="eastAsia"/>
          <w:b/>
          <w:bCs/>
          <w:rtl/>
        </w:rPr>
        <w:t>במדד</w:t>
      </w:r>
      <w:r w:rsidRPr="001F2586">
        <w:rPr>
          <w:rFonts w:eastAsia="Calibri"/>
          <w:b/>
          <w:bCs/>
          <w:rtl/>
        </w:rPr>
        <w:t xml:space="preserve"> </w:t>
      </w:r>
      <w:r w:rsidRPr="001F2586">
        <w:rPr>
          <w:rFonts w:eastAsia="Calibri" w:hint="eastAsia"/>
          <w:b/>
          <w:bCs/>
          <w:rtl/>
        </w:rPr>
        <w:t>המחירים</w:t>
      </w:r>
      <w:r w:rsidRPr="001F2586">
        <w:rPr>
          <w:rFonts w:eastAsia="Calibri"/>
          <w:b/>
          <w:bCs/>
          <w:rtl/>
        </w:rPr>
        <w:t xml:space="preserve"> </w:t>
      </w:r>
      <w:r w:rsidRPr="001F2586">
        <w:rPr>
          <w:rFonts w:eastAsia="Calibri" w:hint="eastAsia"/>
          <w:b/>
          <w:bCs/>
          <w:rtl/>
        </w:rPr>
        <w:t>מעלה</w:t>
      </w:r>
      <w:r w:rsidRPr="001F2586">
        <w:rPr>
          <w:rFonts w:eastAsia="Calibri"/>
          <w:b/>
          <w:bCs/>
          <w:rtl/>
        </w:rPr>
        <w:t xml:space="preserve"> </w:t>
      </w:r>
      <w:r w:rsidRPr="001F2586">
        <w:rPr>
          <w:rFonts w:eastAsia="Calibri" w:hint="eastAsia"/>
          <w:b/>
          <w:bCs/>
          <w:rtl/>
        </w:rPr>
        <w:t>חשש</w:t>
      </w:r>
      <w:r w:rsidRPr="001F2586">
        <w:rPr>
          <w:rFonts w:eastAsia="Calibri"/>
          <w:b/>
          <w:bCs/>
          <w:rtl/>
        </w:rPr>
        <w:t xml:space="preserve"> </w:t>
      </w:r>
      <w:r w:rsidRPr="001F2586">
        <w:rPr>
          <w:rFonts w:eastAsia="Calibri" w:hint="eastAsia"/>
          <w:b/>
          <w:bCs/>
          <w:rtl/>
        </w:rPr>
        <w:t>להתרחבותם</w:t>
      </w:r>
      <w:r w:rsidRPr="001F2586">
        <w:rPr>
          <w:rFonts w:eastAsia="Calibri"/>
          <w:b/>
          <w:bCs/>
          <w:rtl/>
        </w:rPr>
        <w:t xml:space="preserve">, </w:t>
      </w:r>
      <w:r w:rsidRPr="001F2586">
        <w:rPr>
          <w:rFonts w:eastAsia="Calibri" w:hint="eastAsia"/>
          <w:b/>
          <w:bCs/>
          <w:rtl/>
        </w:rPr>
        <w:t>פוגע</w:t>
      </w:r>
      <w:r w:rsidRPr="001F2586">
        <w:rPr>
          <w:rFonts w:eastAsia="Calibri"/>
          <w:b/>
          <w:bCs/>
          <w:rtl/>
        </w:rPr>
        <w:t xml:space="preserve"> </w:t>
      </w:r>
      <w:r w:rsidRPr="001F2586">
        <w:rPr>
          <w:rFonts w:eastAsia="Calibri" w:hint="eastAsia"/>
          <w:b/>
          <w:bCs/>
          <w:rtl/>
        </w:rPr>
        <w:t>בשיקוף</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מחירי</w:t>
      </w:r>
      <w:r w:rsidRPr="001F2586">
        <w:rPr>
          <w:rFonts w:eastAsia="Calibri"/>
          <w:b/>
          <w:bCs/>
          <w:rtl/>
        </w:rPr>
        <w:t xml:space="preserve"> </w:t>
      </w:r>
      <w:r w:rsidRPr="001F2586">
        <w:rPr>
          <w:rFonts w:eastAsia="Calibri" w:hint="eastAsia"/>
          <w:b/>
          <w:bCs/>
          <w:rtl/>
        </w:rPr>
        <w:t>הדירות</w:t>
      </w:r>
      <w:r w:rsidRPr="001F2586">
        <w:rPr>
          <w:rFonts w:eastAsia="Calibri"/>
          <w:b/>
          <w:bCs/>
          <w:rtl/>
        </w:rPr>
        <w:t xml:space="preserve"> </w:t>
      </w:r>
      <w:r w:rsidRPr="001F2586">
        <w:rPr>
          <w:rFonts w:eastAsia="Calibri" w:hint="eastAsia"/>
          <w:b/>
          <w:bCs/>
          <w:rtl/>
        </w:rPr>
        <w:t>בפועל</w:t>
      </w:r>
      <w:r w:rsidRPr="001F2586">
        <w:rPr>
          <w:rFonts w:eastAsia="Calibri"/>
          <w:b/>
          <w:bCs/>
          <w:rtl/>
        </w:rPr>
        <w:t xml:space="preserve"> </w:t>
      </w:r>
      <w:r w:rsidRPr="001F2586">
        <w:rPr>
          <w:rFonts w:eastAsia="Calibri" w:hint="eastAsia"/>
          <w:b/>
          <w:bCs/>
          <w:rtl/>
        </w:rPr>
        <w:t>ובעל</w:t>
      </w:r>
      <w:r w:rsidRPr="001F2586">
        <w:rPr>
          <w:rFonts w:eastAsia="Calibri"/>
          <w:b/>
          <w:bCs/>
          <w:rtl/>
        </w:rPr>
        <w:t xml:space="preserve"> </w:t>
      </w:r>
      <w:r w:rsidRPr="001F2586">
        <w:rPr>
          <w:rFonts w:eastAsia="Calibri" w:hint="eastAsia"/>
          <w:b/>
          <w:bCs/>
          <w:rtl/>
        </w:rPr>
        <w:t>משמעויות</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הדינמיקה</w:t>
      </w:r>
      <w:r w:rsidRPr="001F2586">
        <w:rPr>
          <w:rFonts w:eastAsia="Calibri"/>
          <w:b/>
          <w:bCs/>
          <w:rtl/>
        </w:rPr>
        <w:t xml:space="preserve"> </w:t>
      </w:r>
      <w:r w:rsidRPr="001F2586">
        <w:rPr>
          <w:rFonts w:eastAsia="Calibri" w:hint="eastAsia"/>
          <w:b/>
          <w:bCs/>
          <w:rtl/>
        </w:rPr>
        <w:t>התחרותית</w:t>
      </w:r>
      <w:r w:rsidRPr="001F2586">
        <w:rPr>
          <w:rFonts w:eastAsia="Calibri"/>
          <w:b/>
          <w:bCs/>
          <w:rtl/>
        </w:rPr>
        <w:t xml:space="preserve"> </w:t>
      </w:r>
      <w:r w:rsidRPr="001F2586">
        <w:rPr>
          <w:rFonts w:eastAsia="Calibri" w:hint="eastAsia"/>
          <w:b/>
          <w:bCs/>
          <w:rtl/>
        </w:rPr>
        <w:t>בשוק</w:t>
      </w:r>
      <w:r w:rsidRPr="001F2586">
        <w:rPr>
          <w:rFonts w:eastAsia="Calibri"/>
          <w:b/>
          <w:bCs/>
          <w:rtl/>
        </w:rPr>
        <w:t xml:space="preserve"> </w:t>
      </w:r>
      <w:r w:rsidRPr="001F2586">
        <w:rPr>
          <w:rFonts w:eastAsia="Calibri" w:hint="eastAsia"/>
          <w:b/>
          <w:bCs/>
          <w:rtl/>
        </w:rPr>
        <w:t>הדיור</w:t>
      </w:r>
      <w:r>
        <w:rPr>
          <w:rFonts w:eastAsia="Calibri"/>
          <w:b/>
          <w:bCs/>
          <w:vertAlign w:val="superscript"/>
          <w:rtl/>
        </w:rPr>
        <w:footnoteReference w:id="210"/>
      </w:r>
      <w:r w:rsidRPr="001F2586">
        <w:rPr>
          <w:rFonts w:eastAsia="Calibri"/>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bookmarkStart w:id="60" w:name="_Hlk214777341"/>
      <w:r w:rsidRPr="001F2586">
        <w:rPr>
          <w:rFonts w:eastAsia="Calibri" w:hint="cs"/>
          <w:b/>
          <w:bCs/>
          <w:rtl/>
        </w:rPr>
        <w:t xml:space="preserve">מבצעי עידוד הם הנחות שאינן משתקפות במחיר הדירה המוצהר, בשווי השוק ובמדד מחירי הדירות. מדובר בהנחות משמעותיות המוערכות במאות אלפי שקלים, ומשמשות דרך עקיפה של קבלנים לעודד ביקוש מבלי להפחית את מחירי הדירות. </w:t>
      </w:r>
    </w:p>
    <w:bookmarkEnd w:id="60"/>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עלויות פרויקט בינוי נדל"ן מורכבות בעיקרן מעלות רכישת קרקע ופיתוחה ועלויות הבנייה. קיימות עלויות נלוות נוספות, ובהן עלויות תכנון, משפטיות, הנהלה וכלליות, מימון, פיקוח וכדומה, אך אלה מסתכמות לאחוזים נמוכים יחסית מעלות הפרויקט ביחס לעלויות הקרקע והבנייה.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קרקעות הן תשומה מרכזית בבניית דירות למגורים ולהן השפעה מרכזית בבידול מחירי הדירות במרחב. בעבודה שביצעה </w:t>
      </w:r>
      <w:r w:rsidRPr="001F2586">
        <w:rPr>
          <w:rFonts w:eastAsia="Calibri" w:hint="cs"/>
          <w:rtl/>
        </w:rPr>
        <w:t>הלמ"ס</w:t>
      </w:r>
      <w:r w:rsidRPr="001F2586">
        <w:rPr>
          <w:rFonts w:eastAsia="Calibri" w:hint="cs"/>
          <w:rtl/>
        </w:rPr>
        <w:t xml:space="preserve"> בפברואר 2025 נמצא כי בשנים 2004 - 2024 תועדה מגמת עלייה</w:t>
      </w:r>
      <w:r>
        <w:rPr>
          <w:rFonts w:eastAsia="Calibri"/>
          <w:vertAlign w:val="superscript"/>
          <w:rtl/>
        </w:rPr>
        <w:footnoteReference w:id="211"/>
      </w:r>
      <w:r w:rsidRPr="001F2586">
        <w:rPr>
          <w:rFonts w:eastAsia="Calibri" w:hint="cs"/>
          <w:rtl/>
        </w:rPr>
        <w:t xml:space="preserve"> במחירי הקרקעות שהסתכמה ב-263%, לעומת עלייה של כ-230% במחירי הדירות</w:t>
      </w:r>
      <w:r>
        <w:rPr>
          <w:rFonts w:eastAsia="Calibri"/>
          <w:vertAlign w:val="superscript"/>
          <w:rtl/>
        </w:rPr>
        <w:footnoteReference w:id="212"/>
      </w:r>
      <w:r w:rsidRPr="001F2586">
        <w:rPr>
          <w:rFonts w:eastAsia="Calibri" w:hint="cs"/>
          <w:rtl/>
        </w:rPr>
        <w:t xml:space="preserve">. התרשים להלן מציג את התפתחות מדד מחירי הקרקעות ביחס למדד מחירי הדירות. </w:t>
      </w:r>
    </w:p>
    <w:p w:rsidR="001F2586" w:rsidRPr="001F2586" w:rsidP="001F2586">
      <w:pPr>
        <w:keepNext/>
        <w:keepLines/>
        <w:spacing w:line="269" w:lineRule="auto"/>
        <w:ind w:left="717" w:hanging="360"/>
        <w:jc w:val="center"/>
        <w:outlineLvl w:val="4"/>
        <w:rPr>
          <w:rFonts w:eastAsia="Calibri"/>
          <w:bCs/>
          <w:sz w:val="24"/>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30:</w:t>
      </w:r>
      <w:r w:rsidRPr="001F2586">
        <w:rPr>
          <w:rFonts w:eastAsia="Calibri" w:hint="cs"/>
          <w:bCs/>
          <w:sz w:val="24"/>
          <w:rtl/>
        </w:rPr>
        <w:t xml:space="preserve"> </w:t>
      </w:r>
      <w:r w:rsidRPr="001F2586">
        <w:rPr>
          <w:rFonts w:eastAsia="Calibri" w:hint="eastAsia"/>
          <w:bCs/>
          <w:sz w:val="24"/>
          <w:rtl/>
        </w:rPr>
        <w:t>התפתחות</w:t>
      </w:r>
      <w:r w:rsidRPr="001F2586">
        <w:rPr>
          <w:rFonts w:eastAsia="Calibri"/>
          <w:bCs/>
          <w:sz w:val="24"/>
          <w:rtl/>
        </w:rPr>
        <w:t xml:space="preserve"> </w:t>
      </w:r>
      <w:r w:rsidRPr="001F2586">
        <w:rPr>
          <w:rFonts w:eastAsia="Calibri" w:hint="eastAsia"/>
          <w:bCs/>
          <w:sz w:val="24"/>
          <w:rtl/>
        </w:rPr>
        <w:t>מדד</w:t>
      </w:r>
      <w:r w:rsidRPr="001F2586">
        <w:rPr>
          <w:rFonts w:eastAsia="Calibri"/>
          <w:bCs/>
          <w:sz w:val="24"/>
          <w:rtl/>
        </w:rPr>
        <w:t xml:space="preserve"> </w:t>
      </w:r>
      <w:r w:rsidRPr="001F2586">
        <w:rPr>
          <w:rFonts w:eastAsia="Calibri" w:hint="eastAsia"/>
          <w:bCs/>
          <w:sz w:val="24"/>
          <w:rtl/>
        </w:rPr>
        <w:t>מחירי</w:t>
      </w:r>
      <w:r w:rsidRPr="001F2586">
        <w:rPr>
          <w:rFonts w:eastAsia="Calibri"/>
          <w:bCs/>
          <w:sz w:val="24"/>
          <w:rtl/>
        </w:rPr>
        <w:t xml:space="preserve"> </w:t>
      </w:r>
      <w:r w:rsidRPr="001F2586">
        <w:rPr>
          <w:rFonts w:eastAsia="Calibri" w:hint="eastAsia"/>
          <w:bCs/>
          <w:sz w:val="24"/>
          <w:rtl/>
        </w:rPr>
        <w:t>הקרקעות</w:t>
      </w:r>
      <w:r w:rsidRPr="001F2586">
        <w:rPr>
          <w:rFonts w:eastAsia="Calibri"/>
          <w:bCs/>
          <w:sz w:val="24"/>
          <w:rtl/>
        </w:rPr>
        <w:t xml:space="preserve"> </w:t>
      </w:r>
      <w:r w:rsidRPr="001F2586">
        <w:rPr>
          <w:rFonts w:eastAsia="Calibri" w:hint="eastAsia"/>
          <w:bCs/>
          <w:sz w:val="24"/>
          <w:rtl/>
        </w:rPr>
        <w:t>ביחס</w:t>
      </w:r>
      <w:r w:rsidRPr="001F2586">
        <w:rPr>
          <w:rFonts w:eastAsia="Calibri"/>
          <w:bCs/>
          <w:sz w:val="24"/>
          <w:rtl/>
        </w:rPr>
        <w:t xml:space="preserve"> </w:t>
      </w:r>
      <w:r w:rsidRPr="001F2586">
        <w:rPr>
          <w:rFonts w:eastAsia="Calibri" w:hint="eastAsia"/>
          <w:bCs/>
          <w:sz w:val="24"/>
          <w:rtl/>
        </w:rPr>
        <w:t>למדד</w:t>
      </w:r>
      <w:r w:rsidRPr="001F2586">
        <w:rPr>
          <w:rFonts w:eastAsia="Calibri"/>
          <w:bCs/>
          <w:sz w:val="24"/>
          <w:rtl/>
        </w:rPr>
        <w:t xml:space="preserve"> </w:t>
      </w:r>
      <w:r w:rsidRPr="001F2586">
        <w:rPr>
          <w:rFonts w:eastAsia="Calibri" w:hint="eastAsia"/>
          <w:bCs/>
          <w:sz w:val="24"/>
          <w:rtl/>
        </w:rPr>
        <w:t>מחירי</w:t>
      </w:r>
      <w:r w:rsidRPr="001F2586">
        <w:rPr>
          <w:rFonts w:eastAsia="Calibri"/>
          <w:bCs/>
          <w:sz w:val="24"/>
          <w:rtl/>
        </w:rPr>
        <w:t xml:space="preserve"> </w:t>
      </w:r>
      <w:r w:rsidRPr="001F2586">
        <w:rPr>
          <w:rFonts w:eastAsia="Calibri" w:hint="eastAsia"/>
          <w:bCs/>
          <w:sz w:val="24"/>
          <w:rtl/>
        </w:rPr>
        <w:t>הדירות</w:t>
      </w:r>
      <w:r w:rsidRPr="001F2586">
        <w:rPr>
          <w:rFonts w:eastAsia="Calibri" w:hint="cs"/>
          <w:bCs/>
          <w:sz w:val="24"/>
          <w:rtl/>
        </w:rPr>
        <w:t>, 2002 - 2024</w:t>
      </w:r>
    </w:p>
    <w:p w:rsidR="001F2586" w:rsidRPr="001F2586" w:rsidP="001F2586">
      <w:pPr>
        <w:spacing w:line="269" w:lineRule="auto"/>
        <w:jc w:val="center"/>
        <w:rPr>
          <w:rFonts w:eastAsia="Calibri"/>
          <w:rtl/>
        </w:rPr>
      </w:pPr>
      <w:r w:rsidRPr="001F2586">
        <w:rPr>
          <w:rFonts w:eastAsia="Calibri"/>
          <w:noProof/>
        </w:rPr>
        <w:drawing>
          <wp:inline distT="0" distB="0" distL="0" distR="0">
            <wp:extent cx="4586588" cy="2487168"/>
            <wp:effectExtent l="0" t="0" r="5080" b="8890"/>
            <wp:docPr id="3" name="תמונה 3" descr="מדד מחירי הדירות עלה בשנים 2004 - 2024 מ-100לכ-300, ומדד מחירי הקרקע עלה בשנים 2004 -2022 מ-100 לכ-450 ולאחר מכן ירד בחדות בשנים 2022 -2023 לכ-300. בשנת 2024 חזר מדד מחירי הקרקע לעלות מכ-300 לכ-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2"/>
                    <a:stretch>
                      <a:fillRect/>
                    </a:stretch>
                  </pic:blipFill>
                  <pic:spPr>
                    <a:xfrm>
                      <a:off x="0" y="0"/>
                      <a:ext cx="4606516" cy="2497974"/>
                    </a:xfrm>
                    <a:prstGeom prst="rect">
                      <a:avLst/>
                    </a:prstGeom>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 xml:space="preserve">המקור: </w:t>
      </w:r>
      <w:r w:rsidRPr="001F2586">
        <w:rPr>
          <w:rFonts w:eastAsia="Calibri" w:hint="cs"/>
          <w:sz w:val="16"/>
          <w:szCs w:val="20"/>
          <w:rtl/>
        </w:rPr>
        <w:t>הלמ"ס</w:t>
      </w:r>
      <w:r w:rsidRPr="001F2586">
        <w:rPr>
          <w:rFonts w:eastAsia="Calibri" w:hint="cs"/>
          <w:sz w:val="16"/>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ניתן לראות בתרשים כי </w:t>
      </w:r>
      <w:r w:rsidRPr="001F2586">
        <w:rPr>
          <w:rFonts w:eastAsia="Calibri"/>
          <w:rtl/>
        </w:rPr>
        <w:t>בשנת 2022 הגיעו מחירי הקרקעות לרמתם הגבוהה ביותר</w:t>
      </w:r>
      <w:r w:rsidRPr="001F2586">
        <w:rPr>
          <w:rFonts w:eastAsia="Calibri" w:hint="cs"/>
          <w:rtl/>
        </w:rPr>
        <w:t>, אולם</w:t>
      </w:r>
      <w:r w:rsidRPr="001F2586">
        <w:rPr>
          <w:rFonts w:eastAsia="Calibri"/>
          <w:rtl/>
        </w:rPr>
        <w:t xml:space="preserve"> משנת 2022 ועד 2024 חלה ירידה</w:t>
      </w:r>
      <w:r w:rsidRPr="001F2586">
        <w:rPr>
          <w:rFonts w:eastAsia="Calibri" w:hint="cs"/>
          <w:rtl/>
        </w:rPr>
        <w:t xml:space="preserve"> מהותית</w:t>
      </w:r>
      <w:r w:rsidRPr="001F2586">
        <w:rPr>
          <w:rFonts w:eastAsia="Calibri"/>
          <w:rtl/>
        </w:rPr>
        <w:t xml:space="preserve"> </w:t>
      </w:r>
      <w:r w:rsidRPr="001F2586">
        <w:rPr>
          <w:rFonts w:eastAsia="Calibri" w:hint="cs"/>
          <w:rtl/>
        </w:rPr>
        <w:t>(</w:t>
      </w:r>
      <w:r w:rsidRPr="001F2586">
        <w:rPr>
          <w:rFonts w:eastAsia="Calibri"/>
          <w:rtl/>
        </w:rPr>
        <w:t>כ-21%</w:t>
      </w:r>
      <w:r w:rsidRPr="001F2586">
        <w:rPr>
          <w:rFonts w:eastAsia="Calibri" w:hint="cs"/>
          <w:rtl/>
        </w:rPr>
        <w:t>)</w:t>
      </w:r>
      <w:r w:rsidRPr="001F2586">
        <w:rPr>
          <w:rFonts w:eastAsia="Calibri"/>
          <w:rtl/>
        </w:rPr>
        <w:t xml:space="preserve"> במחירי הקרקעות.</w:t>
      </w:r>
      <w:r w:rsidRPr="001F2586">
        <w:rPr>
          <w:rFonts w:eastAsia="Calibri" w:hint="cs"/>
          <w:rtl/>
        </w:rPr>
        <w:t xml:space="preserve"> החל משנת 2019 נותקה העלייה במחירי הדיור לבין העלייה במחירי הקרקעות. עלייה במחירי הקרקעות משורשרת לעלייה עתידית במחירי הדיור, מאידך ירידה במחירי קרקעות עלולה להוביל להפסדים בקרב קבלנים שרכשו קרקעות בעבר במחיר גבוה יותר ותקשה עליהם להפחית מחירים.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עלויות הבנייה כוללות מרכיבים שונים, בהם חומרי גלם, עלויות עבודה, ניהול ופיקוח, ציוד והובלה. מאז פרוץ מלחמת חרבות ברזל נפגע כושר הייצור של ענף הבנייה. רוב הפגיעה נגרמה ממחסור בכוח אדם, ובפרט מזמינות נמוכה של עובדים מהרשות הפלסטינאית, שכניסתם לשטחי המדינה נאסרה בשל אילוצים ביטחוניים מאז תחילת המלחמה</w:t>
      </w:r>
      <w:r>
        <w:rPr>
          <w:rFonts w:eastAsia="Calibri"/>
          <w:vertAlign w:val="superscript"/>
          <w:rtl/>
        </w:rPr>
        <w:footnoteReference w:id="213"/>
      </w:r>
      <w:r w:rsidRPr="001F2586">
        <w:rPr>
          <w:rFonts w:eastAsia="Calibri" w:hint="cs"/>
          <w:rtl/>
        </w:rPr>
        <w:t xml:space="preserve">, לצד גיוס עובדים ישראלים מהענף לשירות מילואים. לפי ממצאי סקר הערכת המגמות בעסקים שעורכת </w:t>
      </w:r>
      <w:r w:rsidRPr="001F2586">
        <w:rPr>
          <w:rFonts w:eastAsia="Calibri" w:hint="cs"/>
          <w:rtl/>
        </w:rPr>
        <w:t>הלמ"ס</w:t>
      </w:r>
      <w:r w:rsidRPr="001F2586">
        <w:rPr>
          <w:rFonts w:eastAsia="Calibri" w:hint="cs"/>
          <w:rtl/>
        </w:rPr>
        <w:t xml:space="preserve"> מדי חודש עלה כי מחסור בעובדים מקצועיים בענף הבינוי והשפעת המצב הביטחוני הם הגורמים העיקריים לפגיעה בפעילותם הכלכלית</w:t>
      </w:r>
      <w:r>
        <w:rPr>
          <w:rFonts w:eastAsia="Calibri"/>
          <w:vertAlign w:val="superscript"/>
          <w:rtl/>
        </w:rPr>
        <w:footnoteReference w:id="214"/>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בסקירת הכלכלן הראשי מפברואר 2024 נכתב כי תזרים המזומנים החזוי של קבלנים ממכירת דירות חדשות בפברואר 2024 רשם גידול של 40% בהשוואה לאותו חודש בשנה הקודמת, עם זאת בהתבסס על דוחות מע"מ של קבלנים, חלה ירידה של 9% </w:t>
      </w:r>
      <w:r w:rsidRPr="001F2586">
        <w:rPr>
          <w:rFonts w:eastAsia="Calibri" w:hint="cs"/>
          <w:rtl/>
        </w:rPr>
        <w:t>בתזרים</w:t>
      </w:r>
      <w:r w:rsidRPr="001F2586">
        <w:rPr>
          <w:rFonts w:eastAsia="Calibri" w:hint="cs"/>
          <w:rtl/>
        </w:rPr>
        <w:t xml:space="preserve"> בפועל. הירידה בין </w:t>
      </w:r>
      <w:r w:rsidRPr="001F2586">
        <w:rPr>
          <w:rFonts w:eastAsia="Calibri" w:hint="cs"/>
          <w:rtl/>
        </w:rPr>
        <w:t>התזרים</w:t>
      </w:r>
      <w:r w:rsidRPr="001F2586">
        <w:rPr>
          <w:rFonts w:eastAsia="Calibri" w:hint="cs"/>
          <w:rtl/>
        </w:rPr>
        <w:t xml:space="preserve"> החזוי </w:t>
      </w:r>
      <w:r w:rsidRPr="001F2586">
        <w:rPr>
          <w:rFonts w:eastAsia="Calibri" w:hint="cs"/>
          <w:rtl/>
        </w:rPr>
        <w:t>לתזרים</w:t>
      </w:r>
      <w:r w:rsidRPr="001F2586">
        <w:rPr>
          <w:rFonts w:eastAsia="Calibri" w:hint="cs"/>
          <w:rtl/>
        </w:rPr>
        <w:t xml:space="preserve"> בפועל יכולה להעיד על שימוש נרחב במבצעי עידוד לקידום מכירות בהם ניתנת דחייה משמעותית בתשלומים המייצרת את הפער בין </w:t>
      </w:r>
      <w:r w:rsidRPr="001F2586">
        <w:rPr>
          <w:rFonts w:eastAsia="Calibri" w:hint="cs"/>
          <w:rtl/>
        </w:rPr>
        <w:t>התזרים</w:t>
      </w:r>
      <w:r w:rsidRPr="001F2586">
        <w:rPr>
          <w:rFonts w:eastAsia="Calibri" w:hint="cs"/>
          <w:rtl/>
        </w:rPr>
        <w:t xml:space="preserve"> החזוי </w:t>
      </w:r>
      <w:r w:rsidRPr="001F2586">
        <w:rPr>
          <w:rFonts w:eastAsia="Calibri" w:hint="cs"/>
          <w:rtl/>
        </w:rPr>
        <w:t>לתזרים</w:t>
      </w:r>
      <w:r w:rsidRPr="001F2586">
        <w:rPr>
          <w:rFonts w:eastAsia="Calibri" w:hint="cs"/>
          <w:rtl/>
        </w:rPr>
        <w:t xml:space="preserve"> בפועל. עוד עלה </w:t>
      </w:r>
      <w:r w:rsidRPr="001F2586">
        <w:rPr>
          <w:rFonts w:eastAsia="Calibri" w:hint="cs"/>
          <w:rtl/>
        </w:rPr>
        <w:t>בסקירת הכלכלן הראשי כי סך מע"מ תשומות שקוזז היה נמוך ב-27% משנה קודמת. נתון זה יכול להעיד על ירידה ברמת הפעילות באתרי הבנייה המשתקפת בירידה בקיזוז מע"מ תשומות</w:t>
      </w:r>
      <w:r>
        <w:rPr>
          <w:rFonts w:eastAsia="Calibri"/>
          <w:vertAlign w:val="superscript"/>
          <w:rtl/>
        </w:rPr>
        <w:footnoteReference w:id="215"/>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bookmarkStart w:id="61" w:name="_Hlk214777362"/>
      <w:r w:rsidRPr="001F2586">
        <w:rPr>
          <w:rFonts w:eastAsia="Calibri" w:hint="cs"/>
          <w:b/>
          <w:bCs/>
          <w:rtl/>
        </w:rPr>
        <w:t xml:space="preserve">משנת 2022 הורע מצבם הכלכלי של קבלנים בעקבות ירידה משמעותית (כ-21%) במחיר הקרקעות שרכשו בין השנים 2022 - 2024 לצד גידול בעלויות הבנייה בעקבות מחסור בכוח אדם מקצועי בענף מאז פרוץ מלחמת 'חרבות ברזל'. הפגיעה התבטאה בין היתר בירידה ברמת הפעילות באתרי הבנייה ובפגיעה </w:t>
      </w:r>
      <w:r w:rsidRPr="001F2586">
        <w:rPr>
          <w:rFonts w:eastAsia="Calibri" w:hint="cs"/>
          <w:b/>
          <w:bCs/>
          <w:rtl/>
        </w:rPr>
        <w:t>בתזרים</w:t>
      </w:r>
      <w:r w:rsidRPr="001F2586">
        <w:rPr>
          <w:rFonts w:eastAsia="Calibri" w:hint="cs"/>
          <w:b/>
          <w:bCs/>
          <w:rtl/>
        </w:rPr>
        <w:t xml:space="preserve"> המזומנים בפועל.</w:t>
      </w:r>
    </w:p>
    <w:bookmarkEnd w:id="61"/>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ברקע המלחמה המתמשכת והרעה בתנאים המקרו-כלכליים, שהובילו הן לקשיים כלכליים בקרב קבלנים והן להאטה בביקוש לדירות, הצטברו נתונים שונים שיכולים היו להעיד על שינוי מגמה במחירי הדירות. בכלל אלה גידול בחודשי ההיצע ובמלאי הדירות הלא מכורות, המייצרים לחצים להורדת מחירים בשוק הדירות החדשות ולהקטנת הרווחיות בענף הבנייה. התרשים להלן מציג את מלאי הדירות החדשות שנותרו למכירה</w:t>
      </w:r>
      <w:r>
        <w:rPr>
          <w:rFonts w:eastAsia="Calibri"/>
          <w:vertAlign w:val="superscript"/>
          <w:rtl/>
        </w:rPr>
        <w:footnoteReference w:id="216"/>
      </w:r>
      <w:r w:rsidRPr="001F2586">
        <w:rPr>
          <w:rFonts w:eastAsia="Calibri" w:hint="cs"/>
          <w:rtl/>
        </w:rPr>
        <w:t xml:space="preserve"> ואת חודשי ההיצע של דירות חדשות</w:t>
      </w:r>
      <w:r>
        <w:rPr>
          <w:rFonts w:eastAsia="Calibri"/>
          <w:vertAlign w:val="superscript"/>
          <w:rtl/>
        </w:rPr>
        <w:footnoteReference w:id="217"/>
      </w:r>
      <w:r w:rsidRPr="001F2586">
        <w:rPr>
          <w:rFonts w:eastAsia="Calibri" w:hint="cs"/>
          <w:rtl/>
        </w:rPr>
        <w:t xml:space="preserve"> בתקופה שבין ינואר 2019 עד </w:t>
      </w:r>
      <w:r w:rsidR="003404D6">
        <w:rPr>
          <w:rFonts w:eastAsia="Calibri" w:hint="cs"/>
          <w:rtl/>
        </w:rPr>
        <w:t>ספטמבר</w:t>
      </w:r>
      <w:r w:rsidRPr="001F2586" w:rsidR="003404D6">
        <w:rPr>
          <w:rFonts w:eastAsia="Calibri" w:hint="cs"/>
          <w:rtl/>
        </w:rPr>
        <w:t xml:space="preserve"> </w:t>
      </w:r>
      <w:r w:rsidRPr="001F2586">
        <w:rPr>
          <w:rFonts w:eastAsia="Calibri" w:hint="cs"/>
          <w:rtl/>
        </w:rPr>
        <w:t>2025.</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31:</w:t>
      </w:r>
      <w:r w:rsidRPr="001F2586">
        <w:rPr>
          <w:rFonts w:eastAsia="Calibri" w:hint="cs"/>
          <w:bCs/>
          <w:sz w:val="24"/>
          <w:rtl/>
        </w:rPr>
        <w:t xml:space="preserve"> </w:t>
      </w:r>
      <w:r w:rsidRPr="001F2586">
        <w:rPr>
          <w:rFonts w:eastAsia="Calibri" w:hint="eastAsia"/>
          <w:bCs/>
          <w:sz w:val="24"/>
          <w:rtl/>
        </w:rPr>
        <w:t>מלאי</w:t>
      </w:r>
      <w:r w:rsidRPr="001F2586">
        <w:rPr>
          <w:rFonts w:eastAsia="Calibri"/>
          <w:bCs/>
          <w:sz w:val="24"/>
          <w:rtl/>
        </w:rPr>
        <w:t xml:space="preserve"> דירות חדשות שנותרו למכירה וחודשי היצע על פי שיעור המכירות, </w:t>
      </w:r>
      <w:r w:rsidRPr="001F2586">
        <w:rPr>
          <w:rFonts w:eastAsia="Calibri"/>
          <w:bCs/>
          <w:sz w:val="24"/>
          <w:rtl/>
        </w:rPr>
        <w:br/>
        <w:t xml:space="preserve">ינואר 2019 עד ספטמבר 2025 </w:t>
      </w:r>
    </w:p>
    <w:p w:rsidR="001F2586" w:rsidRPr="001F2586" w:rsidP="001F2586">
      <w:pPr>
        <w:spacing w:line="269" w:lineRule="auto"/>
        <w:jc w:val="center"/>
        <w:rPr>
          <w:rFonts w:eastAsia="Calibri"/>
          <w:rtl/>
        </w:rPr>
      </w:pPr>
      <w:r w:rsidRPr="001F2586">
        <w:rPr>
          <w:rFonts w:eastAsia="Calibri"/>
          <w:noProof/>
        </w:rPr>
        <w:drawing>
          <wp:inline distT="0" distB="0" distL="0" distR="0">
            <wp:extent cx="4894775" cy="3675378"/>
            <wp:effectExtent l="0" t="0" r="1270" b="1905"/>
            <wp:docPr id="32" name="תמונה 32" descr="מלאי דירות חדשות שנותרו למכירה עלה בתקופה מכ-49.2 אלף דירות לכ-83.9 אלף דירות. חודשי ההיצע (על פי שיעור המכירות) עלו מ-19 חודשים לכ-28.8 חוד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t="4621"/>
                    <a:stretch>
                      <a:fillRect/>
                    </a:stretch>
                  </pic:blipFill>
                  <pic:spPr bwMode="auto">
                    <a:xfrm>
                      <a:off x="0" y="0"/>
                      <a:ext cx="4913428" cy="368938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P="001F2586">
      <w:pPr>
        <w:spacing w:line="269" w:lineRule="auto"/>
        <w:rPr>
          <w:rFonts w:eastAsia="Calibri"/>
          <w:sz w:val="16"/>
          <w:szCs w:val="20"/>
          <w:rtl/>
        </w:rPr>
      </w:pPr>
      <w:r w:rsidRPr="001F2586">
        <w:rPr>
          <w:rFonts w:eastAsia="Calibri" w:hint="cs"/>
          <w:sz w:val="16"/>
          <w:szCs w:val="20"/>
          <w:rtl/>
        </w:rPr>
        <w:t xml:space="preserve">על פי נתוני </w:t>
      </w:r>
      <w:r w:rsidRPr="001F2586">
        <w:rPr>
          <w:rFonts w:eastAsia="Calibri" w:hint="cs"/>
          <w:sz w:val="16"/>
          <w:szCs w:val="20"/>
          <w:rtl/>
        </w:rPr>
        <w:t>הלמ"ס</w:t>
      </w:r>
      <w:r w:rsidRPr="001F2586">
        <w:rPr>
          <w:rFonts w:eastAsia="Calibri" w:hint="cs"/>
          <w:sz w:val="16"/>
          <w:szCs w:val="20"/>
          <w:rtl/>
        </w:rPr>
        <w:t>, בעיבוד משרד מבקר המדינה.</w:t>
      </w:r>
    </w:p>
    <w:p w:rsidR="003404D6" w:rsidRPr="001F2586" w:rsidP="001F2586">
      <w:pPr>
        <w:spacing w:line="269" w:lineRule="auto"/>
        <w:rPr>
          <w:rFonts w:eastAsia="Calibri"/>
          <w:sz w:val="16"/>
          <w:szCs w:val="20"/>
          <w:rtl/>
        </w:rPr>
      </w:pPr>
    </w:p>
    <w:p w:rsidR="001F2586" w:rsidRPr="001F2586" w:rsidP="001F2586">
      <w:pPr>
        <w:spacing w:line="269" w:lineRule="auto"/>
        <w:rPr>
          <w:rFonts w:eastAsia="Calibri"/>
          <w:b/>
          <w:bCs/>
          <w:rtl/>
        </w:rPr>
      </w:pPr>
      <w:r w:rsidRPr="001F2586">
        <w:rPr>
          <w:rFonts w:eastAsia="Calibri" w:hint="eastAsia"/>
          <w:b/>
          <w:bCs/>
          <w:rtl/>
        </w:rPr>
        <w:t>ניתן</w:t>
      </w:r>
      <w:r w:rsidRPr="001F2586">
        <w:rPr>
          <w:rFonts w:eastAsia="Calibri"/>
          <w:b/>
          <w:bCs/>
          <w:rtl/>
        </w:rPr>
        <w:t xml:space="preserve"> לראות בתרשים כי חודשי ההיצע על פי שיעור המכירות החלו לעלות באופן משמעותי החל משנת 2022, ואף ביחס לרמה הגבוהה שתועדה בתחילת שנת 2019, </w:t>
      </w:r>
      <w:r w:rsidRPr="001F2586">
        <w:rPr>
          <w:rFonts w:eastAsia="Calibri" w:hint="cs"/>
          <w:b/>
          <w:bCs/>
          <w:rtl/>
        </w:rPr>
        <w:t>ש</w:t>
      </w:r>
      <w:r w:rsidRPr="001F2586">
        <w:rPr>
          <w:rFonts w:eastAsia="Calibri"/>
          <w:b/>
          <w:bCs/>
          <w:rtl/>
        </w:rPr>
        <w:t xml:space="preserve">בה עמד המדד על 19 חודשים. למרות ירידה מסוימת </w:t>
      </w:r>
      <w:r w:rsidRPr="001F2586">
        <w:rPr>
          <w:rFonts w:eastAsia="Calibri" w:hint="eastAsia"/>
          <w:b/>
          <w:bCs/>
          <w:rtl/>
        </w:rPr>
        <w:t>בחודשי</w:t>
      </w:r>
      <w:r w:rsidRPr="001F2586">
        <w:rPr>
          <w:rFonts w:eastAsia="Calibri"/>
          <w:b/>
          <w:bCs/>
          <w:rtl/>
        </w:rPr>
        <w:t xml:space="preserve"> </w:t>
      </w:r>
      <w:r w:rsidRPr="001F2586">
        <w:rPr>
          <w:rFonts w:eastAsia="Calibri" w:hint="eastAsia"/>
          <w:b/>
          <w:bCs/>
          <w:rtl/>
        </w:rPr>
        <w:t>ההיצע</w:t>
      </w:r>
      <w:r w:rsidRPr="001F2586">
        <w:rPr>
          <w:rFonts w:eastAsia="Calibri"/>
          <w:b/>
          <w:bCs/>
          <w:rtl/>
        </w:rPr>
        <w:t xml:space="preserve"> באמצע שנת 2023, המדד עלה באופן ניכר החל מאמצע שנת 2024, כך שבספטמבר 2025 המדד עמד על כ-29 חודשים. עוד ניתן לראות בתרשים כי עד לתחילת שנת 2023 מלאי הדירות החדשות שנותרו למכירה נותר יציב. בשנים 2019 - 2022 </w:t>
      </w:r>
      <w:r w:rsidRPr="001F2586">
        <w:rPr>
          <w:rFonts w:eastAsia="Calibri"/>
          <w:b/>
          <w:bCs/>
          <w:rtl/>
        </w:rPr>
        <w:t>נאמד המלאי בטווח שבין כ-42</w:t>
      </w:r>
      <w:r w:rsidRPr="001F2586">
        <w:rPr>
          <w:rFonts w:eastAsia="Calibri" w:hint="cs"/>
          <w:b/>
          <w:bCs/>
          <w:rtl/>
        </w:rPr>
        <w:t>,000</w:t>
      </w:r>
      <w:r w:rsidRPr="001F2586">
        <w:rPr>
          <w:rFonts w:eastAsia="Calibri"/>
          <w:b/>
          <w:bCs/>
          <w:rtl/>
        </w:rPr>
        <w:t xml:space="preserve"> דירות לכ-52</w:t>
      </w:r>
      <w:r w:rsidRPr="001F2586">
        <w:rPr>
          <w:rFonts w:eastAsia="Calibri" w:hint="cs"/>
          <w:b/>
          <w:bCs/>
          <w:rtl/>
        </w:rPr>
        <w:t>,000</w:t>
      </w:r>
      <w:r w:rsidRPr="001F2586">
        <w:rPr>
          <w:rFonts w:eastAsia="Calibri"/>
          <w:b/>
          <w:bCs/>
          <w:rtl/>
        </w:rPr>
        <w:t xml:space="preserve"> דירות. עם זאת, </w:t>
      </w:r>
      <w:r w:rsidRPr="001F2586">
        <w:rPr>
          <w:rFonts w:eastAsia="Calibri" w:hint="eastAsia"/>
          <w:b/>
          <w:bCs/>
          <w:rtl/>
        </w:rPr>
        <w:t>משנת</w:t>
      </w:r>
      <w:r w:rsidRPr="001F2586">
        <w:rPr>
          <w:rFonts w:eastAsia="Calibri"/>
          <w:b/>
          <w:bCs/>
          <w:rtl/>
        </w:rPr>
        <w:t xml:space="preserve"> 2023 </w:t>
      </w:r>
      <w:r w:rsidRPr="001F2586">
        <w:rPr>
          <w:rFonts w:eastAsia="Calibri" w:hint="eastAsia"/>
          <w:b/>
          <w:bCs/>
          <w:rtl/>
        </w:rPr>
        <w:t>חלה</w:t>
      </w:r>
      <w:r w:rsidRPr="001F2586">
        <w:rPr>
          <w:rFonts w:eastAsia="Calibri"/>
          <w:b/>
          <w:bCs/>
          <w:rtl/>
        </w:rPr>
        <w:t xml:space="preserve"> </w:t>
      </w:r>
      <w:r w:rsidRPr="001F2586">
        <w:rPr>
          <w:rFonts w:eastAsia="Calibri" w:hint="eastAsia"/>
          <w:b/>
          <w:bCs/>
          <w:rtl/>
        </w:rPr>
        <w:t>מגמת</w:t>
      </w:r>
      <w:r w:rsidRPr="001F2586">
        <w:rPr>
          <w:rFonts w:eastAsia="Calibri"/>
          <w:b/>
          <w:bCs/>
          <w:rtl/>
        </w:rPr>
        <w:t xml:space="preserve"> </w:t>
      </w:r>
      <w:r w:rsidRPr="001F2586">
        <w:rPr>
          <w:rFonts w:eastAsia="Calibri" w:hint="eastAsia"/>
          <w:b/>
          <w:bCs/>
          <w:rtl/>
        </w:rPr>
        <w:t>גידול</w:t>
      </w:r>
      <w:r w:rsidRPr="001F2586">
        <w:rPr>
          <w:rFonts w:eastAsia="Calibri"/>
          <w:b/>
          <w:bCs/>
          <w:rtl/>
        </w:rPr>
        <w:t xml:space="preserve">, </w:t>
      </w:r>
      <w:r w:rsidRPr="001F2586">
        <w:rPr>
          <w:rFonts w:eastAsia="Calibri" w:hint="eastAsia"/>
          <w:b/>
          <w:bCs/>
          <w:rtl/>
        </w:rPr>
        <w:t>כך</w:t>
      </w:r>
      <w:r w:rsidRPr="001F2586">
        <w:rPr>
          <w:rFonts w:eastAsia="Calibri"/>
          <w:b/>
          <w:bCs/>
          <w:rtl/>
        </w:rPr>
        <w:t xml:space="preserve"> </w:t>
      </w:r>
      <w:r w:rsidRPr="001F2586">
        <w:rPr>
          <w:rFonts w:eastAsia="Calibri" w:hint="eastAsia"/>
          <w:b/>
          <w:bCs/>
          <w:rtl/>
        </w:rPr>
        <w:t>שבסוף</w:t>
      </w:r>
      <w:r w:rsidRPr="001F2586">
        <w:rPr>
          <w:rFonts w:eastAsia="Calibri"/>
          <w:b/>
          <w:bCs/>
          <w:rtl/>
        </w:rPr>
        <w:t xml:space="preserve"> </w:t>
      </w:r>
      <w:r w:rsidRPr="001F2586">
        <w:rPr>
          <w:rFonts w:eastAsia="Calibri" w:hint="eastAsia"/>
          <w:b/>
          <w:bCs/>
          <w:rtl/>
        </w:rPr>
        <w:t>ספטמבר</w:t>
      </w:r>
      <w:r w:rsidRPr="001F2586">
        <w:rPr>
          <w:rFonts w:eastAsia="Calibri"/>
          <w:b/>
          <w:bCs/>
          <w:rtl/>
        </w:rPr>
        <w:t xml:space="preserve"> 2025 </w:t>
      </w:r>
      <w:r w:rsidRPr="001F2586">
        <w:rPr>
          <w:rFonts w:eastAsia="Calibri" w:hint="eastAsia"/>
          <w:b/>
          <w:bCs/>
          <w:rtl/>
        </w:rPr>
        <w:t>נותר</w:t>
      </w:r>
      <w:r w:rsidRPr="001F2586">
        <w:rPr>
          <w:rFonts w:eastAsia="Calibri"/>
          <w:b/>
          <w:bCs/>
          <w:rtl/>
        </w:rPr>
        <w:t xml:space="preserve"> </w:t>
      </w:r>
      <w:r w:rsidRPr="001F2586">
        <w:rPr>
          <w:rFonts w:eastAsia="Calibri" w:hint="eastAsia"/>
          <w:b/>
          <w:bCs/>
          <w:rtl/>
        </w:rPr>
        <w:t>מלאי</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83,921 </w:t>
      </w:r>
      <w:r w:rsidRPr="001F2586">
        <w:rPr>
          <w:rFonts w:eastAsia="Calibri" w:hint="eastAsia"/>
          <w:b/>
          <w:bCs/>
          <w:rtl/>
        </w:rPr>
        <w:t>דירות</w:t>
      </w:r>
      <w:r w:rsidRPr="001F2586">
        <w:rPr>
          <w:rFonts w:eastAsia="Calibri"/>
          <w:b/>
          <w:bCs/>
          <w:rtl/>
        </w:rPr>
        <w:t xml:space="preserve"> </w:t>
      </w:r>
      <w:r w:rsidRPr="001F2586">
        <w:rPr>
          <w:rFonts w:eastAsia="Calibri" w:hint="eastAsia"/>
          <w:b/>
          <w:bCs/>
          <w:rtl/>
        </w:rPr>
        <w:t>חדשות</w:t>
      </w:r>
      <w:r w:rsidRPr="001F2586">
        <w:rPr>
          <w:rFonts w:eastAsia="Calibri"/>
          <w:b/>
          <w:bCs/>
          <w:rtl/>
        </w:rPr>
        <w:t xml:space="preserve"> </w:t>
      </w:r>
      <w:r w:rsidRPr="001F2586">
        <w:rPr>
          <w:rFonts w:eastAsia="Calibri" w:hint="eastAsia"/>
          <w:b/>
          <w:bCs/>
          <w:rtl/>
        </w:rPr>
        <w:t>למכירה</w:t>
      </w:r>
      <w:r w:rsidRPr="001F2586">
        <w:rPr>
          <w:rFonts w:eastAsia="Calibri"/>
          <w:b/>
          <w:bCs/>
          <w:rtl/>
        </w:rPr>
        <w:t xml:space="preserve"> (גידול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-76% </w:t>
      </w:r>
      <w:r w:rsidRPr="001F2586">
        <w:rPr>
          <w:rFonts w:eastAsia="Calibri" w:hint="eastAsia"/>
          <w:b/>
          <w:bCs/>
          <w:rtl/>
        </w:rPr>
        <w:t>בהשוואה</w:t>
      </w:r>
      <w:r w:rsidRPr="001F2586">
        <w:rPr>
          <w:rFonts w:eastAsia="Calibri"/>
          <w:b/>
          <w:bCs/>
          <w:rtl/>
        </w:rPr>
        <w:t xml:space="preserve"> </w:t>
      </w:r>
      <w:r w:rsidRPr="001F2586">
        <w:rPr>
          <w:rFonts w:eastAsia="Calibri" w:hint="eastAsia"/>
          <w:b/>
          <w:bCs/>
          <w:rtl/>
        </w:rPr>
        <w:t>לממוצע</w:t>
      </w:r>
      <w:r w:rsidRPr="001F2586">
        <w:rPr>
          <w:rFonts w:eastAsia="Calibri"/>
          <w:b/>
          <w:bCs/>
          <w:rtl/>
        </w:rPr>
        <w:t xml:space="preserve"> </w:t>
      </w:r>
      <w:r w:rsidRPr="001F2586">
        <w:rPr>
          <w:rFonts w:eastAsia="Calibri" w:hint="eastAsia"/>
          <w:b/>
          <w:bCs/>
          <w:rtl/>
        </w:rPr>
        <w:t>מלאי</w:t>
      </w:r>
      <w:r w:rsidRPr="001F2586">
        <w:rPr>
          <w:rFonts w:eastAsia="Calibri"/>
          <w:b/>
          <w:bCs/>
          <w:rtl/>
        </w:rPr>
        <w:t xml:space="preserve"> </w:t>
      </w:r>
      <w:r w:rsidRPr="001F2586">
        <w:rPr>
          <w:rFonts w:eastAsia="Calibri" w:hint="eastAsia"/>
          <w:b/>
          <w:bCs/>
          <w:rtl/>
        </w:rPr>
        <w:t>הדירות</w:t>
      </w:r>
      <w:r w:rsidRPr="001F2586">
        <w:rPr>
          <w:rFonts w:eastAsia="Calibri"/>
          <w:b/>
          <w:bCs/>
          <w:rtl/>
        </w:rPr>
        <w:t xml:space="preserve"> </w:t>
      </w:r>
      <w:r w:rsidRPr="001F2586">
        <w:rPr>
          <w:rFonts w:eastAsia="Calibri" w:hint="eastAsia"/>
          <w:b/>
          <w:bCs/>
          <w:rtl/>
        </w:rPr>
        <w:t>בתקופה</w:t>
      </w:r>
      <w:r w:rsidRPr="001F2586">
        <w:rPr>
          <w:rFonts w:eastAsia="Calibri"/>
          <w:b/>
          <w:bCs/>
          <w:rtl/>
        </w:rPr>
        <w:t xml:space="preserve"> </w:t>
      </w:r>
      <w:r w:rsidRPr="001F2586">
        <w:rPr>
          <w:rFonts w:eastAsia="Calibri" w:hint="eastAsia"/>
          <w:b/>
          <w:bCs/>
          <w:rtl/>
        </w:rPr>
        <w:t>שבין</w:t>
      </w:r>
      <w:r w:rsidRPr="001F2586">
        <w:rPr>
          <w:rFonts w:eastAsia="Calibri"/>
          <w:b/>
          <w:bCs/>
          <w:rtl/>
        </w:rPr>
        <w:t xml:space="preserve"> </w:t>
      </w:r>
      <w:r w:rsidRPr="001F2586">
        <w:rPr>
          <w:rFonts w:eastAsia="Calibri" w:hint="eastAsia"/>
          <w:b/>
          <w:bCs/>
          <w:rtl/>
        </w:rPr>
        <w:t>השנים</w:t>
      </w:r>
      <w:r w:rsidRPr="001F2586">
        <w:rPr>
          <w:rFonts w:eastAsia="Calibri"/>
          <w:b/>
          <w:bCs/>
          <w:rtl/>
        </w:rPr>
        <w:t xml:space="preserve"> 2019 - 2022</w:t>
      </w:r>
      <w:r w:rsidR="001956C2">
        <w:rPr>
          <w:rFonts w:eastAsia="Calibri" w:hint="cs"/>
          <w:b/>
          <w:bCs/>
          <w:rtl/>
        </w:rPr>
        <w:t xml:space="preserve"> שהוא כ-47,700 דירות</w:t>
      </w:r>
      <w:r w:rsidRPr="001F2586">
        <w:rPr>
          <w:rFonts w:eastAsia="Calibri"/>
          <w:b/>
          <w:bCs/>
          <w:rtl/>
        </w:rPr>
        <w:t>).</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מלאי הדירות החדשות שנותרו למכירה מתבסס על נתונים מצטברים המחושבים לסוף תקופה. החישוב</w:t>
      </w:r>
      <w:r>
        <w:rPr>
          <w:rFonts w:eastAsia="Calibri"/>
          <w:vertAlign w:val="superscript"/>
          <w:rtl/>
        </w:rPr>
        <w:footnoteReference w:id="218"/>
      </w:r>
      <w:r w:rsidRPr="001F2586">
        <w:rPr>
          <w:rFonts w:eastAsia="Calibri" w:hint="cs"/>
          <w:rtl/>
        </w:rPr>
        <w:t xml:space="preserve"> כולל את מלאי הדירות</w:t>
      </w:r>
      <w:r>
        <w:rPr>
          <w:rFonts w:eastAsia="Calibri"/>
          <w:vertAlign w:val="superscript"/>
          <w:rtl/>
        </w:rPr>
        <w:footnoteReference w:id="219"/>
      </w:r>
      <w:r w:rsidRPr="001F2586">
        <w:rPr>
          <w:rFonts w:eastAsia="Calibri" w:hint="cs"/>
          <w:rtl/>
        </w:rPr>
        <w:t xml:space="preserve"> בחודש הקודם בתוספת מלאי הדירות בחודש הנוכחי, כפי שמתקבל בהיתרי הבנייה</w:t>
      </w:r>
      <w:r>
        <w:rPr>
          <w:rFonts w:eastAsia="Calibri"/>
          <w:vertAlign w:val="superscript"/>
          <w:rtl/>
        </w:rPr>
        <w:footnoteReference w:id="220"/>
      </w:r>
      <w:r w:rsidRPr="001F2586">
        <w:rPr>
          <w:rFonts w:eastAsia="Calibri" w:hint="cs"/>
          <w:rtl/>
        </w:rPr>
        <w:t xml:space="preserve"> ומאומת בסקר מעקבי בנייה</w:t>
      </w:r>
      <w:r>
        <w:rPr>
          <w:rFonts w:eastAsia="Calibri"/>
          <w:vertAlign w:val="superscript"/>
          <w:rtl/>
        </w:rPr>
        <w:footnoteReference w:id="221"/>
      </w:r>
      <w:r w:rsidRPr="001F2586">
        <w:rPr>
          <w:rFonts w:eastAsia="Calibri" w:hint="cs"/>
          <w:rtl/>
        </w:rPr>
        <w:t>, בניכוי מספר הדירות החדשות שנמכרו, כפי שדווח בקובץ רשות המסים</w:t>
      </w:r>
      <w:r>
        <w:rPr>
          <w:rFonts w:eastAsia="Calibri"/>
          <w:vertAlign w:val="superscript"/>
          <w:rtl/>
        </w:rPr>
        <w:footnoteReference w:id="222"/>
      </w:r>
      <w:r w:rsidRPr="001F2586">
        <w:rPr>
          <w:rFonts w:eastAsia="Calibri" w:hint="cs"/>
          <w:rtl/>
        </w:rPr>
        <w:t>. לפיכך מלאי הדירות שנותרו למכירה מורכב מדירות שקיבלו היתרי בנייה ונמצאות בשלבים שונים לבנייתן, אם בכלל, והגידול שתועד במלאי הדירות, החל משנת 2023, נובע ממתן היתרי בניה בקצב מהיר ממכירת אותן הדירות.</w:t>
      </w:r>
    </w:p>
    <w:p w:rsidR="001F2586" w:rsidRPr="001F2586" w:rsidP="001F2586">
      <w:pPr>
        <w:spacing w:line="269" w:lineRule="auto"/>
        <w:rPr>
          <w:rFonts w:eastAsia="Calibri"/>
          <w:rtl/>
        </w:rPr>
      </w:pPr>
    </w:p>
    <w:p w:rsidR="001F2586" w:rsidRPr="001F2586" w:rsidP="001F2586">
      <w:pPr>
        <w:spacing w:line="269" w:lineRule="auto"/>
        <w:rPr>
          <w:rFonts w:eastAsia="Calibri"/>
          <w:sz w:val="18"/>
          <w:szCs w:val="22"/>
          <w:rtl/>
        </w:rPr>
      </w:pPr>
      <w:r w:rsidRPr="001F2586">
        <w:rPr>
          <w:rFonts w:eastAsia="Calibri" w:hint="cs"/>
          <w:rtl/>
        </w:rPr>
        <w:t xml:space="preserve">בנספח הסבר של </w:t>
      </w:r>
      <w:r w:rsidRPr="001F2586">
        <w:rPr>
          <w:rFonts w:eastAsia="Calibri" w:hint="cs"/>
          <w:rtl/>
        </w:rPr>
        <w:t>הלמ"ס</w:t>
      </w:r>
      <w:r w:rsidRPr="001F2586">
        <w:rPr>
          <w:rFonts w:eastAsia="Calibri" w:hint="cs"/>
          <w:rtl/>
        </w:rPr>
        <w:t xml:space="preserve"> לאופן חישוב מלאי הדירות נכתב כי לא ניתן להסיק משיטת החישוב שיושמה על סך חלקן של דירות שבנייתן הסתיימה מתוך מלאי הדירות החדשות שנותרו למכירה</w:t>
      </w:r>
      <w:r>
        <w:rPr>
          <w:rFonts w:eastAsia="Calibri"/>
          <w:vertAlign w:val="superscript"/>
          <w:rtl/>
        </w:rPr>
        <w:footnoteReference w:id="223"/>
      </w:r>
      <w:r w:rsidRPr="001F2586">
        <w:rPr>
          <w:rFonts w:eastAsia="Calibri" w:hint="cs"/>
          <w:rtl/>
        </w:rPr>
        <w:t>. הרכב מלאי הדירות הלא מכורות כולל דירות בשלבי בנייה שונים, ובהן דירות שקיבלו היתר בנייה, דירות בהתחלת בנייה, דירות בבנייה פעילה ודירות בגמר בנייה. התרשים להלן מציג את כמות היתרי הבנייה</w:t>
      </w:r>
      <w:r>
        <w:rPr>
          <w:rFonts w:eastAsia="Calibri"/>
          <w:vertAlign w:val="superscript"/>
          <w:rtl/>
        </w:rPr>
        <w:footnoteReference w:id="224"/>
      </w:r>
      <w:r w:rsidRPr="001F2586">
        <w:rPr>
          <w:rFonts w:eastAsia="Calibri" w:hint="cs"/>
        </w:rPr>
        <w:t xml:space="preserve"> </w:t>
      </w:r>
      <w:r w:rsidRPr="001F2586">
        <w:rPr>
          <w:rFonts w:eastAsia="Calibri" w:hint="cs"/>
          <w:rtl/>
        </w:rPr>
        <w:t>שניתנו להקמת דירות, את התחלות הבנייה ואת גמר הבנייה עבור התקופה שבין ינואר 2019 למרץ 2025.</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32:</w:t>
      </w:r>
      <w:r w:rsidRPr="001F2586">
        <w:rPr>
          <w:rFonts w:eastAsia="Calibri" w:hint="cs"/>
          <w:bCs/>
          <w:sz w:val="24"/>
          <w:rtl/>
        </w:rPr>
        <w:t xml:space="preserve"> </w:t>
      </w:r>
      <w:r w:rsidRPr="001F2586">
        <w:rPr>
          <w:rFonts w:eastAsia="Calibri" w:hint="eastAsia"/>
          <w:bCs/>
          <w:sz w:val="24"/>
          <w:rtl/>
        </w:rPr>
        <w:t>היתרי</w:t>
      </w:r>
      <w:r w:rsidRPr="001F2586">
        <w:rPr>
          <w:rFonts w:eastAsia="Calibri"/>
          <w:bCs/>
          <w:sz w:val="24"/>
          <w:rtl/>
        </w:rPr>
        <w:t xml:space="preserve"> </w:t>
      </w:r>
      <w:r w:rsidRPr="001F2586">
        <w:rPr>
          <w:rFonts w:eastAsia="Calibri" w:hint="eastAsia"/>
          <w:bCs/>
          <w:sz w:val="24"/>
          <w:rtl/>
        </w:rPr>
        <w:t>בנייה</w:t>
      </w:r>
      <w:r w:rsidRPr="001F2586">
        <w:rPr>
          <w:rFonts w:eastAsia="Calibri"/>
          <w:bCs/>
          <w:sz w:val="24"/>
          <w:rtl/>
        </w:rPr>
        <w:t xml:space="preserve">, </w:t>
      </w:r>
      <w:r w:rsidRPr="001F2586">
        <w:rPr>
          <w:rFonts w:eastAsia="Calibri" w:hint="eastAsia"/>
          <w:bCs/>
          <w:sz w:val="24"/>
          <w:rtl/>
        </w:rPr>
        <w:t>התחלות</w:t>
      </w:r>
      <w:r w:rsidRPr="001F2586">
        <w:rPr>
          <w:rFonts w:eastAsia="Calibri"/>
          <w:bCs/>
          <w:sz w:val="24"/>
          <w:rtl/>
        </w:rPr>
        <w:t xml:space="preserve"> </w:t>
      </w:r>
      <w:r w:rsidRPr="001F2586">
        <w:rPr>
          <w:rFonts w:eastAsia="Calibri" w:hint="eastAsia"/>
          <w:bCs/>
          <w:sz w:val="24"/>
          <w:rtl/>
        </w:rPr>
        <w:t>בנייה</w:t>
      </w:r>
      <w:r w:rsidRPr="001F2586">
        <w:rPr>
          <w:rFonts w:eastAsia="Calibri"/>
          <w:bCs/>
          <w:sz w:val="24"/>
          <w:rtl/>
        </w:rPr>
        <w:t xml:space="preserve"> </w:t>
      </w:r>
      <w:r w:rsidRPr="001F2586">
        <w:rPr>
          <w:rFonts w:eastAsia="Calibri" w:hint="eastAsia"/>
          <w:bCs/>
          <w:sz w:val="24"/>
          <w:rtl/>
        </w:rPr>
        <w:t>וגמר</w:t>
      </w:r>
      <w:r w:rsidRPr="001F2586">
        <w:rPr>
          <w:rFonts w:eastAsia="Calibri"/>
          <w:bCs/>
          <w:sz w:val="24"/>
          <w:rtl/>
        </w:rPr>
        <w:t xml:space="preserve"> </w:t>
      </w:r>
      <w:r w:rsidRPr="001F2586">
        <w:rPr>
          <w:rFonts w:eastAsia="Calibri" w:hint="eastAsia"/>
          <w:bCs/>
          <w:sz w:val="24"/>
          <w:rtl/>
        </w:rPr>
        <w:t>בנייה</w:t>
      </w:r>
      <w:r w:rsidRPr="001F2586">
        <w:rPr>
          <w:rFonts w:eastAsia="Calibri"/>
          <w:bCs/>
          <w:sz w:val="24"/>
          <w:rtl/>
        </w:rPr>
        <w:t xml:space="preserve">, 2019 - 2025, </w:t>
      </w:r>
      <w:r w:rsidRPr="001F2586">
        <w:rPr>
          <w:rFonts w:eastAsia="Calibri" w:hint="eastAsia"/>
          <w:bCs/>
          <w:sz w:val="24"/>
          <w:rtl/>
        </w:rPr>
        <w:t>אלפי</w:t>
      </w:r>
      <w:r w:rsidRPr="001F2586">
        <w:rPr>
          <w:rFonts w:eastAsia="Calibri"/>
          <w:bCs/>
          <w:sz w:val="24"/>
          <w:rtl/>
        </w:rPr>
        <w:t xml:space="preserve"> </w:t>
      </w:r>
      <w:r w:rsidRPr="001F2586">
        <w:rPr>
          <w:rFonts w:eastAsia="Calibri" w:hint="eastAsia"/>
          <w:bCs/>
          <w:sz w:val="24"/>
          <w:rtl/>
        </w:rPr>
        <w:t>דירות</w:t>
      </w:r>
    </w:p>
    <w:p w:rsidR="001F2586" w:rsidRPr="001F2586" w:rsidP="001F2586">
      <w:pPr>
        <w:spacing w:line="269" w:lineRule="auto"/>
        <w:jc w:val="center"/>
        <w:rPr>
          <w:rFonts w:eastAsia="Calibri"/>
          <w:rtl/>
        </w:rPr>
      </w:pPr>
      <w:r w:rsidRPr="001F2586">
        <w:rPr>
          <w:rFonts w:eastAsia="Calibri"/>
          <w:noProof/>
        </w:rPr>
        <w:drawing>
          <wp:inline distT="0" distB="0" distL="0" distR="0">
            <wp:extent cx="5220335" cy="2496185"/>
            <wp:effectExtent l="0" t="0" r="0" b="0"/>
            <wp:docPr id="919876281" name="תמונה 54" descr="כמות היתרי בנייה (באלפים) בשנים 2019 - 2025 (נתוני רבעון ראשון של שנת 2025) הם: 2019 -57, 2020- 54, 2021- 74, 2022 - 78, 2023- 74, 2024- 79, 2025  -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76281" name=""/>
                    <pic:cNvPicPr/>
                  </pic:nvPicPr>
                  <pic:blipFill>
                    <a:blip xmlns:r="http://schemas.openxmlformats.org/officeDocument/2006/relationships" r:embed="rId44"/>
                    <a:srcRect t="6871"/>
                    <a:stretch>
                      <a:fillRect/>
                    </a:stretch>
                  </pic:blipFill>
                  <pic:spPr bwMode="auto">
                    <a:xfrm>
                      <a:off x="0" y="0"/>
                      <a:ext cx="5220335" cy="249618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 xml:space="preserve">על פי נתוני </w:t>
      </w:r>
      <w:r w:rsidRPr="001F2586">
        <w:rPr>
          <w:rFonts w:eastAsia="Calibri" w:hint="cs"/>
          <w:sz w:val="16"/>
          <w:szCs w:val="20"/>
          <w:rtl/>
        </w:rPr>
        <w:t>הלמ"ס</w:t>
      </w:r>
      <w:r w:rsidRPr="001F2586">
        <w:rPr>
          <w:rFonts w:eastAsia="Calibri" w:hint="cs"/>
          <w:sz w:val="16"/>
          <w:szCs w:val="20"/>
          <w:rtl/>
        </w:rPr>
        <w:t>, בעיבוד משרד מבקר המדינה.</w:t>
      </w:r>
    </w:p>
    <w:p w:rsidR="001F2586" w:rsidRPr="001F2586" w:rsidP="001F2586">
      <w:pPr>
        <w:spacing w:line="269" w:lineRule="auto"/>
        <w:rPr>
          <w:rFonts w:eastAsia="Calibri"/>
          <w:sz w:val="16"/>
          <w:szCs w:val="20"/>
          <w:rtl/>
        </w:rPr>
      </w:pPr>
      <w:r w:rsidRPr="001F2586">
        <w:rPr>
          <w:rFonts w:eastAsia="Calibri" w:hint="cs"/>
          <w:sz w:val="16"/>
          <w:szCs w:val="20"/>
          <w:rtl/>
        </w:rPr>
        <w:t>* נתוני 2025 כוללים רק את נתוני הרבעון הראשון של השנה.</w:t>
      </w:r>
    </w:p>
    <w:p w:rsidR="001F2586" w:rsidRPr="001F2586" w:rsidP="001F2586">
      <w:pPr>
        <w:spacing w:line="269" w:lineRule="auto"/>
        <w:rPr>
          <w:rFonts w:eastAsia="Calibri"/>
          <w:sz w:val="16"/>
          <w:szCs w:val="20"/>
          <w:rtl/>
        </w:rPr>
      </w:pPr>
    </w:p>
    <w:p w:rsidR="001F2586" w:rsidRPr="001F2586" w:rsidP="001F2586">
      <w:pPr>
        <w:spacing w:line="269" w:lineRule="auto"/>
        <w:rPr>
          <w:rFonts w:eastAsia="Calibri"/>
          <w:rtl/>
        </w:rPr>
      </w:pPr>
      <w:r w:rsidRPr="001F2586">
        <w:rPr>
          <w:rFonts w:eastAsia="Calibri" w:hint="cs"/>
          <w:rtl/>
        </w:rPr>
        <w:t xml:space="preserve">ניתן לראות בתרשים כי בכל אחת מהשנים לאחר שנת 2021 ניתנו היתרים לבניית דירות בכמות גבוהה משמעותית מאלה שניתנו בשנים 2019 - 2020 (ממוצע ההיתרים שניתנו בשנים 2021 - 2024 עמד על 76 אלף דירות לעומת ממוצע של 55.6 אלף דירות בשנים 2019 - 2020, גידול של כ-37%). </w:t>
      </w:r>
      <w:r w:rsidRPr="001F2586">
        <w:rPr>
          <w:rFonts w:eastAsia="Calibri" w:hint="cs"/>
          <w:rtl/>
        </w:rPr>
        <w:t>עוד ניתן לראות בתרשים כי החל משנת 2021 גדל באופן משמעותי סך היתרי הבנייה שניתנו ביחס לסך התחלות הבנייה (גידול ממוצע של כ-10 אלף דירות בשנה בתקופה שבין 2021 ל-2024), וגידול נוסף בסך התחלות הבנייה ביחס לסך גמר הבנייה (גידול ממוצע של כ-16 אלף דירות בשנה בתקופה זו, ללא שנת 2023 שבה תועד פער נמוך מזה). נתונים אלה מעידים על עיכובים מהותיים במועד התחלות הבנייה וגמר הבנייה ביחס לכמות ההיתרים שניתנו החל משנת 2021.</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ירידת מחירים נקודתית יכולה לסמן על ירידת מחירים בפרויקטים נוספים ולהוביל לתופעה רחבה. מבצעי עידוד הם חלופה מועדפת על קבלנים וגורמים מממנים להפחתת מחירים כיוון שאלה אינם משתקפים במחירי הדיור או ברווחיות פרויקטים לבינוי, והם מעודדים ביקוש ומשמרים את רמת המחירים הנהוגה בשוק. ברקע ההאטה בפעילות שוק הדיור, התעצמות מבצעי עידוד יכולה להעיד על עומק המשבר שאליו נקלעו קבלנים רבים ולהקפאת המצב הקיים מתוך תקווה לשיפור בתנאים המקרו-כלכליים, ובפרט הפחתת ריבית והתמתנות שיעור האינפלציה, שיובילו להתאוששות הביקוש.</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כאמור, לאחר פרסום הוראת השעה של בנק ישראל באפריל 2025 חלה ירידה רציפה במחירי הדירות, המיוחסת בעיקר לצמצום מבצעי עידוד, ובפרט לאלה המציעים דחייה משמעותית בתשלומים והלוואות בסבסוד קבלנים, עקב הגבלות שהטיל בנק ישראל בעניין זה. ניתן להסיק כי אלמלא מבצעי עידוד, הירידה במדדי מחירי הדירות הייתה בשיעורים גבוהים יותר ומתרחשת בתקופה מוקדמת יותר.</w:t>
      </w:r>
    </w:p>
    <w:p w:rsidR="001F2586" w:rsidRPr="001F2586" w:rsidP="001F2586">
      <w:pPr>
        <w:spacing w:line="269" w:lineRule="auto"/>
        <w:rPr>
          <w:rFonts w:eastAsia="Calibri"/>
          <w:b/>
          <w:bCs/>
          <w:rtl/>
        </w:rPr>
      </w:pPr>
      <w:bookmarkStart w:id="62" w:name="_Hlk214777384"/>
    </w:p>
    <w:p w:rsidR="001F2586" w:rsidRPr="001F2586" w:rsidP="001F2586">
      <w:pPr>
        <w:spacing w:line="269" w:lineRule="auto"/>
        <w:rPr>
          <w:rFonts w:eastAsia="Calibri"/>
          <w:b/>
          <w:bCs/>
          <w:rtl/>
        </w:rPr>
      </w:pPr>
      <w:r w:rsidRPr="001F2586">
        <w:rPr>
          <w:rFonts w:eastAsia="Calibri" w:hint="cs"/>
          <w:b/>
          <w:bCs/>
          <w:rtl/>
        </w:rPr>
        <w:t>בשוק דירות יד ראשונה מתקיים כשל שוק לפיו קבלנים יכולים, במידה מסוימת, לווסת את היצע הדירות בהתאם לשינויים מקרו-כלכליים, כמו ריבית הבנק המרכזי ואינפלציה, אגב מניעת הורדת מחירים וחלף התאמתם לתנאי השוק. למרות שחלה ירידה במדד מחירי הקרקעות בשנים 2022 - 2024 בכ-21% מדד מחירי הדירות עלה בתקופה זו בכ-23%. השמירה על רמת מחירי הדירות התאפשרה לנוכח פעילות הקבלנים בשוק הדיור שהתאפיינה בשנים 2021 - 2025 במבצעי עידוד ובעיכוב תהליכי הבנייה. עולה החשש כי בהימשכות כשל השוק, ללא שינוי בתנאים המקרו-כלכליים מחירי הדיור יצנחו בחדות ויובילו לקריסת קבלנים, לפגיעה בבעלי הנכסים ולהאטה בצמיחה הכלכלית. לחלופין, אם ויחול שיפור בתנאים המקרו-כלכליים ימשיכו מחירי הדיור לעלות ולהרחיק מהשוק קונים חדשים, בהם צעירים ומשפחות צעירות.</w:t>
      </w:r>
    </w:p>
    <w:bookmarkEnd w:id="62"/>
    <w:p w:rsidR="001F2586" w:rsidRPr="001F2586" w:rsidP="001F2586">
      <w:pPr>
        <w:spacing w:line="269" w:lineRule="auto"/>
        <w:rPr>
          <w:rFonts w:eastAsia="Calibri"/>
          <w:b/>
          <w:bCs/>
          <w:rtl/>
        </w:rPr>
      </w:pPr>
    </w:p>
    <w:p w:rsidR="001F2586" w:rsidRPr="001F2586" w:rsidP="001F2586">
      <w:pPr>
        <w:spacing w:line="269" w:lineRule="auto"/>
        <w:rPr>
          <w:rFonts w:eastAsia="Calibri"/>
          <w:b/>
          <w:bCs/>
          <w:rtl/>
        </w:rPr>
      </w:pPr>
      <w:r w:rsidRPr="001F2586">
        <w:rPr>
          <w:rFonts w:eastAsia="Calibri" w:hint="cs"/>
          <w:b/>
          <w:bCs/>
          <w:rtl/>
        </w:rPr>
        <w:t xml:space="preserve">מומלץ כי משרד האוצר בשיתוף הגורמים הרלוונטיים </w:t>
      </w:r>
      <w:r w:rsidRPr="001F2586">
        <w:rPr>
          <w:rFonts w:eastAsia="Calibri" w:hint="eastAsia"/>
          <w:b/>
          <w:bCs/>
          <w:rtl/>
        </w:rPr>
        <w:t>יבחנו</w:t>
      </w:r>
      <w:r w:rsidRPr="001F2586">
        <w:rPr>
          <w:rFonts w:eastAsia="Calibri" w:hint="cs"/>
          <w:b/>
          <w:bCs/>
          <w:rtl/>
        </w:rPr>
        <w:t xml:space="preserve"> דרכים למציאת פתרונות ארוכי טווח לשוק הדיור, בהם פתרונות שיובילו להפחתת מחירים באופן הדרגתי, אגב שמירה על איזון בין טובת הקבלנים לטובת משקי הבית, ובפרט צעירים ומשפחות צעירות.</w:t>
      </w:r>
    </w:p>
    <w:p w:rsidR="001F2586" w:rsidRPr="00260379" w:rsidP="001F2586">
      <w:pPr>
        <w:spacing w:line="269" w:lineRule="auto"/>
        <w:rPr>
          <w:rFonts w:eastAsia="Calibri"/>
          <w:b/>
          <w:bCs/>
          <w:sz w:val="24"/>
          <w:szCs w:val="28"/>
          <w:rtl/>
        </w:rPr>
      </w:pPr>
    </w:p>
    <w:p w:rsidR="001F2586" w:rsidRPr="001F2586" w:rsidP="001F2586">
      <w:pPr>
        <w:keepNext/>
        <w:keepLines/>
        <w:spacing w:line="269" w:lineRule="auto"/>
        <w:outlineLvl w:val="3"/>
        <w:rPr>
          <w:rFonts w:eastAsia="Times New Roman"/>
          <w:szCs w:val="26"/>
          <w:rtl/>
        </w:rPr>
      </w:pPr>
      <w:r w:rsidRPr="001F2586">
        <w:rPr>
          <w:rFonts w:eastAsia="Times New Roman" w:hint="eastAsia"/>
          <w:bCs/>
          <w:szCs w:val="26"/>
          <w:rtl/>
        </w:rPr>
        <w:t>הסכמי</w:t>
      </w:r>
      <w:r w:rsidRPr="001F2586">
        <w:rPr>
          <w:rFonts w:eastAsia="Times New Roman"/>
          <w:bCs/>
          <w:szCs w:val="26"/>
          <w:rtl/>
        </w:rPr>
        <w:t xml:space="preserve"> </w:t>
      </w:r>
      <w:r w:rsidRPr="001F2586">
        <w:rPr>
          <w:rFonts w:eastAsia="Times New Roman" w:hint="eastAsia"/>
          <w:bCs/>
          <w:szCs w:val="26"/>
          <w:rtl/>
        </w:rPr>
        <w:t>מימון</w:t>
      </w:r>
      <w:r w:rsidRPr="001F2586">
        <w:rPr>
          <w:rFonts w:eastAsia="Times New Roman"/>
          <w:bCs/>
          <w:szCs w:val="26"/>
          <w:rtl/>
        </w:rPr>
        <w:t xml:space="preserve"> </w:t>
      </w:r>
      <w:r w:rsidRPr="001F2586">
        <w:rPr>
          <w:rFonts w:eastAsia="Times New Roman" w:hint="eastAsia"/>
          <w:bCs/>
          <w:szCs w:val="26"/>
          <w:rtl/>
        </w:rPr>
        <w:t>לבניית</w:t>
      </w:r>
      <w:r w:rsidRPr="001F2586">
        <w:rPr>
          <w:rFonts w:eastAsia="Times New Roman"/>
          <w:bCs/>
          <w:szCs w:val="26"/>
          <w:rtl/>
        </w:rPr>
        <w:t xml:space="preserve"> </w:t>
      </w:r>
      <w:r w:rsidRPr="001F2586">
        <w:rPr>
          <w:rFonts w:eastAsia="Times New Roman" w:hint="eastAsia"/>
          <w:bCs/>
          <w:szCs w:val="26"/>
          <w:rtl/>
        </w:rPr>
        <w:t>יחידות</w:t>
      </w:r>
      <w:r w:rsidRPr="001F2586">
        <w:rPr>
          <w:rFonts w:eastAsia="Times New Roman"/>
          <w:bCs/>
          <w:szCs w:val="26"/>
          <w:rtl/>
        </w:rPr>
        <w:t xml:space="preserve"> </w:t>
      </w:r>
      <w:r w:rsidRPr="001F2586">
        <w:rPr>
          <w:rFonts w:eastAsia="Times New Roman" w:hint="eastAsia"/>
          <w:bCs/>
          <w:szCs w:val="26"/>
          <w:rtl/>
        </w:rPr>
        <w:t>דיור</w:t>
      </w:r>
      <w:r w:rsidRPr="001F2586">
        <w:rPr>
          <w:rFonts w:eastAsia="Times New Roman"/>
          <w:bCs/>
          <w:szCs w:val="26"/>
          <w:rtl/>
        </w:rPr>
        <w:t xml:space="preserve"> </w:t>
      </w:r>
      <w:r w:rsidRPr="001F2586">
        <w:rPr>
          <w:rFonts w:eastAsia="Times New Roman" w:hint="eastAsia"/>
          <w:bCs/>
          <w:szCs w:val="26"/>
          <w:rtl/>
        </w:rPr>
        <w:t>למגורים</w:t>
      </w:r>
    </w:p>
    <w:p w:rsidR="001F2586" w:rsidRPr="00260379" w:rsidP="00260379">
      <w:pPr>
        <w:spacing w:line="269" w:lineRule="auto"/>
        <w:rPr>
          <w:rFonts w:eastAsia="Calibri"/>
          <w:b/>
          <w:bCs/>
        </w:rPr>
      </w:pPr>
    </w:p>
    <w:p w:rsidR="001F2586" w:rsidRPr="001F2586" w:rsidP="001F2586">
      <w:pPr>
        <w:spacing w:line="269" w:lineRule="auto"/>
        <w:rPr>
          <w:rFonts w:eastAsia="Calibri"/>
          <w:rtl/>
        </w:rPr>
      </w:pPr>
      <w:r w:rsidRPr="001F2586">
        <w:rPr>
          <w:rFonts w:eastAsia="Calibri" w:hint="cs"/>
          <w:rtl/>
        </w:rPr>
        <w:t xml:space="preserve">הסכמי מימון לבניית יחידות דיור למגורים (להלן - הסכמי ליווי פיננסי), הם מנגנון מרכזי במימון </w:t>
      </w:r>
      <w:r w:rsidRPr="001F2586">
        <w:rPr>
          <w:rFonts w:eastAsia="Calibri" w:hint="cs"/>
          <w:rtl/>
        </w:rPr>
        <w:t>פרויקטי</w:t>
      </w:r>
      <w:r w:rsidRPr="001F2586">
        <w:rPr>
          <w:rFonts w:eastAsia="Calibri" w:hint="cs"/>
          <w:rtl/>
        </w:rPr>
        <w:t xml:space="preserve"> נדל"ן בישראל</w:t>
      </w:r>
      <w:r>
        <w:rPr>
          <w:rFonts w:eastAsia="Calibri"/>
          <w:vertAlign w:val="superscript"/>
          <w:rtl/>
        </w:rPr>
        <w:footnoteReference w:id="225"/>
      </w:r>
      <w:r w:rsidRPr="001F2586">
        <w:rPr>
          <w:rFonts w:eastAsia="Calibri" w:hint="cs"/>
          <w:rtl/>
        </w:rPr>
        <w:t>. הסכמי ליווי פיננסי נחתמים בין קבלנים</w:t>
      </w:r>
      <w:r>
        <w:rPr>
          <w:rFonts w:eastAsia="Calibri"/>
          <w:vertAlign w:val="superscript"/>
          <w:rtl/>
        </w:rPr>
        <w:footnoteReference w:id="226"/>
      </w:r>
      <w:r w:rsidRPr="001F2586">
        <w:rPr>
          <w:rFonts w:eastAsia="Calibri" w:hint="cs"/>
          <w:rtl/>
        </w:rPr>
        <w:t xml:space="preserve"> לבין בנק מלווה ומטרתם להבטיח מימון רציף </w:t>
      </w:r>
      <w:r w:rsidRPr="001F2586">
        <w:rPr>
          <w:rFonts w:eastAsia="Calibri" w:hint="cs"/>
          <w:rtl/>
        </w:rPr>
        <w:t>לפרויקטי</w:t>
      </w:r>
      <w:r w:rsidRPr="001F2586">
        <w:rPr>
          <w:rFonts w:eastAsia="Calibri" w:hint="cs"/>
          <w:rtl/>
        </w:rPr>
        <w:t xml:space="preserve"> נדל"ן, השלמתם ושמירה על זכויות הרוכשים</w:t>
      </w:r>
      <w:r>
        <w:rPr>
          <w:rFonts w:eastAsia="Calibri"/>
          <w:vertAlign w:val="superscript"/>
          <w:rtl/>
        </w:rPr>
        <w:footnoteReference w:id="227"/>
      </w:r>
      <w:r w:rsidRPr="001F2586">
        <w:rPr>
          <w:rFonts w:eastAsia="Calibri" w:hint="cs"/>
          <w:rtl/>
        </w:rPr>
        <w:t xml:space="preserve">. כדי להבטיח את החזר האשראי מהקבלן, הבנק מפעיל מגוון מנגנוני בטוחות, פיקוח וניהול סיכונים, שמקבלים ביטוי בהסכמי הליווי הפיננסי ומבוססים על הוראות חוק המכר (דירות) (הבטחת השקעות של </w:t>
      </w:r>
      <w:r w:rsidRPr="001F2586">
        <w:rPr>
          <w:rFonts w:eastAsia="Calibri" w:hint="cs"/>
          <w:rtl/>
        </w:rPr>
        <w:t>רוכשי</w:t>
      </w:r>
      <w:r w:rsidRPr="001F2586">
        <w:rPr>
          <w:rFonts w:eastAsia="Calibri" w:hint="cs"/>
          <w:rtl/>
        </w:rPr>
        <w:t xml:space="preserve"> דירות), התשל"ה-1974, ועל מנגנונים חוזיים ועסקיים, ובכללם שעבודים ובטחונות על </w:t>
      </w:r>
      <w:r w:rsidRPr="001F2586">
        <w:rPr>
          <w:rFonts w:eastAsia="Calibri" w:hint="cs"/>
          <w:rtl/>
        </w:rPr>
        <w:t>הקרקע והדירות</w:t>
      </w:r>
      <w:r>
        <w:rPr>
          <w:rFonts w:eastAsia="Calibri"/>
          <w:vertAlign w:val="superscript"/>
          <w:rtl/>
        </w:rPr>
        <w:footnoteReference w:id="228"/>
      </w:r>
      <w:r w:rsidRPr="001F2586">
        <w:rPr>
          <w:rFonts w:eastAsia="Calibri" w:hint="cs"/>
          <w:rtl/>
        </w:rPr>
        <w:t>, פתיחת חשבון ליווי בנקאי</w:t>
      </w:r>
      <w:r>
        <w:rPr>
          <w:rFonts w:eastAsia="Calibri"/>
          <w:vertAlign w:val="superscript"/>
          <w:rtl/>
        </w:rPr>
        <w:footnoteReference w:id="229"/>
      </w:r>
      <w:r w:rsidRPr="001F2586">
        <w:rPr>
          <w:rFonts w:eastAsia="Calibri" w:hint="cs"/>
          <w:rtl/>
        </w:rPr>
        <w:t>, דרישות הון עצמי ומכירות מוקדמות מהקבלן</w:t>
      </w:r>
      <w:r>
        <w:rPr>
          <w:rFonts w:eastAsia="Calibri"/>
          <w:vertAlign w:val="superscript"/>
          <w:rtl/>
        </w:rPr>
        <w:footnoteReference w:id="230"/>
      </w:r>
      <w:r w:rsidRPr="001F2586">
        <w:rPr>
          <w:rFonts w:eastAsia="Calibri" w:hint="cs"/>
          <w:rtl/>
        </w:rPr>
        <w:t>, פיקוח הנדסי ופיננסי שוטף</w:t>
      </w:r>
      <w:r>
        <w:rPr>
          <w:rFonts w:eastAsia="Calibri"/>
          <w:vertAlign w:val="superscript"/>
          <w:rtl/>
        </w:rPr>
        <w:footnoteReference w:id="231"/>
      </w:r>
      <w:r w:rsidRPr="001F2586">
        <w:rPr>
          <w:rFonts w:eastAsia="Calibri" w:hint="cs"/>
          <w:rtl/>
        </w:rPr>
        <w:t>, ערבויות אישיות ותאגידיות והתחייבות לעמידה בתוכנית העסקית שאושרה בידי הבנק.</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שימוש באמות מידה פיננסיות</w:t>
      </w:r>
      <w:r>
        <w:rPr>
          <w:rFonts w:eastAsia="Calibri"/>
          <w:vertAlign w:val="superscript"/>
          <w:rtl/>
        </w:rPr>
        <w:footnoteReference w:id="232"/>
      </w:r>
      <w:r w:rsidRPr="001F2586">
        <w:rPr>
          <w:rFonts w:eastAsia="Calibri" w:hint="cs"/>
          <w:rtl/>
        </w:rPr>
        <w:t xml:space="preserve"> הוא פרקטיקה בסיסית בניהול סיכונים ומטרתו להבטיח שהבנק יעודכן באופן תדיר בסימנים לקשיים אפשריים בהחזר האשראי, ולאפשר לו, במקרה הצורך, לדרוש מהלווה לפעול להקטנת הסיכון. כלומר, הבקרה על מחירי הדירות בפרויקטים בליווי בנקאי משרתת את אינטרס הבנקים להבטיח את החזר כספי המימון שהעמידו. לעמדת המפקח על הבנקים</w:t>
      </w:r>
      <w:r>
        <w:rPr>
          <w:rFonts w:eastAsia="Calibri"/>
          <w:vertAlign w:val="superscript"/>
          <w:rtl/>
        </w:rPr>
        <w:footnoteReference w:id="233"/>
      </w:r>
      <w:r w:rsidRPr="001F2586">
        <w:rPr>
          <w:rFonts w:eastAsia="Calibri" w:hint="cs"/>
          <w:rtl/>
        </w:rPr>
        <w:t xml:space="preserve">, בהסכמי ליווי פיננסי גובר הצורך בקיומן של אמות מידה פיננסיות לנוכח הסיכון של הבנק שהורחב לאחריות לכל כספי </w:t>
      </w:r>
      <w:r w:rsidRPr="001F2586">
        <w:rPr>
          <w:rFonts w:eastAsia="Calibri" w:hint="cs"/>
          <w:rtl/>
        </w:rPr>
        <w:t>רוכשי</w:t>
      </w:r>
      <w:r w:rsidRPr="001F2586">
        <w:rPr>
          <w:rFonts w:eastAsia="Calibri" w:hint="cs"/>
          <w:rtl/>
        </w:rPr>
        <w:t xml:space="preserve"> הדירות באמצעות העמדת ערבויות מכר בנוסף לסיכון האשראי שהעמיד לקבלנים. אמות מידה פיננסיות אלה כוללות בין היתר הוראות המאפשרות לבנק להגביל את הקבלנים מלהפחית את מחיר מכירתן של דירות </w:t>
      </w:r>
      <w:r w:rsidRPr="001F2586">
        <w:rPr>
          <w:rFonts w:eastAsia="Calibri" w:hint="cs"/>
          <w:rtl/>
        </w:rPr>
        <w:t>בפרויקטי</w:t>
      </w:r>
      <w:r w:rsidRPr="001F2586">
        <w:rPr>
          <w:rFonts w:eastAsia="Calibri" w:hint="cs"/>
          <w:rtl/>
        </w:rPr>
        <w:t xml:space="preserve"> נדל"ן</w:t>
      </w:r>
      <w:r>
        <w:rPr>
          <w:rFonts w:eastAsia="Calibri"/>
          <w:vertAlign w:val="superscript"/>
          <w:rtl/>
        </w:rPr>
        <w:footnoteReference w:id="234"/>
      </w:r>
      <w:r w:rsidRPr="001F2586">
        <w:rPr>
          <w:rFonts w:eastAsia="Calibri" w:hint="cs"/>
          <w:rtl/>
        </w:rPr>
        <w:t>.</w:t>
      </w:r>
    </w:p>
    <w:p w:rsidR="001F2586" w:rsidRPr="001F2586" w:rsidP="001F2586">
      <w:pPr>
        <w:spacing w:line="269" w:lineRule="auto"/>
        <w:rPr>
          <w:rFonts w:eastAsia="Calibri"/>
          <w:rtl/>
        </w:rPr>
      </w:pPr>
    </w:p>
    <w:p w:rsidR="001F2586" w:rsidP="001F2586">
      <w:pPr>
        <w:spacing w:line="269" w:lineRule="auto"/>
        <w:rPr>
          <w:rFonts w:eastAsia="Calibri"/>
          <w:rtl/>
        </w:rPr>
      </w:pPr>
      <w:r w:rsidRPr="001F2586">
        <w:rPr>
          <w:rFonts w:eastAsia="Calibri" w:hint="cs"/>
          <w:rtl/>
        </w:rPr>
        <w:t>על רקע החשש שאמות מידה פיננסיות אלה עלולות לפגוע בקיומו של שוק תחרותי ולמנוע ירידה של מחירי הדירות, הוחלט בהחלטת ממשלה 3035 מיום 22.5.25</w:t>
      </w:r>
      <w:r>
        <w:rPr>
          <w:rFonts w:eastAsia="Calibri"/>
          <w:vertAlign w:val="superscript"/>
          <w:rtl/>
        </w:rPr>
        <w:footnoteReference w:id="235"/>
      </w:r>
      <w:r w:rsidRPr="001F2586">
        <w:rPr>
          <w:rFonts w:eastAsia="Calibri" w:hint="cs"/>
          <w:rtl/>
        </w:rPr>
        <w:t xml:space="preserve"> על הקמת צוות</w:t>
      </w:r>
      <w:r>
        <w:rPr>
          <w:rFonts w:eastAsia="Calibri"/>
          <w:vertAlign w:val="superscript"/>
          <w:rtl/>
        </w:rPr>
        <w:footnoteReference w:id="236"/>
      </w:r>
      <w:r w:rsidRPr="001F2586">
        <w:rPr>
          <w:rFonts w:eastAsia="Calibri" w:hint="cs"/>
          <w:rtl/>
        </w:rPr>
        <w:t xml:space="preserve"> לבחינת מעורבות הבנקים בקביעת מחירי הדיור (להלן - הצוות). על הצוות הוטל לבחון את קיומה של מעורבות הבנקים בקביעת מחירי הדיור, בין היתר באמצעות שימוש באמות מידה פיננסיות בהסכמי הליווי הפיננסי ואת ההשלכות שעלולות להיות לכך על התחרות בשוק הדיור, וככל שהצוות יחליט להמליץ על צעדים בהקשר זה.</w:t>
      </w:r>
    </w:p>
    <w:p w:rsidR="005B7C57" w:rsidP="001F2586">
      <w:pPr>
        <w:spacing w:line="269" w:lineRule="auto"/>
        <w:rPr>
          <w:rFonts w:eastAsia="Calibri"/>
          <w:rtl/>
        </w:rPr>
      </w:pPr>
    </w:p>
    <w:p w:rsidR="005B7C57" w:rsidRPr="001C6F34" w:rsidP="0070405E">
      <w:pPr>
        <w:pStyle w:val="a"/>
        <w:spacing w:line="269" w:lineRule="auto"/>
        <w:ind w:left="6"/>
        <w:rPr>
          <w:sz w:val="24"/>
          <w:szCs w:val="24"/>
          <w:rtl/>
        </w:rPr>
      </w:pPr>
      <w:r w:rsidRPr="00E331C7">
        <w:rPr>
          <w:sz w:val="24"/>
          <w:szCs w:val="24"/>
          <w:rtl/>
        </w:rPr>
        <w:t>בתשובת המועצה הלאומית לכלכלה ממאי 2026 (להלן - תשובת המועצה</w:t>
      </w:r>
      <w:r>
        <w:rPr>
          <w:rFonts w:hint="cs"/>
          <w:sz w:val="24"/>
          <w:szCs w:val="24"/>
          <w:rtl/>
        </w:rPr>
        <w:t xml:space="preserve"> הלאומית לכלכלה</w:t>
      </w:r>
      <w:r w:rsidRPr="00E331C7">
        <w:rPr>
          <w:sz w:val="24"/>
          <w:szCs w:val="24"/>
          <w:rtl/>
        </w:rPr>
        <w:t>) צוין כי</w:t>
      </w:r>
      <w:r>
        <w:rPr>
          <w:rFonts w:hint="cs"/>
          <w:sz w:val="24"/>
          <w:szCs w:val="24"/>
          <w:rtl/>
        </w:rPr>
        <w:t xml:space="preserve"> : "... המוטיבציה לגיבוש החלטת הממשלה וכינוס הצוות הייתה פרקטיקה שהתבררה למועצה הלאומית לכלכלה, בעקבות פניית</w:t>
      </w:r>
      <w:r>
        <w:rPr>
          <w:rFonts w:hint="eastAsia"/>
          <w:sz w:val="24"/>
          <w:szCs w:val="24"/>
          <w:rtl/>
        </w:rPr>
        <w:t>ו</w:t>
      </w:r>
      <w:r>
        <w:rPr>
          <w:rFonts w:hint="cs"/>
          <w:sz w:val="24"/>
          <w:szCs w:val="24"/>
          <w:rtl/>
        </w:rPr>
        <w:t xml:space="preserve"> של מנכ"ל משרד השיכון, ולפיה בנקים שמעמידים מימון לקבלנים, אוסרים על הקבלנים הללו להוריד את מחירי הדירות שהם </w:t>
      </w:r>
      <w:r w:rsidRPr="003A42E5">
        <w:rPr>
          <w:rFonts w:hint="cs"/>
          <w:sz w:val="24"/>
          <w:szCs w:val="24"/>
          <w:rtl/>
        </w:rPr>
        <w:t xml:space="preserve">משווקים </w:t>
      </w:r>
      <w:r>
        <w:rPr>
          <w:rFonts w:hint="cs"/>
          <w:sz w:val="24"/>
          <w:szCs w:val="24"/>
          <w:rtl/>
        </w:rPr>
        <w:t>ללא אישור הבנק. מדובר ב</w:t>
      </w:r>
      <w:r w:rsidRPr="003A42E5">
        <w:rPr>
          <w:rFonts w:hint="cs"/>
          <w:sz w:val="24"/>
          <w:szCs w:val="24"/>
          <w:rtl/>
        </w:rPr>
        <w:t xml:space="preserve">פרקטיקה </w:t>
      </w:r>
      <w:r>
        <w:rPr>
          <w:rFonts w:hint="cs"/>
          <w:sz w:val="24"/>
          <w:szCs w:val="24"/>
          <w:rtl/>
        </w:rPr>
        <w:t xml:space="preserve"> פסולה על פניה, מכיוון שהיא שמה את הבנק במצב שבו הוא מצד אחד מעמיד אשראי לבניית הפרויקט, ומצד שני מעמיד אשראי לרכישת דירות בפרויקט. זה פסול ברמה </w:t>
      </w:r>
      <w:r>
        <w:rPr>
          <w:rFonts w:hint="cs"/>
          <w:sz w:val="24"/>
          <w:szCs w:val="24"/>
          <w:rtl/>
        </w:rPr>
        <w:t>הפרויקטלית</w:t>
      </w:r>
      <w:r>
        <w:rPr>
          <w:rFonts w:hint="cs"/>
          <w:sz w:val="24"/>
          <w:szCs w:val="24"/>
          <w:rtl/>
        </w:rPr>
        <w:t xml:space="preserve"> וברמה המשקית שכן זה עשוי להוות </w:t>
      </w:r>
      <w:r w:rsidRPr="003A42E5">
        <w:rPr>
          <w:rFonts w:hint="cs"/>
          <w:sz w:val="24"/>
          <w:szCs w:val="24"/>
          <w:rtl/>
        </w:rPr>
        <w:t>חסם מפני הורדת מחירי הדיור</w:t>
      </w:r>
      <w:r>
        <w:rPr>
          <w:rFonts w:hint="cs"/>
          <w:sz w:val="24"/>
          <w:szCs w:val="24"/>
          <w:rtl/>
        </w:rPr>
        <w:t xml:space="preserve">,  </w:t>
      </w:r>
      <w:r w:rsidRPr="003A42E5">
        <w:rPr>
          <w:rFonts w:hint="cs"/>
          <w:sz w:val="24"/>
          <w:szCs w:val="24"/>
          <w:rtl/>
        </w:rPr>
        <w:t>יעד לאומי של ממשלות ישראל בשנים האחרונות</w:t>
      </w:r>
      <w:r>
        <w:rPr>
          <w:rFonts w:hint="cs"/>
          <w:sz w:val="24"/>
          <w:szCs w:val="24"/>
          <w:rtl/>
        </w:rPr>
        <w:t>"</w:t>
      </w:r>
      <w:r w:rsidRPr="003A42E5">
        <w:rPr>
          <w:rFonts w:hint="cs"/>
          <w:sz w:val="24"/>
          <w:szCs w:val="24"/>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בדוח סופי שפרסם הצוות ביולי 2025 נכתב כי מקטע הקבלנים מתאפיין בריבוי שחקנים ולא מתקיימים התנאים בעניין התאמה </w:t>
      </w:r>
      <w:r w:rsidRPr="001F2586">
        <w:rPr>
          <w:rFonts w:eastAsia="Calibri" w:hint="cs"/>
          <w:rtl/>
        </w:rPr>
        <w:t>אוליגופוליסטית</w:t>
      </w:r>
      <w:r w:rsidRPr="001F2586">
        <w:rPr>
          <w:rFonts w:eastAsia="Calibri" w:hint="cs"/>
          <w:rtl/>
        </w:rPr>
        <w:t>, ואולם עלה חשש מוגבר מפני התאמה זו במקטע נותני המימון והאשראי</w:t>
      </w:r>
      <w:r>
        <w:rPr>
          <w:rFonts w:eastAsia="Calibri"/>
          <w:vertAlign w:val="superscript"/>
          <w:rtl/>
        </w:rPr>
        <w:footnoteReference w:id="237"/>
      </w:r>
      <w:r w:rsidRPr="001F2586">
        <w:rPr>
          <w:rFonts w:eastAsia="Calibri" w:hint="cs"/>
          <w:rtl/>
        </w:rPr>
        <w:t xml:space="preserve">. עוד העלו ממצאי הצוות כי סיכון האשראי בסקטור הבינוי </w:t>
      </w:r>
      <w:r w:rsidRPr="001F2586">
        <w:rPr>
          <w:rFonts w:eastAsia="Calibri" w:hint="cs"/>
          <w:rtl/>
        </w:rPr>
        <w:t>נמוך מיתר הסקטורים במגזר העסקי, כך שירידה משמעותית במחירי הדירות לא צפויה להשפיע מהותית על הסיכון בענף מימון נדל"ן למגורים</w:t>
      </w:r>
      <w:r>
        <w:rPr>
          <w:rFonts w:eastAsia="Calibri"/>
          <w:vertAlign w:val="superscript"/>
          <w:rtl/>
        </w:rPr>
        <w:footnoteReference w:id="238"/>
      </w:r>
      <w:r w:rsidRPr="001F2586">
        <w:rPr>
          <w:rFonts w:eastAsia="Calibri" w:hint="cs"/>
          <w:rtl/>
        </w:rPr>
        <w:t xml:space="preserve"> וכי הרווחיות בתחום עבור המערכת הבנקאית גבוהה מהרווחיות בשאר הענפים העסקיים.</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בדיונים שקיים הצוות עם גורמים שונים</w:t>
      </w:r>
      <w:r>
        <w:rPr>
          <w:rFonts w:eastAsia="Calibri"/>
          <w:vertAlign w:val="superscript"/>
          <w:rtl/>
        </w:rPr>
        <w:footnoteReference w:id="239"/>
      </w:r>
      <w:r w:rsidRPr="001F2586">
        <w:rPr>
          <w:rFonts w:eastAsia="Calibri" w:hint="cs"/>
          <w:rtl/>
        </w:rPr>
        <w:t xml:space="preserve"> עלו טיעונים תומכים ומתנגדים למניעת יכולת הבנקים להשפיע על מחירי הדיור. הטיעון המרכזי למניעת יכולת הבנקים להשפיע על מחירי הדיור הוא החשש שבנקים עלולים לסכל הורדת מחירים משיקולים שאינם רלוונטיים לפרויקט מסוים וכדי למנוע ירידת מחירים רוחבית שעלולה לפגוע ברווחיהם, בין היתר באמצעות ירידה בשווי הבטוחות שתחייב אותם בהקצאת הון נוסף ובירידה בתיק המשכנתאות שהבנקים מעמידים לציבור. עוד נטען כי השימוש המוגבר של קבלנים במבצעי עידוד, ובלבד שלא תירשם ירידה במחיר העסקה הנקוב, ייתכן ומוכתבת על ידי הבנקים כפועל יוצא מאמות מידה פיננסיות שמונעות הפחתת מחירים.</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במסגרת עבודת הצוות פנתה רשות התחרות לכמה בנקים ובדקה האם קבלנים מגישים בפועל בקשות לאישור הורדת מחירי דירות והאם הם מאשרים בקשות אלה. במענה לפניית הרשות נמסר כי בקשות מוגשות לעיתים רחוקות וככל שהן מוגשות הן ככלל מאושרות. עוד נמסר כי קיימת פרקטיקה לפיה הורדת מחירים שאינה נענית בהתנגדות אקטיבית של הבנקים מהווה הסכמה שבשתיקה ומתרחשת ככלל כאשר סך ההכנסות של הפרויקט עומדות בתחזית ולא נשקף סיכון מהפרויקט בכללותו. על סמך תשובה זו העלה הצוות השערות בדבר יצירת אפקט מצנן המונע מקבלנים לפנות לבנקים ולהגיש בקשות. הצוות העלה השערה נוספת לפיה יתכן כי שימוש נרחב במבצעי עידוד הם חלופה להורדת מחירים, שנועדה לעקוף את המגבלות החוזיות ולהימנע מהצורך לפנות לבנק מלווה כדי לקבל את אישורו להורדת המחיר. יצוין כי ירידה במחירי הדיור פוגעת ישירות ברווחי הקבלנים ועלולה לסכן את רווחיהם בפרויקטים נוספים, ואילו השימוש במבצעי עידוד נעשה בעיקר באופן של דחיית תשלומים משמעותית ובהלוואות בסבסוד קבלנים המסייעות בקידום מכירות ובשמירה על רמת המחירים הקיימת ללא מתן הנחה מסחרית.</w:t>
      </w:r>
    </w:p>
    <w:p w:rsidR="001F2586" w:rsidRPr="001F2586" w:rsidP="001F2586">
      <w:pPr>
        <w:spacing w:line="269" w:lineRule="auto"/>
        <w:rPr>
          <w:rFonts w:eastAsia="Calibri"/>
          <w:b/>
          <w:bCs/>
          <w:rtl/>
        </w:rPr>
      </w:pPr>
    </w:p>
    <w:p w:rsidR="001F2586" w:rsidRPr="001F2586" w:rsidP="001F2586">
      <w:pPr>
        <w:spacing w:line="269" w:lineRule="auto"/>
        <w:rPr>
          <w:rFonts w:eastAsia="Calibri"/>
          <w:b/>
          <w:bCs/>
          <w:rtl/>
        </w:rPr>
      </w:pPr>
      <w:r w:rsidRPr="001F2586">
        <w:rPr>
          <w:rFonts w:eastAsia="Calibri" w:hint="cs"/>
          <w:b/>
          <w:bCs/>
          <w:rtl/>
        </w:rPr>
        <w:t xml:space="preserve">הצוות </w:t>
      </w:r>
      <w:r w:rsidRPr="001F2586">
        <w:rPr>
          <w:rFonts w:eastAsia="Calibri" w:hint="eastAsia"/>
          <w:b/>
          <w:bCs/>
          <w:rtl/>
        </w:rPr>
        <w:t>לבחינת</w:t>
      </w:r>
      <w:r w:rsidRPr="001F2586">
        <w:rPr>
          <w:rFonts w:eastAsia="Calibri"/>
          <w:b/>
          <w:bCs/>
          <w:rtl/>
        </w:rPr>
        <w:t xml:space="preserve"> </w:t>
      </w:r>
      <w:r w:rsidRPr="001F2586">
        <w:rPr>
          <w:rFonts w:eastAsia="Calibri" w:hint="eastAsia"/>
          <w:b/>
          <w:bCs/>
          <w:rtl/>
        </w:rPr>
        <w:t>מעורבות</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בקביעת</w:t>
      </w:r>
      <w:r w:rsidRPr="001F2586">
        <w:rPr>
          <w:rFonts w:eastAsia="Calibri"/>
          <w:b/>
          <w:bCs/>
          <w:rtl/>
        </w:rPr>
        <w:t xml:space="preserve"> </w:t>
      </w:r>
      <w:r w:rsidRPr="001F2586">
        <w:rPr>
          <w:rFonts w:eastAsia="Calibri" w:hint="eastAsia"/>
          <w:b/>
          <w:bCs/>
          <w:rtl/>
        </w:rPr>
        <w:t>מחירי</w:t>
      </w:r>
      <w:r w:rsidRPr="001F2586">
        <w:rPr>
          <w:rFonts w:eastAsia="Calibri"/>
          <w:b/>
          <w:bCs/>
          <w:rtl/>
        </w:rPr>
        <w:t xml:space="preserve"> </w:t>
      </w:r>
      <w:r w:rsidRPr="001F2586">
        <w:rPr>
          <w:rFonts w:eastAsia="Calibri" w:hint="eastAsia"/>
          <w:b/>
          <w:bCs/>
          <w:rtl/>
        </w:rPr>
        <w:t>הדיור</w:t>
      </w:r>
      <w:r w:rsidRPr="001F2586">
        <w:rPr>
          <w:rFonts w:eastAsia="Calibri" w:hint="cs"/>
          <w:b/>
          <w:bCs/>
          <w:rtl/>
        </w:rPr>
        <w:t xml:space="preserve"> </w:t>
      </w:r>
      <w:r w:rsidRPr="001F2586">
        <w:rPr>
          <w:rFonts w:eastAsia="Calibri"/>
          <w:b/>
          <w:bCs/>
          <w:rtl/>
        </w:rPr>
        <w:t xml:space="preserve">בראשות ראש המועצה הלאומית לכלכלה </w:t>
      </w:r>
      <w:r w:rsidRPr="001F2586">
        <w:rPr>
          <w:rFonts w:eastAsia="Calibri" w:hint="cs"/>
          <w:b/>
          <w:bCs/>
          <w:rtl/>
        </w:rPr>
        <w:t>שמונה על ידי הממשלה במאי 2025 (להלן - הצוות) התבסס על תשובת הבנקים לפניית רשות התחרות בדבר בקשות קבלנים לבנקים להוריד את מחירי הדירות בפרויקטים. הצוות מצא כי מספר הבקשות הוא מועט. עם זאת, הצוות לא קיים בדיקה דומה בקרב קבלנים כדי לאבחן את מקור הסיבה לפניות המעטות שהוגשו לבנקים להפחתת מחירים. יתרה מזו, הצוות לא בחן האם קיימת מניעה אפקטיבית מצד המערכת הבנקאית להפחתת מחירים, מעבר לגידור סיכון הנגזר לפרויקט מסוים. הצורך בבדיקה כאמור מקבל משנה תוקף נוכח עמדת נציגי הקבלנים שהובאה בדוח הסופי שפרסם הצוות ביולי 2025 ולפיה בנקים מגלים גמישות ואינם מתנגדים להפחתת מחיר הדירות, ובנוסף לכך כי קיימים פרויקטים בהם הדרישה להפחתת מחיר הגיעה מצד הבנקים, וכי התרומה המוערכת מביטולן של אמות מידה פיננסיות להפחתת מחירים מוטלת בספק.</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בתשובת משרד הבינוי והשיכון ממאי 2026 (להלן - תשובת משב"ש) צוין כי הצוות לא קיבל לידיו את הבקשות שקבלנים הגישו לבנקים לאישור הורדת מחירי דירות, וכי על פי דיווח מרשות התחרות לא כל הבקשות אושרו. עוד צוין בתשובת משב"ש כי הצוות פנה ליזמים כדי לקבל את עמדתם בנושא אך אלו נמנעו מכך.</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המועצה הלאומית לכלכלה צוין כי פניות הקבלנים למשרד הבינוי והשיכון על מניעת הבנקים להוריד מחירי דירות הביאו לכינוס הצוות וכי נציגי הקבלנים הופיעו בפני הצוות. עוד צוין בתשובה כי הצוות לא ציפה למצוא בקשות של קבלנים לבנקים להוריד את מחירי הדירות, ואין זה מלמד דבר, כיוון שקבלנים נמנעים לפנות לבנקים בסוגיות שיכולות להציף "נורות אדומות" </w:t>
      </w:r>
      <w:r w:rsidRPr="001F2586">
        <w:rPr>
          <w:rFonts w:eastAsia="Calibri" w:hint="cs"/>
          <w:rtl/>
        </w:rPr>
        <w:t xml:space="preserve">עליהם. יצוין כי עמדת נציגי הקבלנים שהובאה בדו"ח הסופי שגיבש הצוות ביולי 2025 לא כללה התייחסות לסיבות </w:t>
      </w:r>
      <w:r w:rsidRPr="001F2586">
        <w:rPr>
          <w:rFonts w:eastAsia="Calibri"/>
          <w:rtl/>
        </w:rPr>
        <w:t xml:space="preserve">לפניות המעטות </w:t>
      </w:r>
      <w:r w:rsidRPr="001F2586">
        <w:rPr>
          <w:rFonts w:eastAsia="Calibri" w:hint="cs"/>
          <w:rtl/>
        </w:rPr>
        <w:t>שהגישו</w:t>
      </w:r>
      <w:r w:rsidRPr="001F2586">
        <w:rPr>
          <w:rFonts w:eastAsia="Calibri"/>
          <w:rtl/>
        </w:rPr>
        <w:t xml:space="preserve"> לבנקים להפחתת מחירים</w:t>
      </w:r>
      <w:r w:rsidRPr="001F2586">
        <w:rPr>
          <w:rFonts w:eastAsia="Calibri" w:hint="cs"/>
          <w:rtl/>
        </w:rPr>
        <w:t xml:space="preserve">. </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בדו"ח הסופי שגיבש הצוות מיולי 2025 נכתב כי בחינה של רמת סיכוני האשראי וכושר הספיגה של הבנקים, ולאור רווחיותם, מעלים כי לא קיים חשש משמעותי לנזק אם תימנע מהבנקים האפשרות להגביל את מחירי הדירות בהתניות שונות בהסכמי הליווי של פרויקטים לבנייה. לכן המלצת הצוות הייתה לאסור על הגורם המממן של פרויקט בנייה למגורים להתערב בשיקולי הקבלן בקביעת מחיר המכירה של דירות באותו הפרויקט</w:t>
      </w:r>
      <w:r>
        <w:rPr>
          <w:rFonts w:eastAsia="Calibri"/>
          <w:vertAlign w:val="superscript"/>
          <w:rtl/>
        </w:rPr>
        <w:footnoteReference w:id="240"/>
      </w:r>
      <w:r w:rsidRPr="001F2586">
        <w:rPr>
          <w:rFonts w:eastAsia="Calibri" w:hint="cs"/>
          <w:rtl/>
        </w:rPr>
        <w:t>.</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החלטת הצוות התקבלה ללא הכרעה בסוגיית קיומו של הסדר הכתבת מחיר אנכית</w:t>
      </w:r>
      <w:r>
        <w:rPr>
          <w:rFonts w:eastAsia="Calibri"/>
          <w:vertAlign w:val="superscript"/>
          <w:rtl/>
        </w:rPr>
        <w:footnoteReference w:id="241"/>
      </w:r>
      <w:r w:rsidRPr="001F2586">
        <w:rPr>
          <w:rFonts w:eastAsia="Calibri" w:hint="cs"/>
          <w:rtl/>
        </w:rPr>
        <w:t xml:space="preserve"> (</w:t>
      </w:r>
      <w:r w:rsidRPr="001F2586">
        <w:rPr>
          <w:rFonts w:eastAsia="Calibri" w:hint="cs"/>
        </w:rPr>
        <w:t>RPM</w:t>
      </w:r>
      <w:r w:rsidRPr="001F2586">
        <w:rPr>
          <w:rFonts w:eastAsia="Calibri" w:hint="cs"/>
          <w:rtl/>
        </w:rPr>
        <w:t>), ואף שניתן משקל רב להכרעה בסוגיה זו להשפיע על מחירי הדיור. כמו כן, נמצא כי בחינת הצוות אף לא עסקה במשמעויות הנגזרות מביטול אמות מידה פיננסיות והאפשרות שתיווצר לקבלנים לסטות מהתוכנית העסקית שהוסכמה עם הגורם המממן. סטייה מהתוכנית העסקית כרוכה בהגברת הסיכון לכלל המעורבים בפרויקט ועלולה לגרום לכך שמערכת היחסים בין הקבלנים לגורמים המממנים תוסדר מבעוד מועד לפי כללים נוקשים. כלומר, הצבת חסמים בפני הגורם המממן ללוות פרויקטים עלולה להגביר את הסיכון ולפגוע בקבלנים קטנים באמצעות דרישה להגברת בטוחות שיתבטאו בעליית מחירים.</w:t>
      </w:r>
    </w:p>
    <w:p w:rsidR="001F2586" w:rsidRPr="001F2586" w:rsidP="001F2586">
      <w:pPr>
        <w:spacing w:line="269" w:lineRule="auto"/>
        <w:rPr>
          <w:rFonts w:eastAsia="Calibri"/>
          <w:b/>
          <w:bCs/>
          <w:rtl/>
        </w:rPr>
      </w:pPr>
      <w:bookmarkStart w:id="63" w:name="_Hlk214777404"/>
    </w:p>
    <w:p w:rsidR="001F2586" w:rsidRPr="001F2586" w:rsidP="001F2586">
      <w:pPr>
        <w:spacing w:line="269" w:lineRule="auto"/>
        <w:rPr>
          <w:rFonts w:eastAsia="Calibri"/>
          <w:b/>
          <w:bCs/>
          <w:rtl/>
        </w:rPr>
      </w:pPr>
      <w:r w:rsidRPr="001F2586">
        <w:rPr>
          <w:rFonts w:eastAsia="Calibri"/>
          <w:b/>
          <w:bCs/>
          <w:rtl/>
        </w:rPr>
        <w:t>הצוות לבחינת מעורבות הבנקים בקביעת מחירי הדיור בראשות ראש המועצה הלאומית לכלכלה שמונה על ידי הממשלה במאי 2025</w:t>
      </w:r>
      <w:r w:rsidRPr="001F2586">
        <w:rPr>
          <w:rFonts w:eastAsia="Calibri" w:hint="cs"/>
          <w:b/>
          <w:bCs/>
          <w:rtl/>
        </w:rPr>
        <w:t xml:space="preserve"> הגיע למסקנה שהוצגה בדו"ח הסופי שגיבש ביולי 2025 והמלצותיו אומצו על ידי בנק ישראל, כי אין הצדקה לכך שבנקים יתערבו במחירי המכירה של דירות בפרויקטים של קבלנים ואף ייתכן כי התערבות זו עלולה למנוע את ירידת מחיריהן בנסיבות מסוימות. מסקנה זו התבססה על כך שהסכמי המימון בפרויקטים כוללים התניות של מכירת דירות לפי המחירים שנקבעו בתכניות העסקיות, ולאור </w:t>
      </w:r>
      <w:r w:rsidRPr="001F2586">
        <w:rPr>
          <w:rFonts w:eastAsia="Calibri"/>
          <w:b/>
          <w:bCs/>
          <w:rtl/>
        </w:rPr>
        <w:t>בחינה של רמת סיכוני האשראי וכושר הספיגה של הבנקים, ולאור רווחיותם</w:t>
      </w:r>
      <w:r w:rsidRPr="001F2586">
        <w:rPr>
          <w:rFonts w:eastAsia="Calibri" w:hint="cs"/>
          <w:b/>
          <w:bCs/>
          <w:rtl/>
        </w:rPr>
        <w:t xml:space="preserve">, שאינם מעידים על </w:t>
      </w:r>
      <w:r w:rsidRPr="001F2586">
        <w:rPr>
          <w:rFonts w:eastAsia="Calibri"/>
          <w:b/>
          <w:bCs/>
          <w:rtl/>
        </w:rPr>
        <w:t>חשש משמעותי לנזק</w:t>
      </w:r>
      <w:r w:rsidRPr="001F2586">
        <w:rPr>
          <w:rFonts w:eastAsia="Calibri" w:hint="cs"/>
          <w:b/>
          <w:bCs/>
          <w:rtl/>
        </w:rPr>
        <w:t xml:space="preserve"> אם הבנקים יימנעו מלהתערב במחירי הדירות לאחר שנחתמו הסכמי המימון. בהתאם לכך המליץ הצוות לאסור על הבנקים להתערב בשיקולים של הקבלנים בקביעת מחירי המכירה של דירות לאחר שהתקשרו עם קבלנים בהסכמי מימון בפרויקטים.</w:t>
      </w:r>
      <w:r w:rsidRPr="001F2586">
        <w:rPr>
          <w:rFonts w:eastAsia="Calibri" w:hint="cs"/>
          <w:rtl/>
        </w:rPr>
        <w:t xml:space="preserve"> </w:t>
      </w:r>
      <w:r w:rsidRPr="001F2586">
        <w:rPr>
          <w:rFonts w:eastAsia="Calibri" w:hint="cs"/>
          <w:b/>
          <w:bCs/>
          <w:rtl/>
        </w:rPr>
        <w:t>עם זאת,</w:t>
      </w:r>
      <w:r w:rsidRPr="001F2586">
        <w:rPr>
          <w:rFonts w:eastAsia="Calibri" w:hint="cs"/>
          <w:rtl/>
        </w:rPr>
        <w:t xml:space="preserve"> </w:t>
      </w:r>
      <w:r w:rsidRPr="001F2586">
        <w:rPr>
          <w:rFonts w:eastAsia="Calibri" w:hint="cs"/>
          <w:b/>
          <w:bCs/>
          <w:rtl/>
        </w:rPr>
        <w:t>נמצא כי</w:t>
      </w:r>
      <w:r w:rsidRPr="001F2586">
        <w:rPr>
          <w:rFonts w:eastAsia="Calibri" w:hint="cs"/>
          <w:rtl/>
        </w:rPr>
        <w:t xml:space="preserve"> </w:t>
      </w:r>
      <w:r w:rsidRPr="001F2586">
        <w:rPr>
          <w:rFonts w:eastAsia="Calibri" w:hint="cs"/>
          <w:b/>
          <w:bCs/>
          <w:rtl/>
        </w:rPr>
        <w:t>הצוות התבסס על ההתניות בהסכמי המימון בלבד, ולא על מידע בהקשר לפרקטיקה הנהוגה, או על נתונים אמפיריים המעידים כי אכן המערכת הבנקאית מונעת הפחתה של מחירי הדירות, ומה עשויה להיות ההשפעה של הסרת אמות המידה הפיננסיות על מחירי הדירות.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המועצה הלאומית לכלכלה צוין כי הצוות לא נדרש להתבסס על נתונים אמפיריים בקביעתו כי הבנקים מונעים הפחתה של מחירי דיור, כיוון שהוא מצא שהשימוש בהתניות אלו הוא נרחב, דבר שאף אושר על ידי המפקח על הבנקים במסגרת דיוני הצוות. על כן, הצוות בחן אם יש הצדקה להתערב בשוק, ומכיוון ומצא שהריכוזיות בתחום המימון היא גבוהה במיוחד וכי כושר הספיגה של הבנקים הוא גבוה, הוא הגיע למסקנה כי הסיכון של ביטול השימוש בפרקטיקה זו הוא נמוך, ולפיכך הצוות המליץ להפסיק את השימוש בה.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משרד</w:t>
      </w:r>
      <w:r w:rsidRPr="001F2586">
        <w:rPr>
          <w:rFonts w:eastAsia="Calibri"/>
          <w:b/>
          <w:bCs/>
          <w:rtl/>
        </w:rPr>
        <w:t xml:space="preserve"> </w:t>
      </w:r>
      <w:r w:rsidRPr="001F2586">
        <w:rPr>
          <w:rFonts w:eastAsia="Calibri" w:hint="eastAsia"/>
          <w:b/>
          <w:bCs/>
          <w:rtl/>
        </w:rPr>
        <w:t>מבקר</w:t>
      </w:r>
      <w:r w:rsidRPr="001F2586">
        <w:rPr>
          <w:rFonts w:eastAsia="Calibri"/>
          <w:b/>
          <w:bCs/>
          <w:rtl/>
        </w:rPr>
        <w:t xml:space="preserve"> </w:t>
      </w:r>
      <w:r w:rsidRPr="001F2586">
        <w:rPr>
          <w:rFonts w:eastAsia="Calibri" w:hint="eastAsia"/>
          <w:b/>
          <w:bCs/>
          <w:rtl/>
        </w:rPr>
        <w:t>המדינה</w:t>
      </w:r>
      <w:r w:rsidRPr="001F2586">
        <w:rPr>
          <w:rFonts w:eastAsia="Calibri"/>
          <w:b/>
          <w:bCs/>
          <w:rtl/>
        </w:rPr>
        <w:t xml:space="preserve"> </w:t>
      </w:r>
      <w:r w:rsidRPr="001F2586">
        <w:rPr>
          <w:rFonts w:eastAsia="Calibri" w:hint="eastAsia"/>
          <w:b/>
          <w:bCs/>
          <w:rtl/>
        </w:rPr>
        <w:t>מציין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לפני</w:t>
      </w:r>
      <w:r w:rsidRPr="001F2586">
        <w:rPr>
          <w:rFonts w:eastAsia="Calibri"/>
          <w:b/>
          <w:bCs/>
          <w:rtl/>
        </w:rPr>
        <w:t xml:space="preserve"> </w:t>
      </w:r>
      <w:r w:rsidRPr="001F2586">
        <w:rPr>
          <w:rFonts w:eastAsia="Calibri" w:hint="eastAsia"/>
          <w:b/>
          <w:bCs/>
          <w:rtl/>
        </w:rPr>
        <w:t>קבלת</w:t>
      </w:r>
      <w:r w:rsidRPr="001F2586">
        <w:rPr>
          <w:rFonts w:eastAsia="Calibri"/>
          <w:b/>
          <w:bCs/>
          <w:rtl/>
        </w:rPr>
        <w:t xml:space="preserve"> </w:t>
      </w:r>
      <w:r w:rsidRPr="001F2586">
        <w:rPr>
          <w:rFonts w:eastAsia="Calibri" w:hint="eastAsia"/>
          <w:b/>
          <w:bCs/>
          <w:rtl/>
        </w:rPr>
        <w:t>החלטות</w:t>
      </w:r>
      <w:r w:rsidRPr="001F2586">
        <w:rPr>
          <w:rFonts w:eastAsia="Calibri"/>
          <w:b/>
          <w:bCs/>
          <w:rtl/>
        </w:rPr>
        <w:t xml:space="preserve"> </w:t>
      </w:r>
      <w:r w:rsidRPr="001F2586">
        <w:rPr>
          <w:rFonts w:eastAsia="Calibri" w:hint="eastAsia"/>
          <w:b/>
          <w:bCs/>
          <w:rtl/>
        </w:rPr>
        <w:t>שעשויות</w:t>
      </w:r>
      <w:r w:rsidRPr="001F2586">
        <w:rPr>
          <w:rFonts w:eastAsia="Calibri"/>
          <w:b/>
          <w:bCs/>
          <w:rtl/>
        </w:rPr>
        <w:t xml:space="preserve"> </w:t>
      </w:r>
      <w:r w:rsidRPr="001F2586">
        <w:rPr>
          <w:rFonts w:eastAsia="Calibri" w:hint="eastAsia"/>
          <w:b/>
          <w:bCs/>
          <w:rtl/>
        </w:rPr>
        <w:t>להשפיע</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מקורות</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hint="eastAsia"/>
          <w:b/>
          <w:bCs/>
          <w:rtl/>
        </w:rPr>
        <w:t>ועל</w:t>
      </w:r>
      <w:r w:rsidRPr="001F2586">
        <w:rPr>
          <w:rFonts w:eastAsia="Calibri"/>
          <w:b/>
          <w:bCs/>
          <w:rtl/>
        </w:rPr>
        <w:t xml:space="preserve"> </w:t>
      </w:r>
      <w:r w:rsidRPr="001F2586">
        <w:rPr>
          <w:rFonts w:eastAsia="Calibri" w:hint="eastAsia"/>
          <w:b/>
          <w:bCs/>
          <w:rtl/>
        </w:rPr>
        <w:t>הסיכונים</w:t>
      </w:r>
      <w:r w:rsidRPr="001F2586">
        <w:rPr>
          <w:rFonts w:eastAsia="Calibri"/>
          <w:b/>
          <w:bCs/>
          <w:rtl/>
        </w:rPr>
        <w:t xml:space="preserve"> </w:t>
      </w:r>
      <w:r w:rsidRPr="001F2586">
        <w:rPr>
          <w:rFonts w:eastAsia="Calibri" w:hint="eastAsia"/>
          <w:b/>
          <w:bCs/>
          <w:rtl/>
        </w:rPr>
        <w:t>הן</w:t>
      </w:r>
      <w:r w:rsidRPr="001F2586">
        <w:rPr>
          <w:rFonts w:eastAsia="Calibri"/>
          <w:b/>
          <w:bCs/>
          <w:rtl/>
        </w:rPr>
        <w:t xml:space="preserve"> </w:t>
      </w:r>
      <w:r w:rsidRPr="001F2586">
        <w:rPr>
          <w:rFonts w:eastAsia="Calibri" w:hint="eastAsia"/>
          <w:b/>
          <w:bCs/>
          <w:rtl/>
        </w:rPr>
        <w:t>לקבלנים</w:t>
      </w:r>
      <w:r w:rsidRPr="001F2586">
        <w:rPr>
          <w:rFonts w:eastAsia="Calibri"/>
          <w:b/>
          <w:bCs/>
          <w:rtl/>
        </w:rPr>
        <w:t xml:space="preserve"> </w:t>
      </w:r>
      <w:r w:rsidRPr="001F2586">
        <w:rPr>
          <w:rFonts w:eastAsia="Calibri" w:hint="eastAsia"/>
          <w:b/>
          <w:bCs/>
          <w:rtl/>
        </w:rPr>
        <w:t>והן</w:t>
      </w:r>
      <w:r w:rsidRPr="001F2586">
        <w:rPr>
          <w:rFonts w:eastAsia="Calibri"/>
          <w:b/>
          <w:bCs/>
          <w:rtl/>
        </w:rPr>
        <w:t xml:space="preserve"> </w:t>
      </w:r>
      <w:r w:rsidRPr="001F2586">
        <w:rPr>
          <w:rFonts w:eastAsia="Calibri" w:hint="eastAsia"/>
          <w:b/>
          <w:bCs/>
          <w:rtl/>
        </w:rPr>
        <w:t>לגופים</w:t>
      </w:r>
      <w:r w:rsidRPr="001F2586">
        <w:rPr>
          <w:rFonts w:eastAsia="Calibri"/>
          <w:b/>
          <w:bCs/>
          <w:rtl/>
        </w:rPr>
        <w:t xml:space="preserve"> </w:t>
      </w:r>
      <w:r w:rsidRPr="001F2586">
        <w:rPr>
          <w:rFonts w:eastAsia="Calibri" w:hint="eastAsia"/>
          <w:b/>
          <w:bCs/>
          <w:rtl/>
        </w:rPr>
        <w:t>הפיננסיים</w:t>
      </w:r>
      <w:r w:rsidRPr="001F2586">
        <w:rPr>
          <w:rFonts w:eastAsia="Calibri"/>
          <w:b/>
          <w:bCs/>
          <w:rtl/>
        </w:rPr>
        <w:t xml:space="preserve">, ראוי </w:t>
      </w:r>
      <w:r w:rsidRPr="001F2586">
        <w:rPr>
          <w:rFonts w:eastAsia="Calibri" w:hint="cs"/>
          <w:b/>
          <w:bCs/>
          <w:rtl/>
        </w:rPr>
        <w:t xml:space="preserve">היה </w:t>
      </w:r>
      <w:r w:rsidRPr="001F2586">
        <w:rPr>
          <w:rFonts w:eastAsia="Calibri"/>
          <w:b/>
          <w:bCs/>
          <w:rtl/>
        </w:rPr>
        <w:t xml:space="preserve">כי </w:t>
      </w:r>
      <w:r w:rsidRPr="001F2586">
        <w:rPr>
          <w:rFonts w:eastAsia="Calibri" w:hint="cs"/>
          <w:b/>
          <w:bCs/>
          <w:rtl/>
        </w:rPr>
        <w:t xml:space="preserve">ייאסף ויבחן מידע גם בדבר </w:t>
      </w:r>
      <w:r w:rsidRPr="001F2586">
        <w:rPr>
          <w:rFonts w:eastAsia="Calibri"/>
          <w:b/>
          <w:bCs/>
          <w:rtl/>
        </w:rPr>
        <w:t>הפרקטיקה הנהוגה בפועל</w:t>
      </w:r>
      <w:r w:rsidRPr="001F2586">
        <w:rPr>
          <w:rFonts w:eastAsia="Calibri" w:hint="cs"/>
          <w:b/>
          <w:bCs/>
          <w:rtl/>
        </w:rPr>
        <w:t>.</w:t>
      </w:r>
      <w:r w:rsidRPr="001F2586">
        <w:rPr>
          <w:rFonts w:eastAsia="Calibri"/>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רשות התחרות ממאי 2026 (להלן - תשובת רשות התחרות) </w:t>
      </w:r>
      <w:r w:rsidRPr="001F2586">
        <w:rPr>
          <w:rFonts w:eastAsia="Calibri"/>
          <w:rtl/>
        </w:rPr>
        <w:t xml:space="preserve">צוין כי הבדיקות שביצעה נועדו כדי להבין אם קיים חשש לנזק לתחרות ככל ותתקבל ההמלצה </w:t>
      </w:r>
      <w:r w:rsidRPr="001F2586">
        <w:rPr>
          <w:rFonts w:eastAsia="Calibri" w:hint="cs"/>
          <w:rtl/>
        </w:rPr>
        <w:t>של הצוות לאסור על הבנקים להגביל את מחירי הדירות. הרשות מציינת כי מכיוון ו</w:t>
      </w:r>
      <w:r w:rsidRPr="001F2586">
        <w:rPr>
          <w:rFonts w:eastAsia="Calibri"/>
          <w:rtl/>
        </w:rPr>
        <w:t xml:space="preserve">לא התגלה חשש לנזק כאמור, </w:t>
      </w:r>
      <w:r w:rsidRPr="001F2586">
        <w:rPr>
          <w:rFonts w:eastAsia="Calibri" w:hint="cs"/>
          <w:rtl/>
        </w:rPr>
        <w:t>היא</w:t>
      </w:r>
      <w:r w:rsidRPr="001F2586">
        <w:rPr>
          <w:rFonts w:eastAsia="Calibri"/>
          <w:rtl/>
        </w:rPr>
        <w:t xml:space="preserve"> לא ראתה </w:t>
      </w:r>
      <w:r w:rsidRPr="001F2586">
        <w:rPr>
          <w:rFonts w:eastAsia="Calibri"/>
          <w:rtl/>
        </w:rPr>
        <w:t>מניעה לקבוע איסור זה</w:t>
      </w:r>
      <w:r w:rsidRPr="001F2586">
        <w:rPr>
          <w:rFonts w:eastAsia="Calibri" w:hint="cs"/>
          <w:rtl/>
        </w:rPr>
        <w:t>, ובכך התייתר הצורך לבחון אם הפגיעה במחירי דירות נגרמה כתוצאה מהוראות מגבילות של הבנקים על מחירי הדירות בהסכמי הליווי.</w:t>
      </w:r>
    </w:p>
    <w:bookmarkEnd w:id="63"/>
    <w:p w:rsidR="001F2586" w:rsidRPr="001F2586" w:rsidP="001F2586">
      <w:pPr>
        <w:spacing w:line="269" w:lineRule="auto"/>
        <w:rPr>
          <w:rFonts w:eastAsia="Calibri"/>
          <w:b/>
          <w:bCs/>
          <w:rtl/>
        </w:rPr>
      </w:pPr>
    </w:p>
    <w:p w:rsidR="001F2586" w:rsidRPr="001F2586" w:rsidP="001F2586">
      <w:pPr>
        <w:spacing w:line="269" w:lineRule="auto"/>
        <w:rPr>
          <w:rFonts w:eastAsia="Calibri"/>
          <w:b/>
          <w:bCs/>
          <w:rtl/>
        </w:rPr>
      </w:pPr>
      <w:r w:rsidRPr="001F2586">
        <w:rPr>
          <w:rFonts w:eastAsia="Calibri" w:hint="cs"/>
          <w:b/>
          <w:bCs/>
          <w:rtl/>
        </w:rPr>
        <w:t>מומלץ למועצה הלאומית לכלכלה, משרד הבינוי והשיכון, משרד האוצר, רשות התחרות והפיקוח על הבנקים להמשיך בביצוע בחינה משותפת מעמיקה של הכשלים בשוק הדיור, ולייצר פתרונות קבע ארוכי טווח להפחתת מחירי הדיור והתאמתם לתנאי השוק. זאת אגב ביצוע בחינה כלכלית המשקללת את התועלות והסיכונים הנגזרים מכל צעד.</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רשות התחרות צוין כי הכשלים הקיימים בשוק הדיור אינם כשלים תחרותיים, שכן כאמור </w:t>
      </w:r>
      <w:r w:rsidRPr="001F2586">
        <w:rPr>
          <w:rFonts w:eastAsia="Calibri"/>
          <w:rtl/>
        </w:rPr>
        <w:t>מקטע הקבלנים מתאפיין בריבוי שחקנים</w:t>
      </w:r>
      <w:r w:rsidRPr="001F2586">
        <w:rPr>
          <w:rFonts w:eastAsia="Calibri" w:hint="cs"/>
          <w:rtl/>
        </w:rPr>
        <w:t>, כך שעולה ספק אם העניין מתאים לטיפולה של רשות התחרות.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משרד מבקר המדינה מציין כי בדוח הצוות לקביעת מחירי דיור צוין כי שוק הדיור מאופיין בכשלים תחרותיים במקטע המימון ונותני האשראי, כפי שהעלה הצוות בממצאים אלו: 81% מהפרויקטים מלווים פיננסית בידי בנקים ורק כ-19% בידי חברות ביטוח; שני בנקים מספקים 57% מכלל המימון לבנייה; וחמש הקבוצות הבנקאיות הגדולות מספקות ביחד 91% מהמימון לענף הבנייה.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בתשובת משב"ש צוין כי הוא פועל כל העת לייצר דיור בר השגה, ובתוך כך לטפל במחירי הדיור, וכי ימשיך לפעול בנושא זה.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בתשובת אגף תקציבים צוין כי "</w:t>
      </w:r>
      <w:r w:rsidRPr="001F2586">
        <w:rPr>
          <w:rFonts w:eastAsia="Calibri"/>
          <w:rtl/>
        </w:rPr>
        <w:t xml:space="preserve">משרד האוצר, בשיתוף משרדי הממשלה האחרים </w:t>
      </w:r>
      <w:r w:rsidRPr="001F2586" w:rsidR="007F31A8">
        <w:rPr>
          <w:rFonts w:eastAsia="Calibri" w:hint="cs"/>
          <w:rtl/>
        </w:rPr>
        <w:t>הרלוונטיי</w:t>
      </w:r>
      <w:r w:rsidRPr="001F2586" w:rsidR="007F31A8">
        <w:rPr>
          <w:rFonts w:eastAsia="Calibri" w:hint="eastAsia"/>
          <w:rtl/>
        </w:rPr>
        <w:t>ם</w:t>
      </w:r>
      <w:r w:rsidRPr="001F2586">
        <w:rPr>
          <w:rFonts w:eastAsia="Calibri"/>
          <w:rtl/>
        </w:rPr>
        <w:t>, משקיע</w:t>
      </w:r>
      <w:r w:rsidRPr="001F2586">
        <w:rPr>
          <w:rFonts w:eastAsia="Calibri" w:hint="cs"/>
          <w:rtl/>
        </w:rPr>
        <w:t xml:space="preserve"> </w:t>
      </w:r>
      <w:r w:rsidRPr="001F2586">
        <w:rPr>
          <w:rFonts w:eastAsia="Calibri"/>
          <w:rtl/>
        </w:rPr>
        <w:t>משאבים מזה שנים על מנת להשפיע על רמת המחירים בשוק הדיור, דרך הגדלת היצע יחידות</w:t>
      </w:r>
      <w:r w:rsidRPr="001F2586">
        <w:rPr>
          <w:rFonts w:eastAsia="Calibri" w:hint="cs"/>
          <w:rtl/>
        </w:rPr>
        <w:t xml:space="preserve"> </w:t>
      </w:r>
      <w:r w:rsidRPr="001F2586">
        <w:rPr>
          <w:rFonts w:eastAsia="Calibri"/>
          <w:rtl/>
        </w:rPr>
        <w:t>הדיור</w:t>
      </w:r>
      <w:r w:rsidRPr="001F2586">
        <w:rPr>
          <w:rFonts w:eastAsia="Calibri" w:hint="cs"/>
          <w:rtl/>
        </w:rPr>
        <w:t xml:space="preserve">. </w:t>
      </w:r>
      <w:r w:rsidRPr="001F2586">
        <w:rPr>
          <w:rFonts w:eastAsia="Calibri"/>
          <w:rtl/>
        </w:rPr>
        <w:t>רק בשנתיים האחרונות קיבלה הממשלה שתי החלטות משמעותיות</w:t>
      </w:r>
      <w:r w:rsidRPr="001F2586">
        <w:rPr>
          <w:rFonts w:eastAsia="Calibri" w:hint="cs"/>
          <w:rtl/>
        </w:rPr>
        <w:t xml:space="preserve"> - </w:t>
      </w:r>
      <w:r w:rsidRPr="001F2586">
        <w:rPr>
          <w:rFonts w:eastAsia="Calibri"/>
          <w:rtl/>
        </w:rPr>
        <w:t>החלטה מספר</w:t>
      </w:r>
      <w:r w:rsidRPr="001F2586">
        <w:rPr>
          <w:rFonts w:eastAsia="Calibri" w:hint="cs"/>
          <w:rtl/>
        </w:rPr>
        <w:t xml:space="preserve"> </w:t>
      </w:r>
      <w:r w:rsidRPr="001F2586">
        <w:rPr>
          <w:rFonts w:eastAsia="Calibri"/>
          <w:rtl/>
        </w:rPr>
        <w:t>1383 מיום 04.02.2024 והחלטה מספר 3425 מיום 26.10.2025</w:t>
      </w:r>
      <w:r w:rsidRPr="001F2586">
        <w:rPr>
          <w:rFonts w:eastAsia="Calibri" w:hint="cs"/>
          <w:rtl/>
        </w:rPr>
        <w:t xml:space="preserve">, שנועדו לתמוך את המשך </w:t>
      </w:r>
      <w:r w:rsidRPr="001F2586">
        <w:rPr>
          <w:rFonts w:eastAsia="Calibri"/>
          <w:rtl/>
        </w:rPr>
        <w:t>הפעילות בשוק הנדל"ן, על מנת להבטיח את המשך הגידול בהיצע</w:t>
      </w:r>
      <w:r w:rsidRPr="001F2586">
        <w:rPr>
          <w:rFonts w:eastAsia="Calibri" w:hint="cs"/>
          <w:rtl/>
        </w:rPr>
        <w:t xml:space="preserve">". עוד ציין אגף תקציבים בתשובתו כי לפי נתוני </w:t>
      </w:r>
      <w:r w:rsidRPr="001F2586">
        <w:rPr>
          <w:rFonts w:eastAsia="Calibri" w:hint="cs"/>
          <w:rtl/>
        </w:rPr>
        <w:t>הלמ"ס</w:t>
      </w:r>
      <w:r w:rsidRPr="001F2586">
        <w:rPr>
          <w:rFonts w:eastAsia="Calibri" w:hint="cs"/>
          <w:rtl/>
        </w:rPr>
        <w:t xml:space="preserve"> על התחלות וגמר בנייה לשנת 2025 מאמצי הממשלה בשנים האחרונות נושאים פרי ומעידים על רמת פעילות גבוהה בענף הבינוי, וכי בנוסף "...מתקיימת עבודה שוטפת לאיתור דרכים נוספות לטיוב כלל המנגנונים הקשורים בשוק הדיור, </w:t>
      </w:r>
      <w:r w:rsidRPr="001F2586">
        <w:rPr>
          <w:rFonts w:eastAsia="Calibri"/>
          <w:rtl/>
        </w:rPr>
        <w:t xml:space="preserve">על כלל </w:t>
      </w:r>
      <w:r w:rsidRPr="001F2586">
        <w:rPr>
          <w:rFonts w:eastAsia="Calibri"/>
          <w:rtl/>
        </w:rPr>
        <w:t>נדבכיו</w:t>
      </w:r>
      <w:r w:rsidRPr="001F2586">
        <w:rPr>
          <w:rFonts w:eastAsia="Calibri"/>
          <w:rtl/>
        </w:rPr>
        <w:t>, כולל סקטור המימון, וככל שתחול התקדמות קונקרטית תוצאות עבודה</w:t>
      </w:r>
      <w:r w:rsidRPr="001F2586">
        <w:rPr>
          <w:rFonts w:eastAsia="Calibri" w:hint="cs"/>
          <w:rtl/>
        </w:rPr>
        <w:t xml:space="preserve"> </w:t>
      </w:r>
      <w:r w:rsidRPr="001F2586">
        <w:rPr>
          <w:rFonts w:eastAsia="Calibri"/>
          <w:rtl/>
        </w:rPr>
        <w:t>זו יפורסמו להתייחסות הציבור</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outlineLvl w:val="3"/>
        <w:rPr>
          <w:rFonts w:eastAsia="Times New Roman"/>
          <w:szCs w:val="26"/>
          <w:rtl/>
        </w:rPr>
      </w:pPr>
      <w:r w:rsidRPr="001F2586">
        <w:rPr>
          <w:rFonts w:eastAsia="Times New Roman" w:hint="eastAsia"/>
          <w:bCs/>
          <w:szCs w:val="26"/>
          <w:rtl/>
        </w:rPr>
        <w:t>הצעה</w:t>
      </w:r>
      <w:r w:rsidRPr="001F2586">
        <w:rPr>
          <w:rFonts w:eastAsia="Times New Roman"/>
          <w:bCs/>
          <w:szCs w:val="26"/>
          <w:rtl/>
        </w:rPr>
        <w:t xml:space="preserve"> </w:t>
      </w:r>
      <w:r w:rsidRPr="001F2586">
        <w:rPr>
          <w:rFonts w:eastAsia="Times New Roman" w:hint="eastAsia"/>
          <w:bCs/>
          <w:szCs w:val="26"/>
          <w:rtl/>
        </w:rPr>
        <w:t>לסבסוד</w:t>
      </w:r>
      <w:r w:rsidRPr="001F2586">
        <w:rPr>
          <w:rFonts w:eastAsia="Times New Roman"/>
          <w:bCs/>
          <w:szCs w:val="26"/>
          <w:rtl/>
        </w:rPr>
        <w:t xml:space="preserve"> </w:t>
      </w:r>
      <w:r w:rsidRPr="001F2586">
        <w:rPr>
          <w:rFonts w:eastAsia="Times New Roman" w:hint="eastAsia"/>
          <w:bCs/>
          <w:szCs w:val="26"/>
          <w:rtl/>
        </w:rPr>
        <w:t>לווי</w:t>
      </w:r>
      <w:r w:rsidRPr="001F2586">
        <w:rPr>
          <w:rFonts w:eastAsia="Times New Roman"/>
          <w:bCs/>
          <w:szCs w:val="26"/>
          <w:rtl/>
        </w:rPr>
        <w:t xml:space="preserve"> </w:t>
      </w:r>
      <w:r w:rsidRPr="001F2586">
        <w:rPr>
          <w:rFonts w:eastAsia="Times New Roman" w:hint="eastAsia"/>
          <w:bCs/>
          <w:szCs w:val="26"/>
          <w:rtl/>
        </w:rPr>
        <w:t>משכנתאות</w:t>
      </w:r>
      <w:r w:rsidRPr="001F2586">
        <w:rPr>
          <w:rFonts w:eastAsia="Times New Roman"/>
          <w:bCs/>
          <w:szCs w:val="26"/>
          <w:rtl/>
        </w:rPr>
        <w:t xml:space="preserve"> </w:t>
      </w:r>
      <w:r w:rsidRPr="001F2586">
        <w:rPr>
          <w:rFonts w:eastAsia="Times New Roman" w:hint="eastAsia"/>
          <w:bCs/>
          <w:szCs w:val="26"/>
          <w:rtl/>
        </w:rPr>
        <w:t>על</w:t>
      </w:r>
      <w:r w:rsidRPr="001F2586">
        <w:rPr>
          <w:rFonts w:eastAsia="Times New Roman"/>
          <w:bCs/>
          <w:szCs w:val="26"/>
          <w:rtl/>
        </w:rPr>
        <w:t xml:space="preserve"> </w:t>
      </w:r>
      <w:r w:rsidRPr="001F2586">
        <w:rPr>
          <w:rFonts w:eastAsia="Times New Roman" w:hint="eastAsia"/>
          <w:bCs/>
          <w:szCs w:val="26"/>
          <w:rtl/>
        </w:rPr>
        <w:t>ידי</w:t>
      </w:r>
      <w:r w:rsidRPr="001F2586">
        <w:rPr>
          <w:rFonts w:eastAsia="Times New Roman"/>
          <w:bCs/>
          <w:szCs w:val="26"/>
          <w:rtl/>
        </w:rPr>
        <w:t xml:space="preserve"> </w:t>
      </w:r>
      <w:r w:rsidRPr="001F2586">
        <w:rPr>
          <w:rFonts w:eastAsia="Times New Roman" w:hint="eastAsia"/>
          <w:bCs/>
          <w:szCs w:val="26"/>
          <w:rtl/>
        </w:rPr>
        <w:t>המדינה</w:t>
      </w:r>
    </w:p>
    <w:p w:rsidR="001F2586" w:rsidRPr="001F2586" w:rsidP="001F2586">
      <w:pPr>
        <w:spacing w:line="269" w:lineRule="auto"/>
        <w:ind w:left="-567"/>
        <w:rPr>
          <w:rFonts w:eastAsia="Calibri"/>
          <w:szCs w:val="20"/>
          <w:rtl/>
        </w:rPr>
      </w:pPr>
    </w:p>
    <w:p w:rsidR="00260379" w:rsidP="001F2586">
      <w:pPr>
        <w:spacing w:line="269" w:lineRule="auto"/>
        <w:rPr>
          <w:rFonts w:eastAsia="Calibri"/>
          <w:rtl/>
        </w:rPr>
      </w:pPr>
      <w:r w:rsidRPr="001F2586">
        <w:rPr>
          <w:rFonts w:eastAsia="Calibri" w:hint="cs"/>
          <w:rtl/>
        </w:rPr>
        <w:t xml:space="preserve">באוקטובר 2025 נדונה במשרד ראש הממשלה הצעה לממשלה מטעם המועצה הלאומית לכלכלה לסבסוד לווי משכנתאות (להלן - ההצעה). ההצעה נועדה להקל על </w:t>
      </w:r>
      <w:r w:rsidRPr="001F2586">
        <w:rPr>
          <w:rFonts w:eastAsia="Calibri" w:hint="cs"/>
          <w:rtl/>
        </w:rPr>
        <w:t>רוכשי</w:t>
      </w:r>
      <w:r w:rsidRPr="001F2586">
        <w:rPr>
          <w:rFonts w:eastAsia="Calibri" w:hint="cs"/>
          <w:rtl/>
        </w:rPr>
        <w:t xml:space="preserve"> הדירות באמצעות הפחתת ההחזר החודשי לנוכח הזינוק בהחזר הלוואות לדיור כתוצאה מהעלאת שיעור הריבית במשק. </w:t>
      </w:r>
      <w:bookmarkStart w:id="64" w:name="_Hlk224457608"/>
      <w:r w:rsidRPr="001F2586">
        <w:rPr>
          <w:rFonts w:eastAsia="Calibri" w:hint="cs"/>
          <w:rtl/>
        </w:rPr>
        <w:t xml:space="preserve">עיקר ההצעה התייחסה לסבסוד כספי של בעלי משכנתא קיימת שרכשו דירות בשוק החופשי, </w:t>
      </w:r>
      <w:bookmarkStart w:id="65" w:name="_Hlk224457674"/>
      <w:r w:rsidRPr="001F2586">
        <w:rPr>
          <w:rFonts w:eastAsia="Calibri" w:hint="cs"/>
          <w:rtl/>
        </w:rPr>
        <w:t xml:space="preserve">שגובה הסבסוד נקבע לפי העלייה הריאלית בהחזר תשלומי המשכנתא בין שנת 2022 לשנת 2025 והעלייה בשווי הנכס בעת רכישתו. מקור המימון לסבסוד הוא </w:t>
      </w:r>
      <w:bookmarkEnd w:id="65"/>
      <w:r w:rsidRPr="001F2586">
        <w:rPr>
          <w:rFonts w:eastAsia="Calibri" w:hint="cs"/>
          <w:rtl/>
        </w:rPr>
        <w:t>היטל שיושת על בנקים מסחריים בעלות המוערכת בסך של 3 מיליארד ש"ח</w:t>
      </w:r>
      <w:bookmarkEnd w:id="64"/>
      <w:r>
        <w:rPr>
          <w:rFonts w:eastAsia="Calibri"/>
          <w:vertAlign w:val="superscript"/>
          <w:rtl/>
        </w:rPr>
        <w:footnoteReference w:id="242"/>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bookmarkStart w:id="66" w:name="_Hlk224457884"/>
      <w:bookmarkStart w:id="67" w:name="_Hlk224458136"/>
      <w:r w:rsidRPr="001F2586">
        <w:rPr>
          <w:rFonts w:eastAsia="Calibri" w:hint="cs"/>
          <w:rtl/>
        </w:rPr>
        <w:t>ביום 9.11.25 פנו נציגי אגף הכלכלן הראשי, החשב הכללי והממונה על התקציבים (להלן - נציגי משרד האוצר) במכתב משותף ל ראש המועצה הלאומית לכלכלה בנוגע להצעה</w:t>
      </w:r>
      <w:bookmarkEnd w:id="66"/>
      <w:r>
        <w:rPr>
          <w:rFonts w:eastAsia="Calibri"/>
          <w:vertAlign w:val="superscript"/>
          <w:rtl/>
        </w:rPr>
        <w:footnoteReference w:id="243"/>
      </w:r>
      <w:r w:rsidRPr="001F2586">
        <w:rPr>
          <w:rFonts w:eastAsia="Calibri" w:hint="cs"/>
          <w:rtl/>
        </w:rPr>
        <w:t xml:space="preserve">. נציגי משרד האוצר העלו כמה טענות נגד ההצעה ובהן: (א) ההצעה נוגדת את המדיניות המוניטרית של בנק ישראל ועלולה להיתפס כהחלשת המוסד, לפגוע באמון המשקיעים ולהוביל להעלאות נוספות של הריבית במשק או להארכת משך הזמן בו שיעורי הריבית יהיו גבוהים, בכך להוביל לפגיעה משמעותית יותר במשק; (ב) הפחתת תמריץ למכירת דירות בקרב חלק מבעלי הדירות שמעמסת </w:t>
      </w:r>
      <w:r w:rsidRPr="001F2586">
        <w:rPr>
          <w:rFonts w:eastAsia="Calibri" w:hint="cs"/>
          <w:rtl/>
        </w:rPr>
        <w:t>החזרי ההלוואה לדיור שנטלו מכבידה עליהם בעקבות הסבסוד ולכן נוגד את המדיניות הממשלתית לעודד את הפחתת מחירי הדיור; (ג) חשיפה לטענות כלפי הממשלה למדיניות שרירותית ואי-שיוונית בבחירת אוכלוסיית היעד למיקוד ההצעה</w:t>
      </w:r>
      <w:r>
        <w:rPr>
          <w:rFonts w:eastAsia="Calibri"/>
          <w:vertAlign w:val="superscript"/>
          <w:rtl/>
        </w:rPr>
        <w:footnoteReference w:id="244"/>
      </w:r>
      <w:r w:rsidRPr="001F2586">
        <w:rPr>
          <w:rFonts w:eastAsia="Calibri" w:hint="cs"/>
          <w:rtl/>
        </w:rPr>
        <w:t>; (ד) שיבוש שוק מימון למגורים חופשי, עסקי ותחרותי מבלי שמתקיים כשל שוק המצדיק התערבות תקדימית; (ה) הטמעת סיכון מוסרי בציבור לצפייה של סבסוד התייקרויות עתידיות בידי המדינה במכלול השיקולים טרם נטילת משכנתא</w:t>
      </w:r>
      <w:bookmarkEnd w:id="67"/>
      <w:r w:rsidRPr="001F2586">
        <w:rPr>
          <w:rFonts w:eastAsia="Calibri" w:hint="cs"/>
          <w:rtl/>
        </w:rPr>
        <w:t>. סיכון מוסרי עלול להוביל לעדכון הציפיות לדרישות חדשות להמשך מעורבות ממשלתית בסבסוד תשלומי ריבית על הלוואות במשק ולשינוי מהותי בתפיסת הסיכונים בקרב הציבור עד כדי יצירת סיכון יציבותי.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bookmarkStart w:id="68" w:name="_Hlk224458282"/>
      <w:r w:rsidRPr="001F2586">
        <w:rPr>
          <w:rFonts w:eastAsia="Calibri" w:hint="cs"/>
          <w:rtl/>
        </w:rPr>
        <w:t>ביום 13.11.25 הפיץ בנק ישראל מסמך תגובה להצעה. במסמך צוין כי לא הועברו לידי הבנק באופן מסודר פרטי ההצעה והיא אף לא נדונה עם מומחי התוכן המקצועיים בבנק.</w:t>
      </w:r>
      <w:bookmarkEnd w:id="68"/>
      <w:r w:rsidRPr="001F2586">
        <w:rPr>
          <w:rFonts w:eastAsia="Calibri" w:hint="cs"/>
          <w:rtl/>
        </w:rPr>
        <w:t xml:space="preserve"> לעמדת בנק ישראל מדובר בצעד שהתועלת ממנו מוטלת בספק אך פוטנציאל הנזק ממנו גבוה הן לכלכלת ישראל והן לתדמיתה ולמעמדה הבינלאומי. </w:t>
      </w:r>
      <w:bookmarkStart w:id="69" w:name="_Hlk224458366"/>
      <w:r w:rsidRPr="001F2586">
        <w:rPr>
          <w:rFonts w:eastAsia="Calibri" w:hint="cs"/>
          <w:rtl/>
        </w:rPr>
        <w:t>הבנק ציין בתגובתו כי הצעד נטול היגיון כלכלי, אינו נתמך בעבודת מטה סדורה ובחישובים כלכליים מבוססי נתונים, כי הוא אינו עולה בקנה אחד עם הנורמות והסטנדרטים הנהוגים במדינות מפותחות ואף מייצר אפליה ברורה בתוך אוכלוסיית לווי המשכנתאות ובין לווי המשכנתאות ללווים אחרים</w:t>
      </w:r>
      <w:bookmarkEnd w:id="69"/>
      <w:r>
        <w:rPr>
          <w:rFonts w:eastAsia="Calibri"/>
          <w:vertAlign w:val="superscript"/>
          <w:rtl/>
        </w:rPr>
        <w:footnoteReference w:id="245"/>
      </w:r>
      <w:r w:rsidRPr="001F2586">
        <w:rPr>
          <w:rFonts w:eastAsia="Calibri" w:hint="cs"/>
          <w:rtl/>
        </w:rPr>
        <w:t>.</w:t>
      </w:r>
      <w:r w:rsidRPr="001F2586">
        <w:rPr>
          <w:rFonts w:ascii="Calibri-Bold" w:eastAsia="Calibri" w:cs="Calibri-Bold" w:hint="cs"/>
          <w:b/>
          <w:bCs/>
          <w:sz w:val="24"/>
          <w:rtl/>
        </w:rPr>
        <w:t xml:space="preserve"> </w:t>
      </w:r>
      <w:r w:rsidRPr="001F2586">
        <w:rPr>
          <w:rFonts w:eastAsia="Calibri" w:hint="eastAsia"/>
          <w:rtl/>
        </w:rPr>
        <w:t>עוד</w:t>
      </w:r>
      <w:r w:rsidRPr="001F2586">
        <w:rPr>
          <w:rFonts w:eastAsia="Calibri"/>
          <w:rtl/>
        </w:rPr>
        <w:t xml:space="preserve"> </w:t>
      </w:r>
      <w:r w:rsidRPr="001F2586">
        <w:rPr>
          <w:rFonts w:eastAsia="Calibri" w:hint="eastAsia"/>
          <w:rtl/>
        </w:rPr>
        <w:t>ציין</w:t>
      </w:r>
      <w:r w:rsidRPr="001F2586">
        <w:rPr>
          <w:rFonts w:eastAsia="Calibri"/>
          <w:rtl/>
        </w:rPr>
        <w:t xml:space="preserve"> </w:t>
      </w:r>
      <w:r w:rsidRPr="001F2586">
        <w:rPr>
          <w:rFonts w:eastAsia="Calibri" w:hint="eastAsia"/>
          <w:rtl/>
        </w:rPr>
        <w:t>הבנק</w:t>
      </w:r>
      <w:r w:rsidRPr="001F2586">
        <w:rPr>
          <w:rFonts w:eastAsia="Calibri"/>
          <w:rtl/>
        </w:rPr>
        <w:t xml:space="preserve">, </w:t>
      </w:r>
      <w:r w:rsidRPr="001F2586">
        <w:rPr>
          <w:rFonts w:eastAsia="Calibri" w:hint="eastAsia"/>
          <w:rtl/>
        </w:rPr>
        <w:t>כי</w:t>
      </w:r>
      <w:r w:rsidRPr="001F2586">
        <w:rPr>
          <w:rFonts w:ascii="Calibri-Bold" w:eastAsia="Calibri" w:cs="Calibri-Bold"/>
          <w:sz w:val="24"/>
          <w:rtl/>
        </w:rPr>
        <w:t xml:space="preserve"> </w:t>
      </w:r>
      <w:r w:rsidRPr="001F2586">
        <w:rPr>
          <w:rFonts w:eastAsia="Calibri" w:hint="eastAsia"/>
          <w:rtl/>
        </w:rPr>
        <w:t>מדובר</w:t>
      </w:r>
      <w:r w:rsidRPr="001F2586">
        <w:rPr>
          <w:rFonts w:eastAsia="Calibri"/>
          <w:rtl/>
        </w:rPr>
        <w:t xml:space="preserve"> </w:t>
      </w:r>
      <w:r w:rsidRPr="001F2586">
        <w:rPr>
          <w:rFonts w:eastAsia="Calibri" w:hint="eastAsia"/>
          <w:rtl/>
        </w:rPr>
        <w:t>בצעד</w:t>
      </w:r>
      <w:r w:rsidRPr="001F2586">
        <w:rPr>
          <w:rFonts w:eastAsia="Calibri"/>
          <w:rtl/>
        </w:rPr>
        <w:t xml:space="preserve"> </w:t>
      </w:r>
      <w:r w:rsidRPr="001F2586">
        <w:rPr>
          <w:rFonts w:eastAsia="Calibri" w:hint="eastAsia"/>
          <w:rtl/>
        </w:rPr>
        <w:t>שהתועלת</w:t>
      </w:r>
      <w:r w:rsidRPr="001F2586">
        <w:rPr>
          <w:rFonts w:eastAsia="Calibri"/>
          <w:rtl/>
        </w:rPr>
        <w:t xml:space="preserve"> </w:t>
      </w:r>
      <w:r w:rsidRPr="001F2586">
        <w:rPr>
          <w:rFonts w:eastAsia="Calibri" w:hint="eastAsia"/>
          <w:rtl/>
        </w:rPr>
        <w:t>ממנו</w:t>
      </w:r>
      <w:r w:rsidRPr="001F2586">
        <w:rPr>
          <w:rFonts w:eastAsia="Calibri"/>
          <w:rtl/>
        </w:rPr>
        <w:t xml:space="preserve"> </w:t>
      </w:r>
      <w:r w:rsidRPr="001F2586">
        <w:rPr>
          <w:rFonts w:eastAsia="Calibri" w:hint="eastAsia"/>
          <w:rtl/>
        </w:rPr>
        <w:t>מוטלת</w:t>
      </w:r>
      <w:r w:rsidRPr="001F2586">
        <w:rPr>
          <w:rFonts w:eastAsia="Calibri"/>
          <w:rtl/>
        </w:rPr>
        <w:t xml:space="preserve"> </w:t>
      </w:r>
      <w:r w:rsidRPr="001F2586">
        <w:rPr>
          <w:rFonts w:eastAsia="Calibri" w:hint="eastAsia"/>
          <w:rtl/>
        </w:rPr>
        <w:t>בספק</w:t>
      </w:r>
      <w:r w:rsidRPr="001F2586">
        <w:rPr>
          <w:rFonts w:eastAsia="Calibri"/>
          <w:rtl/>
        </w:rPr>
        <w:t xml:space="preserve"> </w:t>
      </w:r>
      <w:r w:rsidRPr="001F2586">
        <w:rPr>
          <w:rFonts w:eastAsia="Calibri" w:hint="eastAsia"/>
          <w:rtl/>
        </w:rPr>
        <w:t>ופוטנציאל</w:t>
      </w:r>
      <w:r w:rsidRPr="001F2586">
        <w:rPr>
          <w:rFonts w:eastAsia="Calibri"/>
          <w:rtl/>
        </w:rPr>
        <w:t xml:space="preserve"> </w:t>
      </w:r>
      <w:r w:rsidRPr="001F2586">
        <w:rPr>
          <w:rFonts w:eastAsia="Calibri" w:hint="eastAsia"/>
          <w:rtl/>
        </w:rPr>
        <w:t>הנזק</w:t>
      </w:r>
      <w:r w:rsidRPr="001F2586">
        <w:rPr>
          <w:rFonts w:eastAsia="Calibri"/>
          <w:rtl/>
        </w:rPr>
        <w:t xml:space="preserve"> </w:t>
      </w:r>
      <w:r w:rsidRPr="001F2586">
        <w:rPr>
          <w:rFonts w:eastAsia="Calibri" w:hint="eastAsia"/>
          <w:rtl/>
        </w:rPr>
        <w:t>ממנו</w:t>
      </w:r>
      <w:r w:rsidRPr="001F2586">
        <w:rPr>
          <w:rFonts w:eastAsia="Calibri"/>
          <w:rtl/>
        </w:rPr>
        <w:t xml:space="preserve"> </w:t>
      </w:r>
      <w:r w:rsidRPr="001F2586">
        <w:rPr>
          <w:rFonts w:eastAsia="Calibri" w:hint="eastAsia"/>
          <w:rtl/>
        </w:rPr>
        <w:t>גבוה</w:t>
      </w:r>
      <w:r w:rsidRPr="001F2586">
        <w:rPr>
          <w:rFonts w:eastAsia="Calibri"/>
          <w:rtl/>
        </w:rPr>
        <w:t xml:space="preserve">, </w:t>
      </w:r>
      <w:r w:rsidRPr="001F2586">
        <w:rPr>
          <w:rFonts w:eastAsia="Calibri" w:hint="eastAsia"/>
          <w:rtl/>
        </w:rPr>
        <w:t>וכי</w:t>
      </w:r>
      <w:r w:rsidRPr="001F2586">
        <w:rPr>
          <w:rFonts w:eastAsia="Calibri"/>
          <w:rtl/>
        </w:rPr>
        <w:t xml:space="preserve"> </w:t>
      </w:r>
      <w:r w:rsidRPr="001F2586">
        <w:rPr>
          <w:rFonts w:eastAsia="Calibri" w:hint="eastAsia"/>
          <w:rtl/>
        </w:rPr>
        <w:t>הוא</w:t>
      </w:r>
      <w:r w:rsidRPr="001F2586">
        <w:rPr>
          <w:rFonts w:eastAsia="Calibri"/>
          <w:rtl/>
        </w:rPr>
        <w:t xml:space="preserve"> </w:t>
      </w:r>
      <w:r w:rsidRPr="001F2586">
        <w:rPr>
          <w:rFonts w:eastAsia="Calibri" w:hint="eastAsia"/>
          <w:rtl/>
        </w:rPr>
        <w:t>אינו</w:t>
      </w:r>
      <w:r w:rsidRPr="001F2586">
        <w:rPr>
          <w:rFonts w:eastAsia="Calibri"/>
          <w:rtl/>
        </w:rPr>
        <w:t xml:space="preserve"> </w:t>
      </w:r>
      <w:r w:rsidRPr="001F2586">
        <w:rPr>
          <w:rFonts w:eastAsia="Calibri" w:hint="eastAsia"/>
          <w:rtl/>
        </w:rPr>
        <w:t>נתמך</w:t>
      </w:r>
      <w:r w:rsidRPr="001F2586">
        <w:rPr>
          <w:rFonts w:eastAsia="Calibri"/>
          <w:rtl/>
        </w:rPr>
        <w:t xml:space="preserve"> </w:t>
      </w:r>
      <w:r w:rsidRPr="001F2586">
        <w:rPr>
          <w:rFonts w:eastAsia="Calibri" w:hint="eastAsia"/>
          <w:rtl/>
        </w:rPr>
        <w:t>בעבודת</w:t>
      </w:r>
      <w:r w:rsidRPr="001F2586">
        <w:rPr>
          <w:rFonts w:eastAsia="Calibri"/>
          <w:rtl/>
        </w:rPr>
        <w:t xml:space="preserve"> </w:t>
      </w:r>
      <w:r w:rsidRPr="001F2586">
        <w:rPr>
          <w:rFonts w:eastAsia="Calibri" w:hint="eastAsia"/>
          <w:rtl/>
        </w:rPr>
        <w:t>מטה</w:t>
      </w:r>
      <w:r w:rsidRPr="001F2586">
        <w:rPr>
          <w:rFonts w:eastAsia="Calibri"/>
          <w:rtl/>
        </w:rPr>
        <w:t xml:space="preserve"> </w:t>
      </w:r>
      <w:r w:rsidRPr="001F2586">
        <w:rPr>
          <w:rFonts w:eastAsia="Calibri" w:hint="eastAsia"/>
          <w:rtl/>
        </w:rPr>
        <w:t>סדורה</w:t>
      </w:r>
      <w:r w:rsidRPr="001F2586">
        <w:rPr>
          <w:rFonts w:eastAsia="Calibri"/>
          <w:rtl/>
        </w:rPr>
        <w:t xml:space="preserve">, </w:t>
      </w:r>
      <w:r w:rsidRPr="001F2586">
        <w:rPr>
          <w:rFonts w:eastAsia="Calibri" w:hint="eastAsia"/>
          <w:rtl/>
        </w:rPr>
        <w:t>ובחישובים</w:t>
      </w:r>
      <w:r w:rsidRPr="001F2586">
        <w:rPr>
          <w:rFonts w:eastAsia="Calibri"/>
          <w:rtl/>
        </w:rPr>
        <w:t xml:space="preserve"> </w:t>
      </w:r>
      <w:r w:rsidRPr="001F2586">
        <w:rPr>
          <w:rFonts w:eastAsia="Calibri" w:hint="eastAsia"/>
          <w:rtl/>
        </w:rPr>
        <w:t>כלכליים</w:t>
      </w:r>
      <w:r w:rsidRPr="001F2586">
        <w:rPr>
          <w:rFonts w:eastAsia="Calibri"/>
          <w:rtl/>
        </w:rPr>
        <w:t xml:space="preserve"> </w:t>
      </w:r>
      <w:r w:rsidRPr="001F2586">
        <w:rPr>
          <w:rFonts w:eastAsia="Calibri" w:hint="eastAsia"/>
          <w:rtl/>
        </w:rPr>
        <w:t>מבוססי</w:t>
      </w:r>
      <w:r w:rsidRPr="001F2586">
        <w:rPr>
          <w:rFonts w:eastAsia="Calibri"/>
          <w:rtl/>
        </w:rPr>
        <w:t xml:space="preserve"> </w:t>
      </w:r>
      <w:r w:rsidRPr="001F2586">
        <w:rPr>
          <w:rFonts w:eastAsia="Calibri" w:hint="eastAsia"/>
          <w:rtl/>
        </w:rPr>
        <w:t>נתונים</w:t>
      </w:r>
      <w:r w:rsidRPr="001F2586">
        <w:rPr>
          <w:rFonts w:eastAsia="Calibri"/>
          <w:rtl/>
        </w:rPr>
        <w:t xml:space="preserve">, </w:t>
      </w:r>
      <w:r w:rsidRPr="001F2586">
        <w:rPr>
          <w:rFonts w:eastAsia="Calibri" w:hint="eastAsia"/>
          <w:rtl/>
        </w:rPr>
        <w:t>והוא</w:t>
      </w:r>
      <w:r w:rsidRPr="001F2586">
        <w:rPr>
          <w:rFonts w:eastAsia="Calibri"/>
          <w:rtl/>
        </w:rPr>
        <w:t xml:space="preserve"> </w:t>
      </w:r>
      <w:r w:rsidRPr="001F2586">
        <w:rPr>
          <w:rFonts w:eastAsia="Calibri" w:hint="eastAsia"/>
          <w:rtl/>
        </w:rPr>
        <w:t>אינו</w:t>
      </w:r>
      <w:r w:rsidRPr="001F2586">
        <w:rPr>
          <w:rFonts w:eastAsia="Calibri"/>
          <w:rtl/>
        </w:rPr>
        <w:t xml:space="preserve"> </w:t>
      </w:r>
      <w:r w:rsidRPr="001F2586">
        <w:rPr>
          <w:rFonts w:eastAsia="Calibri" w:hint="eastAsia"/>
          <w:rtl/>
        </w:rPr>
        <w:t>עולה</w:t>
      </w:r>
      <w:r w:rsidRPr="001F2586">
        <w:rPr>
          <w:rFonts w:eastAsia="Calibri"/>
          <w:rtl/>
        </w:rPr>
        <w:t xml:space="preserve"> </w:t>
      </w:r>
      <w:r w:rsidRPr="001F2586">
        <w:rPr>
          <w:rFonts w:eastAsia="Calibri" w:hint="eastAsia"/>
          <w:rtl/>
        </w:rPr>
        <w:t>בקנה</w:t>
      </w:r>
      <w:r w:rsidRPr="001F2586">
        <w:rPr>
          <w:rFonts w:eastAsia="Calibri"/>
          <w:rtl/>
        </w:rPr>
        <w:t xml:space="preserve"> </w:t>
      </w:r>
      <w:r w:rsidRPr="001F2586">
        <w:rPr>
          <w:rFonts w:eastAsia="Calibri" w:hint="eastAsia"/>
          <w:rtl/>
        </w:rPr>
        <w:t>אחד</w:t>
      </w:r>
      <w:r w:rsidRPr="001F2586">
        <w:rPr>
          <w:rFonts w:eastAsia="Calibri"/>
          <w:rtl/>
        </w:rPr>
        <w:t xml:space="preserve"> </w:t>
      </w:r>
      <w:r w:rsidRPr="001F2586">
        <w:rPr>
          <w:rFonts w:eastAsia="Calibri" w:hint="eastAsia"/>
          <w:rtl/>
        </w:rPr>
        <w:t>עם</w:t>
      </w:r>
      <w:r w:rsidRPr="001F2586">
        <w:rPr>
          <w:rFonts w:eastAsia="Calibri"/>
          <w:rtl/>
        </w:rPr>
        <w:t xml:space="preserve"> </w:t>
      </w:r>
      <w:r w:rsidRPr="001F2586">
        <w:rPr>
          <w:rFonts w:eastAsia="Calibri" w:hint="eastAsia"/>
          <w:rtl/>
        </w:rPr>
        <w:t>הנורמות</w:t>
      </w:r>
      <w:r w:rsidRPr="001F2586">
        <w:rPr>
          <w:rFonts w:eastAsia="Calibri"/>
          <w:rtl/>
        </w:rPr>
        <w:t xml:space="preserve"> </w:t>
      </w:r>
      <w:r w:rsidRPr="001F2586">
        <w:rPr>
          <w:rFonts w:eastAsia="Calibri" w:hint="eastAsia"/>
          <w:rtl/>
        </w:rPr>
        <w:t>והסטנדרטים</w:t>
      </w:r>
      <w:r w:rsidRPr="001F2586">
        <w:rPr>
          <w:rFonts w:eastAsia="Calibri"/>
          <w:rtl/>
        </w:rPr>
        <w:t xml:space="preserve"> </w:t>
      </w:r>
      <w:r w:rsidRPr="001F2586">
        <w:rPr>
          <w:rFonts w:eastAsia="Calibri" w:hint="eastAsia"/>
          <w:rtl/>
        </w:rPr>
        <w:t>הנהוגים</w:t>
      </w:r>
      <w:r w:rsidRPr="001F2586">
        <w:rPr>
          <w:rFonts w:eastAsia="Calibri"/>
          <w:rtl/>
        </w:rPr>
        <w:t xml:space="preserve"> </w:t>
      </w:r>
      <w:r w:rsidRPr="001F2586">
        <w:rPr>
          <w:rFonts w:eastAsia="Calibri" w:hint="eastAsia"/>
          <w:rtl/>
        </w:rPr>
        <w:t>במדינות</w:t>
      </w:r>
      <w:r w:rsidRPr="001F2586">
        <w:rPr>
          <w:rFonts w:eastAsia="Calibri"/>
          <w:rtl/>
        </w:rPr>
        <w:t xml:space="preserve"> </w:t>
      </w:r>
      <w:r w:rsidRPr="001F2586">
        <w:rPr>
          <w:rFonts w:eastAsia="Calibri" w:hint="eastAsia"/>
          <w:rtl/>
        </w:rPr>
        <w:t>מפותחות</w:t>
      </w:r>
      <w:r w:rsidRPr="001F2586">
        <w:rPr>
          <w:rFonts w:eastAsia="Calibri"/>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בניתוח שהציג בנק ישראל במכתב התגובה על השינוי בשיעור החזר מהכנסה על הלוואות שנלקחו בשנים 2017 - 2022 עלה כי בהלוואות שנלקחו בשנים 2017 - 2020 שיעור ההחזר מהכנסה (</w:t>
      </w:r>
      <w:r w:rsidRPr="001F2586">
        <w:rPr>
          <w:rFonts w:eastAsia="Calibri" w:hint="cs"/>
        </w:rPr>
        <w:t>PTI</w:t>
      </w:r>
      <w:r w:rsidRPr="001F2586">
        <w:rPr>
          <w:rFonts w:eastAsia="Calibri" w:hint="cs"/>
          <w:rtl/>
        </w:rPr>
        <w:t xml:space="preserve"> מתוקנן)</w:t>
      </w:r>
      <w:r>
        <w:rPr>
          <w:rFonts w:eastAsia="Calibri"/>
          <w:vertAlign w:val="superscript"/>
          <w:rtl/>
        </w:rPr>
        <w:footnoteReference w:id="246"/>
      </w:r>
      <w:r w:rsidRPr="001F2586">
        <w:rPr>
          <w:rFonts w:eastAsia="Calibri" w:hint="cs"/>
          <w:rtl/>
        </w:rPr>
        <w:t xml:space="preserve"> ירד בטווח של כ-1.7% - 4.9% ועבור הלוואות שנלקחו בשנים 2021 - 2022 שיעורו עלה בטווח של כ-0.3% - 1.1%. לכן, עולה כי במקביל לעליית ההחזר החודשי עלתה גם ההכנסה של הלווים, כך שבעבור לווים שלקחו הלוואות בשנים 2017 - 2020 ירד שיעור ההחזר מההכנסה בפועל (מאחר שההכנסה עלתה יותר מההחזרים) ועבור לווים שלקחו הלוואות בשנים 2021 - 2022 עלה מעט שיעור ההחזר מההכנסה בפועל לנוכח הגידול בהחזרים</w:t>
      </w:r>
      <w:r>
        <w:rPr>
          <w:rFonts w:eastAsia="Calibri"/>
          <w:vertAlign w:val="superscript"/>
          <w:rtl/>
        </w:rPr>
        <w:footnoteReference w:id="247"/>
      </w:r>
      <w:r w:rsidRPr="001F2586">
        <w:rPr>
          <w:rFonts w:eastAsia="Calibri" w:hint="cs"/>
          <w:rtl/>
        </w:rPr>
        <w:t>.</w:t>
      </w:r>
    </w:p>
    <w:p w:rsidR="00260379" w:rsidP="001F2586">
      <w:pPr>
        <w:spacing w:line="269" w:lineRule="auto"/>
        <w:ind w:left="-567"/>
        <w:rPr>
          <w:rFonts w:eastAsia="Calibri"/>
          <w:szCs w:val="20"/>
          <w:rtl/>
        </w:rPr>
      </w:pPr>
      <w:bookmarkStart w:id="70" w:name="_Hlk224458407"/>
    </w:p>
    <w:p w:rsidR="001F2586" w:rsidRPr="001F2586" w:rsidP="001F2586">
      <w:pPr>
        <w:spacing w:line="269" w:lineRule="auto"/>
        <w:rPr>
          <w:rFonts w:eastAsia="Calibri"/>
          <w:b/>
          <w:bCs/>
          <w:rtl/>
        </w:rPr>
      </w:pPr>
      <w:bookmarkStart w:id="71" w:name="_Hlk225169939"/>
      <w:r w:rsidRPr="001F2586">
        <w:rPr>
          <w:rFonts w:eastAsia="Calibri" w:hint="eastAsia"/>
          <w:b/>
          <w:bCs/>
          <w:rtl/>
        </w:rPr>
        <w:t>ביום</w:t>
      </w:r>
      <w:r w:rsidRPr="001F2586">
        <w:rPr>
          <w:rFonts w:eastAsia="Calibri" w:hint="cs"/>
          <w:b/>
          <w:bCs/>
          <w:rtl/>
        </w:rPr>
        <w:t xml:space="preserve"> 13.1.26</w:t>
      </w:r>
      <w:r w:rsidRPr="001F2586">
        <w:rPr>
          <w:rFonts w:eastAsia="Calibri"/>
          <w:b/>
          <w:bCs/>
          <w:rtl/>
        </w:rPr>
        <w:t xml:space="preserve"> </w:t>
      </w:r>
      <w:r w:rsidRPr="001F2586">
        <w:rPr>
          <w:rFonts w:eastAsia="Calibri" w:hint="eastAsia"/>
          <w:b/>
          <w:bCs/>
          <w:rtl/>
        </w:rPr>
        <w:t>הופץ</w:t>
      </w:r>
      <w:r w:rsidRPr="001F2586">
        <w:rPr>
          <w:rFonts w:eastAsia="Calibri"/>
          <w:b/>
          <w:bCs/>
          <w:rtl/>
        </w:rPr>
        <w:t xml:space="preserve"> </w:t>
      </w:r>
      <w:r w:rsidRPr="001F2586">
        <w:rPr>
          <w:rFonts w:eastAsia="Calibri" w:hint="eastAsia"/>
          <w:b/>
          <w:bCs/>
          <w:rtl/>
        </w:rPr>
        <w:t>תזכיר</w:t>
      </w:r>
      <w:r w:rsidRPr="001F2586">
        <w:rPr>
          <w:rFonts w:eastAsia="Calibri"/>
          <w:b/>
          <w:bCs/>
          <w:rtl/>
        </w:rPr>
        <w:t xml:space="preserve"> </w:t>
      </w:r>
      <w:r w:rsidRPr="001F2586">
        <w:rPr>
          <w:rFonts w:eastAsia="Calibri" w:hint="eastAsia"/>
          <w:b/>
          <w:bCs/>
          <w:rtl/>
        </w:rPr>
        <w:t>חוק</w:t>
      </w:r>
      <w:r w:rsidRPr="001F2586">
        <w:rPr>
          <w:rFonts w:eastAsia="Calibri"/>
          <w:b/>
          <w:bCs/>
          <w:rtl/>
        </w:rPr>
        <w:t xml:space="preserve"> </w:t>
      </w:r>
      <w:r w:rsidRPr="001F2586">
        <w:rPr>
          <w:rFonts w:eastAsia="Calibri" w:hint="eastAsia"/>
          <w:b/>
          <w:bCs/>
          <w:rtl/>
        </w:rPr>
        <w:t>סיוע</w:t>
      </w:r>
      <w:r w:rsidRPr="001F2586">
        <w:rPr>
          <w:rFonts w:eastAsia="Calibri"/>
          <w:b/>
          <w:bCs/>
          <w:rtl/>
        </w:rPr>
        <w:t xml:space="preserve"> </w:t>
      </w:r>
      <w:r w:rsidRPr="001F2586">
        <w:rPr>
          <w:rFonts w:eastAsia="Calibri" w:hint="eastAsia"/>
          <w:b/>
          <w:bCs/>
          <w:rtl/>
        </w:rPr>
        <w:t>לנוטלי</w:t>
      </w:r>
      <w:r w:rsidRPr="001F2586">
        <w:rPr>
          <w:rFonts w:eastAsia="Calibri"/>
          <w:b/>
          <w:bCs/>
          <w:rtl/>
        </w:rPr>
        <w:t xml:space="preserve"> הלוואות לדיור עקב עליית </w:t>
      </w:r>
      <w:r w:rsidRPr="001F2586">
        <w:rPr>
          <w:rFonts w:eastAsia="Calibri" w:hint="eastAsia"/>
          <w:b/>
          <w:bCs/>
          <w:rtl/>
        </w:rPr>
        <w:t>הריבית</w:t>
      </w:r>
      <w:r w:rsidRPr="001F2586">
        <w:rPr>
          <w:rFonts w:eastAsia="Calibri"/>
          <w:b/>
          <w:bCs/>
          <w:rtl/>
        </w:rPr>
        <w:t xml:space="preserve"> ע"י המועצה הלא</w:t>
      </w:r>
      <w:r w:rsidRPr="001F2586">
        <w:rPr>
          <w:rFonts w:eastAsia="Calibri" w:hint="eastAsia"/>
          <w:b/>
          <w:bCs/>
          <w:rtl/>
        </w:rPr>
        <w:t>ומית</w:t>
      </w:r>
      <w:r w:rsidRPr="001F2586">
        <w:rPr>
          <w:rFonts w:eastAsia="Calibri"/>
          <w:b/>
          <w:bCs/>
          <w:rtl/>
        </w:rPr>
        <w:t xml:space="preserve"> </w:t>
      </w:r>
      <w:r w:rsidRPr="001F2586">
        <w:rPr>
          <w:rFonts w:eastAsia="Calibri" w:hint="eastAsia"/>
          <w:b/>
          <w:bCs/>
          <w:rtl/>
        </w:rPr>
        <w:t>לכלכלה</w:t>
      </w:r>
      <w:r w:rsidRPr="001F2586">
        <w:rPr>
          <w:rFonts w:eastAsia="Calibri"/>
          <w:b/>
          <w:bCs/>
          <w:rtl/>
        </w:rPr>
        <w:t xml:space="preserve"> להערות הציבור,</w:t>
      </w:r>
      <w:r w:rsidRPr="001F2586">
        <w:rPr>
          <w:rFonts w:eastAsia="Calibri" w:hint="cs"/>
          <w:b/>
          <w:bCs/>
          <w:rtl/>
        </w:rPr>
        <w:t xml:space="preserve"> לפיו </w:t>
      </w:r>
      <w:r w:rsidRPr="001F2586">
        <w:rPr>
          <w:rFonts w:eastAsia="Calibri"/>
          <w:b/>
          <w:bCs/>
          <w:rtl/>
        </w:rPr>
        <w:t>סכום המענק החודשי ל</w:t>
      </w:r>
      <w:r w:rsidRPr="001F2586">
        <w:rPr>
          <w:rFonts w:eastAsia="Calibri" w:hint="cs"/>
          <w:b/>
          <w:bCs/>
          <w:rtl/>
        </w:rPr>
        <w:t xml:space="preserve">לווה </w:t>
      </w:r>
      <w:r w:rsidRPr="001F2586">
        <w:rPr>
          <w:rFonts w:eastAsia="Calibri"/>
          <w:b/>
          <w:bCs/>
          <w:rtl/>
        </w:rPr>
        <w:t xml:space="preserve">זכאי ייקבע </w:t>
      </w:r>
      <w:r w:rsidRPr="001F2586">
        <w:rPr>
          <w:rFonts w:eastAsia="Calibri" w:hint="cs"/>
          <w:b/>
          <w:bCs/>
          <w:rtl/>
        </w:rPr>
        <w:t>בהתאם</w:t>
      </w:r>
      <w:r w:rsidRPr="001F2586">
        <w:rPr>
          <w:rFonts w:eastAsia="Calibri"/>
          <w:b/>
          <w:bCs/>
          <w:rtl/>
        </w:rPr>
        <w:t xml:space="preserve"> </w:t>
      </w:r>
      <w:r w:rsidRPr="001F2586">
        <w:rPr>
          <w:rFonts w:eastAsia="Calibri" w:hint="cs"/>
          <w:b/>
          <w:bCs/>
          <w:rtl/>
        </w:rPr>
        <w:t>ל</w:t>
      </w:r>
      <w:r w:rsidRPr="001F2586">
        <w:rPr>
          <w:rFonts w:eastAsia="Calibri"/>
          <w:b/>
          <w:bCs/>
          <w:rtl/>
        </w:rPr>
        <w:t>עלייה בהחזר החודשי</w:t>
      </w:r>
      <w:r w:rsidRPr="001F2586">
        <w:rPr>
          <w:rFonts w:eastAsia="Calibri" w:hint="cs"/>
          <w:b/>
          <w:bCs/>
          <w:rtl/>
        </w:rPr>
        <w:t xml:space="preserve"> של הלווה </w:t>
      </w:r>
      <w:r w:rsidRPr="001F2586">
        <w:rPr>
          <w:rFonts w:eastAsia="Calibri"/>
          <w:b/>
          <w:bCs/>
          <w:rtl/>
        </w:rPr>
        <w:t>ושווי הדירה בעת נטילת ההלוואה לדיור ביחס למחיר דירה ממוצע</w:t>
      </w:r>
      <w:r>
        <w:rPr>
          <w:rFonts w:eastAsia="Calibri"/>
          <w:b/>
          <w:bCs/>
          <w:vertAlign w:val="superscript"/>
          <w:rtl/>
        </w:rPr>
        <w:footnoteReference w:id="248"/>
      </w:r>
      <w:r w:rsidRPr="001F2586">
        <w:rPr>
          <w:rFonts w:eastAsia="Calibri" w:hint="cs"/>
          <w:b/>
          <w:bCs/>
          <w:rtl/>
        </w:rPr>
        <w:t xml:space="preserve">. יצוין כי ב-23.3.26 הונחה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שולחן</w:t>
      </w:r>
      <w:r w:rsidRPr="001F2586">
        <w:rPr>
          <w:rFonts w:eastAsia="Calibri"/>
          <w:b/>
          <w:bCs/>
          <w:rtl/>
        </w:rPr>
        <w:t xml:space="preserve"> </w:t>
      </w:r>
      <w:r w:rsidRPr="001F2586">
        <w:rPr>
          <w:rFonts w:eastAsia="Calibri" w:hint="eastAsia"/>
          <w:b/>
          <w:bCs/>
          <w:rtl/>
        </w:rPr>
        <w:t>ה</w:t>
      </w:r>
      <w:r w:rsidRPr="001F2586">
        <w:rPr>
          <w:rFonts w:eastAsia="Calibri" w:hint="cs"/>
          <w:b/>
          <w:bCs/>
          <w:rtl/>
        </w:rPr>
        <w:t>כנסת הצעת חוק לדיון מוקדם</w:t>
      </w:r>
      <w:r>
        <w:rPr>
          <w:rFonts w:eastAsia="Calibri"/>
          <w:b/>
          <w:bCs/>
          <w:vertAlign w:val="superscript"/>
          <w:rtl/>
        </w:rPr>
        <w:footnoteReference w:id="249"/>
      </w:r>
      <w:r w:rsidRPr="001F2586">
        <w:rPr>
          <w:rFonts w:eastAsia="Calibri" w:hint="cs"/>
          <w:b/>
          <w:bCs/>
          <w:rtl/>
        </w:rPr>
        <w:t xml:space="preserve"> וכי ב-31.3.26 החליטה הממשלה </w:t>
      </w:r>
      <w:r w:rsidRPr="001F2586">
        <w:rPr>
          <w:rFonts w:eastAsia="Calibri" w:hint="eastAsia"/>
          <w:b/>
          <w:bCs/>
          <w:rtl/>
        </w:rPr>
        <w:t>לאשר</w:t>
      </w:r>
      <w:r w:rsidRPr="001F2586">
        <w:rPr>
          <w:rFonts w:eastAsia="Calibri"/>
          <w:b/>
          <w:bCs/>
          <w:rtl/>
        </w:rPr>
        <w:t xml:space="preserve"> עקרונית את </w:t>
      </w:r>
      <w:r w:rsidRPr="001F2586">
        <w:rPr>
          <w:rFonts w:eastAsia="Calibri" w:hint="eastAsia"/>
          <w:b/>
          <w:bCs/>
          <w:rtl/>
        </w:rPr>
        <w:t>טיוטת</w:t>
      </w:r>
      <w:r w:rsidRPr="001F2586">
        <w:rPr>
          <w:rFonts w:eastAsia="Calibri"/>
          <w:b/>
          <w:bCs/>
          <w:rtl/>
        </w:rPr>
        <w:t xml:space="preserve"> </w:t>
      </w:r>
      <w:r w:rsidRPr="001F2586">
        <w:rPr>
          <w:rFonts w:eastAsia="Calibri" w:hint="eastAsia"/>
          <w:b/>
          <w:bCs/>
          <w:rtl/>
        </w:rPr>
        <w:t>החוק</w:t>
      </w:r>
      <w:r w:rsidRPr="001F2586">
        <w:rPr>
          <w:rFonts w:eastAsia="Calibri" w:hint="cs"/>
          <w:b/>
          <w:bCs/>
          <w:rtl/>
        </w:rPr>
        <w:t xml:space="preserve"> </w:t>
      </w:r>
      <w:r>
        <w:rPr>
          <w:rFonts w:eastAsia="Calibri"/>
          <w:b/>
          <w:bCs/>
          <w:vertAlign w:val="superscript"/>
          <w:rtl/>
        </w:rPr>
        <w:footnoteReference w:id="250"/>
      </w:r>
      <w:r w:rsidRPr="001F2586">
        <w:rPr>
          <w:rFonts w:eastAsia="Calibri" w:hint="cs"/>
          <w:b/>
          <w:bCs/>
          <w:rtl/>
        </w:rPr>
        <w:t xml:space="preserve"> ולהסמיך ועדת שרים לאשר את </w:t>
      </w:r>
      <w:r w:rsidRPr="001F2586">
        <w:rPr>
          <w:rFonts w:eastAsia="Calibri" w:hint="eastAsia"/>
          <w:b/>
          <w:bCs/>
          <w:rtl/>
        </w:rPr>
        <w:t>נוסחה</w:t>
      </w:r>
      <w:r w:rsidRPr="001F2586">
        <w:rPr>
          <w:rFonts w:eastAsia="Calibri"/>
          <w:b/>
          <w:bCs/>
          <w:rtl/>
        </w:rPr>
        <w:t xml:space="preserve"> </w:t>
      </w:r>
      <w:r w:rsidRPr="001F2586">
        <w:rPr>
          <w:rFonts w:eastAsia="Calibri" w:hint="eastAsia"/>
          <w:b/>
          <w:bCs/>
          <w:rtl/>
        </w:rPr>
        <w:t>הסופי</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טיוטת</w:t>
      </w:r>
      <w:r w:rsidRPr="001F2586">
        <w:rPr>
          <w:rFonts w:eastAsia="Calibri"/>
          <w:b/>
          <w:bCs/>
          <w:rtl/>
        </w:rPr>
        <w:t xml:space="preserve"> </w:t>
      </w:r>
      <w:r w:rsidRPr="001F2586">
        <w:rPr>
          <w:rFonts w:eastAsia="Calibri" w:hint="eastAsia"/>
          <w:b/>
          <w:bCs/>
          <w:rtl/>
        </w:rPr>
        <w:t>החוק</w:t>
      </w:r>
      <w:r w:rsidRPr="001F2586">
        <w:rPr>
          <w:rFonts w:eastAsia="Calibri" w:hint="cs"/>
          <w:b/>
          <w:bCs/>
          <w:rtl/>
        </w:rPr>
        <w:t>, וזאת לאחר "...</w:t>
      </w:r>
      <w:r w:rsidRPr="001F2586">
        <w:rPr>
          <w:rFonts w:eastAsia="Calibri"/>
          <w:b/>
          <w:bCs/>
          <w:rtl/>
        </w:rPr>
        <w:t>קיום דיון ייעודי ופרונטלי אליו יזומנו כל גורמי המקצוע הרלוונטיים ויישלח זימון לכל חברי הממשלה</w:t>
      </w:r>
      <w:r w:rsidRPr="001F2586">
        <w:rPr>
          <w:rFonts w:eastAsia="Calibri" w:hint="cs"/>
          <w:b/>
          <w:bCs/>
          <w:rtl/>
        </w:rPr>
        <w:t>"</w:t>
      </w:r>
      <w:r w:rsidRPr="001F2586">
        <w:rPr>
          <w:rFonts w:eastAsia="Calibri"/>
          <w:b/>
          <w:bCs/>
          <w:rtl/>
        </w:rPr>
        <w:t>.</w:t>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עוד</w:t>
      </w:r>
      <w:r w:rsidRPr="001F2586">
        <w:rPr>
          <w:rFonts w:eastAsia="Calibri" w:hint="cs"/>
          <w:b/>
          <w:bCs/>
          <w:rtl/>
        </w:rPr>
        <w:t xml:space="preserve"> יצוין כי נכון לתחילת יוני 2026 טרם התקיים דיון בוועדת השרים ל</w:t>
      </w:r>
      <w:r w:rsidRPr="001F2586">
        <w:rPr>
          <w:rFonts w:eastAsia="Calibri" w:hint="eastAsia"/>
          <w:b/>
          <w:bCs/>
          <w:rtl/>
        </w:rPr>
        <w:t>ענייני</w:t>
      </w:r>
      <w:r w:rsidRPr="001F2586">
        <w:rPr>
          <w:rFonts w:eastAsia="Calibri" w:hint="cs"/>
          <w:b/>
          <w:bCs/>
          <w:rtl/>
        </w:rPr>
        <w:t xml:space="preserve"> חקיקה על </w:t>
      </w:r>
      <w:r w:rsidRPr="001F2586">
        <w:rPr>
          <w:rFonts w:eastAsia="Calibri" w:hint="eastAsia"/>
          <w:b/>
          <w:bCs/>
          <w:rtl/>
        </w:rPr>
        <w:t>הצעת</w:t>
      </w:r>
      <w:r w:rsidRPr="001F2586">
        <w:rPr>
          <w:rFonts w:eastAsia="Calibri" w:hint="cs"/>
          <w:b/>
          <w:bCs/>
          <w:rtl/>
        </w:rPr>
        <w:t xml:space="preserve"> החוק.</w:t>
      </w:r>
    </w:p>
    <w:p w:rsidR="001F2586" w:rsidRPr="001F2586" w:rsidP="001F2586">
      <w:pPr>
        <w:spacing w:line="269" w:lineRule="auto"/>
        <w:rPr>
          <w:rFonts w:eastAsia="Calibri"/>
          <w:rtl/>
        </w:rPr>
      </w:pPr>
      <w:r w:rsidRPr="001F2586">
        <w:rPr>
          <w:rFonts w:eastAsia="Calibri" w:hint="cs"/>
          <w:rtl/>
        </w:rPr>
        <w:t>בתשובת המועצה הלאומית לכלכלה צוין כי משרד האוצר ובנק ישראל שותפו בהכנת פרסום תזכיר החוק, הן לפניו והן לאחריו, וכי לפני הדיון אצל ראש הממשלה שהתקיים ב-13.11.25, שבו ניתנה הסכמת שר האוצר כי משרד ראש הממשלה יקדם את כתיבת תזכיר החוק, התקיימו מספר דיונים עם משרד האוצר, לרבות הדרגים המקצועיים שבו, וב-1.12.25 השתתף בדיון גם המפקח על הבנקים. עוד ציינה המועצה הלאומית לכלכלה בתשובתה כי המשיכה לשלב ולערב את כל גורמי המקצוע במשרד האוצר ובבנק ישראל גם לאחר פרסום תזכיר החוק ב-13.1.26.</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הכלכלן הראשי מסר למשרד מבקר המדינה ביוני 2026 כי קיבל טיוטה ראשונה של הצעת החוק בנובמבר 2025, וכי החל מאמצע נובמבר 2025 התקיימו פגישות שונות עם המועצה הלאומית לכלכלה בהן השתתף הכלכלן הראשי או נציגים מטעמו. הכלכלן ציין כי כל טענותיהם נשמעו, ואף נשלחה עמדה מקצועית משותפת של משרד האוצר למועצה הלאומית לכלכלה בנושא, וכי "...בהחלט נותרו מחלוקות מהותיות לאחר הדיונים". בתשובת הכלכלן הראשי ממאי 2026 צוין כי בהיעדרו של מקור תקציבי הוא עומד על התנגדותו להצעת המועצה לסבסוד לווי משכנתאות.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אגף תקציבים מסר בתשובתו מיוני 2026 כי "</w:t>
      </w:r>
      <w:r w:rsidRPr="001F2586">
        <w:rPr>
          <w:rFonts w:eastAsia="Calibri"/>
          <w:rtl/>
        </w:rPr>
        <w:t>הצעת החוק קודמה על ידי המועצה הלאומית לכלכלה ללא תיאום עם משרד האוצר או בנק ישראל</w:t>
      </w:r>
      <w:r w:rsidRPr="001F2586">
        <w:rPr>
          <w:rFonts w:eastAsia="Calibri"/>
        </w:rPr>
        <w:t>,</w:t>
      </w:r>
      <w:r w:rsidRPr="001F2586">
        <w:rPr>
          <w:rFonts w:eastAsia="Calibri"/>
          <w:rtl/>
        </w:rPr>
        <w:t xml:space="preserve"> ללא עבודה מקצועית משותפת ולא על בסיס נתונים שנמצאים בידינו. כמו כן, פרסום תזכיר החוק להערות הציבור בוצע ללא תיאום עם גורמי המקצוע במשרד האוצר, למרות עמדה מקצועית שנשלחה למועצה בעניין קידום הסיוע המוצע. במהלך הערות הציבור נשלחה עמד</w:t>
      </w:r>
      <w:r w:rsidRPr="001F2586">
        <w:rPr>
          <w:rFonts w:eastAsia="Calibri" w:hint="cs"/>
          <w:rtl/>
        </w:rPr>
        <w:t>ה</w:t>
      </w:r>
      <w:r w:rsidRPr="001F2586">
        <w:rPr>
          <w:rFonts w:eastAsia="Calibri"/>
          <w:rtl/>
        </w:rPr>
        <w:t xml:space="preserve"> מעודכנת של אגפי משרד האוצר לצד הערות לנוסח החוק גופה </w:t>
      </w:r>
      <w:r w:rsidRPr="001F2586">
        <w:rPr>
          <w:rFonts w:eastAsia="Calibri" w:hint="cs"/>
          <w:rtl/>
        </w:rPr>
        <w:t>-</w:t>
      </w:r>
      <w:r w:rsidRPr="001F2586">
        <w:rPr>
          <w:rFonts w:eastAsia="Calibri"/>
          <w:rtl/>
        </w:rPr>
        <w:t xml:space="preserve"> גם הם נותרו ללא מענה מקצועי מהמועצה הלאומית לכלכלה</w:t>
      </w:r>
      <w:r w:rsidRPr="001F2586">
        <w:rPr>
          <w:rFonts w:eastAsia="Calibri"/>
        </w:rPr>
        <w:t>.</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עוד צוין בתשובה כי "</w:t>
      </w:r>
      <w:r w:rsidRPr="001F2586">
        <w:rPr>
          <w:rFonts w:eastAsia="Calibri"/>
          <w:rtl/>
        </w:rPr>
        <w:t>התקיימו מספר פגישות בהשתתפותנו בחודשים אפריל-מאי 2026 סביב הצעת החוק יחד עם כל גורמי המקצוע הרלוונטיים</w:t>
      </w:r>
      <w:r w:rsidRPr="001F2586">
        <w:rPr>
          <w:rFonts w:eastAsia="Calibri" w:hint="cs"/>
          <w:rtl/>
        </w:rPr>
        <w:t>...</w:t>
      </w:r>
      <w:r w:rsidR="00480481">
        <w:rPr>
          <w:rFonts w:eastAsia="Calibri" w:hint="cs"/>
          <w:rtl/>
        </w:rPr>
        <w:t xml:space="preserve"> </w:t>
      </w:r>
      <w:r w:rsidRPr="001F2586">
        <w:rPr>
          <w:rFonts w:eastAsia="Calibri"/>
          <w:rtl/>
        </w:rPr>
        <w:t>חלק מהקשיים שהועלו בנוסח החוק אכן נדונו, והשיח אף הוביל את המועצה לכלכלה להציע שינויים במודל המענק בהצעת החוק, אך טרם הצלחנו להגיע להסכמות בנושאים המהותיים</w:t>
      </w:r>
      <w:r w:rsidRPr="001F2586">
        <w:rPr>
          <w:rFonts w:eastAsia="Calibri" w:hint="cs"/>
          <w:rtl/>
        </w:rPr>
        <w:t>.</w:t>
      </w:r>
      <w:r w:rsidRPr="001F2586">
        <w:rPr>
          <w:rFonts w:eastAsia="Calibri"/>
        </w:rPr>
        <w:t xml:space="preserve"> </w:t>
      </w:r>
      <w:r w:rsidRPr="001F2586">
        <w:rPr>
          <w:rFonts w:eastAsia="Calibri"/>
          <w:rtl/>
        </w:rPr>
        <w:t xml:space="preserve">גם פה, טרם השלמת השיח המקצועי והסכמה על פתרונות לכל הבעיות שהמועצה הלאומית לכלכלה הכירה בהן כבעיות בעצמה </w:t>
      </w:r>
      <w:r w:rsidRPr="001F2586">
        <w:rPr>
          <w:rFonts w:eastAsia="Calibri" w:hint="cs"/>
          <w:rtl/>
        </w:rPr>
        <w:t>-</w:t>
      </w:r>
      <w:r w:rsidRPr="001F2586">
        <w:rPr>
          <w:rFonts w:eastAsia="Calibri"/>
          <w:rtl/>
        </w:rPr>
        <w:t xml:space="preserve"> הופץ נוסח של הצעת חוק </w:t>
      </w:r>
      <w:r w:rsidRPr="001F2586">
        <w:rPr>
          <w:rFonts w:eastAsia="Calibri"/>
          <w:rtl/>
        </w:rPr>
        <w:t>לועדת</w:t>
      </w:r>
      <w:r w:rsidRPr="001F2586">
        <w:rPr>
          <w:rFonts w:eastAsia="Calibri"/>
          <w:rtl/>
        </w:rPr>
        <w:t xml:space="preserve"> שרים, עם תיקונים שלא הכרנו ושינויי מנגנון שלא שוקפו בנוסח עד ההפצה של ועדת השרי</w:t>
      </w:r>
      <w:r w:rsidRPr="001F2586">
        <w:rPr>
          <w:rFonts w:eastAsia="Calibri" w:hint="cs"/>
          <w:rtl/>
        </w:rPr>
        <w:t>ם".</w:t>
      </w:r>
    </w:p>
    <w:p w:rsidR="001F2586" w:rsidRPr="001F2586" w:rsidP="001F2586">
      <w:pPr>
        <w:spacing w:line="269" w:lineRule="auto"/>
        <w:rPr>
          <w:rFonts w:eastAsia="Calibri"/>
          <w:rtl/>
        </w:rPr>
      </w:pPr>
      <w:bookmarkStart w:id="72" w:name="_Hlk224049849"/>
      <w:bookmarkEnd w:id="70"/>
      <w:bookmarkEnd w:id="71"/>
    </w:p>
    <w:p w:rsidR="001F2586" w:rsidRPr="001F2586" w:rsidP="001F2586">
      <w:pPr>
        <w:spacing w:line="269" w:lineRule="auto"/>
        <w:rPr>
          <w:rFonts w:eastAsia="Calibri"/>
          <w:rtl/>
        </w:rPr>
      </w:pPr>
      <w:r w:rsidRPr="001F2586">
        <w:rPr>
          <w:rFonts w:eastAsia="Calibri" w:hint="cs"/>
          <w:rtl/>
        </w:rPr>
        <w:t xml:space="preserve">יצוין כי </w:t>
      </w:r>
      <w:r w:rsidRPr="001F2586">
        <w:rPr>
          <w:rFonts w:eastAsia="Calibri" w:hint="eastAsia"/>
          <w:rtl/>
        </w:rPr>
        <w:t>ל</w:t>
      </w:r>
      <w:r w:rsidRPr="001F2586">
        <w:rPr>
          <w:rFonts w:eastAsia="Calibri" w:hint="cs"/>
          <w:rtl/>
        </w:rPr>
        <w:t xml:space="preserve">דברי </w:t>
      </w:r>
      <w:r w:rsidRPr="001F2586">
        <w:rPr>
          <w:rFonts w:eastAsia="Calibri" w:hint="eastAsia"/>
          <w:rtl/>
        </w:rPr>
        <w:t>בנק</w:t>
      </w:r>
      <w:r w:rsidRPr="001F2586">
        <w:rPr>
          <w:rFonts w:eastAsia="Calibri"/>
          <w:rtl/>
        </w:rPr>
        <w:t xml:space="preserve"> ישראל ונציגי משרד האוצר </w:t>
      </w:r>
      <w:r w:rsidRPr="001F2586">
        <w:rPr>
          <w:rFonts w:eastAsia="Calibri" w:hint="eastAsia"/>
          <w:rtl/>
        </w:rPr>
        <w:t>סבסוד</w:t>
      </w:r>
      <w:r w:rsidRPr="001F2586">
        <w:rPr>
          <w:rFonts w:eastAsia="Calibri"/>
          <w:rtl/>
        </w:rPr>
        <w:t xml:space="preserve"> לווי משכנתאות </w:t>
      </w:r>
      <w:r w:rsidRPr="001F2586">
        <w:rPr>
          <w:rFonts w:eastAsia="Calibri" w:hint="eastAsia"/>
          <w:rtl/>
        </w:rPr>
        <w:t>עלול</w:t>
      </w:r>
      <w:r w:rsidRPr="001F2586">
        <w:rPr>
          <w:rFonts w:eastAsia="Calibri"/>
          <w:rtl/>
        </w:rPr>
        <w:t xml:space="preserve"> </w:t>
      </w:r>
      <w:r w:rsidRPr="001F2586">
        <w:rPr>
          <w:rFonts w:eastAsia="Calibri" w:hint="eastAsia"/>
          <w:rtl/>
        </w:rPr>
        <w:t>לפגוע</w:t>
      </w:r>
      <w:r w:rsidRPr="001F2586">
        <w:rPr>
          <w:rFonts w:eastAsia="Calibri"/>
          <w:rtl/>
        </w:rPr>
        <w:t xml:space="preserve"> </w:t>
      </w:r>
      <w:r w:rsidRPr="001F2586">
        <w:rPr>
          <w:rFonts w:eastAsia="Calibri" w:hint="eastAsia"/>
          <w:rtl/>
        </w:rPr>
        <w:t>במדיניות</w:t>
      </w:r>
      <w:r w:rsidRPr="001F2586">
        <w:rPr>
          <w:rFonts w:eastAsia="Calibri"/>
          <w:rtl/>
        </w:rPr>
        <w:t xml:space="preserve"> המוניטרית, שמתווה בנק ישראל, במעמדו ובתפקידו המרכזי - שמירה על יציבות מחירים ועמידה ביעד האינפלציה שקבעה הממשלה. </w:t>
      </w:r>
      <w:r w:rsidRPr="001F2586">
        <w:rPr>
          <w:rFonts w:eastAsia="Calibri" w:hint="cs"/>
          <w:rtl/>
        </w:rPr>
        <w:t xml:space="preserve">כמו כן, </w:t>
      </w:r>
      <w:r w:rsidRPr="001F2586">
        <w:rPr>
          <w:rFonts w:eastAsia="Calibri" w:hint="eastAsia"/>
          <w:rtl/>
        </w:rPr>
        <w:t>קידום</w:t>
      </w:r>
      <w:r w:rsidRPr="001F2586">
        <w:rPr>
          <w:rFonts w:eastAsia="Calibri"/>
          <w:rtl/>
        </w:rPr>
        <w:t xml:space="preserve"> </w:t>
      </w:r>
      <w:r w:rsidRPr="001F2586">
        <w:rPr>
          <w:rFonts w:eastAsia="Calibri" w:hint="eastAsia"/>
          <w:rtl/>
        </w:rPr>
        <w:t>צעד</w:t>
      </w:r>
      <w:r w:rsidRPr="001F2586">
        <w:rPr>
          <w:rFonts w:eastAsia="Calibri"/>
          <w:rtl/>
        </w:rPr>
        <w:t xml:space="preserve"> </w:t>
      </w:r>
      <w:r w:rsidRPr="001F2586">
        <w:rPr>
          <w:rFonts w:eastAsia="Calibri" w:hint="eastAsia"/>
          <w:rtl/>
        </w:rPr>
        <w:t>כאמור</w:t>
      </w:r>
      <w:r w:rsidRPr="001F2586">
        <w:rPr>
          <w:rFonts w:eastAsia="Calibri"/>
          <w:rtl/>
        </w:rPr>
        <w:t xml:space="preserve"> </w:t>
      </w:r>
      <w:r w:rsidRPr="001F2586">
        <w:rPr>
          <w:rFonts w:eastAsia="Calibri" w:hint="eastAsia"/>
          <w:rtl/>
        </w:rPr>
        <w:t>עלול</w:t>
      </w:r>
      <w:r w:rsidRPr="001F2586">
        <w:rPr>
          <w:rFonts w:eastAsia="Calibri"/>
          <w:rtl/>
        </w:rPr>
        <w:t xml:space="preserve"> </w:t>
      </w:r>
      <w:r w:rsidRPr="001F2586">
        <w:rPr>
          <w:rFonts w:eastAsia="Calibri" w:hint="eastAsia"/>
          <w:rtl/>
        </w:rPr>
        <w:t>להלהיט</w:t>
      </w:r>
      <w:r w:rsidRPr="001F2586">
        <w:rPr>
          <w:rFonts w:eastAsia="Calibri"/>
          <w:rtl/>
        </w:rPr>
        <w:t xml:space="preserve"> </w:t>
      </w:r>
      <w:r w:rsidRPr="001F2586">
        <w:rPr>
          <w:rFonts w:eastAsia="Calibri" w:hint="eastAsia"/>
          <w:rtl/>
        </w:rPr>
        <w:t>את</w:t>
      </w:r>
      <w:r w:rsidRPr="001F2586">
        <w:rPr>
          <w:rFonts w:eastAsia="Calibri"/>
          <w:rtl/>
        </w:rPr>
        <w:t xml:space="preserve"> </w:t>
      </w:r>
      <w:r w:rsidRPr="001F2586">
        <w:rPr>
          <w:rFonts w:eastAsia="Calibri" w:hint="eastAsia"/>
          <w:rtl/>
        </w:rPr>
        <w:t>הביקוש</w:t>
      </w:r>
      <w:r w:rsidRPr="001F2586">
        <w:rPr>
          <w:rFonts w:eastAsia="Calibri"/>
          <w:rtl/>
        </w:rPr>
        <w:t xml:space="preserve"> </w:t>
      </w:r>
      <w:r w:rsidRPr="001F2586">
        <w:rPr>
          <w:rFonts w:eastAsia="Calibri" w:hint="eastAsia"/>
          <w:rtl/>
        </w:rPr>
        <w:t>בשוק</w:t>
      </w:r>
      <w:r w:rsidRPr="001F2586">
        <w:rPr>
          <w:rFonts w:eastAsia="Calibri"/>
          <w:rtl/>
        </w:rPr>
        <w:t xml:space="preserve"> </w:t>
      </w:r>
      <w:r w:rsidRPr="001F2586">
        <w:rPr>
          <w:rFonts w:eastAsia="Calibri" w:hint="eastAsia"/>
          <w:rtl/>
        </w:rPr>
        <w:t>הדיור</w:t>
      </w:r>
      <w:r w:rsidRPr="001F2586">
        <w:rPr>
          <w:rFonts w:eastAsia="Calibri"/>
          <w:rtl/>
        </w:rPr>
        <w:t xml:space="preserve"> </w:t>
      </w:r>
      <w:r w:rsidRPr="001F2586">
        <w:rPr>
          <w:rFonts w:eastAsia="Calibri" w:hint="eastAsia"/>
          <w:rtl/>
        </w:rPr>
        <w:t>ולהוביל</w:t>
      </w:r>
      <w:r w:rsidRPr="001F2586">
        <w:rPr>
          <w:rFonts w:eastAsia="Calibri"/>
          <w:rtl/>
        </w:rPr>
        <w:t xml:space="preserve"> </w:t>
      </w:r>
      <w:r w:rsidRPr="001F2586">
        <w:rPr>
          <w:rFonts w:eastAsia="Calibri" w:hint="eastAsia"/>
          <w:rtl/>
        </w:rPr>
        <w:t>לעליית</w:t>
      </w:r>
      <w:r w:rsidRPr="001F2586">
        <w:rPr>
          <w:rFonts w:eastAsia="Calibri"/>
          <w:rtl/>
        </w:rPr>
        <w:t xml:space="preserve"> </w:t>
      </w:r>
      <w:r w:rsidRPr="001F2586">
        <w:rPr>
          <w:rFonts w:eastAsia="Calibri" w:hint="eastAsia"/>
          <w:rtl/>
        </w:rPr>
        <w:t>מחירים</w:t>
      </w:r>
      <w:r w:rsidRPr="001F2586">
        <w:rPr>
          <w:rFonts w:eastAsia="Calibri"/>
          <w:rtl/>
        </w:rPr>
        <w:t xml:space="preserve">, </w:t>
      </w:r>
      <w:r w:rsidRPr="001F2586">
        <w:rPr>
          <w:rFonts w:eastAsia="Calibri" w:hint="eastAsia"/>
          <w:rtl/>
        </w:rPr>
        <w:t>אגב</w:t>
      </w:r>
      <w:r w:rsidRPr="001F2586">
        <w:rPr>
          <w:rFonts w:eastAsia="Calibri"/>
          <w:rtl/>
        </w:rPr>
        <w:t xml:space="preserve"> </w:t>
      </w:r>
      <w:r w:rsidRPr="001F2586">
        <w:rPr>
          <w:rFonts w:eastAsia="Calibri" w:hint="eastAsia"/>
          <w:rtl/>
        </w:rPr>
        <w:t>שיבוש</w:t>
      </w:r>
      <w:r w:rsidRPr="001F2586">
        <w:rPr>
          <w:rFonts w:eastAsia="Calibri"/>
          <w:rtl/>
        </w:rPr>
        <w:t xml:space="preserve"> </w:t>
      </w:r>
      <w:r w:rsidRPr="001F2586">
        <w:rPr>
          <w:rFonts w:eastAsia="Calibri" w:hint="eastAsia"/>
          <w:rtl/>
        </w:rPr>
        <w:t>שוק</w:t>
      </w:r>
      <w:r w:rsidRPr="001F2586">
        <w:rPr>
          <w:rFonts w:eastAsia="Calibri"/>
          <w:rtl/>
        </w:rPr>
        <w:t xml:space="preserve"> </w:t>
      </w:r>
      <w:r w:rsidRPr="001F2586">
        <w:rPr>
          <w:rFonts w:eastAsia="Calibri" w:hint="eastAsia"/>
          <w:rtl/>
        </w:rPr>
        <w:t>מימון</w:t>
      </w:r>
      <w:r w:rsidRPr="001F2586">
        <w:rPr>
          <w:rFonts w:eastAsia="Calibri"/>
          <w:rtl/>
        </w:rPr>
        <w:t xml:space="preserve"> </w:t>
      </w:r>
      <w:r w:rsidRPr="001F2586">
        <w:rPr>
          <w:rFonts w:eastAsia="Calibri" w:hint="eastAsia"/>
          <w:rtl/>
        </w:rPr>
        <w:t>לדיור</w:t>
      </w:r>
      <w:r w:rsidRPr="001F2586">
        <w:rPr>
          <w:rFonts w:eastAsia="Calibri"/>
          <w:rtl/>
        </w:rPr>
        <w:t xml:space="preserve"> </w:t>
      </w:r>
      <w:r w:rsidRPr="001F2586">
        <w:rPr>
          <w:rFonts w:eastAsia="Calibri" w:hint="eastAsia"/>
          <w:rtl/>
        </w:rPr>
        <w:t>חופשי</w:t>
      </w:r>
      <w:r w:rsidRPr="001F2586">
        <w:rPr>
          <w:rFonts w:eastAsia="Calibri"/>
          <w:rtl/>
        </w:rPr>
        <w:t xml:space="preserve"> </w:t>
      </w:r>
      <w:r w:rsidRPr="001F2586">
        <w:rPr>
          <w:rFonts w:eastAsia="Calibri" w:hint="eastAsia"/>
          <w:rtl/>
        </w:rPr>
        <w:t>ותחרותי</w:t>
      </w:r>
      <w:r w:rsidRPr="001F2586">
        <w:rPr>
          <w:rFonts w:eastAsia="Calibri" w:hint="cs"/>
          <w:rtl/>
        </w:rPr>
        <w:t>.</w:t>
      </w:r>
    </w:p>
    <w:p w:rsidR="001F2586" w:rsidRPr="001F2586" w:rsidP="001F2586">
      <w:pPr>
        <w:spacing w:line="269" w:lineRule="auto"/>
        <w:ind w:left="-567"/>
        <w:rPr>
          <w:rFonts w:eastAsia="Calibri"/>
          <w:szCs w:val="20"/>
          <w:rtl/>
        </w:rPr>
      </w:pPr>
      <w:bookmarkStart w:id="73" w:name="_Hlk232066000"/>
    </w:p>
    <w:p w:rsidR="001F2586" w:rsidRPr="001F2586" w:rsidP="001F2586">
      <w:pPr>
        <w:spacing w:line="269" w:lineRule="auto"/>
        <w:rPr>
          <w:rFonts w:eastAsia="Calibri"/>
          <w:b/>
          <w:bCs/>
          <w:rtl/>
        </w:rPr>
      </w:pPr>
      <w:r w:rsidRPr="001F2586">
        <w:rPr>
          <w:rFonts w:eastAsia="Calibri" w:hint="eastAsia"/>
          <w:b/>
          <w:bCs/>
          <w:rtl/>
        </w:rPr>
        <w:t>עולה</w:t>
      </w:r>
      <w:r w:rsidRPr="001F2586">
        <w:rPr>
          <w:rFonts w:eastAsia="Calibri"/>
          <w:b/>
          <w:bCs/>
          <w:rtl/>
        </w:rPr>
        <w:t xml:space="preserve"> כי </w:t>
      </w:r>
      <w:r w:rsidRPr="001F2586">
        <w:rPr>
          <w:rFonts w:eastAsia="Calibri" w:hint="eastAsia"/>
          <w:b/>
          <w:bCs/>
          <w:rtl/>
        </w:rPr>
        <w:t>גורמים</w:t>
      </w:r>
      <w:r w:rsidRPr="001F2586">
        <w:rPr>
          <w:rFonts w:eastAsia="Calibri"/>
          <w:b/>
          <w:bCs/>
          <w:rtl/>
        </w:rPr>
        <w:t xml:space="preserve"> </w:t>
      </w:r>
      <w:r w:rsidRPr="001F2586">
        <w:rPr>
          <w:rFonts w:eastAsia="Calibri" w:hint="eastAsia"/>
          <w:b/>
          <w:bCs/>
          <w:rtl/>
        </w:rPr>
        <w:t>מקצועיים</w:t>
      </w:r>
      <w:r w:rsidRPr="001F2586">
        <w:rPr>
          <w:rFonts w:eastAsia="Calibri"/>
          <w:b/>
          <w:bCs/>
          <w:rtl/>
        </w:rPr>
        <w:t xml:space="preserve"> במשרד האוצר ובבנק ישראל טענו כי </w:t>
      </w:r>
      <w:r w:rsidRPr="001F2586">
        <w:rPr>
          <w:rFonts w:eastAsia="Calibri" w:hint="cs"/>
          <w:b/>
          <w:bCs/>
          <w:rtl/>
        </w:rPr>
        <w:t>הצעת החוק קודמה ע"י המועצה הלאומית לכלכלה ללא תאום עמם</w:t>
      </w:r>
      <w:r w:rsidRPr="001F2586">
        <w:rPr>
          <w:rFonts w:eastAsia="Calibri"/>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b/>
          <w:bCs/>
          <w:rtl/>
        </w:rPr>
        <w:t>ככל</w:t>
      </w:r>
      <w:r w:rsidRPr="001F2586">
        <w:rPr>
          <w:rFonts w:eastAsia="Calibri"/>
          <w:b/>
          <w:bCs/>
          <w:rtl/>
        </w:rPr>
        <w:t xml:space="preserve"> שיוחלט לקדם את הטיפול בטיוטת החוק, על הצדדים לפעול על פי החלטת הממשלה ולקיים דיון אליו יזומנו כל גורמי המקצוע הרלוונטיים.</w:t>
      </w:r>
      <w:r w:rsidRPr="001F2586">
        <w:rPr>
          <w:rFonts w:eastAsia="Calibri" w:hint="cs"/>
          <w:b/>
          <w:bCs/>
          <w:rtl/>
        </w:rPr>
        <w:t xml:space="preserve"> </w:t>
      </w:r>
    </w:p>
    <w:bookmarkEnd w:id="72"/>
    <w:bookmarkEnd w:id="73"/>
    <w:p w:rsidR="001F2586" w:rsidRPr="001F2586" w:rsidP="001F2586">
      <w:pPr>
        <w:spacing w:line="269" w:lineRule="auto"/>
        <w:rPr>
          <w:rFonts w:eastAsia="Calibri"/>
          <w:b/>
          <w:bCs/>
          <w:rtl/>
        </w:rPr>
      </w:pPr>
    </w:p>
    <w:p w:rsidR="001F2586" w:rsidRPr="001F2586" w:rsidP="001F2586">
      <w:pPr>
        <w:keepNext/>
        <w:keepLines/>
        <w:spacing w:line="269" w:lineRule="auto"/>
        <w:outlineLvl w:val="2"/>
        <w:rPr>
          <w:rFonts w:eastAsia="Times New Roman"/>
          <w:bCs/>
          <w:szCs w:val="28"/>
          <w:u w:val="single"/>
          <w:rtl/>
        </w:rPr>
      </w:pPr>
      <w:r w:rsidRPr="001F2586">
        <w:rPr>
          <w:rFonts w:eastAsia="Times New Roman" w:hint="cs"/>
          <w:bCs/>
          <w:szCs w:val="28"/>
          <w:u w:val="single"/>
          <w:rtl/>
        </w:rPr>
        <w:t>פעולות הפיקוח על הבנקים להגברת השקיפות והתחרות בשוק המשכנתאות</w:t>
      </w:r>
    </w:p>
    <w:p w:rsidR="001F2586" w:rsidRPr="001F2586" w:rsidP="001F2586">
      <w:pPr>
        <w:keepNext/>
        <w:keepLines/>
        <w:spacing w:line="269" w:lineRule="auto"/>
        <w:outlineLvl w:val="3"/>
        <w:rPr>
          <w:rFonts w:eastAsia="Times New Roman"/>
          <w:bCs/>
          <w:szCs w:val="26"/>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רקע</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הפיקוח על הבנקים </w:t>
      </w:r>
      <w:r w:rsidRPr="001F2586">
        <w:rPr>
          <w:rFonts w:eastAsia="Calibri" w:hint="cs"/>
          <w:rtl/>
        </w:rPr>
        <w:t>פועל</w:t>
      </w:r>
      <w:r w:rsidRPr="001F2586">
        <w:rPr>
          <w:rFonts w:eastAsia="Calibri"/>
          <w:rtl/>
        </w:rPr>
        <w:t xml:space="preserve"> לבסס "מערכת בנקאות תחרותית ומתקדמת לטובת הציבור</w:t>
      </w:r>
      <w:r w:rsidRPr="001F2586">
        <w:rPr>
          <w:rFonts w:eastAsia="Calibri" w:hint="cs"/>
          <w:rtl/>
        </w:rPr>
        <w:t>"</w:t>
      </w:r>
      <w:r>
        <w:rPr>
          <w:rFonts w:eastAsia="Calibri"/>
          <w:vertAlign w:val="superscript"/>
          <w:rtl/>
        </w:rPr>
        <w:footnoteReference w:id="251"/>
      </w:r>
      <w:r w:rsidRPr="001F2586">
        <w:rPr>
          <w:rFonts w:eastAsia="Calibri" w:hint="cs"/>
          <w:rtl/>
        </w:rPr>
        <w:t>.</w:t>
      </w:r>
      <w:r w:rsidRPr="001F2586">
        <w:rPr>
          <w:rFonts w:eastAsia="Calibri" w:hint="cs"/>
        </w:rPr>
        <w:t xml:space="preserve"> </w:t>
      </w:r>
      <w:r w:rsidRPr="001F2586">
        <w:rPr>
          <w:rFonts w:eastAsia="Calibri" w:hint="cs"/>
          <w:rtl/>
        </w:rPr>
        <w:t xml:space="preserve">מערכת בנקאית תחרותית יכולה לתרום לרווחת הציבור, שכן היא יכולה להביא להורדה של מחירי השירותים הבנקאיים ולשפר את השירות הניתן לציבור, ובכך להגביר את האמון שלו במערכת </w:t>
      </w:r>
      <w:r w:rsidRPr="001F2586">
        <w:rPr>
          <w:rFonts w:eastAsia="Calibri" w:hint="cs"/>
          <w:rtl/>
        </w:rPr>
        <w:t xml:space="preserve">הבנקאית. לכן יעד התחרות תומך כאמור ביציבות המערכת ובהוגנות שלה שכן התחרות מחייבת את הבנקים לפעול בשקיפות ובהגינות כלפי הציבור. מערכת פיננסית תחרותית נשענת בין היתר על עקרונות יסוד אלו: הרחבת הנגישות למידע פיננסי; עידוד כניסה וליווי של שחקנים חדשים; קידום מתן שירותים ומוצרים מגוונים ותחרותיים; והגברת השקיפות לגבי המחירים של מוצרים פיננסיים. </w:t>
      </w:r>
      <w:r w:rsidRPr="001F2586">
        <w:rPr>
          <w:rFonts w:eastAsia="Calibri"/>
          <w:rtl/>
        </w:rPr>
        <w:t>אחד התנאים ההכרחיים לקיומה של תחרות משוכללת בכל שוק היא שקיפות מלאה</w:t>
      </w:r>
      <w:r w:rsidRPr="001F2586">
        <w:rPr>
          <w:rFonts w:eastAsia="Calibri" w:hint="cs"/>
          <w:rtl/>
        </w:rPr>
        <w:t xml:space="preserve"> של מידע ומחירים.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לשוק המשכנתאות יש מאפיינים ייחודיים המאפשרים לו להיות תחרותי בהשוואה לשירותים בנקאיים אחרים למשקי בית. לרוב מוצרים פיננסים כמו פיקדונות, ניהול חשבון עובר ושב והלוואות צרכניות מוצעים ללקוחות כסל שירותים בנקאי. לעומת זאת, משכנתא היא מוצר פיננסי שלרוב נרכש בנפרד מיתר השירותים הבנקאיים, כך שלווים רבים לוקחים משכנתא בבנק שאינו הבנק בו הם מנהלים את חשבון העובר ושב שלהם. לווים אף נוטים לבצע </w:t>
      </w:r>
      <w:r w:rsidRPr="001F2586">
        <w:rPr>
          <w:rFonts w:eastAsia="Calibri" w:hint="cs"/>
          <w:rtl/>
        </w:rPr>
        <w:t>תיחור</w:t>
      </w:r>
      <w:r w:rsidRPr="001F2586">
        <w:rPr>
          <w:rFonts w:eastAsia="Calibri" w:hint="cs"/>
          <w:rtl/>
        </w:rPr>
        <w:t xml:space="preserve"> בתהליך לקיחת המשכנתא, כלומר ל</w:t>
      </w:r>
      <w:bookmarkStart w:id="74" w:name="_Hlk225159575"/>
      <w:r w:rsidRPr="001F2586">
        <w:rPr>
          <w:rFonts w:eastAsia="Calibri" w:hint="cs"/>
          <w:rtl/>
        </w:rPr>
        <w:t xml:space="preserve">קבל </w:t>
      </w:r>
      <w:r w:rsidRPr="001F2586">
        <w:rPr>
          <w:rFonts w:eastAsia="Calibri"/>
          <w:rtl/>
        </w:rPr>
        <w:t xml:space="preserve">הצעות מחיר ממספר </w:t>
      </w:r>
      <w:r w:rsidRPr="001F2586">
        <w:rPr>
          <w:rFonts w:eastAsia="Calibri" w:hint="cs"/>
          <w:rtl/>
        </w:rPr>
        <w:t xml:space="preserve">גופים מלווים ולהשוות </w:t>
      </w:r>
      <w:r w:rsidRPr="001F2586">
        <w:rPr>
          <w:rFonts w:eastAsia="Calibri"/>
          <w:rtl/>
        </w:rPr>
        <w:t xml:space="preserve">ביניהם לצורך בחירת ההצעה המתאימה ביותר </w:t>
      </w:r>
      <w:r w:rsidRPr="001F2586">
        <w:rPr>
          <w:rFonts w:eastAsia="Calibri" w:hint="cs"/>
          <w:rtl/>
        </w:rPr>
        <w:t>עבורם המפחיתה את העלויות של המשכנתא</w:t>
      </w:r>
      <w:bookmarkEnd w:id="74"/>
      <w:r w:rsidRPr="001F2586">
        <w:rPr>
          <w:rFonts w:eastAsia="Calibri" w:hint="cs"/>
          <w:rtl/>
        </w:rPr>
        <w:t>. עם זאת כפי שכבר צוין שוק המשכנתאות בישראל הוא שוק ריכוזי ברמה בינונית הנשלט ברובו בידי המערכת הבנקאית ובעיקר בידי שלושה בנקים מובילים בתחום, ולכך יכולה להיות השפעה על מחירי האשראי ועל רמת התחרות בשוק המשכנתאות</w:t>
      </w:r>
      <w:r>
        <w:rPr>
          <w:rFonts w:eastAsia="Calibri"/>
          <w:vertAlign w:val="superscript"/>
          <w:rtl/>
        </w:rPr>
        <w:footnoteReference w:id="252"/>
      </w:r>
      <w:r w:rsidRPr="001F2586">
        <w:rPr>
          <w:rFonts w:eastAsia="Calibri" w:hint="cs"/>
          <w:rtl/>
        </w:rPr>
        <w:t>. יצוין כי למרות זאת שוק האשראי לדיור הוא שוק תחרותי יחסית למגזרי אשראי בנקאי אחרים</w:t>
      </w:r>
      <w:r>
        <w:rPr>
          <w:rFonts w:eastAsia="Calibri"/>
          <w:vertAlign w:val="superscript"/>
          <w:rtl/>
        </w:rPr>
        <w:footnoteReference w:id="253"/>
      </w:r>
      <w:r w:rsidRPr="001F2586">
        <w:rPr>
          <w:rFonts w:eastAsia="Calibri" w:hint="cs"/>
          <w:rtl/>
        </w:rPr>
        <w:t xml:space="preserve">. </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רשות התחרות מצאה במחקר שערכה על שוק המשכנתאות בישראל</w:t>
      </w:r>
      <w:r w:rsidRPr="001F2586">
        <w:rPr>
          <w:rFonts w:eastAsia="Calibri"/>
          <w:rtl/>
        </w:rPr>
        <w:t xml:space="preserve"> </w:t>
      </w:r>
      <w:r w:rsidRPr="001F2586">
        <w:rPr>
          <w:rFonts w:eastAsia="Calibri" w:hint="cs"/>
          <w:rtl/>
        </w:rPr>
        <w:t>בשנת 2021 (להלן - מחקר רשות התחרות</w:t>
      </w:r>
      <w:r w:rsidRPr="001F2586">
        <w:rPr>
          <w:rFonts w:eastAsia="Calibri"/>
        </w:rPr>
        <w:t xml:space="preserve"> </w:t>
      </w:r>
      <w:r w:rsidRPr="001F2586">
        <w:rPr>
          <w:rFonts w:eastAsia="Calibri" w:hint="cs"/>
          <w:rtl/>
        </w:rPr>
        <w:t>משנת 2021) כי שוק המשכנתאות מאופיין בין היתר בחסמי כניסה גבוהים</w:t>
      </w:r>
      <w:r>
        <w:rPr>
          <w:rFonts w:eastAsia="Calibri"/>
          <w:vertAlign w:val="superscript"/>
          <w:rtl/>
        </w:rPr>
        <w:footnoteReference w:id="254"/>
      </w:r>
      <w:r w:rsidRPr="001F2586">
        <w:rPr>
          <w:rFonts w:eastAsia="Calibri" w:hint="cs"/>
          <w:rtl/>
        </w:rPr>
        <w:t xml:space="preserve"> למלווים נוספים ומהבדלים בתחרות על קבוצות לווים שונות. כמו כן נמצא במחקר כי קיימות בעיות אינפורמציה ללווים המתבטאות בכך שאין להם מידע משמעותי על מחירי השוק, וקיומם של קשיים בהשוואת מחירים. לפיכך, המליצה רשות התחרות לפשט את מוצר המשכנתא עבור הלווה ולאפשר לו לקבל הצעות מחיר באופן מקוון</w:t>
      </w:r>
      <w:r>
        <w:rPr>
          <w:rFonts w:eastAsia="Calibri"/>
          <w:vertAlign w:val="superscript"/>
          <w:rtl/>
        </w:rPr>
        <w:footnoteReference w:id="255"/>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sz w:val="24"/>
          <w:rtl/>
        </w:rPr>
      </w:pPr>
      <w:r w:rsidRPr="001F2586">
        <w:rPr>
          <w:rFonts w:eastAsia="Calibri"/>
          <w:sz w:val="24"/>
          <w:rtl/>
        </w:rPr>
        <w:t xml:space="preserve">בנק ישראל </w:t>
      </w:r>
      <w:r w:rsidRPr="001F2586">
        <w:rPr>
          <w:rFonts w:eastAsia="Calibri" w:hint="cs"/>
          <w:sz w:val="24"/>
          <w:rtl/>
        </w:rPr>
        <w:t>קידם</w:t>
      </w:r>
      <w:r w:rsidRPr="001F2586">
        <w:rPr>
          <w:rFonts w:eastAsia="Calibri"/>
          <w:sz w:val="24"/>
          <w:rtl/>
        </w:rPr>
        <w:t xml:space="preserve"> </w:t>
      </w:r>
      <w:r w:rsidRPr="001F2586">
        <w:rPr>
          <w:rFonts w:eastAsia="Calibri" w:hint="cs"/>
          <w:sz w:val="24"/>
          <w:rtl/>
        </w:rPr>
        <w:t xml:space="preserve">בשנת 2022 </w:t>
      </w:r>
      <w:r w:rsidRPr="001F2586">
        <w:rPr>
          <w:rFonts w:eastAsia="Calibri" w:hint="cs"/>
          <w:rtl/>
        </w:rPr>
        <w:t xml:space="preserve">רפורמה צרכנית </w:t>
      </w:r>
      <w:r w:rsidRPr="001F2586">
        <w:rPr>
          <w:rFonts w:eastAsia="Calibri"/>
          <w:rtl/>
        </w:rPr>
        <w:t>להגברת שקיפות המידע ללקוחות הבנקים ולשיפור סביבת התחרות בשוק המשכנתאות</w:t>
      </w:r>
      <w:r w:rsidRPr="001F2586">
        <w:rPr>
          <w:rFonts w:eastAsia="Calibri" w:hint="cs"/>
          <w:rtl/>
        </w:rPr>
        <w:t xml:space="preserve"> (להלן - רפורמת השקיפות במשכנתאות).</w:t>
      </w:r>
      <w:r w:rsidRPr="001F2586">
        <w:rPr>
          <w:rFonts w:eastAsia="Calibri" w:hint="cs"/>
          <w:sz w:val="24"/>
          <w:rtl/>
        </w:rPr>
        <w:t xml:space="preserve"> רפורמה זו נועדה </w:t>
      </w:r>
      <w:r w:rsidRPr="001F2586">
        <w:rPr>
          <w:rFonts w:eastAsia="Calibri"/>
          <w:sz w:val="24"/>
          <w:rtl/>
        </w:rPr>
        <w:t>להגביר את שקיפות המידע,</w:t>
      </w:r>
      <w:r w:rsidRPr="001F2586">
        <w:rPr>
          <w:rFonts w:eastAsia="Calibri" w:hint="cs"/>
          <w:sz w:val="24"/>
        </w:rPr>
        <w:t xml:space="preserve"> </w:t>
      </w:r>
      <w:r w:rsidRPr="001F2586">
        <w:rPr>
          <w:rFonts w:eastAsia="Calibri"/>
          <w:sz w:val="24"/>
          <w:rtl/>
        </w:rPr>
        <w:t>לעודד תחרות בענף ולהקל על הלווים בתהליך נטילת המשכנת</w:t>
      </w:r>
      <w:r w:rsidRPr="001F2586">
        <w:rPr>
          <w:rFonts w:eastAsia="Calibri" w:hint="cs"/>
          <w:sz w:val="24"/>
          <w:rtl/>
        </w:rPr>
        <w:t>א</w:t>
      </w:r>
      <w:r w:rsidRPr="001F2586">
        <w:rPr>
          <w:rFonts w:eastAsia="Calibri"/>
          <w:sz w:val="24"/>
          <w:rtl/>
        </w:rPr>
        <w:t>.</w:t>
      </w:r>
      <w:r w:rsidRPr="001F2586">
        <w:rPr>
          <w:rFonts w:eastAsia="Calibri" w:hint="cs"/>
          <w:sz w:val="24"/>
          <w:rtl/>
        </w:rPr>
        <w:t xml:space="preserve"> </w:t>
      </w:r>
      <w:r w:rsidRPr="001F2586">
        <w:rPr>
          <w:rFonts w:eastAsia="Calibri"/>
          <w:sz w:val="24"/>
          <w:rtl/>
        </w:rPr>
        <w:t>הרפורמה מחייבת את</w:t>
      </w:r>
      <w:r w:rsidRPr="001F2586">
        <w:rPr>
          <w:rFonts w:eastAsia="Calibri" w:hint="cs"/>
          <w:sz w:val="24"/>
        </w:rPr>
        <w:t xml:space="preserve"> </w:t>
      </w:r>
      <w:r w:rsidRPr="001F2586">
        <w:rPr>
          <w:rFonts w:eastAsia="Calibri" w:hint="cs"/>
          <w:sz w:val="24"/>
          <w:rtl/>
        </w:rPr>
        <w:t>הבנקים</w:t>
      </w:r>
      <w:r w:rsidRPr="001F2586">
        <w:rPr>
          <w:rFonts w:eastAsia="Calibri"/>
          <w:sz w:val="24"/>
          <w:rtl/>
        </w:rPr>
        <w:t xml:space="preserve"> </w:t>
      </w:r>
      <w:r w:rsidRPr="001F2586">
        <w:rPr>
          <w:rFonts w:eastAsia="Calibri" w:hint="cs"/>
          <w:sz w:val="24"/>
          <w:rtl/>
        </w:rPr>
        <w:t>בין היתר</w:t>
      </w:r>
      <w:r w:rsidRPr="001F2586">
        <w:rPr>
          <w:rFonts w:eastAsia="Calibri"/>
          <w:sz w:val="24"/>
          <w:rtl/>
        </w:rPr>
        <w:t xml:space="preserve"> למבנה אחיד של </w:t>
      </w:r>
      <w:r w:rsidRPr="001F2586">
        <w:rPr>
          <w:rFonts w:eastAsia="Calibri" w:hint="cs"/>
          <w:sz w:val="24"/>
          <w:rtl/>
        </w:rPr>
        <w:t>אישור עקרוני</w:t>
      </w:r>
      <w:r>
        <w:rPr>
          <w:rFonts w:eastAsia="Calibri"/>
          <w:sz w:val="24"/>
          <w:vertAlign w:val="superscript"/>
          <w:rtl/>
        </w:rPr>
        <w:footnoteReference w:id="256"/>
      </w:r>
      <w:r w:rsidRPr="001F2586">
        <w:rPr>
          <w:rFonts w:eastAsia="Calibri"/>
          <w:sz w:val="24"/>
          <w:rtl/>
        </w:rPr>
        <w:t xml:space="preserve"> למשכנת</w:t>
      </w:r>
      <w:r w:rsidRPr="001F2586">
        <w:rPr>
          <w:rFonts w:eastAsia="Calibri" w:hint="cs"/>
          <w:sz w:val="24"/>
          <w:rtl/>
        </w:rPr>
        <w:t>א</w:t>
      </w:r>
      <w:r w:rsidRPr="001F2586">
        <w:rPr>
          <w:rFonts w:eastAsia="Calibri"/>
          <w:sz w:val="24"/>
          <w:rtl/>
        </w:rPr>
        <w:t xml:space="preserve"> כדי לאפשר </w:t>
      </w:r>
      <w:r w:rsidRPr="001F2586">
        <w:rPr>
          <w:rFonts w:eastAsia="Calibri" w:hint="cs"/>
          <w:sz w:val="24"/>
          <w:rtl/>
        </w:rPr>
        <w:t>ללווה</w:t>
      </w:r>
      <w:r w:rsidRPr="001F2586">
        <w:rPr>
          <w:rFonts w:eastAsia="Calibri" w:hint="cs"/>
          <w:sz w:val="24"/>
        </w:rPr>
        <w:t xml:space="preserve"> </w:t>
      </w:r>
      <w:r w:rsidRPr="001F2586">
        <w:rPr>
          <w:rFonts w:eastAsia="Calibri"/>
          <w:sz w:val="24"/>
          <w:rtl/>
        </w:rPr>
        <w:t xml:space="preserve">להשוות בין הצעות </w:t>
      </w:r>
      <w:r w:rsidRPr="001F2586">
        <w:rPr>
          <w:rFonts w:eastAsia="Calibri" w:hint="cs"/>
          <w:sz w:val="24"/>
          <w:rtl/>
        </w:rPr>
        <w:t>מחיר למשכנתא</w:t>
      </w:r>
      <w:r w:rsidRPr="001F2586">
        <w:rPr>
          <w:rFonts w:eastAsia="Calibri"/>
          <w:sz w:val="24"/>
          <w:rtl/>
        </w:rPr>
        <w:t>. על בסיס ההשוואה יכול</w:t>
      </w:r>
      <w:r w:rsidRPr="001F2586">
        <w:rPr>
          <w:rFonts w:eastAsia="Calibri" w:hint="cs"/>
          <w:sz w:val="24"/>
        </w:rPr>
        <w:t xml:space="preserve"> </w:t>
      </w:r>
      <w:r w:rsidRPr="001F2586">
        <w:rPr>
          <w:rFonts w:eastAsia="Calibri"/>
          <w:sz w:val="24"/>
          <w:rtl/>
        </w:rPr>
        <w:t xml:space="preserve">הלווה לבחור בהצעה הטובה ביותר </w:t>
      </w:r>
      <w:r w:rsidRPr="001F2586">
        <w:rPr>
          <w:rFonts w:eastAsia="Calibri" w:hint="cs"/>
          <w:sz w:val="24"/>
          <w:rtl/>
        </w:rPr>
        <w:t>המתאימה</w:t>
      </w:r>
      <w:r w:rsidRPr="001F2586">
        <w:rPr>
          <w:rFonts w:eastAsia="Calibri"/>
          <w:sz w:val="24"/>
          <w:rtl/>
        </w:rPr>
        <w:t xml:space="preserve"> לצרכיו וליכולת ההחזר שלו</w:t>
      </w:r>
      <w:r>
        <w:rPr>
          <w:rFonts w:eastAsia="Calibri"/>
          <w:sz w:val="24"/>
          <w:vertAlign w:val="superscript"/>
          <w:rtl/>
        </w:rPr>
        <w:footnoteReference w:id="257"/>
      </w:r>
      <w:r w:rsidRPr="001F2586">
        <w:rPr>
          <w:rFonts w:eastAsia="Calibri" w:hint="cs"/>
          <w:sz w:val="24"/>
          <w:rtl/>
        </w:rPr>
        <w:t xml:space="preserve">. </w:t>
      </w:r>
      <w:r w:rsidRPr="001F2586">
        <w:rPr>
          <w:rFonts w:eastAsia="Calibri" w:hint="cs"/>
          <w:rtl/>
        </w:rPr>
        <w:t xml:space="preserve">הוראות מחייבות לבנקים בנושא יישום והטמעה של רפורמת השקיפות במשכנתאות מפורטות בהוראת </w:t>
      </w:r>
      <w:r w:rsidRPr="001F2586">
        <w:rPr>
          <w:rFonts w:eastAsia="Calibri" w:hint="cs"/>
          <w:rtl/>
        </w:rPr>
        <w:t>נב"ת</w:t>
      </w:r>
      <w:r w:rsidRPr="001F2586">
        <w:rPr>
          <w:rFonts w:eastAsia="Calibri" w:hint="cs"/>
          <w:rtl/>
        </w:rPr>
        <w:t xml:space="preserve"> 451</w:t>
      </w:r>
      <w:r>
        <w:rPr>
          <w:rFonts w:eastAsia="Calibri"/>
          <w:vertAlign w:val="superscript"/>
          <w:rtl/>
        </w:rPr>
        <w:footnoteReference w:id="258"/>
      </w:r>
      <w:r w:rsidRPr="001F2586">
        <w:rPr>
          <w:rFonts w:eastAsia="Calibri" w:hint="cs"/>
          <w:rtl/>
        </w:rPr>
        <w:t>.</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hint="cs"/>
          <w:rtl/>
        </w:rPr>
        <w:t xml:space="preserve">כמו כן, בשנים האחרונות בנק ישראל קידם צעדים שונים </w:t>
      </w:r>
      <w:r w:rsidRPr="001F2586">
        <w:rPr>
          <w:rFonts w:eastAsia="Calibri"/>
          <w:rtl/>
        </w:rPr>
        <w:t>להגברת התחרות וחיזוק כוחו של הלקוח</w:t>
      </w:r>
      <w:r w:rsidRPr="001F2586">
        <w:rPr>
          <w:rFonts w:eastAsia="Calibri" w:hint="cs"/>
          <w:rtl/>
        </w:rPr>
        <w:t xml:space="preserve"> מלבד רפורמת השקיפות במשכנתאות כמו בנקאות פתוחה</w:t>
      </w:r>
      <w:r>
        <w:rPr>
          <w:rFonts w:eastAsia="Calibri"/>
          <w:vertAlign w:val="superscript"/>
          <w:rtl/>
        </w:rPr>
        <w:footnoteReference w:id="259"/>
      </w:r>
      <w:r w:rsidRPr="001F2586">
        <w:rPr>
          <w:rFonts w:eastAsia="Calibri" w:hint="cs"/>
          <w:rtl/>
        </w:rPr>
        <w:t xml:space="preserve"> והשקת מערכת לשיתוף נתוני </w:t>
      </w:r>
      <w:r w:rsidRPr="001F2586">
        <w:rPr>
          <w:rFonts w:eastAsia="Calibri" w:hint="cs"/>
          <w:rtl/>
        </w:rPr>
        <w:t>אשראי</w:t>
      </w:r>
      <w:r>
        <w:rPr>
          <w:rFonts w:eastAsia="Calibri"/>
          <w:vertAlign w:val="superscript"/>
          <w:rtl/>
        </w:rPr>
        <w:footnoteReference w:id="260"/>
      </w:r>
      <w:r w:rsidRPr="001F2586">
        <w:rPr>
          <w:rFonts w:eastAsia="Calibri"/>
          <w:rtl/>
        </w:rPr>
        <w:t>.</w:t>
      </w:r>
      <w:r w:rsidRPr="001F2586">
        <w:rPr>
          <w:rFonts w:eastAsia="Calibri" w:hint="cs"/>
          <w:rtl/>
        </w:rPr>
        <w:t xml:space="preserve"> מהלכים אלו יושמו בין היתר גם בשל בעיית האינפורמציה של הבנקים במשכנתאות הנובעת מכך שלבנק בו הלקוח מנהל את חשבון העובר ושב שלו יש יתרון במידע על פני בנקים אחרים</w:t>
      </w:r>
      <w:r>
        <w:rPr>
          <w:rFonts w:eastAsia="Calibri"/>
          <w:vertAlign w:val="superscript"/>
          <w:rtl/>
        </w:rPr>
        <w:footnoteReference w:id="261"/>
      </w:r>
      <w:r w:rsidRPr="001F2586">
        <w:rPr>
          <w:rFonts w:eastAsia="Calibri" w:hint="cs"/>
          <w:rtl/>
        </w:rPr>
        <w:t xml:space="preserve">. נוסף על כך, בנק ישראל קידם בשנים אחרונות תהליכים להגברת השקיפות ופרסום מידע השוואתי על משכנתאות באמצעות </w:t>
      </w:r>
      <w:r w:rsidRPr="001F2586">
        <w:rPr>
          <w:rFonts w:eastAsia="Calibri" w:hint="cs"/>
          <w:rtl/>
        </w:rPr>
        <w:t>דשבורד</w:t>
      </w:r>
      <w:r w:rsidRPr="001F2586">
        <w:rPr>
          <w:rFonts w:eastAsia="Calibri" w:hint="cs"/>
          <w:rtl/>
        </w:rPr>
        <w:t xml:space="preserve"> ריביות שהוקם בשם "קו המשווה"</w:t>
      </w:r>
      <w:r>
        <w:rPr>
          <w:rFonts w:eastAsia="Calibri"/>
          <w:vertAlign w:val="superscript"/>
          <w:rtl/>
        </w:rPr>
        <w:footnoteReference w:id="262"/>
      </w:r>
      <w:r w:rsidRPr="001F2586">
        <w:rPr>
          <w:rFonts w:eastAsia="Calibri" w:hint="cs"/>
          <w:rtl/>
        </w:rPr>
        <w:t xml:space="preserve"> (להלן - "קו המשווה") באתר המרשתת של בנק ישראל, וזאת כחלק ממהלך רחב של פרסום מידע השוואתי על מוצרים פיננסיים שונים. צעדים אלו נועדו לייצר תשתית תומכת תחרות במערכת הפיננסית בכלל ובמערכת הבנקאית בפרט. פרק זה יעסוק ברפורמת השקיפות במשכנתאות</w:t>
      </w:r>
      <w:r w:rsidRPr="001F2586">
        <w:rPr>
          <w:rFonts w:eastAsia="Calibri" w:hint="cs"/>
        </w:rPr>
        <w:t xml:space="preserve"> </w:t>
      </w:r>
      <w:r w:rsidRPr="001F2586">
        <w:rPr>
          <w:rFonts w:eastAsia="Calibri" w:hint="cs"/>
          <w:rtl/>
        </w:rPr>
        <w:t>והגברת השקיפות באמצעות אתר "קו המשווה". מטרות הצעדים הן להגביר את הנגישות למידע על משכנתאות לציבור כדי לחזק את יכולת המיקוח של הלווים מול הבנקים ולעודד תחרות.</w:t>
      </w:r>
    </w:p>
    <w:p w:rsidR="000E798D"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יישום רפורמת השקיפות במשכנתאות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בנק ישראל הצביע על כך ששוק המשכנתאות בישראל מאופיין במורכבות גבוהה המקשה על הלווים להשוות בין ההצעות של הבנקים והודיע על מהלך של קידום רפורמת השקיפות במשכנתאות בנובמבר 2021. רפורמה זו נועדה כאמור לקדם </w:t>
      </w:r>
      <w:r w:rsidRPr="001F2586">
        <w:rPr>
          <w:rFonts w:eastAsia="Calibri"/>
          <w:rtl/>
        </w:rPr>
        <w:t>שינוי מקיף בתחום המשכנתאות</w:t>
      </w:r>
      <w:r w:rsidRPr="001F2586">
        <w:rPr>
          <w:rFonts w:eastAsia="Calibri" w:hint="cs"/>
          <w:rtl/>
        </w:rPr>
        <w:t xml:space="preserve"> ו</w:t>
      </w:r>
      <w:r w:rsidRPr="001F2586">
        <w:rPr>
          <w:rFonts w:eastAsia="Calibri"/>
          <w:rtl/>
        </w:rPr>
        <w:t xml:space="preserve">לסייע ללווים בתהליך נטילת המשכנתא בשלושה היבטים </w:t>
      </w:r>
      <w:r w:rsidRPr="001F2586">
        <w:rPr>
          <w:rFonts w:eastAsia="Calibri" w:hint="cs"/>
          <w:rtl/>
        </w:rPr>
        <w:t>מרכזיים</w:t>
      </w:r>
      <w:r w:rsidRPr="001F2586">
        <w:rPr>
          <w:rFonts w:eastAsia="Calibri"/>
          <w:rtl/>
        </w:rPr>
        <w:t>: שקיפות ויכולת השוו</w:t>
      </w:r>
      <w:r w:rsidRPr="001F2586">
        <w:rPr>
          <w:rFonts w:eastAsia="Calibri" w:hint="cs"/>
          <w:rtl/>
        </w:rPr>
        <w:t>אה;</w:t>
      </w:r>
      <w:r w:rsidRPr="001F2586">
        <w:rPr>
          <w:rFonts w:eastAsia="Calibri" w:hint="cs"/>
        </w:rPr>
        <w:t xml:space="preserve"> </w:t>
      </w:r>
      <w:r w:rsidRPr="001F2586">
        <w:rPr>
          <w:rFonts w:eastAsia="Calibri"/>
          <w:rtl/>
        </w:rPr>
        <w:t>פשטות ויכולת הבנה</w:t>
      </w:r>
      <w:r w:rsidRPr="001F2586">
        <w:rPr>
          <w:rFonts w:eastAsia="Calibri" w:hint="cs"/>
          <w:rtl/>
        </w:rPr>
        <w:t>;</w:t>
      </w:r>
      <w:r w:rsidRPr="001F2586">
        <w:rPr>
          <w:rFonts w:eastAsia="Calibri"/>
          <w:rtl/>
        </w:rPr>
        <w:t xml:space="preserve"> ויעילות בביצוע התהליך</w:t>
      </w:r>
      <w:r>
        <w:rPr>
          <w:rFonts w:eastAsia="Calibri"/>
          <w:vertAlign w:val="superscript"/>
          <w:rtl/>
        </w:rPr>
        <w:footnoteReference w:id="263"/>
      </w:r>
      <w:r w:rsidRPr="001F2586">
        <w:rPr>
          <w:rFonts w:eastAsia="Calibri"/>
          <w:rtl/>
        </w:rPr>
        <w:t xml:space="preserve">. </w:t>
      </w:r>
      <w:r w:rsidRPr="001F2586">
        <w:rPr>
          <w:rFonts w:eastAsia="Calibri" w:hint="cs"/>
          <w:rtl/>
        </w:rPr>
        <w:t>להלן תרשים המציג את הצעדים שתוכננו במסגרת רפורמת השקיפות במשכנתאות:</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33:</w:t>
      </w:r>
      <w:r w:rsidRPr="001F2586">
        <w:rPr>
          <w:rFonts w:eastAsia="Calibri" w:hint="cs"/>
          <w:bCs/>
          <w:sz w:val="24"/>
          <w:rtl/>
        </w:rPr>
        <w:t xml:space="preserve"> </w:t>
      </w:r>
      <w:r w:rsidRPr="001F2586">
        <w:rPr>
          <w:rFonts w:eastAsia="Calibri" w:hint="eastAsia"/>
          <w:bCs/>
          <w:sz w:val="24"/>
          <w:rtl/>
        </w:rPr>
        <w:t>הצעדים</w:t>
      </w:r>
      <w:r w:rsidRPr="001F2586">
        <w:rPr>
          <w:rFonts w:eastAsia="Calibri"/>
          <w:bCs/>
          <w:sz w:val="24"/>
          <w:rtl/>
        </w:rPr>
        <w:t xml:space="preserve"> במסגרת </w:t>
      </w:r>
      <w:r w:rsidRPr="001F2586">
        <w:rPr>
          <w:rFonts w:eastAsia="Calibri" w:hint="eastAsia"/>
          <w:bCs/>
          <w:sz w:val="24"/>
          <w:rtl/>
        </w:rPr>
        <w:t>רפורמת</w:t>
      </w:r>
      <w:r w:rsidRPr="001F2586">
        <w:rPr>
          <w:rFonts w:eastAsia="Calibri"/>
          <w:bCs/>
          <w:sz w:val="24"/>
          <w:rtl/>
        </w:rPr>
        <w:t xml:space="preserve"> השקיפות במשכנתאות</w:t>
      </w:r>
    </w:p>
    <w:p w:rsidR="001F2586" w:rsidRPr="001F2586" w:rsidP="001F2586">
      <w:pPr>
        <w:spacing w:line="269" w:lineRule="auto"/>
        <w:ind w:hanging="1"/>
        <w:jc w:val="center"/>
        <w:rPr>
          <w:rFonts w:eastAsia="Calibri"/>
          <w:rtl/>
        </w:rPr>
      </w:pPr>
      <w:r w:rsidRPr="001F2586">
        <w:rPr>
          <w:rFonts w:eastAsia="Calibri"/>
          <w:noProof/>
        </w:rPr>
        <w:drawing>
          <wp:inline distT="0" distB="0" distL="0" distR="0">
            <wp:extent cx="5116189" cy="3743325"/>
            <wp:effectExtent l="0" t="0" r="8890" b="0"/>
            <wp:docPr id="62" name="תמונה 62" descr="7 צעדים:&#10;&#10;צעד 1- אישור עקרוני במבנה אחיד- בין המשתנים שיוצגו באישור העקרוני: הריבית הכוללת החזויה, סך התשלומים החזוי&#10;וסכום ההחזר החודשי הגבוה ביותר הצפוי.&#10;&#10;צעד 2- סלי משכנתא אחידים לכל&#10;הבנקים - בנק שיספק אישור עקרוני יצרף בנוסף לסל המשכנתא המוצע על ידו, שלושה סלים אחידים:&#10;• 100% ריבית קבועה לא צמודה&#10;• 1/3 ריבית קבועה לא צמודה, 1/3 ריבית צמודה משתנה ו1/3- צמודה לריבית הפריים&#10;• 1/2 ריבית קבועה לא צמודה ו1/2- צמודה לריבית הפריים&#10;&#10;צעד 3- הצגת הריבית&#10;הכוללת החזויה וסך&#10;התשלומים החזוי - בכדי שניתן יהיה להשוות בין הסלים השונים ובין ההצעות של הבנקים השונים, בכל אחד&#10;מהסלים באישור העקרוני יוצגו גם הריבית הכוללת החזויה וסך התשלומים החזוי בכל חיי&#10;המשכנתא.&#10;&#10;צעד 4- סכום ההחזר החודשי - יוצג סכום ההחזר החודשי הגבוה ביותר הצפוי על פי התחזיות על מנת לשמש אינדיקטור&#10;לשינויים שיכולים לחול בגובה ההחזרים החודשיים&#10;&#10;צעד 5- קיצור הזמן לאישור עקרוני - כיום, הזמן בין הגשת בקשה למשכנתא ועד קבלת אישור עקרוני עשוי להימשך שבועיים&#10;ואף יותר. בעקבות השינוי יוגבל הזמן לימים ספורים בלבד.&#10;&#10;צעד 6- התנהלות מקוונת - לקוחות כל הבנקים יוכלו להגיש בקשה למשכנתא ולקבל את האישור העקרוני באופן מקוון.&#10;&#10;צעד 7 -  מדיע נוסף שיונגש:&#10;*מחשבון סימולציות של הלוואות, מידע על כל סוגי ההלוואות הקיימים ופרטיהן ועוד&#10;*הצגת מידע לבחינת הכדאיות בביצוע מחזור הלוואת משכנת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xmlns:r="http://schemas.openxmlformats.org/officeDocument/2006/relationships" r:embed="rId45"/>
                    <a:stretch>
                      <a:fillRect/>
                    </a:stretch>
                  </pic:blipFill>
                  <pic:spPr>
                    <a:xfrm>
                      <a:off x="0" y="0"/>
                      <a:ext cx="5118060" cy="3744694"/>
                    </a:xfrm>
                    <a:prstGeom prst="rect">
                      <a:avLst/>
                    </a:prstGeom>
                  </pic:spPr>
                </pic:pic>
              </a:graphicData>
            </a:graphic>
          </wp:inline>
        </w:drawing>
      </w:r>
    </w:p>
    <w:p w:rsidR="001F2586" w:rsidRPr="001F2586" w:rsidP="001F2586">
      <w:pPr>
        <w:spacing w:line="269" w:lineRule="auto"/>
        <w:jc w:val="left"/>
        <w:rPr>
          <w:rFonts w:ascii="David" w:eastAsia="Calibri" w:hAnsi="David"/>
          <w:szCs w:val="20"/>
          <w:rtl/>
        </w:rPr>
      </w:pPr>
      <w:r w:rsidRPr="001F2586">
        <w:rPr>
          <w:rFonts w:ascii="David" w:eastAsia="Calibri" w:hAnsi="David" w:hint="cs"/>
          <w:szCs w:val="20"/>
          <w:rtl/>
        </w:rPr>
        <w:t>ה</w:t>
      </w:r>
      <w:r w:rsidRPr="001F2586">
        <w:rPr>
          <w:rFonts w:ascii="David" w:eastAsia="Calibri" w:hAnsi="David"/>
          <w:szCs w:val="20"/>
          <w:rtl/>
        </w:rPr>
        <w:t>מקור: בנק ישראל, דוברות והסברה כלכלית, הודעה לעיתונות 14.11.21.</w:t>
      </w:r>
    </w:p>
    <w:p w:rsidR="001F2586" w:rsidRPr="001F2586" w:rsidP="001F2586">
      <w:pPr>
        <w:spacing w:line="269" w:lineRule="auto"/>
        <w:rPr>
          <w:rFonts w:eastAsia="Calibri"/>
          <w:rtl/>
        </w:rPr>
      </w:pPr>
      <w:r w:rsidRPr="001F2586">
        <w:rPr>
          <w:rFonts w:eastAsia="Calibri" w:hint="cs"/>
          <w:rtl/>
        </w:rPr>
        <w:t xml:space="preserve">מהתרשים עולה כי במסגרת רפורמת השקיפות במשכנתאות תוכננו שבעה צעדים שמטרתם </w:t>
      </w:r>
      <w:r w:rsidRPr="001F2586">
        <w:rPr>
          <w:rFonts w:eastAsia="Calibri" w:hint="cs"/>
          <w:rtl/>
        </w:rPr>
        <w:t>להנגיש</w:t>
      </w:r>
      <w:r w:rsidRPr="001F2586">
        <w:rPr>
          <w:rFonts w:eastAsia="Calibri" w:hint="cs"/>
          <w:rtl/>
        </w:rPr>
        <w:t xml:space="preserve"> מידע על משכנתאות לציבור, לאפשר לו לבצע תהליך מקוון לקבלת אישור עקרוני בזמן קצר ובעיקר לשפר את יכולת ההשוואה שלו באמצעות אישור עקרוני במבנה אחיד הכולל מידע חזוי על סלי משכנתא שונים.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רפורמת השקיפות במשכנתאות</w:t>
      </w:r>
      <w:r w:rsidRPr="001F2586">
        <w:rPr>
          <w:rFonts w:eastAsia="Calibri"/>
          <w:rtl/>
        </w:rPr>
        <w:t xml:space="preserve"> </w:t>
      </w:r>
      <w:r w:rsidRPr="001F2586">
        <w:rPr>
          <w:rFonts w:eastAsia="Calibri" w:hint="cs"/>
          <w:rtl/>
        </w:rPr>
        <w:t>נכנסה לתוקף ב-31.8.22</w:t>
      </w:r>
      <w:r>
        <w:rPr>
          <w:rFonts w:eastAsia="Calibri"/>
          <w:vertAlign w:val="superscript"/>
          <w:rtl/>
        </w:rPr>
        <w:footnoteReference w:id="264"/>
      </w:r>
      <w:r w:rsidRPr="001F2586">
        <w:rPr>
          <w:rFonts w:eastAsia="Calibri"/>
          <w:rtl/>
        </w:rPr>
        <w:t xml:space="preserve"> </w:t>
      </w:r>
      <w:r w:rsidRPr="001F2586">
        <w:rPr>
          <w:rFonts w:eastAsia="Calibri" w:hint="cs"/>
          <w:rtl/>
        </w:rPr>
        <w:t xml:space="preserve">ונועדה להגביר את השקיפות את והתחרות בשוק המשכנתאות במערכת הבנקאית. הרפורמה </w:t>
      </w:r>
      <w:r w:rsidRPr="001F2586">
        <w:rPr>
          <w:rFonts w:eastAsia="Calibri"/>
          <w:rtl/>
        </w:rPr>
        <w:t>התמקד</w:t>
      </w:r>
      <w:r w:rsidRPr="001F2586">
        <w:rPr>
          <w:rFonts w:eastAsia="Calibri" w:hint="cs"/>
          <w:rtl/>
        </w:rPr>
        <w:t>ה</w:t>
      </w:r>
      <w:r w:rsidRPr="001F2586">
        <w:rPr>
          <w:rFonts w:eastAsia="Calibri"/>
          <w:rtl/>
        </w:rPr>
        <w:t xml:space="preserve"> </w:t>
      </w:r>
      <w:r w:rsidRPr="001F2586">
        <w:rPr>
          <w:rFonts w:eastAsia="Calibri" w:hint="cs"/>
          <w:rtl/>
        </w:rPr>
        <w:t>ב</w:t>
      </w:r>
      <w:r w:rsidRPr="001F2586">
        <w:rPr>
          <w:rFonts w:eastAsia="Calibri"/>
          <w:rtl/>
        </w:rPr>
        <w:t>שיפורים בשלוש נקודות זמן</w:t>
      </w:r>
      <w:r w:rsidRPr="001F2586">
        <w:rPr>
          <w:rFonts w:eastAsia="Calibri" w:hint="cs"/>
          <w:rtl/>
        </w:rPr>
        <w:t xml:space="preserve"> ובכלים שונים</w:t>
      </w:r>
      <w:r w:rsidRPr="001F2586">
        <w:rPr>
          <w:rFonts w:eastAsia="Calibri"/>
          <w:rtl/>
        </w:rPr>
        <w:t>: בשלב הבירור אודות התנאים לקבלת הלוואות</w:t>
      </w:r>
      <w:r w:rsidRPr="001F2586">
        <w:rPr>
          <w:rFonts w:eastAsia="Calibri" w:hint="cs"/>
        </w:rPr>
        <w:t xml:space="preserve"> </w:t>
      </w:r>
      <w:r w:rsidRPr="001F2586">
        <w:rPr>
          <w:rFonts w:eastAsia="Calibri"/>
          <w:rtl/>
        </w:rPr>
        <w:t>בתאגידים הבנקאי</w:t>
      </w:r>
      <w:r w:rsidRPr="001F2586">
        <w:rPr>
          <w:rFonts w:eastAsia="Calibri" w:hint="cs"/>
          <w:rtl/>
        </w:rPr>
        <w:t>י</w:t>
      </w:r>
      <w:r w:rsidRPr="001F2586">
        <w:rPr>
          <w:rFonts w:eastAsia="Calibri"/>
          <w:rtl/>
        </w:rPr>
        <w:t>ם</w:t>
      </w:r>
      <w:r w:rsidRPr="001F2586">
        <w:rPr>
          <w:rFonts w:eastAsia="Calibri" w:hint="cs"/>
          <w:rtl/>
        </w:rPr>
        <w:t xml:space="preserve"> - הנגשה של מידע על משכנתאות באתרי הבנקים לרבות מחשבונים לבחינת תמהילי הלוואה שונים</w:t>
      </w:r>
      <w:r w:rsidRPr="001F2586">
        <w:rPr>
          <w:rFonts w:eastAsia="Calibri"/>
          <w:rtl/>
        </w:rPr>
        <w:t>; בשלב קבלת האישור העקרוני לקבלת הלוואה</w:t>
      </w:r>
      <w:r w:rsidRPr="001F2586">
        <w:rPr>
          <w:rFonts w:eastAsia="Calibri" w:hint="cs"/>
          <w:rtl/>
        </w:rPr>
        <w:t xml:space="preserve"> - מתן אפשרות להגיש בקשה לאישור עקרוני באופן מקוון, מתן מענה לבקשה בתוך חמישה עד שבעה ימי עסקים ואישור עקרוני במבנה אחיד המאפשר להשוות בין סלים אחידים המשקפים רמת סיכון שונה</w:t>
      </w:r>
      <w:r w:rsidRPr="001F2586">
        <w:rPr>
          <w:rFonts w:eastAsia="Calibri"/>
          <w:rtl/>
        </w:rPr>
        <w:t>; ולאורך תקופת ההלוואה,</w:t>
      </w:r>
      <w:r w:rsidRPr="001F2586">
        <w:rPr>
          <w:rFonts w:eastAsia="Calibri" w:hint="cs"/>
        </w:rPr>
        <w:t xml:space="preserve"> </w:t>
      </w:r>
      <w:r w:rsidRPr="001F2586">
        <w:rPr>
          <w:rFonts w:eastAsia="Calibri"/>
          <w:rtl/>
        </w:rPr>
        <w:t>כחלק מבחינת הכדאיות למחזור הלוואה</w:t>
      </w:r>
      <w:r>
        <w:rPr>
          <w:rFonts w:eastAsia="Calibri"/>
          <w:vertAlign w:val="superscript"/>
          <w:rtl/>
        </w:rPr>
        <w:footnoteReference w:id="265"/>
      </w:r>
      <w:r w:rsidRPr="001F2586">
        <w:rPr>
          <w:rFonts w:eastAsia="Calibri" w:hint="cs"/>
          <w:rtl/>
        </w:rPr>
        <w:t>.</w:t>
      </w:r>
      <w:r w:rsidRPr="001F2586">
        <w:rPr>
          <w:rFonts w:eastAsia="Calibri" w:hint="cs"/>
        </w:rPr>
        <w:t xml:space="preserve"> </w:t>
      </w:r>
      <w:r w:rsidRPr="001F2586">
        <w:rPr>
          <w:rFonts w:eastAsia="Calibri"/>
          <w:rtl/>
        </w:rPr>
        <w:t xml:space="preserve">צעדים אלו נועדו לסייע </w:t>
      </w:r>
      <w:r w:rsidRPr="001F2586">
        <w:rPr>
          <w:rFonts w:eastAsia="Calibri" w:hint="cs"/>
          <w:rtl/>
        </w:rPr>
        <w:t xml:space="preserve">ללווים </w:t>
      </w:r>
      <w:r w:rsidRPr="001F2586">
        <w:rPr>
          <w:rFonts w:eastAsia="Calibri"/>
          <w:rtl/>
        </w:rPr>
        <w:t xml:space="preserve">להבין טוב יותר את תנאי </w:t>
      </w:r>
      <w:r w:rsidRPr="001F2586">
        <w:rPr>
          <w:rFonts w:eastAsia="Calibri" w:hint="cs"/>
          <w:rtl/>
        </w:rPr>
        <w:t>המשכנתא</w:t>
      </w:r>
      <w:r w:rsidRPr="001F2586">
        <w:rPr>
          <w:rFonts w:eastAsia="Calibri"/>
          <w:rtl/>
        </w:rPr>
        <w:t xml:space="preserve"> המוצעים להם, את הסיכונים הפוטנציאליים ואת </w:t>
      </w:r>
      <w:r w:rsidRPr="001F2586">
        <w:rPr>
          <w:rFonts w:eastAsia="Calibri" w:hint="cs"/>
          <w:rtl/>
        </w:rPr>
        <w:t>ההשפעות שלהם</w:t>
      </w:r>
      <w:r w:rsidRPr="001F2586">
        <w:rPr>
          <w:rFonts w:eastAsia="Calibri"/>
          <w:rtl/>
        </w:rPr>
        <w:t xml:space="preserve"> על</w:t>
      </w:r>
      <w:r w:rsidRPr="001F2586">
        <w:rPr>
          <w:rFonts w:eastAsia="Calibri" w:hint="cs"/>
          <w:rtl/>
        </w:rPr>
        <w:t xml:space="preserve"> </w:t>
      </w:r>
      <w:r w:rsidRPr="001F2586">
        <w:rPr>
          <w:rFonts w:eastAsia="Calibri"/>
          <w:rtl/>
        </w:rPr>
        <w:t>התשלומים העתידיים, ובכך לקבל החלטות פיננסיות מושכלות יותר</w:t>
      </w:r>
      <w:r w:rsidRPr="001F2586">
        <w:rPr>
          <w:rFonts w:eastAsia="Calibri" w:hint="cs"/>
          <w:rtl/>
        </w:rPr>
        <w:t xml:space="preserve"> על המשכנתא</w:t>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הפיקוח על הבנקים מבצע מעקב על היישום וההטמעה של רפורמת השקיפות של הפיקוח בבנקים. בסקירת מערכת הבנקאות לשנת 2024 צוין כי הפיקוח על הבנקים ביצע בקרה צרכנית רוחבית בנושא יישום הרפורמה. </w:t>
      </w:r>
      <w:r w:rsidRPr="001F2586">
        <w:rPr>
          <w:rFonts w:eastAsia="Calibri"/>
          <w:rtl/>
        </w:rPr>
        <w:t xml:space="preserve">מטרת הבקרה הייתה לוודא </w:t>
      </w:r>
      <w:r w:rsidRPr="001F2586">
        <w:rPr>
          <w:rFonts w:eastAsia="Calibri" w:hint="cs"/>
          <w:rtl/>
        </w:rPr>
        <w:t>כי</w:t>
      </w:r>
      <w:r w:rsidRPr="001F2586">
        <w:rPr>
          <w:rFonts w:eastAsia="Calibri"/>
          <w:rtl/>
        </w:rPr>
        <w:t xml:space="preserve"> </w:t>
      </w:r>
      <w:r w:rsidRPr="001F2586">
        <w:rPr>
          <w:rFonts w:eastAsia="Calibri" w:hint="cs"/>
          <w:rtl/>
        </w:rPr>
        <w:t>הבנקים</w:t>
      </w:r>
      <w:r w:rsidRPr="001F2586">
        <w:rPr>
          <w:rFonts w:eastAsia="Calibri"/>
          <w:rtl/>
        </w:rPr>
        <w:t xml:space="preserve"> </w:t>
      </w:r>
      <w:r w:rsidRPr="001F2586">
        <w:rPr>
          <w:rFonts w:eastAsia="Calibri" w:hint="cs"/>
          <w:rtl/>
        </w:rPr>
        <w:t>מצייתים</w:t>
      </w:r>
      <w:r w:rsidRPr="001F2586">
        <w:rPr>
          <w:rFonts w:eastAsia="Calibri"/>
          <w:rtl/>
        </w:rPr>
        <w:t xml:space="preserve"> להוראת </w:t>
      </w:r>
      <w:r w:rsidRPr="001F2586">
        <w:rPr>
          <w:rFonts w:eastAsia="Calibri" w:hint="cs"/>
          <w:rtl/>
        </w:rPr>
        <w:t>נב"ת</w:t>
      </w:r>
      <w:r w:rsidRPr="001F2586">
        <w:rPr>
          <w:rFonts w:eastAsia="Calibri" w:hint="cs"/>
          <w:rtl/>
        </w:rPr>
        <w:t xml:space="preserve"> </w:t>
      </w:r>
      <w:r w:rsidRPr="001F2586">
        <w:rPr>
          <w:rFonts w:eastAsia="Calibri"/>
          <w:rtl/>
        </w:rPr>
        <w:t xml:space="preserve">451 </w:t>
      </w:r>
      <w:r w:rsidRPr="001F2586">
        <w:rPr>
          <w:rFonts w:eastAsia="Calibri" w:hint="cs"/>
          <w:rtl/>
        </w:rPr>
        <w:t>ה</w:t>
      </w:r>
      <w:r w:rsidRPr="001F2586">
        <w:rPr>
          <w:rFonts w:eastAsia="Calibri"/>
          <w:rtl/>
        </w:rPr>
        <w:t>מסדירה את הרפורמה במשכנתאות באסדרה</w:t>
      </w:r>
      <w:r w:rsidRPr="001F2586">
        <w:rPr>
          <w:rFonts w:eastAsia="Calibri" w:hint="cs"/>
          <w:rtl/>
        </w:rPr>
        <w:t xml:space="preserve"> </w:t>
      </w:r>
      <w:r w:rsidRPr="001F2586">
        <w:rPr>
          <w:rFonts w:eastAsia="Calibri"/>
          <w:rtl/>
        </w:rPr>
        <w:t>מחייבת.</w:t>
      </w:r>
      <w:r w:rsidRPr="001F2586">
        <w:rPr>
          <w:rFonts w:eastAsia="Calibri" w:hint="cs"/>
          <w:rtl/>
        </w:rPr>
        <w:t xml:space="preserve"> הבקרה בוצעה באמצעות סקירה של מסמכים ובדיקות מדגמיות של נתונים שנדגמו מהבנקים ומאתרי המרשתת שלהם. הסוגיות העיקריות שנבדקו ביישום הרפורמה הן: עמידה בזמני מענה לבקשת הלוואה של לקוח; מהימנות המידע המוצג באישור העקרוני; ו</w:t>
      </w:r>
      <w:r w:rsidRPr="001F2586">
        <w:rPr>
          <w:rFonts w:eastAsia="Calibri"/>
          <w:rtl/>
        </w:rPr>
        <w:t>מהימנות המידע המוצג באתר</w:t>
      </w:r>
      <w:r w:rsidRPr="001F2586">
        <w:rPr>
          <w:rFonts w:eastAsia="Calibri" w:hint="cs"/>
          <w:rtl/>
        </w:rPr>
        <w:t>י</w:t>
      </w:r>
      <w:r w:rsidRPr="001F2586">
        <w:rPr>
          <w:rFonts w:eastAsia="Calibri"/>
          <w:rtl/>
        </w:rPr>
        <w:t xml:space="preserve"> הבנק</w:t>
      </w:r>
      <w:r w:rsidRPr="001F2586">
        <w:rPr>
          <w:rFonts w:eastAsia="Calibri" w:hint="cs"/>
          <w:rtl/>
        </w:rPr>
        <w:t>ים</w:t>
      </w:r>
      <w:r w:rsidRPr="001F2586">
        <w:rPr>
          <w:rFonts w:eastAsia="Calibri"/>
          <w:rtl/>
        </w:rPr>
        <w:t xml:space="preserve"> ותקינות מחשבוני</w:t>
      </w:r>
      <w:r w:rsidRPr="001F2586">
        <w:rPr>
          <w:rFonts w:eastAsia="Calibri" w:hint="cs"/>
          <w:rtl/>
        </w:rPr>
        <w:t xml:space="preserve"> </w:t>
      </w:r>
      <w:r w:rsidRPr="001F2586">
        <w:rPr>
          <w:rFonts w:eastAsia="Calibri"/>
          <w:rtl/>
        </w:rPr>
        <w:t>ההלוואה באתרי הבנקים</w:t>
      </w:r>
      <w:r w:rsidRPr="001F2586">
        <w:rPr>
          <w:rFonts w:eastAsia="Calibri" w:hint="cs"/>
          <w:rtl/>
        </w:rPr>
        <w:t>. הבקרה של הפיקוח על הבנקים העלתה כי רמת הציות של הבנקים להוראה היא גבוהה, וכי במקרים שבהם אותרו ליקויים הורה הפיקוח על תיקונם</w:t>
      </w:r>
      <w:r>
        <w:rPr>
          <w:rFonts w:eastAsia="Calibri"/>
          <w:vertAlign w:val="superscript"/>
          <w:rtl/>
        </w:rPr>
        <w:footnoteReference w:id="266"/>
      </w:r>
      <w:r w:rsidRPr="001F2586">
        <w:rPr>
          <w:rFonts w:eastAsia="Calibri" w:hint="cs"/>
          <w:rtl/>
        </w:rPr>
        <w:t>.</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הנגשה של מידע על משכנתאות באתרי הבנקים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בסעיף 4 </w:t>
      </w:r>
      <w:r w:rsidRPr="001F2586">
        <w:rPr>
          <w:rFonts w:eastAsia="Calibri" w:hint="cs"/>
          <w:rtl/>
        </w:rPr>
        <w:t>בנב"ת</w:t>
      </w:r>
      <w:r w:rsidRPr="001F2586">
        <w:rPr>
          <w:rFonts w:eastAsia="Calibri" w:hint="cs"/>
          <w:rtl/>
        </w:rPr>
        <w:t xml:space="preserve"> 451 נקבע כי </w:t>
      </w:r>
      <w:r w:rsidRPr="001F2586">
        <w:rPr>
          <w:rFonts w:eastAsia="Calibri"/>
          <w:rtl/>
        </w:rPr>
        <w:t>תאגיד בנקאי יפרסם לציבור באופן מקוון מידע אודות תנאים לקבלת הלוואה</w:t>
      </w:r>
      <w:r w:rsidRPr="001F2586">
        <w:rPr>
          <w:rFonts w:eastAsia="Calibri" w:hint="cs"/>
          <w:rtl/>
        </w:rPr>
        <w:t xml:space="preserve"> לדיור </w:t>
      </w:r>
      <w:r w:rsidRPr="001F2586">
        <w:rPr>
          <w:rFonts w:eastAsia="Calibri"/>
          <w:rtl/>
        </w:rPr>
        <w:t>אשר יכלול, לכל הפחות, עניינים אלה</w:t>
      </w:r>
      <w:r w:rsidRPr="001F2586">
        <w:rPr>
          <w:rFonts w:eastAsia="Calibri" w:hint="cs"/>
          <w:rtl/>
        </w:rPr>
        <w:t xml:space="preserve">: </w:t>
      </w:r>
      <w:r w:rsidRPr="001F2586">
        <w:rPr>
          <w:rFonts w:eastAsia="Calibri"/>
          <w:rtl/>
        </w:rPr>
        <w:t xml:space="preserve">תיאור כללי של כל סוגי ההלוואות </w:t>
      </w:r>
      <w:r w:rsidRPr="001F2586">
        <w:rPr>
          <w:rFonts w:eastAsia="Calibri" w:hint="cs"/>
          <w:rtl/>
        </w:rPr>
        <w:t xml:space="preserve">שמציע </w:t>
      </w:r>
      <w:r w:rsidRPr="001F2586">
        <w:rPr>
          <w:rFonts w:eastAsia="Calibri"/>
          <w:rtl/>
        </w:rPr>
        <w:t>התאגיד הבנקאי</w:t>
      </w:r>
      <w:r w:rsidRPr="001F2586">
        <w:rPr>
          <w:rFonts w:eastAsia="Calibri" w:hint="cs"/>
          <w:rtl/>
        </w:rPr>
        <w:t xml:space="preserve"> לרבות מידע על </w:t>
      </w:r>
      <w:r w:rsidRPr="001F2586">
        <w:rPr>
          <w:rFonts w:eastAsia="Calibri"/>
          <w:rtl/>
        </w:rPr>
        <w:t>אופן התשלום, מנגנוני הריבית וההצמדה</w:t>
      </w:r>
      <w:r w:rsidRPr="001F2586">
        <w:rPr>
          <w:rFonts w:eastAsia="Calibri" w:hint="cs"/>
          <w:rtl/>
        </w:rPr>
        <w:t xml:space="preserve">; </w:t>
      </w:r>
      <w:r w:rsidRPr="001F2586">
        <w:rPr>
          <w:rFonts w:eastAsia="Calibri"/>
          <w:rtl/>
        </w:rPr>
        <w:t xml:space="preserve">פירוט הצעדים </w:t>
      </w:r>
      <w:r w:rsidRPr="001F2586">
        <w:rPr>
          <w:rFonts w:eastAsia="Calibri" w:hint="cs"/>
          <w:rtl/>
        </w:rPr>
        <w:t>הנדרשים מלווים</w:t>
      </w:r>
      <w:r w:rsidRPr="001F2586">
        <w:rPr>
          <w:rFonts w:eastAsia="Calibri"/>
          <w:rtl/>
        </w:rPr>
        <w:t>, לרבות המסמכים הנדרשים</w:t>
      </w:r>
      <w:r w:rsidRPr="001F2586">
        <w:rPr>
          <w:rFonts w:eastAsia="Calibri" w:hint="cs"/>
          <w:rtl/>
        </w:rPr>
        <w:t xml:space="preserve"> </w:t>
      </w:r>
      <w:r w:rsidRPr="001F2586">
        <w:rPr>
          <w:rFonts w:eastAsia="Calibri"/>
          <w:rtl/>
        </w:rPr>
        <w:t>בתהליך</w:t>
      </w:r>
      <w:r w:rsidRPr="001F2586">
        <w:rPr>
          <w:rFonts w:eastAsia="Calibri" w:hint="cs"/>
          <w:rtl/>
        </w:rPr>
        <w:t xml:space="preserve"> לקיחת הלוואה לדיור; </w:t>
      </w:r>
      <w:r w:rsidRPr="001F2586">
        <w:rPr>
          <w:rFonts w:eastAsia="Calibri"/>
          <w:rtl/>
        </w:rPr>
        <w:t>חיובים ועמלות מכל סוג</w:t>
      </w:r>
      <w:r w:rsidRPr="001F2586">
        <w:rPr>
          <w:rFonts w:eastAsia="Calibri" w:hint="cs"/>
          <w:rtl/>
        </w:rPr>
        <w:t>; סדרי פירעון ההלוואה, לרבות קביעת מועד הפירעון החודשי של ההלוואה; וה</w:t>
      </w:r>
      <w:r w:rsidRPr="001F2586">
        <w:rPr>
          <w:rFonts w:eastAsia="Calibri"/>
          <w:rtl/>
        </w:rPr>
        <w:t xml:space="preserve">דרישות </w:t>
      </w:r>
      <w:r w:rsidRPr="001F2586">
        <w:rPr>
          <w:rFonts w:eastAsia="Calibri" w:hint="cs"/>
          <w:rtl/>
        </w:rPr>
        <w:t>ל</w:t>
      </w:r>
      <w:r w:rsidRPr="001F2586">
        <w:rPr>
          <w:rFonts w:eastAsia="Calibri"/>
          <w:rtl/>
        </w:rPr>
        <w:t>ביטוח חיים ו</w:t>
      </w:r>
      <w:r w:rsidRPr="001F2586">
        <w:rPr>
          <w:rFonts w:eastAsia="Calibri" w:hint="cs"/>
          <w:rtl/>
        </w:rPr>
        <w:t>ל</w:t>
      </w:r>
      <w:r w:rsidRPr="001F2586">
        <w:rPr>
          <w:rFonts w:eastAsia="Calibri"/>
          <w:rtl/>
        </w:rPr>
        <w:t>ביטוח נכס</w:t>
      </w:r>
      <w:r w:rsidRPr="001F2586">
        <w:rPr>
          <w:rFonts w:eastAsia="Calibri" w:hint="cs"/>
          <w:rtl/>
        </w:rPr>
        <w:t xml:space="preserve">. כמו כן נקבע כי כל תאגיד בנקאי יעמיד לרשות הציבור כלי של </w:t>
      </w:r>
      <w:r w:rsidRPr="001F2586">
        <w:rPr>
          <w:rFonts w:eastAsia="Calibri"/>
          <w:rtl/>
        </w:rPr>
        <w:t>מחשבון מקוון המאפשר ביצוע סימולציות</w:t>
      </w:r>
      <w:r w:rsidRPr="001F2586">
        <w:rPr>
          <w:rFonts w:eastAsia="Calibri" w:hint="cs"/>
          <w:rtl/>
        </w:rPr>
        <w:t xml:space="preserve"> </w:t>
      </w:r>
      <w:r w:rsidRPr="001F2586">
        <w:rPr>
          <w:rFonts w:eastAsia="Calibri"/>
          <w:rtl/>
        </w:rPr>
        <w:t>של תמהילים שונים של הלוואות בטווחי זמן שונים</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פרסום מידע באתרי הבנקים </w:t>
      </w:r>
      <w:r w:rsidRPr="001F2586">
        <w:rPr>
          <w:rFonts w:eastAsia="Calibri" w:hint="cs"/>
          <w:rtl/>
        </w:rPr>
        <w:t>והנגשתו</w:t>
      </w:r>
      <w:r w:rsidRPr="001F2586">
        <w:rPr>
          <w:rFonts w:eastAsia="Calibri" w:hint="cs"/>
          <w:rtl/>
        </w:rPr>
        <w:t xml:space="preserve"> לציבור עשוי לסייע ללווים באיסוף מידע והכרת מוצר המשכנתא, המאפיינים שלו והבנת הסיכונים הכרוכים בו וההשפעות הצפויות. הפיקוח על הבנקים ערך כאמור בקרה בנושא מהימנות המידע המוצג באתרי הבנקים ותקינות מחשבוני ההלוואה המוצגים בהם. בבקרה זו הוא בחן בין היתר אם המידע המוצג באתרי הבנקים עומד בדרישותיו ואם מחשבוני ההלוואה מאפשרים ללקוח לבצע הדמיות לבחינת תמהילי הלוואה שונים. הפיקוח על הבנקים ציין כי עלו ליקויים נקודתיים כמו </w:t>
      </w:r>
      <w:r w:rsidRPr="001F2586">
        <w:rPr>
          <w:rFonts w:eastAsia="Calibri"/>
          <w:rtl/>
        </w:rPr>
        <w:t>חוסר התאמה בין הנתונים שהופיעו</w:t>
      </w:r>
      <w:r w:rsidRPr="001F2586">
        <w:rPr>
          <w:rFonts w:eastAsia="Calibri" w:hint="cs"/>
          <w:rtl/>
        </w:rPr>
        <w:t xml:space="preserve"> </w:t>
      </w:r>
      <w:r w:rsidRPr="001F2586">
        <w:rPr>
          <w:rFonts w:eastAsia="Calibri"/>
          <w:rtl/>
        </w:rPr>
        <w:t>באישור העקרוני ל</w:t>
      </w:r>
      <w:r w:rsidRPr="001F2586">
        <w:rPr>
          <w:rFonts w:eastAsia="Calibri" w:hint="cs"/>
          <w:rtl/>
        </w:rPr>
        <w:t>בין אלו שהופיעו ב</w:t>
      </w:r>
      <w:r w:rsidRPr="001F2586">
        <w:rPr>
          <w:rFonts w:eastAsia="Calibri"/>
          <w:rtl/>
        </w:rPr>
        <w:t>מחשבון</w:t>
      </w:r>
      <w:r w:rsidRPr="001F2586">
        <w:rPr>
          <w:rFonts w:eastAsia="Calibri" w:hint="cs"/>
          <w:rtl/>
        </w:rPr>
        <w:t xml:space="preserve"> </w:t>
      </w:r>
      <w:r w:rsidRPr="001F2586">
        <w:rPr>
          <w:rFonts w:eastAsia="Calibri"/>
          <w:rtl/>
        </w:rPr>
        <w:t>הבנק וחולשות במחשבון</w:t>
      </w:r>
      <w:r w:rsidRPr="001F2586">
        <w:rPr>
          <w:rFonts w:eastAsia="Calibri" w:hint="cs"/>
          <w:rtl/>
        </w:rPr>
        <w:t xml:space="preserve"> </w:t>
      </w:r>
      <w:r w:rsidRPr="001F2586">
        <w:rPr>
          <w:rFonts w:eastAsia="Calibri"/>
          <w:rtl/>
        </w:rPr>
        <w:t>הבנק באופן שלא א</w:t>
      </w:r>
      <w:r w:rsidRPr="001F2586">
        <w:rPr>
          <w:rFonts w:eastAsia="Calibri" w:hint="cs"/>
          <w:rtl/>
        </w:rPr>
        <w:t>ִ</w:t>
      </w:r>
      <w:r w:rsidRPr="001F2586">
        <w:rPr>
          <w:rFonts w:eastAsia="Calibri"/>
          <w:rtl/>
        </w:rPr>
        <w:t xml:space="preserve">פשר </w:t>
      </w:r>
      <w:r w:rsidRPr="001F2586">
        <w:rPr>
          <w:rFonts w:eastAsia="Calibri" w:hint="cs"/>
          <w:rtl/>
        </w:rPr>
        <w:t>לעשות</w:t>
      </w:r>
      <w:r w:rsidRPr="001F2586">
        <w:rPr>
          <w:rFonts w:eastAsia="Calibri"/>
          <w:rtl/>
        </w:rPr>
        <w:t xml:space="preserve"> הדמיות של תמהילים</w:t>
      </w:r>
      <w:r w:rsidRPr="001F2586">
        <w:rPr>
          <w:rFonts w:eastAsia="Calibri" w:hint="cs"/>
          <w:rtl/>
        </w:rPr>
        <w:t xml:space="preserve"> </w:t>
      </w:r>
      <w:r w:rsidRPr="001F2586">
        <w:rPr>
          <w:rFonts w:eastAsia="Calibri"/>
          <w:rtl/>
        </w:rPr>
        <w:t xml:space="preserve">שונים </w:t>
      </w:r>
      <w:r w:rsidRPr="001F2586">
        <w:rPr>
          <w:rFonts w:eastAsia="Calibri" w:hint="cs"/>
          <w:rtl/>
        </w:rPr>
        <w:t xml:space="preserve">של </w:t>
      </w:r>
      <w:r w:rsidRPr="001F2586">
        <w:rPr>
          <w:rFonts w:eastAsia="Calibri"/>
          <w:rtl/>
        </w:rPr>
        <w:t>הלוואה.</w:t>
      </w:r>
      <w:r w:rsidRPr="001F2586">
        <w:rPr>
          <w:rFonts w:eastAsia="Calibri" w:hint="cs"/>
          <w:rtl/>
        </w:rPr>
        <w:t xml:space="preserve"> הפיקוח על הבנקים ציין כי בעקבות הבקרה הבנקים נדרשו לערוך שיפורים כדי לעמוד באופן מלא בהוראות הפיקוח ליישום הרפורמה וכי בעקבות </w:t>
      </w:r>
      <w:r w:rsidRPr="001F2586">
        <w:rPr>
          <w:rFonts w:eastAsia="Calibri" w:hint="cs"/>
          <w:rtl/>
        </w:rPr>
        <w:t>הבקרה על מחשבוני ההלוואות "...</w:t>
      </w:r>
      <w:r w:rsidRPr="001F2586">
        <w:rPr>
          <w:rFonts w:eastAsia="Calibri"/>
          <w:rtl/>
        </w:rPr>
        <w:t>פעלו כמה בנקים לעדכון הריבית החזויה של ההלוואה לדיור</w:t>
      </w:r>
      <w:r w:rsidRPr="001F2586">
        <w:rPr>
          <w:rFonts w:eastAsia="Calibri" w:hint="cs"/>
          <w:rtl/>
        </w:rPr>
        <w:t xml:space="preserve"> </w:t>
      </w:r>
      <w:r w:rsidRPr="001F2586">
        <w:rPr>
          <w:rFonts w:eastAsia="Calibri"/>
          <w:rtl/>
        </w:rPr>
        <w:t>בהתאם לתדירות שדרשו הנחיות הפיקוח</w:t>
      </w:r>
      <w:r w:rsidRPr="001F2586">
        <w:rPr>
          <w:rFonts w:eastAsia="Calibri" w:hint="cs"/>
          <w:rtl/>
        </w:rPr>
        <w:t>"</w:t>
      </w:r>
      <w:r>
        <w:rPr>
          <w:rFonts w:eastAsia="Calibri"/>
          <w:vertAlign w:val="superscript"/>
          <w:rtl/>
        </w:rPr>
        <w:footnoteReference w:id="267"/>
      </w:r>
      <w:r w:rsidRPr="001F2586">
        <w:rPr>
          <w:rFonts w:eastAsia="Calibri" w:hint="cs"/>
          <w:rtl/>
        </w:rPr>
        <w:t>.</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אפשרות הלווה להגשת בקשות מקוונות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בסעיף 4 </w:t>
      </w:r>
      <w:r w:rsidRPr="001F2586">
        <w:rPr>
          <w:rFonts w:eastAsia="Calibri" w:hint="cs"/>
          <w:rtl/>
        </w:rPr>
        <w:t>בנב"ת</w:t>
      </w:r>
      <w:r w:rsidRPr="001F2586">
        <w:rPr>
          <w:rFonts w:eastAsia="Calibri" w:hint="cs"/>
          <w:rtl/>
        </w:rPr>
        <w:t xml:space="preserve"> 451 נקבעו גם הוראות בנושא אישור עקרוני של הלוואה לדיור ושמירת שיעור הריבית. לקוח הזקוק למשכנתא לאחת המטרות</w:t>
      </w:r>
      <w:r>
        <w:rPr>
          <w:rFonts w:eastAsia="Calibri"/>
          <w:vertAlign w:val="superscript"/>
          <w:rtl/>
        </w:rPr>
        <w:footnoteReference w:id="268"/>
      </w:r>
      <w:r w:rsidRPr="001F2586">
        <w:rPr>
          <w:rFonts w:eastAsia="Calibri" w:hint="cs"/>
          <w:rtl/>
        </w:rPr>
        <w:t xml:space="preserve"> המגדירות הלוואה לדיור מגיש לבנק בקשה לאישור עקרוני. הבנק בוחן את הבקשה תחת המגבלות למתן הלוואות לדיור של הפיקוח על הבנקים ותחת מדיניות ניהול הסיכונים שלו. התאגיד הבנקאי רשאי לדרוש מהלקוח מידע נוסף או מסמכים לצורך קבלת ההחלטה על האישור העקרוני. הבנק יכול לאשר את בקשת הלקוח להלוואה או לסרב לה. אישור בקשת הלקוח להלוואה נעשה באמצעות אישור עקרוני ללא חיוב בעלויות כלשהן, ומשמעותו היא כאמור הסכמה עקרונית של הבנק למתן הלוואה ללקוח.</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בעבר לקוח יכול היה להגיש בקשה לאישור עקרוני למשכנתא באמצעות סניפי הבנקים ובמוקד הטלפוני הייעודי למשכנתאות של הבנקים בלבד. במחקר רשות התחרות משנת 2021 עלה כי הקשיים בהשוואת מחירים מצד הלווים המונעים ביצוע תהליך </w:t>
      </w:r>
      <w:r w:rsidRPr="001F2586">
        <w:rPr>
          <w:rFonts w:eastAsia="Calibri" w:hint="cs"/>
          <w:rtl/>
        </w:rPr>
        <w:t>תיחור</w:t>
      </w:r>
      <w:r w:rsidRPr="001F2586">
        <w:rPr>
          <w:rFonts w:eastAsia="Calibri" w:hint="cs"/>
          <w:rtl/>
        </w:rPr>
        <w:t xml:space="preserve"> אפקטיבי נובעים בין היתר ממשך הזמן הנדרש לקבלת אישור עקרוני והצעת מחיר. המחקר העלה כי פעמים רבות לקוחות נדרשו לזמני המתנה ארוכים עד לקבלת הצעת המחיר. זמן תגובה ממושך מקשה על תהליך </w:t>
      </w:r>
      <w:r w:rsidRPr="001F2586">
        <w:rPr>
          <w:rFonts w:eastAsia="Calibri" w:hint="cs"/>
          <w:rtl/>
        </w:rPr>
        <w:t>תיחור</w:t>
      </w:r>
      <w:r w:rsidRPr="001F2586">
        <w:rPr>
          <w:rFonts w:eastAsia="Calibri" w:hint="cs"/>
          <w:rtl/>
        </w:rPr>
        <w:t xml:space="preserve"> אפקטיבי בעסקה שנעשית בלוח זמנים מצומצם. על כן על פי מחקר זה נדרש לקצר את משך הזמן לקבלת אישור עקרוני.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בסעיף 4ג(ה) </w:t>
      </w:r>
      <w:r w:rsidRPr="001F2586">
        <w:rPr>
          <w:rFonts w:eastAsia="Calibri" w:hint="cs"/>
          <w:rtl/>
        </w:rPr>
        <w:t>בנב"ת</w:t>
      </w:r>
      <w:r w:rsidRPr="001F2586">
        <w:rPr>
          <w:rFonts w:eastAsia="Calibri" w:hint="cs"/>
          <w:rtl/>
        </w:rPr>
        <w:t xml:space="preserve"> 451 נקבע כי בנק יאפשר ללקוח להגיש בקשה לאישור עקרוני גם באופן מקוון ובטלפון, וכן יאפשר לו לקבל את האישור ואת המידע הנלווה לו בדרכים המקובלות, לרבות באופן מקוון, בהתאם לבחירת הלקוח. בסעיף 4ג(א)(5) </w:t>
      </w:r>
      <w:r w:rsidRPr="001F2586">
        <w:rPr>
          <w:rFonts w:eastAsia="Calibri" w:hint="cs"/>
          <w:rtl/>
        </w:rPr>
        <w:t>בנב"ת</w:t>
      </w:r>
      <w:r w:rsidRPr="001F2586">
        <w:rPr>
          <w:rFonts w:eastAsia="Calibri" w:hint="cs"/>
          <w:rtl/>
        </w:rPr>
        <w:t xml:space="preserve"> 451 נקבע כי בנק מחויב להודיע ללקוח בתוך חמישה ימי עסקים מיום הגשת בקשה לאישור עקרוני על אישור הבקשה או סירובה. עוד נקבע כי כל בנק יכול להגדיר במדיניות האשראי שלו סוג של בקשות מסוימות של הלוואות שהן מקרים חריגים. במקרים של בקשות אלו הבנק נדרש לתת תשובה ללקוחות בתוך שבעה ימי עסקים, וכן לעדכן אותם על משך הזמן הדרוש לטיפול בבקשה והסיבה לכך. הוראות אלו נועדו </w:t>
      </w:r>
      <w:r w:rsidRPr="001F2586">
        <w:rPr>
          <w:rFonts w:eastAsia="Calibri"/>
          <w:rtl/>
        </w:rPr>
        <w:t xml:space="preserve">לייעל את </w:t>
      </w:r>
      <w:r w:rsidRPr="001F2586">
        <w:rPr>
          <w:rFonts w:eastAsia="Calibri" w:hint="cs"/>
          <w:rtl/>
        </w:rPr>
        <w:t>תהליך הבקשה לאישור עקרוני</w:t>
      </w:r>
      <w:r w:rsidRPr="001F2586">
        <w:rPr>
          <w:rFonts w:eastAsia="Calibri"/>
          <w:rtl/>
        </w:rPr>
        <w:t xml:space="preserve"> ולהפוך אותו לנגיש יותר. </w:t>
      </w:r>
      <w:r w:rsidRPr="001F2586">
        <w:rPr>
          <w:rFonts w:eastAsia="Calibri" w:hint="cs"/>
          <w:rtl/>
        </w:rPr>
        <w:t xml:space="preserve">יצוין כי עוד נקבע </w:t>
      </w:r>
      <w:r w:rsidRPr="001F2586">
        <w:rPr>
          <w:rFonts w:eastAsia="Calibri" w:hint="cs"/>
          <w:rtl/>
        </w:rPr>
        <w:t>בנב"ת</w:t>
      </w:r>
      <w:r w:rsidRPr="001F2586">
        <w:rPr>
          <w:rFonts w:eastAsia="Calibri" w:hint="cs"/>
          <w:rtl/>
        </w:rPr>
        <w:t xml:space="preserve"> 451 כי "תאגיד בנקאי </w:t>
      </w:r>
      <w:r w:rsidRPr="001F2586">
        <w:rPr>
          <w:rFonts w:eastAsia="Calibri"/>
          <w:rtl/>
        </w:rPr>
        <w:t>יקבע נהלי עבודה ויקצה משאבים הולמים להבטחת שירות זמין וטיפול מהיר ויעיל בבקשה, אשר יאפשר שהות מספקת למתן האישור</w:t>
      </w:r>
      <w:r w:rsidRPr="001F2586">
        <w:rPr>
          <w:rFonts w:eastAsia="Calibri" w:hint="cs"/>
          <w:rtl/>
        </w:rPr>
        <w:t xml:space="preserve"> </w:t>
      </w:r>
      <w:r w:rsidRPr="001F2586">
        <w:rPr>
          <w:rFonts w:eastAsia="Calibri"/>
          <w:rtl/>
        </w:rPr>
        <w:t>העקרוני והשלמת התהליך במסגרת התקופה בה האישור העקרוני בתוק</w:t>
      </w:r>
      <w:r w:rsidRPr="001F2586">
        <w:rPr>
          <w:rFonts w:eastAsia="Calibri" w:hint="cs"/>
          <w:rtl/>
        </w:rPr>
        <w:t>ף".</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בבקרה שערך הפיקוח על הבנקים</w:t>
      </w:r>
      <w:r w:rsidRPr="001F2586">
        <w:rPr>
          <w:rFonts w:eastAsia="Calibri"/>
          <w:rtl/>
        </w:rPr>
        <w:t xml:space="preserve"> נבדקה עמידת הבנקים ב</w:t>
      </w:r>
      <w:r w:rsidRPr="001F2586">
        <w:rPr>
          <w:rFonts w:eastAsia="Calibri" w:hint="cs"/>
          <w:rtl/>
        </w:rPr>
        <w:t>הוראות ה</w:t>
      </w:r>
      <w:r w:rsidRPr="001F2586">
        <w:rPr>
          <w:rFonts w:eastAsia="Calibri"/>
          <w:rtl/>
        </w:rPr>
        <w:t>מח</w:t>
      </w:r>
      <w:r w:rsidRPr="001F2586">
        <w:rPr>
          <w:rFonts w:eastAsia="Calibri" w:hint="cs"/>
          <w:rtl/>
        </w:rPr>
        <w:t>יי</w:t>
      </w:r>
      <w:r w:rsidRPr="001F2586">
        <w:rPr>
          <w:rFonts w:eastAsia="Calibri"/>
          <w:rtl/>
        </w:rPr>
        <w:t>בות</w:t>
      </w:r>
      <w:r w:rsidRPr="001F2586">
        <w:rPr>
          <w:rFonts w:eastAsia="Calibri" w:hint="cs"/>
          <w:rtl/>
        </w:rPr>
        <w:t xml:space="preserve"> </w:t>
      </w:r>
      <w:r w:rsidRPr="001F2586">
        <w:rPr>
          <w:rFonts w:eastAsia="Calibri"/>
          <w:rtl/>
        </w:rPr>
        <w:t>לספק מענה לבקשות בזמני</w:t>
      </w:r>
      <w:r w:rsidRPr="001F2586">
        <w:rPr>
          <w:rFonts w:eastAsia="Calibri" w:hint="cs"/>
          <w:rtl/>
        </w:rPr>
        <w:t xml:space="preserve"> </w:t>
      </w:r>
      <w:r w:rsidRPr="001F2586">
        <w:rPr>
          <w:rFonts w:eastAsia="Calibri"/>
          <w:rtl/>
        </w:rPr>
        <w:t xml:space="preserve">המענה </w:t>
      </w:r>
      <w:r w:rsidRPr="001F2586">
        <w:rPr>
          <w:rFonts w:eastAsia="Calibri" w:hint="cs"/>
          <w:rtl/>
        </w:rPr>
        <w:t xml:space="preserve">של חמישה עד שבעה ימי עסקים </w:t>
      </w:r>
      <w:r w:rsidRPr="001F2586">
        <w:rPr>
          <w:rFonts w:eastAsia="Calibri"/>
          <w:rtl/>
        </w:rPr>
        <w:t xml:space="preserve">ונבחנו הסיבות וההיקפים של חריגות </w:t>
      </w:r>
      <w:r w:rsidRPr="001F2586">
        <w:rPr>
          <w:rFonts w:eastAsia="Calibri" w:hint="cs"/>
          <w:rtl/>
        </w:rPr>
        <w:t xml:space="preserve">מזמנים אלו </w:t>
      </w:r>
      <w:r w:rsidRPr="001F2586">
        <w:rPr>
          <w:rFonts w:eastAsia="Calibri"/>
          <w:rtl/>
        </w:rPr>
        <w:t xml:space="preserve">בניגוד </w:t>
      </w:r>
      <w:r w:rsidRPr="001F2586">
        <w:rPr>
          <w:rFonts w:eastAsia="Calibri" w:hint="cs"/>
          <w:rtl/>
        </w:rPr>
        <w:t>לנב"ת</w:t>
      </w:r>
      <w:r w:rsidRPr="001F2586">
        <w:rPr>
          <w:rFonts w:eastAsia="Calibri"/>
          <w:rtl/>
        </w:rPr>
        <w:t xml:space="preserve"> 451</w:t>
      </w:r>
      <w:r w:rsidRPr="001F2586">
        <w:rPr>
          <w:rFonts w:eastAsia="Calibri" w:hint="cs"/>
          <w:rtl/>
        </w:rPr>
        <w:t>. הפיקוח על הבנקים ציין כי "</w:t>
      </w:r>
      <w:r w:rsidRPr="001F2586">
        <w:rPr>
          <w:rFonts w:eastAsia="Calibri"/>
          <w:rtl/>
        </w:rPr>
        <w:t xml:space="preserve">הבדיקה העלתה חריגות שנבעו מסיבות </w:t>
      </w:r>
      <w:r w:rsidRPr="001F2586">
        <w:rPr>
          <w:rFonts w:eastAsia="Calibri"/>
          <w:rtl/>
        </w:rPr>
        <w:t>מיכוניות</w:t>
      </w:r>
      <w:r w:rsidRPr="001F2586">
        <w:rPr>
          <w:rFonts w:eastAsia="Calibri"/>
          <w:rtl/>
        </w:rPr>
        <w:t xml:space="preserve"> או שמקורן</w:t>
      </w:r>
      <w:r w:rsidRPr="001F2586">
        <w:rPr>
          <w:rFonts w:eastAsia="Calibri" w:hint="cs"/>
          <w:rtl/>
        </w:rPr>
        <w:t xml:space="preserve"> </w:t>
      </w:r>
      <w:r w:rsidRPr="001F2586">
        <w:rPr>
          <w:rFonts w:eastAsia="Calibri"/>
          <w:rtl/>
        </w:rPr>
        <w:t>בגורם האנושי</w:t>
      </w:r>
      <w:r w:rsidRPr="001F2586">
        <w:rPr>
          <w:rFonts w:eastAsia="Calibri" w:hint="cs"/>
          <w:rtl/>
        </w:rPr>
        <w:t>. תיקון הליקויים שאותרו נועדו לאפשר ללקוחות לקבל הצעות להלוואה לדיור בצורה מהירה שתאפשר להם לבצע את המשך הליך התמחור וקבלת ההלוואה".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הוראה 875 של הפיקוח על הבנקים</w:t>
      </w:r>
      <w:r>
        <w:rPr>
          <w:rFonts w:eastAsia="Calibri"/>
          <w:vertAlign w:val="superscript"/>
          <w:rtl/>
        </w:rPr>
        <w:footnoteReference w:id="269"/>
      </w:r>
      <w:r w:rsidRPr="001F2586">
        <w:rPr>
          <w:rFonts w:eastAsia="Calibri" w:hint="cs"/>
          <w:rtl/>
        </w:rPr>
        <w:t xml:space="preserve"> (להלן - הוראה 875) מחייבת את הבנקים לדווח לפיקוח על אישורים עקרוניים שניתנו על הלוואות לדיור כשבועיים מתום החודש המדווח. חובה זו חלה על כל תאגיד בנקאי שיתרת האשראי לדיור שלו עולה על 5 מיליארד ש"ח. במסגרת הוראה זו הפיקוח על הבנקים מנחה לכלול נתונים על אישורים עקרוניים של הלוואות לדיור ולדווח ברמת כל מסלול הלוואה. הנתונים שהבנק מדווח עליהם לפיקוח על כל אישור עקרוני הם רבים וכוללים את זהות הלווים, מטרת הלוואה, ההצעות שניתנו באישור, מספר האישור העקרוני ומועד האישור, סוג </w:t>
      </w:r>
      <w:r w:rsidRPr="001F2586">
        <w:rPr>
          <w:rFonts w:eastAsia="Calibri" w:hint="cs"/>
          <w:rtl/>
        </w:rPr>
        <w:t>הריבית וההצמדה, שיעור המימון והחזר מהכנסה ועוד. בנובמבר 2023 הפיקוח על הבנקים הוסיף להוראה זו דרישת דיווח נוספת לבנקים על פניות שנעשו על ידי יועץ משכנתאות</w:t>
      </w:r>
      <w:r>
        <w:rPr>
          <w:rFonts w:eastAsia="Calibri"/>
          <w:vertAlign w:val="superscript"/>
          <w:rtl/>
        </w:rPr>
        <w:footnoteReference w:id="270"/>
      </w:r>
      <w:r w:rsidRPr="001F2586">
        <w:rPr>
          <w:rFonts w:eastAsia="Calibri" w:hint="cs"/>
          <w:rtl/>
        </w:rPr>
        <w:t>. להלן נתונים על מספר האישורים העקרוניים שניתנו לבקשות להלוואות לדיור במערכת הבנקאית בשנים 2023 - 2024:</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sz w:val="24"/>
          <w:rtl/>
        </w:rPr>
      </w:pPr>
      <w:r w:rsidRPr="001F2586">
        <w:rPr>
          <w:rFonts w:eastAsia="Calibri" w:hint="cs"/>
          <w:b/>
          <w:sz w:val="24"/>
          <w:rtl/>
        </w:rPr>
        <w:t>תרשים 34:</w:t>
      </w:r>
      <w:r w:rsidRPr="001F2586">
        <w:rPr>
          <w:rFonts w:eastAsia="Calibri" w:hint="cs"/>
          <w:bCs/>
          <w:sz w:val="24"/>
          <w:rtl/>
        </w:rPr>
        <w:t xml:space="preserve"> </w:t>
      </w:r>
      <w:r w:rsidRPr="001F2586">
        <w:rPr>
          <w:rFonts w:eastAsia="Calibri" w:hint="eastAsia"/>
          <w:bCs/>
          <w:sz w:val="24"/>
          <w:rtl/>
        </w:rPr>
        <w:t>מספר</w:t>
      </w:r>
      <w:r w:rsidRPr="001F2586">
        <w:rPr>
          <w:rFonts w:eastAsia="Calibri"/>
          <w:bCs/>
          <w:sz w:val="24"/>
          <w:rtl/>
        </w:rPr>
        <w:t xml:space="preserve"> האישורים העקרוניים </w:t>
      </w:r>
      <w:r w:rsidRPr="001F2586">
        <w:rPr>
          <w:rFonts w:eastAsia="Calibri" w:hint="eastAsia"/>
          <w:bCs/>
          <w:sz w:val="24"/>
          <w:rtl/>
        </w:rPr>
        <w:t>שניתנו</w:t>
      </w:r>
      <w:r w:rsidRPr="001F2586">
        <w:rPr>
          <w:rFonts w:eastAsia="Calibri"/>
          <w:bCs/>
          <w:sz w:val="24"/>
          <w:rtl/>
        </w:rPr>
        <w:t xml:space="preserve"> לבקשת הלוואה לדיור במערכת הבנקאית</w:t>
      </w:r>
      <w:r w:rsidRPr="001F2586">
        <w:rPr>
          <w:rFonts w:eastAsia="Calibri" w:hint="cs"/>
          <w:bCs/>
          <w:sz w:val="24"/>
          <w:rtl/>
        </w:rPr>
        <w:t>,</w:t>
      </w:r>
      <w:r w:rsidRPr="001F2586">
        <w:rPr>
          <w:rFonts w:eastAsia="Calibri"/>
          <w:bCs/>
          <w:sz w:val="24"/>
          <w:rtl/>
        </w:rPr>
        <w:t xml:space="preserve"> 2023 - 2024</w:t>
      </w:r>
    </w:p>
    <w:p w:rsidR="001F2586" w:rsidRPr="001F2586" w:rsidP="001F2586">
      <w:pPr>
        <w:spacing w:line="269" w:lineRule="auto"/>
        <w:jc w:val="center"/>
        <w:rPr>
          <w:rFonts w:eastAsia="Calibri"/>
        </w:rPr>
      </w:pPr>
      <w:r w:rsidRPr="001F2586">
        <w:rPr>
          <w:rFonts w:eastAsia="Calibri"/>
          <w:noProof/>
        </w:rPr>
        <w:drawing>
          <wp:inline distT="0" distB="0" distL="0" distR="0">
            <wp:extent cx="5220335" cy="3357880"/>
            <wp:effectExtent l="0" t="0" r="0" b="0"/>
            <wp:docPr id="893000196" name="תמונה 60" descr="מגמה כללית של עליה בהיקף אישורים עקרוניים מכ-50 אלף אישורים בתחילת שנת 2023 לכ-77 אלף אישורים בסוף שנת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00196" name="תרשים 34.JPG"/>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5220335" cy="3357880"/>
                    </a:xfrm>
                    <a:prstGeom prst="rect">
                      <a:avLst/>
                    </a:prstGeom>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מהתרשים</w:t>
      </w:r>
      <w:r w:rsidRPr="001F2586">
        <w:rPr>
          <w:rFonts w:eastAsia="Calibri"/>
          <w:b/>
          <w:bCs/>
          <w:rtl/>
        </w:rPr>
        <w:t xml:space="preserve"> עולה כי היקף האישורים העקרוניים היה במגמה מעורבת של עליות וירידות וכי המגמה הכללית היא של </w:t>
      </w:r>
      <w:r w:rsidRPr="001F2586">
        <w:rPr>
          <w:rFonts w:eastAsia="Calibri" w:hint="eastAsia"/>
          <w:b/>
          <w:bCs/>
          <w:rtl/>
        </w:rPr>
        <w:t>עלייה</w:t>
      </w:r>
      <w:r w:rsidRPr="001F2586">
        <w:rPr>
          <w:rFonts w:eastAsia="Calibri"/>
          <w:b/>
          <w:bCs/>
          <w:rtl/>
        </w:rPr>
        <w:t xml:space="preserve"> מכ-50 אלף אישורים בתחילת שנת 2023 לכ-77 אלף אישורים בסוף שנת 2024. עוד עולה כי כמות האישורים הנמוכה ביותר ניתנה </w:t>
      </w:r>
      <w:r w:rsidRPr="001F2586">
        <w:rPr>
          <w:rFonts w:eastAsia="Calibri" w:hint="eastAsia"/>
          <w:b/>
          <w:bCs/>
          <w:rtl/>
        </w:rPr>
        <w:t>באוקטובר</w:t>
      </w:r>
      <w:r w:rsidRPr="001F2586">
        <w:rPr>
          <w:rFonts w:eastAsia="Calibri"/>
          <w:b/>
          <w:bCs/>
          <w:rtl/>
        </w:rPr>
        <w:t xml:space="preserve"> 2023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-32.4 </w:t>
      </w:r>
      <w:r w:rsidRPr="001F2586">
        <w:rPr>
          <w:rFonts w:eastAsia="Calibri" w:hint="eastAsia"/>
          <w:b/>
          <w:bCs/>
          <w:rtl/>
        </w:rPr>
        <w:t>אלף</w:t>
      </w:r>
      <w:r w:rsidRPr="001F2586">
        <w:rPr>
          <w:rFonts w:eastAsia="Calibri"/>
          <w:b/>
          <w:bCs/>
          <w:rtl/>
        </w:rPr>
        <w:t xml:space="preserve"> </w:t>
      </w:r>
      <w:r w:rsidRPr="001F2586">
        <w:rPr>
          <w:rFonts w:eastAsia="Calibri" w:hint="eastAsia"/>
          <w:b/>
          <w:bCs/>
          <w:rtl/>
        </w:rPr>
        <w:t>אישורים</w:t>
      </w:r>
      <w:r w:rsidRPr="001F2586">
        <w:rPr>
          <w:rFonts w:eastAsia="Calibri"/>
          <w:b/>
          <w:bCs/>
          <w:rtl/>
        </w:rPr>
        <w:t xml:space="preserve"> </w:t>
      </w:r>
      <w:r w:rsidRPr="001F2586">
        <w:rPr>
          <w:rFonts w:eastAsia="Calibri" w:hint="eastAsia"/>
          <w:b/>
          <w:bCs/>
          <w:rtl/>
        </w:rPr>
        <w:t>עקרוניים</w:t>
      </w:r>
      <w:r w:rsidRPr="001F2586">
        <w:rPr>
          <w:rFonts w:eastAsia="Calibri"/>
          <w:b/>
          <w:bCs/>
          <w:rtl/>
        </w:rPr>
        <w:t xml:space="preserve"> </w:t>
      </w:r>
      <w:r w:rsidRPr="001F2586">
        <w:rPr>
          <w:rFonts w:eastAsia="Calibri" w:hint="eastAsia"/>
          <w:b/>
          <w:bCs/>
          <w:rtl/>
        </w:rPr>
        <w:t>והכמות</w:t>
      </w:r>
      <w:r w:rsidRPr="001F2586">
        <w:rPr>
          <w:rFonts w:eastAsia="Calibri"/>
          <w:b/>
          <w:bCs/>
          <w:rtl/>
        </w:rPr>
        <w:t xml:space="preserve"> </w:t>
      </w:r>
      <w:r w:rsidRPr="001F2586">
        <w:rPr>
          <w:rFonts w:eastAsia="Calibri" w:hint="eastAsia"/>
          <w:b/>
          <w:bCs/>
          <w:rtl/>
        </w:rPr>
        <w:t>הגבוהה</w:t>
      </w:r>
      <w:r w:rsidRPr="001F2586">
        <w:rPr>
          <w:rFonts w:eastAsia="Calibri"/>
          <w:b/>
          <w:bCs/>
          <w:rtl/>
        </w:rPr>
        <w:t xml:space="preserve"> </w:t>
      </w:r>
      <w:r w:rsidRPr="001F2586">
        <w:rPr>
          <w:rFonts w:eastAsia="Calibri" w:hint="eastAsia"/>
          <w:b/>
          <w:bCs/>
          <w:rtl/>
        </w:rPr>
        <w:t>ביותר</w:t>
      </w:r>
      <w:r w:rsidRPr="001F2586">
        <w:rPr>
          <w:rFonts w:eastAsia="Calibri"/>
          <w:b/>
          <w:bCs/>
          <w:rtl/>
        </w:rPr>
        <w:t xml:space="preserve"> </w:t>
      </w:r>
      <w:r w:rsidRPr="001F2586">
        <w:rPr>
          <w:rFonts w:eastAsia="Calibri" w:hint="eastAsia"/>
          <w:b/>
          <w:bCs/>
          <w:rtl/>
        </w:rPr>
        <w:t>ניתנה</w:t>
      </w:r>
      <w:r w:rsidRPr="001F2586">
        <w:rPr>
          <w:rFonts w:eastAsia="Calibri"/>
          <w:b/>
          <w:bCs/>
          <w:rtl/>
        </w:rPr>
        <w:t xml:space="preserve"> </w:t>
      </w:r>
      <w:r w:rsidRPr="001F2586">
        <w:rPr>
          <w:rFonts w:eastAsia="Calibri" w:hint="eastAsia"/>
          <w:b/>
          <w:bCs/>
          <w:rtl/>
        </w:rPr>
        <w:t>בדצמבר</w:t>
      </w:r>
      <w:r w:rsidRPr="001F2586">
        <w:rPr>
          <w:rFonts w:eastAsia="Calibri"/>
          <w:b/>
          <w:bCs/>
          <w:rtl/>
        </w:rPr>
        <w:t xml:space="preserve"> 2024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-77.1 </w:t>
      </w:r>
      <w:r w:rsidRPr="001F2586">
        <w:rPr>
          <w:rFonts w:eastAsia="Calibri" w:hint="eastAsia"/>
          <w:b/>
          <w:bCs/>
          <w:rtl/>
        </w:rPr>
        <w:t>אלף</w:t>
      </w:r>
      <w:r w:rsidRPr="001F2586">
        <w:rPr>
          <w:rFonts w:eastAsia="Calibri"/>
          <w:b/>
          <w:bCs/>
          <w:rtl/>
        </w:rPr>
        <w:t xml:space="preserve"> </w:t>
      </w:r>
      <w:r w:rsidRPr="001F2586">
        <w:rPr>
          <w:rFonts w:eastAsia="Calibri" w:hint="eastAsia"/>
          <w:b/>
          <w:bCs/>
          <w:rtl/>
        </w:rPr>
        <w:t>אישורים</w:t>
      </w:r>
      <w:r w:rsidRPr="001F2586">
        <w:rPr>
          <w:rFonts w:eastAsia="Calibri"/>
          <w:b/>
          <w:bCs/>
          <w:rtl/>
        </w:rPr>
        <w:t xml:space="preserve"> </w:t>
      </w:r>
      <w:r w:rsidRPr="001F2586">
        <w:rPr>
          <w:rFonts w:eastAsia="Calibri" w:hint="eastAsia"/>
          <w:b/>
          <w:bCs/>
          <w:rtl/>
        </w:rPr>
        <w:t>עקרוניים</w:t>
      </w:r>
      <w:r w:rsidRPr="001F2586">
        <w:rPr>
          <w:rFonts w:eastAsia="Calibri"/>
          <w:b/>
          <w:bCs/>
          <w:rtl/>
        </w:rPr>
        <w:t xml:space="preserve">. </w:t>
      </w:r>
      <w:r w:rsidRPr="001F2586">
        <w:rPr>
          <w:rFonts w:eastAsia="Calibri" w:hint="eastAsia"/>
          <w:b/>
          <w:bCs/>
          <w:rtl/>
        </w:rPr>
        <w:t>יצוין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לפי</w:t>
      </w:r>
      <w:r w:rsidRPr="001F2586">
        <w:rPr>
          <w:rFonts w:eastAsia="Calibri"/>
          <w:b/>
          <w:bCs/>
          <w:rtl/>
        </w:rPr>
        <w:t xml:space="preserve"> </w:t>
      </w:r>
      <w:r w:rsidRPr="001F2586">
        <w:rPr>
          <w:rFonts w:eastAsia="Calibri" w:hint="eastAsia"/>
          <w:b/>
          <w:bCs/>
          <w:rtl/>
        </w:rPr>
        <w:t>נתוני</w:t>
      </w:r>
      <w:r w:rsidRPr="001F2586">
        <w:rPr>
          <w:rFonts w:eastAsia="Calibri"/>
          <w:b/>
          <w:bCs/>
          <w:rtl/>
        </w:rPr>
        <w:t xml:space="preserve"> </w:t>
      </w:r>
      <w:r w:rsidRPr="001F2586">
        <w:rPr>
          <w:rFonts w:eastAsia="Calibri" w:hint="eastAsia"/>
          <w:b/>
          <w:bCs/>
          <w:rtl/>
        </w:rPr>
        <w:t>בנק</w:t>
      </w:r>
      <w:r w:rsidRPr="001F2586">
        <w:rPr>
          <w:rFonts w:eastAsia="Calibri"/>
          <w:b/>
          <w:bCs/>
          <w:rtl/>
        </w:rPr>
        <w:t xml:space="preserve"> </w:t>
      </w:r>
      <w:r w:rsidRPr="001F2586">
        <w:rPr>
          <w:rFonts w:eastAsia="Calibri" w:hint="eastAsia"/>
          <w:b/>
          <w:bCs/>
          <w:rtl/>
        </w:rPr>
        <w:t>ישראל</w:t>
      </w:r>
      <w:r w:rsidRPr="001F2586">
        <w:rPr>
          <w:rFonts w:eastAsia="Calibri"/>
          <w:b/>
          <w:bCs/>
          <w:rtl/>
        </w:rPr>
        <w:t xml:space="preserve"> </w:t>
      </w:r>
      <w:r w:rsidRPr="001F2586">
        <w:rPr>
          <w:rFonts w:eastAsia="Calibri" w:hint="eastAsia"/>
          <w:b/>
          <w:bCs/>
          <w:rtl/>
        </w:rPr>
        <w:t>מספר</w:t>
      </w:r>
      <w:r w:rsidRPr="001F2586">
        <w:rPr>
          <w:rFonts w:eastAsia="Calibri"/>
          <w:b/>
          <w:bCs/>
          <w:rtl/>
        </w:rPr>
        <w:t xml:space="preserve"> </w:t>
      </w:r>
      <w:r w:rsidRPr="001F2586">
        <w:rPr>
          <w:rFonts w:eastAsia="Calibri" w:hint="eastAsia"/>
          <w:b/>
          <w:bCs/>
          <w:rtl/>
        </w:rPr>
        <w:t>האישורים</w:t>
      </w:r>
      <w:r w:rsidRPr="001F2586">
        <w:rPr>
          <w:rFonts w:eastAsia="Calibri"/>
          <w:b/>
          <w:bCs/>
          <w:rtl/>
        </w:rPr>
        <w:t xml:space="preserve"> </w:t>
      </w:r>
      <w:r w:rsidRPr="001F2586">
        <w:rPr>
          <w:rFonts w:eastAsia="Calibri" w:hint="eastAsia"/>
          <w:b/>
          <w:bCs/>
          <w:rtl/>
        </w:rPr>
        <w:t>העקרוניים</w:t>
      </w:r>
      <w:r w:rsidRPr="001F2586">
        <w:rPr>
          <w:rFonts w:eastAsia="Calibri"/>
          <w:b/>
          <w:bCs/>
          <w:rtl/>
        </w:rPr>
        <w:t xml:space="preserve"> </w:t>
      </w:r>
      <w:r w:rsidRPr="001F2586">
        <w:rPr>
          <w:rFonts w:eastAsia="Calibri" w:hint="eastAsia"/>
          <w:b/>
          <w:bCs/>
          <w:rtl/>
        </w:rPr>
        <w:t>שניתנו</w:t>
      </w:r>
      <w:r w:rsidRPr="001F2586">
        <w:rPr>
          <w:rFonts w:eastAsia="Calibri"/>
          <w:b/>
          <w:bCs/>
          <w:rtl/>
        </w:rPr>
        <w:t xml:space="preserve"> </w:t>
      </w:r>
      <w:r w:rsidRPr="001F2586">
        <w:rPr>
          <w:rFonts w:eastAsia="Calibri" w:hint="eastAsia"/>
          <w:b/>
          <w:bCs/>
          <w:rtl/>
        </w:rPr>
        <w:t>בחודש</w:t>
      </w:r>
      <w:r w:rsidRPr="001F2586">
        <w:rPr>
          <w:rFonts w:eastAsia="Calibri"/>
          <w:b/>
          <w:bCs/>
          <w:rtl/>
        </w:rPr>
        <w:t xml:space="preserve"> </w:t>
      </w:r>
      <w:r w:rsidRPr="001F2586">
        <w:rPr>
          <w:rFonts w:eastAsia="Calibri" w:hint="eastAsia"/>
          <w:b/>
          <w:bCs/>
          <w:rtl/>
        </w:rPr>
        <w:t>מאי</w:t>
      </w:r>
      <w:r w:rsidRPr="001F2586">
        <w:rPr>
          <w:rFonts w:eastAsia="Calibri"/>
          <w:b/>
          <w:bCs/>
          <w:rtl/>
        </w:rPr>
        <w:t xml:space="preserve"> 2025 </w:t>
      </w:r>
      <w:r w:rsidRPr="001F2586">
        <w:rPr>
          <w:rFonts w:eastAsia="Calibri" w:hint="eastAsia"/>
          <w:b/>
          <w:bCs/>
          <w:rtl/>
        </w:rPr>
        <w:t>היה</w:t>
      </w:r>
      <w:r w:rsidRPr="001F2586">
        <w:rPr>
          <w:rFonts w:eastAsia="Calibri"/>
          <w:b/>
          <w:bCs/>
          <w:rtl/>
        </w:rPr>
        <w:t xml:space="preserve"> 77,065 </w:t>
      </w:r>
      <w:r w:rsidRPr="001F2586">
        <w:rPr>
          <w:rFonts w:eastAsia="Calibri" w:hint="eastAsia"/>
          <w:b/>
          <w:bCs/>
          <w:rtl/>
        </w:rPr>
        <w:t>אישורים</w:t>
      </w:r>
      <w:r w:rsidRPr="001F2586">
        <w:rPr>
          <w:rFonts w:eastAsia="Calibri"/>
          <w:b/>
          <w:bCs/>
          <w:rtl/>
        </w:rPr>
        <w:t xml:space="preserve">, </w:t>
      </w:r>
      <w:r w:rsidRPr="001F2586">
        <w:rPr>
          <w:rFonts w:eastAsia="Calibri" w:hint="eastAsia"/>
          <w:b/>
          <w:bCs/>
          <w:rtl/>
        </w:rPr>
        <w:t>שכ</w:t>
      </w:r>
      <w:r w:rsidRPr="001F2586">
        <w:rPr>
          <w:rFonts w:eastAsia="Calibri"/>
          <w:b/>
          <w:bCs/>
          <w:rtl/>
        </w:rPr>
        <w:t xml:space="preserve">-52% </w:t>
      </w:r>
      <w:r w:rsidRPr="001F2586">
        <w:rPr>
          <w:rFonts w:eastAsia="Calibri" w:hint="eastAsia"/>
          <w:b/>
          <w:bCs/>
          <w:rtl/>
        </w:rPr>
        <w:t>מהם</w:t>
      </w:r>
      <w:r w:rsidRPr="001F2586">
        <w:rPr>
          <w:rFonts w:eastAsia="Calibri"/>
          <w:b/>
          <w:bCs/>
          <w:rtl/>
        </w:rPr>
        <w:t xml:space="preserve"> </w:t>
      </w:r>
      <w:r w:rsidRPr="001F2586">
        <w:rPr>
          <w:rFonts w:eastAsia="Calibri" w:hint="eastAsia"/>
          <w:b/>
          <w:bCs/>
          <w:rtl/>
        </w:rPr>
        <w:t>ניתנו</w:t>
      </w:r>
      <w:r w:rsidRPr="001F2586">
        <w:rPr>
          <w:rFonts w:eastAsia="Calibri"/>
          <w:b/>
          <w:bCs/>
          <w:rtl/>
        </w:rPr>
        <w:t xml:space="preserve"> </w:t>
      </w:r>
      <w:r w:rsidRPr="001F2586">
        <w:rPr>
          <w:rFonts w:eastAsia="Calibri" w:hint="eastAsia"/>
          <w:b/>
          <w:bCs/>
          <w:rtl/>
        </w:rPr>
        <w:t>בליווי</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יועץ</w:t>
      </w:r>
      <w:r w:rsidRPr="001F2586">
        <w:rPr>
          <w:rFonts w:eastAsia="Calibri"/>
          <w:b/>
          <w:bCs/>
          <w:rtl/>
        </w:rPr>
        <w:t xml:space="preserve"> </w:t>
      </w:r>
      <w:r w:rsidRPr="001F2586">
        <w:rPr>
          <w:rFonts w:eastAsia="Calibri" w:hint="eastAsia"/>
          <w:b/>
          <w:bCs/>
          <w:rtl/>
        </w:rPr>
        <w:t>משכנתאות</w:t>
      </w:r>
      <w:r>
        <w:rPr>
          <w:rFonts w:eastAsia="Calibri"/>
          <w:b/>
          <w:bCs/>
          <w:vertAlign w:val="superscript"/>
          <w:rtl/>
        </w:rPr>
        <w:footnoteReference w:id="271"/>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בסקירת מערכת הבנקאות לשנת 2024 צוין כי אף שהיקף האישורים העקרוניים נמצא במגמת עלייה, מרביתם אינם "מבשילים" לכדי הלוואה לדיור. כך, בשנים 2023 - 2024 הבשילו כ-27% בלבד מכלל האישורים העקרוניים לכדי הלוואה לדיור בפועל. עוד צוין כי </w:t>
      </w:r>
      <w:r w:rsidRPr="001F2586">
        <w:rPr>
          <w:rFonts w:eastAsia="Calibri"/>
          <w:rtl/>
        </w:rPr>
        <w:t>ה</w:t>
      </w:r>
      <w:r w:rsidRPr="001F2586">
        <w:rPr>
          <w:rFonts w:eastAsia="Calibri" w:hint="cs"/>
          <w:rtl/>
        </w:rPr>
        <w:t>היקף ה</w:t>
      </w:r>
      <w:r w:rsidRPr="001F2586">
        <w:rPr>
          <w:rFonts w:eastAsia="Calibri"/>
          <w:rtl/>
        </w:rPr>
        <w:t>נמוך של אישורים עקרוניים</w:t>
      </w:r>
      <w:r w:rsidRPr="001F2586">
        <w:rPr>
          <w:rFonts w:eastAsia="Calibri" w:hint="cs"/>
          <w:rtl/>
        </w:rPr>
        <w:t xml:space="preserve"> המבשילים להלוואה לדיור בפועל</w:t>
      </w:r>
      <w:r w:rsidRPr="001F2586">
        <w:rPr>
          <w:rFonts w:eastAsia="Calibri"/>
          <w:rtl/>
        </w:rPr>
        <w:t xml:space="preserve"> מושפע בין היתר מהעובדה כי לקוח מוציא בממוצע כ</w:t>
      </w:r>
      <w:r w:rsidRPr="001F2586">
        <w:rPr>
          <w:rFonts w:eastAsia="Calibri" w:hint="cs"/>
          <w:rtl/>
        </w:rPr>
        <w:t>שני</w:t>
      </w:r>
      <w:r w:rsidRPr="001F2586">
        <w:rPr>
          <w:rFonts w:eastAsia="Calibri"/>
          <w:rtl/>
        </w:rPr>
        <w:t xml:space="preserve"> אישורים עקרוניים בבנק</w:t>
      </w:r>
      <w:r w:rsidRPr="001F2586">
        <w:rPr>
          <w:rFonts w:eastAsia="Calibri" w:hint="cs"/>
          <w:rtl/>
        </w:rPr>
        <w:t xml:space="preserve">ים, וכי </w:t>
      </w:r>
      <w:r w:rsidRPr="001F2586">
        <w:rPr>
          <w:rFonts w:eastAsia="Calibri"/>
          <w:rtl/>
        </w:rPr>
        <w:t>מתוך כלל</w:t>
      </w:r>
      <w:r w:rsidRPr="001F2586">
        <w:rPr>
          <w:rFonts w:eastAsia="Calibri" w:hint="cs"/>
          <w:rtl/>
        </w:rPr>
        <w:t xml:space="preserve"> </w:t>
      </w:r>
      <w:r w:rsidRPr="001F2586">
        <w:rPr>
          <w:rFonts w:eastAsia="Calibri"/>
          <w:rtl/>
        </w:rPr>
        <w:t xml:space="preserve">הלקוחות </w:t>
      </w:r>
      <w:r w:rsidRPr="001F2586">
        <w:rPr>
          <w:rFonts w:eastAsia="Calibri" w:hint="cs"/>
          <w:rtl/>
        </w:rPr>
        <w:t>שקיבלו</w:t>
      </w:r>
      <w:r w:rsidRPr="001F2586">
        <w:rPr>
          <w:rFonts w:eastAsia="Calibri"/>
          <w:rtl/>
        </w:rPr>
        <w:t xml:space="preserve"> אישורים עקרוניים </w:t>
      </w:r>
      <w:r w:rsidRPr="001F2586">
        <w:rPr>
          <w:rFonts w:eastAsia="Calibri" w:hint="cs"/>
          <w:rtl/>
        </w:rPr>
        <w:t>ב</w:t>
      </w:r>
      <w:r w:rsidRPr="001F2586">
        <w:rPr>
          <w:rFonts w:eastAsia="Calibri"/>
          <w:rtl/>
        </w:rPr>
        <w:t>שנים</w:t>
      </w:r>
      <w:r w:rsidRPr="001F2586">
        <w:rPr>
          <w:rFonts w:eastAsia="Calibri" w:hint="cs"/>
          <w:rtl/>
        </w:rPr>
        <w:t xml:space="preserve"> 2023 - 2024</w:t>
      </w:r>
      <w:r w:rsidRPr="001F2586">
        <w:rPr>
          <w:rFonts w:eastAsia="Calibri"/>
          <w:rtl/>
        </w:rPr>
        <w:t xml:space="preserve"> כ</w:t>
      </w:r>
      <w:r w:rsidRPr="001F2586">
        <w:rPr>
          <w:rFonts w:eastAsia="Calibri" w:hint="cs"/>
          <w:rtl/>
        </w:rPr>
        <w:t>-46% לקחו בפועל משכנתה. כמו כן, מנתוני בנק ישראל עולה כי 39% מהאישורים העקרוניים שניתנו בתקופה מינואר 2024 עד מרץ 2025 הבשילו לכדי הלוואה</w:t>
      </w:r>
      <w:r>
        <w:rPr>
          <w:rFonts w:eastAsia="Calibri"/>
          <w:vertAlign w:val="superscript"/>
          <w:rtl/>
        </w:rPr>
        <w:footnoteReference w:id="272"/>
      </w:r>
      <w:r w:rsidRPr="001F2586">
        <w:rPr>
          <w:rFonts w:eastAsia="Calibri" w:hint="cs"/>
          <w:rtl/>
        </w:rPr>
        <w:t xml:space="preserve">. ממצאים אלו מעידים כי </w:t>
      </w:r>
      <w:r w:rsidRPr="001F2586">
        <w:rPr>
          <w:rFonts w:eastAsia="Calibri"/>
          <w:rtl/>
        </w:rPr>
        <w:t>לקוחות רבים נעזרים באישור העקרוני כדי לבחון את תנאי</w:t>
      </w:r>
      <w:r w:rsidRPr="001F2586">
        <w:rPr>
          <w:rFonts w:eastAsia="Calibri" w:hint="cs"/>
          <w:rtl/>
        </w:rPr>
        <w:t xml:space="preserve"> </w:t>
      </w:r>
      <w:r w:rsidRPr="001F2586">
        <w:rPr>
          <w:rFonts w:eastAsia="Calibri"/>
          <w:rtl/>
        </w:rPr>
        <w:t>השוק</w:t>
      </w:r>
      <w:r w:rsidRPr="001F2586">
        <w:rPr>
          <w:rFonts w:eastAsia="Calibri" w:hint="cs"/>
          <w:rtl/>
        </w:rPr>
        <w:t xml:space="preserve"> </w:t>
      </w:r>
      <w:r w:rsidRPr="001F2586">
        <w:rPr>
          <w:rFonts w:eastAsia="Calibri"/>
          <w:rtl/>
        </w:rPr>
        <w:t xml:space="preserve">בנקודות זמן שונות, ולא </w:t>
      </w:r>
      <w:r w:rsidRPr="001F2586">
        <w:rPr>
          <w:rFonts w:eastAsia="Calibri" w:hint="cs"/>
          <w:rtl/>
        </w:rPr>
        <w:t>תמיד</w:t>
      </w:r>
      <w:r w:rsidRPr="001F2586">
        <w:rPr>
          <w:rFonts w:eastAsia="Calibri"/>
          <w:rtl/>
        </w:rPr>
        <w:t xml:space="preserve"> מתוך כוונה ליטול הלוואה סמוך למועד </w:t>
      </w:r>
      <w:r w:rsidRPr="001F2586">
        <w:rPr>
          <w:rFonts w:eastAsia="Calibri" w:hint="cs"/>
          <w:rtl/>
        </w:rPr>
        <w:t>ה</w:t>
      </w:r>
      <w:r w:rsidRPr="001F2586">
        <w:rPr>
          <w:rFonts w:eastAsia="Calibri"/>
          <w:rtl/>
        </w:rPr>
        <w:t>קבל</w:t>
      </w:r>
      <w:r w:rsidRPr="001F2586">
        <w:rPr>
          <w:rFonts w:eastAsia="Calibri" w:hint="cs"/>
          <w:rtl/>
        </w:rPr>
        <w:t>ה של</w:t>
      </w:r>
      <w:r w:rsidRPr="001F2586">
        <w:rPr>
          <w:rFonts w:eastAsia="Calibri"/>
          <w:rtl/>
        </w:rPr>
        <w:t xml:space="preserve"> האישור העקרוני</w:t>
      </w:r>
      <w:r w:rsidRPr="001F2586">
        <w:rPr>
          <w:rFonts w:eastAsia="Calibri" w:hint="cs"/>
          <w:rtl/>
        </w:rPr>
        <w:t xml:space="preserve">. הסבר אפשרי נוסף הוא שלקוחות בודקים אישורים עקרוניים בכמה בנקים ולוקחים את </w:t>
      </w:r>
      <w:r w:rsidRPr="001F2586">
        <w:rPr>
          <w:rFonts w:eastAsia="Calibri" w:hint="cs"/>
          <w:rtl/>
        </w:rPr>
        <w:t>ההלוואה מבנק אחד ולכן ממילא שיעור האישורים העקרוניים שמבשיל להלוואות בפועל הוא נמוך יותר.</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איסוף הנתונים על היקפי האישורים העקרוניים מלמד על היקף המשכנתאות הפוטנציאלי בשוק ועל מגמות של התעניינות במשכנתאות. כדי לבדוק את תרומת הרפורמה לאפשר הגשה מקוונת לאישור עקרוני נדרש כי הפיקוח יוסיף הנחיות דיווח על אישורים עקרוניים שהוגשו באופן מקוון ועל זמן הגשת הבקשה וזמן המענה שניתן בעבורה. הוראת דיווח 875 כוללת נתונים על זיהוי הלווה, תאריך מתן אישור עקרוני, גובה הלוואה, מטרת ההלוואה, נתונים על תמהיל ההלוואה ועל שיעורי הריביות ועוד. עם זאת היא אינה כוללת נתונים המאפשרים לעקוב אחר היקף השימוש בהגשה מקוונת של אישורים עקרוניים ומעקב אחר זמן המענה בכל אישור עקרוני.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הבנקים מחויבים לדווח לפיקוח על הבנקים על אישורים עקרוניים שנתנו להלוואות לדיור בהתאם להוראה 875 מנובמבר 2023, לפיה הם נדרשים לדווח מידע כללי רחב על כל אישור עקרוני כמו </w:t>
      </w:r>
      <w:r w:rsidRPr="001F2586">
        <w:rPr>
          <w:rFonts w:eastAsia="Calibri"/>
          <w:b/>
          <w:bCs/>
          <w:rtl/>
        </w:rPr>
        <w:t>מטרת הלוואה, מספר האישור העקרוני ותאריך מתן האישור.</w:t>
      </w:r>
      <w:r w:rsidRPr="001F2586">
        <w:rPr>
          <w:rFonts w:eastAsia="Calibri"/>
          <w:rtl/>
        </w:rPr>
        <w:t xml:space="preserve"> </w:t>
      </w:r>
      <w:r w:rsidRPr="001F2586">
        <w:rPr>
          <w:rFonts w:eastAsia="Calibri" w:hint="eastAsia"/>
          <w:b/>
          <w:bCs/>
          <w:rtl/>
        </w:rPr>
        <w:t>בנובמבר</w:t>
      </w:r>
      <w:r w:rsidRPr="001F2586">
        <w:rPr>
          <w:rFonts w:eastAsia="Calibri"/>
          <w:b/>
          <w:bCs/>
          <w:rtl/>
        </w:rPr>
        <w:t xml:space="preserve"> 2023 </w:t>
      </w:r>
      <w:r w:rsidRPr="001F2586">
        <w:rPr>
          <w:rFonts w:eastAsia="Calibri" w:hint="eastAsia"/>
          <w:b/>
          <w:bCs/>
          <w:rtl/>
        </w:rPr>
        <w:t>הוסיף</w:t>
      </w:r>
      <w:r w:rsidRPr="001F2586">
        <w:rPr>
          <w:rFonts w:eastAsia="Calibri"/>
          <w:b/>
          <w:bCs/>
          <w:rtl/>
        </w:rPr>
        <w:t xml:space="preserve">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דרישה</w:t>
      </w:r>
      <w:r w:rsidRPr="001F2586">
        <w:rPr>
          <w:rFonts w:eastAsia="Calibri"/>
          <w:b/>
          <w:bCs/>
          <w:rtl/>
        </w:rPr>
        <w:t xml:space="preserve"> </w:t>
      </w:r>
      <w:r w:rsidRPr="001F2586">
        <w:rPr>
          <w:rFonts w:eastAsia="Calibri" w:hint="cs"/>
          <w:b/>
          <w:bCs/>
          <w:rtl/>
        </w:rPr>
        <w:t xml:space="preserve">ולפיה על הבנקים </w:t>
      </w:r>
      <w:r w:rsidRPr="001F2586">
        <w:rPr>
          <w:rFonts w:eastAsia="Calibri" w:hint="eastAsia"/>
          <w:b/>
          <w:bCs/>
          <w:rtl/>
        </w:rPr>
        <w:t>לדווח</w:t>
      </w:r>
      <w:r w:rsidRPr="001F2586">
        <w:rPr>
          <w:rFonts w:eastAsia="Calibri"/>
          <w:b/>
          <w:bCs/>
          <w:rtl/>
        </w:rPr>
        <w:t xml:space="preserve"> </w:t>
      </w:r>
      <w:r w:rsidRPr="001F2586">
        <w:rPr>
          <w:rFonts w:eastAsia="Calibri" w:hint="eastAsia"/>
          <w:b/>
          <w:bCs/>
          <w:rtl/>
        </w:rPr>
        <w:t>בכל</w:t>
      </w:r>
      <w:r w:rsidRPr="001F2586">
        <w:rPr>
          <w:rFonts w:eastAsia="Calibri"/>
          <w:b/>
          <w:bCs/>
          <w:rtl/>
        </w:rPr>
        <w:t xml:space="preserve"> </w:t>
      </w:r>
      <w:r w:rsidRPr="001F2586">
        <w:rPr>
          <w:rFonts w:eastAsia="Calibri" w:hint="eastAsia"/>
          <w:b/>
          <w:bCs/>
          <w:rtl/>
        </w:rPr>
        <w:t>אישור</w:t>
      </w:r>
      <w:r w:rsidRPr="001F2586">
        <w:rPr>
          <w:rFonts w:eastAsia="Calibri"/>
          <w:b/>
          <w:bCs/>
          <w:rtl/>
        </w:rPr>
        <w:t xml:space="preserve"> </w:t>
      </w:r>
      <w:r w:rsidRPr="001F2586">
        <w:rPr>
          <w:rFonts w:eastAsia="Calibri" w:hint="eastAsia"/>
          <w:b/>
          <w:bCs/>
          <w:rtl/>
        </w:rPr>
        <w:t>עקרוני</w:t>
      </w:r>
      <w:r w:rsidRPr="001F2586">
        <w:rPr>
          <w:rFonts w:eastAsia="Calibri"/>
          <w:b/>
          <w:bCs/>
          <w:rtl/>
        </w:rPr>
        <w:t xml:space="preserve"> </w:t>
      </w:r>
      <w:r w:rsidRPr="001F2586">
        <w:rPr>
          <w:rFonts w:eastAsia="Calibri" w:hint="eastAsia"/>
          <w:b/>
          <w:bCs/>
          <w:rtl/>
        </w:rPr>
        <w:t>אם</w:t>
      </w:r>
      <w:r w:rsidRPr="001F2586">
        <w:rPr>
          <w:rFonts w:eastAsia="Calibri"/>
          <w:b/>
          <w:bCs/>
          <w:rtl/>
        </w:rPr>
        <w:t xml:space="preserve"> </w:t>
      </w:r>
      <w:r w:rsidRPr="001F2586">
        <w:rPr>
          <w:rFonts w:eastAsia="Calibri" w:hint="eastAsia"/>
          <w:b/>
          <w:bCs/>
          <w:rtl/>
        </w:rPr>
        <w:t>הפניה</w:t>
      </w:r>
      <w:r w:rsidRPr="001F2586">
        <w:rPr>
          <w:rFonts w:eastAsia="Calibri"/>
          <w:b/>
          <w:bCs/>
          <w:rtl/>
        </w:rPr>
        <w:t xml:space="preserve"> </w:t>
      </w:r>
      <w:r w:rsidRPr="001F2586">
        <w:rPr>
          <w:rFonts w:eastAsia="Calibri" w:hint="eastAsia"/>
          <w:b/>
          <w:bCs/>
          <w:rtl/>
        </w:rPr>
        <w:t>לבנק</w:t>
      </w:r>
      <w:r w:rsidRPr="001F2586">
        <w:rPr>
          <w:rFonts w:eastAsia="Calibri"/>
          <w:b/>
          <w:bCs/>
          <w:rtl/>
        </w:rPr>
        <w:t xml:space="preserve"> </w:t>
      </w:r>
      <w:r w:rsidRPr="001F2586">
        <w:rPr>
          <w:rFonts w:eastAsia="Calibri" w:hint="eastAsia"/>
          <w:b/>
          <w:bCs/>
          <w:rtl/>
        </w:rPr>
        <w:t>נעשתה</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ידי</w:t>
      </w:r>
      <w:r w:rsidRPr="001F2586">
        <w:rPr>
          <w:rFonts w:eastAsia="Calibri"/>
          <w:b/>
          <w:bCs/>
          <w:rtl/>
        </w:rPr>
        <w:t xml:space="preserve"> יועץ משכנתאות.</w:t>
      </w:r>
      <w:r w:rsidRPr="001F2586">
        <w:rPr>
          <w:rFonts w:eastAsia="Calibri" w:hint="cs"/>
          <w:b/>
          <w:bCs/>
          <w:rtl/>
        </w:rPr>
        <w:t xml:space="preserve"> עם זאת, נמצא כי הפיקוח על הבנקים לא כלל בהוראה זו, או בהוראת אחרת, נתונים על אופן הגשת הבקשה - ובין היתר, האם הבקשה הוגשה באופן מקוון, ומהו מועד קבלת הבקשה, באופן שיאפשר למדוד את זמן המענה. כך, הפיקוח על הבנקים לא יכול לבצע מעקב על היקף השימוש של הציבור בהגשה מקוונת ואינו יכול למדוד את זמני המענה לבקשות לאישורים עקרוניים שהיקפם עלה בשנים 2023- 2024 מכ-50 אלף אישורים לכ-77 אלף אישורים בחודש.</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בנק ישראל צוין כי הוראה 875 לא נועדה לבצע מעקב על היקף השימוש של לקוחות בהגשה מקוונת של בקשה לאישור עקרוני למשכנתא ולא לצורך בחינת זמני המענה לבקשות לאישור עקרוני, וכי לשם כך קיימת יחידה האחראית על בקרה צרכנית.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עם</w:t>
      </w:r>
      <w:r w:rsidRPr="001F2586">
        <w:rPr>
          <w:rFonts w:eastAsia="Calibri"/>
          <w:rtl/>
        </w:rPr>
        <w:t xml:space="preserve"> זאת, </w:t>
      </w:r>
      <w:r w:rsidRPr="001F2586">
        <w:rPr>
          <w:rFonts w:eastAsia="Calibri" w:hint="cs"/>
          <w:rtl/>
        </w:rPr>
        <w:t xml:space="preserve">משרד מבקר המדינה מציין </w:t>
      </w:r>
      <w:r w:rsidRPr="001F2586">
        <w:rPr>
          <w:rFonts w:eastAsia="Calibri" w:hint="eastAsia"/>
          <w:rtl/>
        </w:rPr>
        <w:t>כי</w:t>
      </w:r>
      <w:r w:rsidRPr="001F2586">
        <w:rPr>
          <w:rFonts w:eastAsia="Calibri" w:hint="cs"/>
          <w:rtl/>
        </w:rPr>
        <w:t xml:space="preserve"> בנק ישראל לא המציא, נכון למועד סיום הביקורת, </w:t>
      </w:r>
      <w:r w:rsidRPr="001F2586">
        <w:rPr>
          <w:rFonts w:eastAsia="Calibri" w:hint="eastAsia"/>
          <w:rtl/>
        </w:rPr>
        <w:t>נתונים</w:t>
      </w:r>
      <w:r w:rsidRPr="001F2586">
        <w:rPr>
          <w:rFonts w:eastAsia="Calibri"/>
          <w:rtl/>
        </w:rPr>
        <w:t xml:space="preserve"> </w:t>
      </w:r>
      <w:r w:rsidRPr="001F2586">
        <w:rPr>
          <w:rFonts w:eastAsia="Calibri" w:hint="eastAsia"/>
          <w:rtl/>
        </w:rPr>
        <w:t>בדבר</w:t>
      </w:r>
      <w:r w:rsidRPr="001F2586">
        <w:rPr>
          <w:rFonts w:eastAsia="Calibri" w:hint="cs"/>
          <w:rtl/>
        </w:rPr>
        <w:t xml:space="preserve"> המעקב על היקף השימוש של הציבור בהגשה המקוונת ועל מדידת זמני המענה לבקשות לאישורים עקרוניים.</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כי הפיקוח על הבנקים </w:t>
      </w:r>
      <w:r w:rsidRPr="001F2586">
        <w:rPr>
          <w:rFonts w:eastAsia="Calibri" w:hint="eastAsia"/>
          <w:b/>
          <w:bCs/>
          <w:rtl/>
        </w:rPr>
        <w:t>יבחן</w:t>
      </w:r>
      <w:r w:rsidRPr="001F2586">
        <w:rPr>
          <w:rFonts w:eastAsia="Calibri"/>
          <w:b/>
          <w:bCs/>
          <w:rtl/>
        </w:rPr>
        <w:t xml:space="preserve"> </w:t>
      </w:r>
      <w:r w:rsidRPr="001F2586">
        <w:rPr>
          <w:rFonts w:eastAsia="Calibri" w:hint="cs"/>
          <w:b/>
          <w:bCs/>
          <w:rtl/>
        </w:rPr>
        <w:t>לקבל מידע על אופן הגשת הבקשה (הגשה מקוונת/ סניף/ מוקד טלפוני), ועל מועד הגשתה, באופן שיאפשר לעקוב באופן שוטף אחר זמני המענה של כל הבקשות. עוד מומלץ כי הפיקוח יאסוף נתונים על היקף האישורים שהוגשו באופן מקוון ועל זמני המענה לכל בקשת הלוואה כדי למדוד את תרומת האפשרות להגיש בקשות מקוונות לקיצור התהליך לקבלת אישור עקרוני.</w:t>
      </w:r>
    </w:p>
    <w:p w:rsidR="001F2586" w:rsidRPr="001F2586" w:rsidP="001F2586">
      <w:pPr>
        <w:spacing w:line="269" w:lineRule="auto"/>
        <w:rPr>
          <w:rFonts w:eastAsia="Calibri"/>
          <w:b/>
          <w:bCs/>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 xml:space="preserve">בקשות לאישור עקרוני </w:t>
      </w:r>
      <w:r w:rsidRPr="001F2586">
        <w:rPr>
          <w:rFonts w:eastAsia="Times New Roman" w:hint="cs"/>
          <w:bCs/>
          <w:spacing w:val="40"/>
          <w:rtl/>
        </w:rPr>
        <w:t>שסורבו</w:t>
      </w:r>
      <w:r w:rsidRPr="001F2586">
        <w:rPr>
          <w:rFonts w:eastAsia="Times New Roman" w:hint="cs"/>
          <w:bCs/>
          <w:spacing w:val="40"/>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חוק הבנקאות (שירות ללקוח) קובע כי תאגיד בנקאי אינו מחויב "...לתת שירות שיש בו משום מתן אשראי ללקוח". בסעיף 4ג(א)(5) </w:t>
      </w:r>
      <w:r w:rsidRPr="001F2586">
        <w:rPr>
          <w:rFonts w:eastAsia="Calibri" w:hint="cs"/>
          <w:rtl/>
        </w:rPr>
        <w:t>בנב"ת</w:t>
      </w:r>
      <w:r w:rsidRPr="001F2586">
        <w:rPr>
          <w:rFonts w:eastAsia="Calibri" w:hint="cs"/>
          <w:rtl/>
        </w:rPr>
        <w:t xml:space="preserve"> 451 נקבע כאמור כי בנק מחויב להודיע תוך חמישה ימי עסקים מיום הגשת בקשה לאישור עקרוני של לקוח על אישור הבקשה או סירובה, וכי במקרים חריגים זמן המענה לבקשה יוארך כאמור לעד שבעה ימי עסקים. המשמעות היא שבעת סירוב של בנק לתת אישור עקרוני לבקשה לקבלת הלוואה יקבל הלקוח הודעת סירוב בכתב. בהוראת </w:t>
      </w:r>
      <w:r w:rsidRPr="001F2586">
        <w:rPr>
          <w:rFonts w:eastAsia="Calibri" w:hint="cs"/>
          <w:rtl/>
        </w:rPr>
        <w:t>נב"ת</w:t>
      </w:r>
      <w:r w:rsidRPr="001F2586">
        <w:rPr>
          <w:rFonts w:eastAsia="Calibri" w:hint="cs"/>
          <w:rtl/>
        </w:rPr>
        <w:t xml:space="preserve"> 451 לא נקבעו כללים נוספים מלבד העברת הודעת הסירוב ללקוח בכתב כאמור. </w:t>
      </w:r>
      <w:bookmarkStart w:id="75" w:name="_Hlk218500438"/>
      <w:r w:rsidRPr="001F2586">
        <w:rPr>
          <w:rFonts w:eastAsia="Calibri" w:hint="cs"/>
          <w:rtl/>
        </w:rPr>
        <w:t xml:space="preserve">כמו כן, לא נקבעו כללים בהוראה המחייבים לנמק ללקוח את סיבת הסירוב, אף שהיא חשובה עבורו כדי להבין את הסיבות והפערים לסירוב הבקשה שמונעת ממנו קבלת משכנתא.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סירוב לבקשה לאישור עקרוני למשכנתא יכול לנבוע מאי עמידה של הבקשה במגבלות רגולטוריות של הפיקוח על הבנקים כמו חריגה משיעור מימון ושיעור החזר מהכנסה, או ממדיניות האשראי לניהול סיכונים של הבנק שמסרב לתת משכנתא בשל מאפייני הסיכון של הלווה, הבטוחה או העסקה. במצב זה בו לא מוטלת חובה על הבנקים להסביר את סיבת הסירוב לבקשת המשכנתא ייתכן ולקוחות לא מקבלים מידע על מהות הסירוב. לכך יכולה להיות השפעה על יכולתם לקבל אישור עקרוני באותו בנק שסירב לבקשה או בבנק אחר. לקוחות שמידע זה נמנע מהם יתקשו </w:t>
      </w:r>
      <w:r w:rsidRPr="001F2586">
        <w:rPr>
          <w:rFonts w:eastAsia="Calibri" w:hint="cs"/>
          <w:rtl/>
        </w:rPr>
        <w:t>בתכנון קבלת המשכנתא בעתיד ממלווה זה או אחר, ואף ייתכן כי בשל כך הם יפנו לחלופות אחרות, בלית ברירה, וישלמו על הלוואות יקרות יותר.</w:t>
      </w:r>
      <w:bookmarkEnd w:id="75"/>
      <w:r w:rsidRPr="001F2586">
        <w:rPr>
          <w:rFonts w:eastAsia="Calibri" w:hint="cs"/>
          <w:rtl/>
        </w:rPr>
        <w:t xml:space="preserve"> בשל כך שגופים חוץ בנקאיים לא כפופים למגבלות הרגולטוריות של בנק ישראל אלא לפיקוח של רשות שוק ההון, שהוא מצומצם יותר ומקל יותר, יש סבירות גבוהה שלקוח הזקוק למשכנתא שבקשתו סורבה בבנקים יפנה לגופים אלו לקבלת משכנתא במחיר יקר יותר.</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יצוין כי בחוות דעת של לשכת ההגנה על הצרכן בארה"ב צוין כי בעת סירוב של בקשה לאשראי מבקש האשראי יהיה זכאי לקבל הסברים ונימוקים מצד המלווה</w:t>
      </w:r>
      <w:r>
        <w:rPr>
          <w:rFonts w:eastAsia="Calibri"/>
          <w:vertAlign w:val="superscript"/>
          <w:rtl/>
        </w:rPr>
        <w:footnoteReference w:id="273"/>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הפיקוח על הבנקים ציין</w:t>
      </w:r>
      <w:r w:rsidRPr="001F2586">
        <w:rPr>
          <w:rFonts w:eastAsia="Calibri" w:hint="cs"/>
        </w:rPr>
        <w:t xml:space="preserve"> </w:t>
      </w:r>
      <w:r w:rsidRPr="001F2586">
        <w:rPr>
          <w:rFonts w:eastAsia="Calibri" w:hint="cs"/>
          <w:rtl/>
        </w:rPr>
        <w:t>במענה למשרד מבקר המדינה מיום 22.1.26 כי הוא יבחן "...במסגרת בחינת שיפורים לרפורמת השקיפות במשכנתאות שמתקיימת בימים אלו..." את הצעתו של משרד מבקר המדינה לכך שתהיה חובה על הבנקים לשקף ללקוחות את הסיבות לסירוב או דחייה של בקשות אשראי למשכנתאות.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נמצא כי הפיקוח על הבנקים אינו מבצע מעקב ואינו אוסף נתונים על בקשות אשראי </w:t>
      </w:r>
      <w:r w:rsidRPr="001F2586">
        <w:rPr>
          <w:rFonts w:eastAsia="Calibri" w:hint="cs"/>
          <w:b/>
          <w:bCs/>
          <w:rtl/>
        </w:rPr>
        <w:t>שסורבו</w:t>
      </w:r>
      <w:r w:rsidRPr="001F2586">
        <w:rPr>
          <w:rFonts w:eastAsia="Calibri" w:hint="cs"/>
          <w:b/>
          <w:bCs/>
          <w:rtl/>
        </w:rPr>
        <w:t xml:space="preserve"> על ידי הבנקים ואינו אוסף נתונים לגביהם. כמו כן, אין לפיקוח מידע על בקשות </w:t>
      </w:r>
      <w:r w:rsidRPr="001F2586">
        <w:rPr>
          <w:rFonts w:eastAsia="Calibri" w:hint="cs"/>
          <w:b/>
          <w:bCs/>
          <w:rtl/>
        </w:rPr>
        <w:t>שסורבו</w:t>
      </w:r>
      <w:r w:rsidRPr="001F2586">
        <w:rPr>
          <w:rFonts w:eastAsia="Calibri" w:hint="cs"/>
          <w:b/>
          <w:bCs/>
          <w:rtl/>
        </w:rPr>
        <w:t xml:space="preserve"> בבנק מסוים ואושרו בבנק אחר, או בקשות שלא אושרו כלל במערכת הבנקאית. משכך, אין מידע על מאפייני הבקשות המסורבות ולא ניתן להבין את החסמים העומדים בפני בקשות אלו לקבלת משכנתא בבנקים. עוד נמצא כי הפיקוח על הבנקים לא מחייב את הבנקים לנמק ללקוחות את סיבת הסירוב, ובכך יש פגיעה בשקיפות המידע ללקוחות באופן שפוגע באפשרות שלהם לקבל משכנתא.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כי הפיקוח על הבנקים יאסוף נתונים מהבנקים על בקשות לאישור עקרוני </w:t>
      </w:r>
      <w:r w:rsidRPr="001F2586">
        <w:rPr>
          <w:rFonts w:eastAsia="Calibri" w:hint="cs"/>
          <w:b/>
          <w:bCs/>
          <w:rtl/>
        </w:rPr>
        <w:t>שסורבו</w:t>
      </w:r>
      <w:r w:rsidRPr="001F2586">
        <w:rPr>
          <w:rFonts w:eastAsia="Calibri" w:hint="cs"/>
          <w:b/>
          <w:bCs/>
          <w:rtl/>
        </w:rPr>
        <w:t xml:space="preserve">, ינהל מעקב אחר בקשות אלו ויבצע פילוח שלהן כדי להבין את הסיבות לכך שלא אושרו. עוד מומלץ כי הפיקוח יקבע חובת נימוק בהוראות ובהנחיות לבנקים על בקשות לאישור עקרוני </w:t>
      </w:r>
      <w:r w:rsidRPr="001F2586">
        <w:rPr>
          <w:rFonts w:eastAsia="Calibri" w:hint="cs"/>
          <w:b/>
          <w:bCs/>
          <w:rtl/>
        </w:rPr>
        <w:t>שסורבו</w:t>
      </w:r>
      <w:r w:rsidRPr="001F2586">
        <w:rPr>
          <w:rFonts w:eastAsia="Calibri" w:hint="cs"/>
          <w:b/>
          <w:bCs/>
          <w:rtl/>
        </w:rPr>
        <w:t>.</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אפשרות הלווה להשוות בין הצעות משכנתא מבנקים שונים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משכנתא כאמור היא ההתחייבות הפיננסיות הגדולה ביותר של משקי הבית והיא החלטה מורכבת בשל היקף ההלוואה הגדול ובשל מאפייני ההלוואה הייחודיים שלה. המשכנתאות בישראל מורכבות כאמור ממספר מסלולי הלוואה אפשריים בריבית קבועה או בריבית משתנה הנבדלים זה מזה ב"ריבית העוגן" עליה הם מתבססים ובתדירות שינוי הריבית. יצוין כי במרבית המדינות בעולם משכנתאות מתחלקות לשני מסלולים עיקריים של ריבית קבועה וריבית משתנה כאשר לא נהוג לשלב בין המסלולים במשכנתא</w:t>
      </w:r>
      <w:r>
        <w:rPr>
          <w:rFonts w:eastAsia="Calibri"/>
          <w:vertAlign w:val="superscript"/>
          <w:rtl/>
        </w:rPr>
        <w:footnoteReference w:id="274"/>
      </w:r>
      <w:r w:rsidRPr="001F2586">
        <w:rPr>
          <w:rFonts w:eastAsia="Calibri" w:hint="cs"/>
          <w:rtl/>
        </w:rPr>
        <w:t xml:space="preserve">. לעומת זאת, בישראל לרוב המשכנתאות מורכבות ממספר מסלולי הלוואה הניתנים בריבית ובתקופת זמן שונה באופן שמגביר את רמת המורכבות שלהן. </w:t>
      </w:r>
      <w:r w:rsidRPr="001F2586">
        <w:rPr>
          <w:rFonts w:eastAsia="Calibri"/>
          <w:rtl/>
        </w:rPr>
        <w:t>קיומם של מספר מסלולי</w:t>
      </w:r>
      <w:r w:rsidRPr="001F2586">
        <w:rPr>
          <w:rFonts w:eastAsia="Calibri" w:hint="cs"/>
          <w:rtl/>
        </w:rPr>
        <w:t xml:space="preserve"> הלוואה </w:t>
      </w:r>
      <w:r w:rsidRPr="001F2586">
        <w:rPr>
          <w:rFonts w:eastAsia="Calibri"/>
          <w:rtl/>
        </w:rPr>
        <w:t>מגדיל את מגוון האפשרויות עבור הלוו</w:t>
      </w:r>
      <w:r w:rsidRPr="001F2586">
        <w:rPr>
          <w:rFonts w:eastAsia="Calibri" w:hint="cs"/>
          <w:rtl/>
        </w:rPr>
        <w:t>ים וגם יכול לתרום לפיזור הסיכונים הנדרש בהלוואה הנלקחת לתקופת זמן ארוכה.</w:t>
      </w:r>
      <w:r w:rsidRPr="001F2586">
        <w:rPr>
          <w:rFonts w:eastAsia="Calibri"/>
          <w:rtl/>
        </w:rPr>
        <w:t xml:space="preserve"> </w:t>
      </w:r>
      <w:r w:rsidRPr="001F2586">
        <w:rPr>
          <w:rFonts w:eastAsia="Calibri" w:hint="cs"/>
          <w:rtl/>
        </w:rPr>
        <w:t>עם זאת, אפשרויות הבחירה לשילוב של מספר מסלולים במשכנתא יכולות</w:t>
      </w:r>
      <w:r w:rsidRPr="001F2586">
        <w:rPr>
          <w:rFonts w:eastAsia="Calibri"/>
          <w:rtl/>
        </w:rPr>
        <w:t xml:space="preserve"> להקשות </w:t>
      </w:r>
      <w:r w:rsidRPr="001F2586">
        <w:rPr>
          <w:rFonts w:eastAsia="Calibri" w:hint="cs"/>
          <w:rtl/>
        </w:rPr>
        <w:t>על הלווים</w:t>
      </w:r>
      <w:r w:rsidRPr="001F2586">
        <w:rPr>
          <w:rFonts w:eastAsia="Calibri"/>
          <w:rtl/>
        </w:rPr>
        <w:t xml:space="preserve"> </w:t>
      </w:r>
      <w:r w:rsidRPr="001F2586">
        <w:rPr>
          <w:rFonts w:eastAsia="Calibri" w:hint="cs"/>
          <w:rtl/>
        </w:rPr>
        <w:t xml:space="preserve">בתהליך </w:t>
      </w:r>
      <w:r w:rsidRPr="001F2586">
        <w:rPr>
          <w:rFonts w:eastAsia="Calibri" w:hint="cs"/>
          <w:rtl/>
        </w:rPr>
        <w:t>התיחור</w:t>
      </w:r>
      <w:r w:rsidRPr="001F2586">
        <w:rPr>
          <w:rFonts w:eastAsia="Calibri" w:hint="cs"/>
          <w:rtl/>
        </w:rPr>
        <w:t xml:space="preserve"> ולהגביר את רמת המורכבות עבורם. משכך, המשכנתא בישראל היא מוצר פיננסי המאופיין ברמת מורכבות גבוהה המקשה על הציבור לקבל החלטות מושכלות בעניינה</w:t>
      </w:r>
      <w:r>
        <w:rPr>
          <w:rFonts w:eastAsia="Calibri"/>
          <w:vertAlign w:val="superscript"/>
          <w:rtl/>
        </w:rPr>
        <w:footnoteReference w:id="275"/>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אחד התנאים ההכרחיים לקיומה של תחרות משוכללת בכל שוק היא שקיפות מלאה</w:t>
      </w:r>
      <w:r w:rsidRPr="001F2586">
        <w:rPr>
          <w:rFonts w:eastAsia="Calibri" w:hint="cs"/>
          <w:rtl/>
        </w:rPr>
        <w:t>. במחקר רשות התחרות משנת 2021 נמצא כי שקיפות מחירי המשכנתאות בישראל היא נמוכה יחסית בהשוואה למדינות אחרות בעולם</w:t>
      </w:r>
      <w:r>
        <w:rPr>
          <w:rFonts w:eastAsia="Calibri"/>
          <w:vertAlign w:val="superscript"/>
          <w:rtl/>
        </w:rPr>
        <w:footnoteReference w:id="276"/>
      </w:r>
      <w:r w:rsidRPr="001F2586">
        <w:rPr>
          <w:rFonts w:eastAsia="Calibri" w:hint="cs"/>
          <w:rtl/>
        </w:rPr>
        <w:t xml:space="preserve">, וכי קיימת א-סימטריה של מידע במשכנתאות בין לווים </w:t>
      </w:r>
      <w:r w:rsidRPr="001F2586">
        <w:rPr>
          <w:rFonts w:eastAsia="Calibri" w:hint="cs"/>
          <w:rtl/>
        </w:rPr>
        <w:t>למלווים על מחירי המשכנתא ומאפייניו. המלווים, שהם בעיקר הבנקים, הם גופים פיננסיים המתמחים במתן משכנתאות ומחזיקים במידע רב בנושא, ואילו הלווים מקבלים החלטה על המשכנתא פעמים בודדות במהלך חייהם מבלי שיש להם ידע רחב בנושא או מידע משמעותי על מחירי השוק. בשל כך,</w:t>
      </w:r>
      <w:r w:rsidRPr="001F2586">
        <w:rPr>
          <w:rFonts w:eastAsia="Calibri"/>
          <w:rtl/>
        </w:rPr>
        <w:t xml:space="preserve"> </w:t>
      </w:r>
      <w:r w:rsidRPr="001F2586">
        <w:rPr>
          <w:rFonts w:eastAsia="Calibri" w:hint="cs"/>
          <w:rtl/>
        </w:rPr>
        <w:t xml:space="preserve">לגופים המלווים המחזיקים במידע רב </w:t>
      </w:r>
      <w:r w:rsidRPr="001F2586">
        <w:rPr>
          <w:rFonts w:eastAsia="Calibri"/>
          <w:rtl/>
        </w:rPr>
        <w:t xml:space="preserve">יש יכולת ותמריץ לגבות מחיר גבוה בעסקאות עם </w:t>
      </w:r>
      <w:r w:rsidRPr="001F2586">
        <w:rPr>
          <w:rFonts w:eastAsia="Calibri" w:hint="cs"/>
          <w:rtl/>
        </w:rPr>
        <w:t>הלווים</w:t>
      </w:r>
      <w:r w:rsidRPr="001F2586">
        <w:rPr>
          <w:rFonts w:eastAsia="Calibri"/>
          <w:rtl/>
        </w:rPr>
        <w:t xml:space="preserve">, דבר העלול </w:t>
      </w:r>
      <w:r w:rsidRPr="001F2586">
        <w:rPr>
          <w:rFonts w:eastAsia="Calibri" w:hint="cs"/>
          <w:rtl/>
        </w:rPr>
        <w:t>להביא</w:t>
      </w:r>
      <w:r w:rsidRPr="001F2586">
        <w:rPr>
          <w:rFonts w:eastAsia="Calibri"/>
          <w:rtl/>
        </w:rPr>
        <w:t xml:space="preserve"> </w:t>
      </w:r>
      <w:r w:rsidRPr="001F2586">
        <w:rPr>
          <w:rFonts w:eastAsia="Calibri" w:hint="cs"/>
          <w:rtl/>
        </w:rPr>
        <w:t>ל</w:t>
      </w:r>
      <w:r w:rsidRPr="001F2586">
        <w:rPr>
          <w:rFonts w:eastAsia="Calibri"/>
          <w:rtl/>
        </w:rPr>
        <w:t>כשל שוק</w:t>
      </w:r>
      <w:r>
        <w:rPr>
          <w:rFonts w:eastAsia="Calibri"/>
          <w:vertAlign w:val="superscript"/>
          <w:rtl/>
        </w:rPr>
        <w:footnoteReference w:id="277"/>
      </w:r>
      <w:r w:rsidRPr="001F2586">
        <w:rPr>
          <w:rFonts w:eastAsia="Calibri" w:hint="cs"/>
          <w:rtl/>
        </w:rPr>
        <w:t>. בכך יש יתרון למלווים על הלווים שעשוי להשפיע על מחיר המשכנתא ולייקר אותה</w:t>
      </w:r>
      <w:r>
        <w:rPr>
          <w:rFonts w:eastAsia="Calibri"/>
          <w:vertAlign w:val="superscript"/>
          <w:rtl/>
        </w:rPr>
        <w:footnoteReference w:id="278"/>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במחקר רשות התחרות משנת 2021 מצוין, כאמור, כי הקושי של הלווים בבואם לבצע תהליך אפקטיבי של השוואת מחירים </w:t>
      </w:r>
      <w:r w:rsidRPr="001F2586">
        <w:rPr>
          <w:rFonts w:eastAsia="Calibri" w:hint="cs"/>
          <w:rtl/>
        </w:rPr>
        <w:t>ותיחור</w:t>
      </w:r>
      <w:r w:rsidRPr="001F2586">
        <w:rPr>
          <w:rFonts w:eastAsia="Calibri" w:hint="cs"/>
          <w:rtl/>
        </w:rPr>
        <w:t xml:space="preserve"> בין הבנקים נובע מכמה מאפיינים בשוק המשכנתאות: מחיר ההלוואה מותאם אישית לנתוני הלווה והעסקה כך שרלוונטיות מידע על המחירים המועבר בין לווים שונים היא מוגבלת; שיעורי הריביות במשכנתא מורכבות מעלויות גיוס המשתנות באופן תכוף ואינן זהות בין הבנקים; שקיפות מחירים נמוכה הנובעת בין היתר מכך שהמידע שבנק ישראל מפרסם על הריביות הממוצעות של הלוואות לדיור מתפרסם בעיכוב של כחודש ומידת הרלוונטיות שלו היא מוגבלת; המחירים תלויים בחלוקת המשכנתא למספר מסלולי הלוואה שבכל אחד מהם הבנקים קובעים מרווחים שונים; ומשך הזמן הנדרש לקבלת הצעת מחיר המקשה על ניהול תהליך </w:t>
      </w:r>
      <w:r w:rsidRPr="001F2586">
        <w:rPr>
          <w:rFonts w:eastAsia="Calibri" w:hint="cs"/>
          <w:rtl/>
        </w:rPr>
        <w:t>תיחור</w:t>
      </w:r>
      <w:r w:rsidRPr="001F2586">
        <w:rPr>
          <w:rFonts w:eastAsia="Calibri" w:hint="cs"/>
          <w:rtl/>
        </w:rPr>
        <w:t xml:space="preserve"> אפקטיבי עבור הלווים</w:t>
      </w:r>
      <w:r>
        <w:rPr>
          <w:rFonts w:eastAsia="Calibri"/>
          <w:vertAlign w:val="superscript"/>
          <w:rtl/>
        </w:rPr>
        <w:footnoteReference w:id="279"/>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הפשטה </w:t>
      </w:r>
      <w:r w:rsidRPr="001F2586">
        <w:rPr>
          <w:rFonts w:eastAsia="Calibri" w:hint="cs"/>
          <w:rtl/>
        </w:rPr>
        <w:t xml:space="preserve">והנגשה </w:t>
      </w:r>
      <w:r w:rsidRPr="001F2586">
        <w:rPr>
          <w:rFonts w:eastAsia="Calibri"/>
          <w:rtl/>
        </w:rPr>
        <w:t>של מוצרים ושירותים בנקאי</w:t>
      </w:r>
      <w:r w:rsidRPr="001F2586">
        <w:rPr>
          <w:rFonts w:eastAsia="Calibri" w:hint="cs"/>
          <w:rtl/>
        </w:rPr>
        <w:t>י</w:t>
      </w:r>
      <w:r w:rsidRPr="001F2586">
        <w:rPr>
          <w:rFonts w:eastAsia="Calibri"/>
          <w:rtl/>
        </w:rPr>
        <w:t>ם</w:t>
      </w:r>
      <w:r w:rsidRPr="001F2586">
        <w:rPr>
          <w:rFonts w:eastAsia="Calibri" w:hint="cs"/>
          <w:rtl/>
        </w:rPr>
        <w:t xml:space="preserve"> הם חלק מהכלים שעשויים לקדם מערכת בנקאית תחרותית והוגנת</w:t>
      </w:r>
      <w:r w:rsidRPr="001F2586">
        <w:rPr>
          <w:rFonts w:eastAsia="Calibri"/>
          <w:rtl/>
        </w:rPr>
        <w:t>.</w:t>
      </w:r>
      <w:r w:rsidRPr="001F2586">
        <w:rPr>
          <w:rFonts w:eastAsia="Calibri" w:hint="cs"/>
          <w:rtl/>
        </w:rPr>
        <w:t xml:space="preserve"> לנוכח ה</w:t>
      </w:r>
      <w:r w:rsidRPr="001F2586">
        <w:rPr>
          <w:rFonts w:eastAsia="Calibri"/>
          <w:rtl/>
        </w:rPr>
        <w:t>מורכבות</w:t>
      </w:r>
      <w:r w:rsidRPr="001F2586">
        <w:rPr>
          <w:rFonts w:eastAsia="Calibri" w:hint="cs"/>
          <w:rtl/>
        </w:rPr>
        <w:t xml:space="preserve"> הגבוהה</w:t>
      </w:r>
      <w:r w:rsidRPr="001F2586">
        <w:rPr>
          <w:rFonts w:eastAsia="Calibri"/>
          <w:rtl/>
        </w:rPr>
        <w:t xml:space="preserve"> ו</w:t>
      </w:r>
      <w:r w:rsidRPr="001F2586">
        <w:rPr>
          <w:rFonts w:eastAsia="Calibri" w:hint="cs"/>
          <w:rtl/>
        </w:rPr>
        <w:t>ה</w:t>
      </w:r>
      <w:r w:rsidRPr="001F2586">
        <w:rPr>
          <w:rFonts w:eastAsia="Calibri"/>
          <w:rtl/>
        </w:rPr>
        <w:t>חשיבות ה</w:t>
      </w:r>
      <w:r w:rsidRPr="001F2586">
        <w:rPr>
          <w:rFonts w:eastAsia="Calibri" w:hint="cs"/>
          <w:rtl/>
        </w:rPr>
        <w:t>רבה</w:t>
      </w:r>
      <w:r w:rsidRPr="001F2586">
        <w:rPr>
          <w:rFonts w:eastAsia="Calibri"/>
          <w:rtl/>
        </w:rPr>
        <w:t xml:space="preserve"> של הלוואת משכנתא </w:t>
      </w:r>
      <w:r w:rsidRPr="001F2586">
        <w:rPr>
          <w:rFonts w:eastAsia="Calibri" w:hint="cs"/>
          <w:rtl/>
        </w:rPr>
        <w:t>ל</w:t>
      </w:r>
      <w:r w:rsidRPr="001F2586">
        <w:rPr>
          <w:rFonts w:eastAsia="Calibri"/>
          <w:rtl/>
        </w:rPr>
        <w:t>משקי הבית</w:t>
      </w:r>
      <w:r w:rsidRPr="001F2586">
        <w:rPr>
          <w:rFonts w:eastAsia="Calibri" w:hint="cs"/>
          <w:rtl/>
        </w:rPr>
        <w:t xml:space="preserve"> ראה בנק ישראל צורך לבצע שינוי במבנה האישור העקרוני באופן שי</w:t>
      </w:r>
      <w:r w:rsidRPr="001F2586">
        <w:rPr>
          <w:rFonts w:eastAsia="Calibri"/>
          <w:rtl/>
        </w:rPr>
        <w:t>שפר את יכולת</w:t>
      </w:r>
      <w:r w:rsidRPr="001F2586">
        <w:rPr>
          <w:rFonts w:eastAsia="Calibri" w:hint="cs"/>
          <w:rtl/>
        </w:rPr>
        <w:t>ו של הציבור</w:t>
      </w:r>
      <w:r w:rsidRPr="001F2586">
        <w:rPr>
          <w:rFonts w:eastAsia="Calibri"/>
          <w:rtl/>
        </w:rPr>
        <w:t xml:space="preserve"> </w:t>
      </w:r>
      <w:r w:rsidRPr="001F2586">
        <w:rPr>
          <w:rFonts w:eastAsia="Calibri" w:hint="cs"/>
          <w:rtl/>
        </w:rPr>
        <w:t xml:space="preserve">להבין את השוני בין מסלולי ההלוואה, הסיכונים וההשפעות שלהם, על מנת לאפשר לציבור </w:t>
      </w:r>
      <w:r w:rsidRPr="001F2586">
        <w:rPr>
          <w:rFonts w:eastAsia="Calibri"/>
          <w:rtl/>
        </w:rPr>
        <w:t xml:space="preserve">לקבל החלטות מושכלות בהתייחס </w:t>
      </w:r>
      <w:r w:rsidRPr="001F2586">
        <w:rPr>
          <w:rFonts w:eastAsia="Calibri" w:hint="cs"/>
          <w:rtl/>
        </w:rPr>
        <w:t>להלוואת המשכנתא. בנק ישראל תכנן שינויים שישפרו את ה</w:t>
      </w:r>
      <w:r w:rsidRPr="001F2586">
        <w:rPr>
          <w:rFonts w:eastAsia="Calibri"/>
          <w:rtl/>
        </w:rPr>
        <w:t>שקיפות</w:t>
      </w:r>
      <w:r w:rsidRPr="001F2586">
        <w:rPr>
          <w:rFonts w:eastAsia="Calibri" w:hint="cs"/>
          <w:rtl/>
        </w:rPr>
        <w:t xml:space="preserve"> ללווים באישור העקרוני, ו</w:t>
      </w:r>
      <w:r w:rsidRPr="001F2586">
        <w:rPr>
          <w:rFonts w:eastAsia="Calibri"/>
          <w:rtl/>
        </w:rPr>
        <w:t>יעניק</w:t>
      </w:r>
      <w:r w:rsidRPr="001F2586">
        <w:rPr>
          <w:rFonts w:eastAsia="Calibri" w:hint="cs"/>
          <w:rtl/>
        </w:rPr>
        <w:t>ו</w:t>
      </w:r>
      <w:r w:rsidRPr="001F2586">
        <w:rPr>
          <w:rFonts w:eastAsia="Calibri"/>
          <w:rtl/>
        </w:rPr>
        <w:t xml:space="preserve"> </w:t>
      </w:r>
      <w:r w:rsidRPr="001F2586">
        <w:rPr>
          <w:rFonts w:eastAsia="Calibri" w:hint="cs"/>
          <w:rtl/>
        </w:rPr>
        <w:t xml:space="preserve">להם </w:t>
      </w:r>
      <w:r w:rsidRPr="001F2586">
        <w:rPr>
          <w:rFonts w:eastAsia="Calibri"/>
          <w:rtl/>
        </w:rPr>
        <w:t xml:space="preserve">יכולת </w:t>
      </w:r>
      <w:r w:rsidRPr="001F2586">
        <w:rPr>
          <w:rFonts w:eastAsia="Calibri" w:hint="cs"/>
          <w:rtl/>
        </w:rPr>
        <w:t xml:space="preserve">לבצע </w:t>
      </w:r>
      <w:r w:rsidRPr="001F2586">
        <w:rPr>
          <w:rFonts w:eastAsia="Calibri"/>
          <w:rtl/>
        </w:rPr>
        <w:t xml:space="preserve">השוואה </w:t>
      </w:r>
      <w:r w:rsidRPr="001F2586">
        <w:rPr>
          <w:rFonts w:eastAsia="Calibri" w:hint="cs"/>
          <w:rtl/>
        </w:rPr>
        <w:t>בין הצעות של בנקים</w:t>
      </w:r>
      <w:r>
        <w:rPr>
          <w:rFonts w:eastAsia="Calibri"/>
          <w:vertAlign w:val="superscript"/>
          <w:rtl/>
        </w:rPr>
        <w:footnoteReference w:id="280"/>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טרם החלטה של לווה על </w:t>
      </w:r>
      <w:r w:rsidRPr="001F2586">
        <w:rPr>
          <w:rFonts w:eastAsia="Calibri" w:hint="cs"/>
          <w:rtl/>
        </w:rPr>
        <w:t xml:space="preserve">המסלולים </w:t>
      </w:r>
      <w:r w:rsidRPr="001F2586">
        <w:rPr>
          <w:rFonts w:eastAsia="Calibri"/>
          <w:rtl/>
        </w:rPr>
        <w:t>במשכנתא הוא נדרש לשלוש החלטות</w:t>
      </w:r>
      <w:r w:rsidRPr="001F2586">
        <w:rPr>
          <w:rFonts w:eastAsia="Calibri" w:hint="cs"/>
          <w:rtl/>
        </w:rPr>
        <w:t xml:space="preserve"> </w:t>
      </w:r>
      <w:r w:rsidRPr="001F2586">
        <w:rPr>
          <w:rFonts w:eastAsia="Calibri"/>
          <w:rtl/>
        </w:rPr>
        <w:t xml:space="preserve">מהותיות, התלויות אחת בשנייה: גובה ההלוואה, גובה ההחזר החודשי </w:t>
      </w:r>
      <w:r w:rsidRPr="001F2586">
        <w:rPr>
          <w:rFonts w:eastAsia="Calibri" w:hint="cs"/>
          <w:rtl/>
        </w:rPr>
        <w:t>ומשך תקופה לפירעון ההלוואה. ככלל, תקופה ארוכה יותר מקטינה את סכום ההחזר החודשי ומגדילה את סכום התשלום הכולל בגין המשכנתא. לאור זאת לווה נדרש להחליט איך לחלק את הלוואת המשכנתא למסלולי הלוואות כאשר חלוקה זו כפופה למגבלה רגולטורית על חלק ההלוואה שניתן לקבל בריבית משתנה שלא יעלה על 66.66% מסכום ההלוואה הכולל. משמעות הדבר היא שלפחות 33.33% מסכום ההלוואה נלקח במסלול של ריבית קבועה (צמודה או לא צמודה למדד). מסלולי ההלוואה נבדלים כאמור בסוג הריבית (ריבית קבועה או ריבית משתנה), בהצמדה או אי הצמדה של קרן ההלוואה למדד המחירים לצרכן, ובתדירות השתנות הריבית במסלולים של ריבית משתנה. בנוסף, עבור כל מסלול הלוואה קיימים שני משתני בחירה נוספים שהם תקופה ולוח סילוקין. יצוין כי חלות מגבלות רגולטוריות כאמור של שיעור מימון, שיעור החזר מהכנסה ותקופה לפירעון סופי על כל משכנתא</w:t>
      </w:r>
      <w:r>
        <w:rPr>
          <w:rFonts w:eastAsia="Calibri"/>
          <w:vertAlign w:val="superscript"/>
          <w:rtl/>
        </w:rPr>
        <w:footnoteReference w:id="281"/>
      </w:r>
      <w:r w:rsidRPr="001F2586">
        <w:rPr>
          <w:rFonts w:eastAsia="Calibri" w:hint="cs"/>
          <w:rtl/>
        </w:rPr>
        <w:t>.</w:t>
      </w:r>
    </w:p>
    <w:p w:rsidR="001F2586" w:rsidRPr="001F2586" w:rsidP="001F2586">
      <w:pPr>
        <w:spacing w:line="269" w:lineRule="auto"/>
        <w:rPr>
          <w:rFonts w:eastAsia="Calibri"/>
          <w:rtl/>
        </w:rPr>
      </w:pPr>
    </w:p>
    <w:p w:rsidR="001F2586" w:rsidRPr="001F2586" w:rsidP="001F2586">
      <w:pPr>
        <w:keepNext/>
        <w:keepLines/>
        <w:spacing w:line="269" w:lineRule="auto"/>
        <w:outlineLvl w:val="5"/>
        <w:rPr>
          <w:rFonts w:eastAsia="Times New Roman"/>
          <w:spacing w:val="40"/>
          <w:rtl/>
        </w:rPr>
      </w:pPr>
      <w:r w:rsidRPr="001F2586">
        <w:rPr>
          <w:rFonts w:eastAsia="Times New Roman" w:hint="cs"/>
          <w:spacing w:val="40"/>
          <w:rtl/>
        </w:rPr>
        <w:t>מאפייני האישור העקרוני - מבנה אחיד, סלים אחידים, כלי תחזית וזמן שמירת התנאים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לקוח הזקוק למשכנתא נדרש להגיש בקשה לאישור עקרוני בבנק. מומלץ ללקוח להגיש בקשה לאישור עקרוני ליותר מבנק אחד, כלומר לבצע </w:t>
      </w:r>
      <w:r w:rsidRPr="001F2586">
        <w:rPr>
          <w:rFonts w:eastAsia="Calibri" w:hint="cs"/>
          <w:rtl/>
        </w:rPr>
        <w:t>תיחור</w:t>
      </w:r>
      <w:r w:rsidRPr="001F2586">
        <w:rPr>
          <w:rFonts w:eastAsia="Calibri" w:hint="cs"/>
          <w:rtl/>
        </w:rPr>
        <w:t xml:space="preserve"> בין מספר בנקים כדי ל</w:t>
      </w:r>
      <w:r w:rsidRPr="001F2586">
        <w:rPr>
          <w:rFonts w:eastAsia="Calibri"/>
          <w:rtl/>
        </w:rPr>
        <w:t xml:space="preserve">קבל </w:t>
      </w:r>
      <w:r w:rsidRPr="001F2586">
        <w:rPr>
          <w:rFonts w:eastAsia="Calibri" w:hint="cs"/>
          <w:rtl/>
        </w:rPr>
        <w:t xml:space="preserve">מספר </w:t>
      </w:r>
      <w:r w:rsidRPr="001F2586">
        <w:rPr>
          <w:rFonts w:eastAsia="Calibri"/>
          <w:rtl/>
        </w:rPr>
        <w:t xml:space="preserve">הצעות </w:t>
      </w:r>
      <w:r w:rsidRPr="001F2586">
        <w:rPr>
          <w:rFonts w:eastAsia="Calibri"/>
          <w:rtl/>
        </w:rPr>
        <w:t xml:space="preserve">מחיר </w:t>
      </w:r>
      <w:r w:rsidRPr="001F2586">
        <w:rPr>
          <w:rFonts w:eastAsia="Calibri" w:hint="cs"/>
          <w:rtl/>
        </w:rPr>
        <w:t>שיאפשרו לו להשוות</w:t>
      </w:r>
      <w:r w:rsidRPr="001F2586">
        <w:rPr>
          <w:rFonts w:eastAsia="Calibri"/>
          <w:rtl/>
        </w:rPr>
        <w:t xml:space="preserve"> ביניהם</w:t>
      </w:r>
      <w:r w:rsidRPr="001F2586">
        <w:rPr>
          <w:rFonts w:eastAsia="Calibri" w:hint="cs"/>
          <w:rtl/>
        </w:rPr>
        <w:t xml:space="preserve"> </w:t>
      </w:r>
      <w:r w:rsidRPr="001F2586">
        <w:rPr>
          <w:rFonts w:eastAsia="Calibri"/>
          <w:rtl/>
        </w:rPr>
        <w:t xml:space="preserve">לצורך בחירת ההצעה המתאימה </w:t>
      </w:r>
      <w:r w:rsidRPr="001F2586">
        <w:rPr>
          <w:rFonts w:eastAsia="Calibri" w:hint="cs"/>
          <w:rtl/>
        </w:rPr>
        <w:t xml:space="preserve">לו </w:t>
      </w:r>
      <w:r w:rsidRPr="001F2586">
        <w:rPr>
          <w:rFonts w:eastAsia="Calibri"/>
          <w:rtl/>
        </w:rPr>
        <w:t xml:space="preserve">ביותר </w:t>
      </w:r>
      <w:r w:rsidRPr="001F2586">
        <w:rPr>
          <w:rFonts w:eastAsia="Calibri" w:hint="cs"/>
          <w:rtl/>
        </w:rPr>
        <w:t>ולצורך הוזלת עלויות ומחירי המשכנתא.</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לאחר שלקוח מקבל אישור עקרוני מבנק הוא נדרש להמציא לבנק מסמכים שונים לאימות הנתונים באישור העקרוני כמו תלושי שכר או אסמכתאות על הכנסות, תדפיסי חשבונות עובר ושב, ומידע על הלוואות קיימות. כמו כן תהליך לקיחת ההלוואה כרוך בצעדים כמו שמאות, רישום משכון ובטוחות ועוד. במקביל לכך הלקוח נדרש לסיים את תהליך </w:t>
      </w:r>
      <w:r w:rsidRPr="001F2586">
        <w:rPr>
          <w:rFonts w:eastAsia="Calibri" w:hint="cs"/>
          <w:rtl/>
        </w:rPr>
        <w:t>התיחור</w:t>
      </w:r>
      <w:r w:rsidRPr="001F2586">
        <w:rPr>
          <w:rFonts w:eastAsia="Calibri" w:hint="cs"/>
          <w:rtl/>
        </w:rPr>
        <w:t xml:space="preserve"> ולהחליט מאיזה בנק הוא לוקח את ההלוואה. עד פברואר 2018 בנקים היו מחויבים לשמור את תנאי המשכנתא כפי שנקבעו באישור העקרוני למשך 12 ימים.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w:t>
      </w:r>
      <w:r w:rsidRPr="001F2586">
        <w:rPr>
          <w:rFonts w:eastAsia="Calibri"/>
          <w:rtl/>
        </w:rPr>
        <w:t>חוזר מס' ח-06-2540</w:t>
      </w:r>
      <w:r w:rsidRPr="001F2586">
        <w:rPr>
          <w:rFonts w:eastAsia="Calibri" w:hint="cs"/>
          <w:rtl/>
        </w:rPr>
        <w:t xml:space="preserve"> מיום 16.11.17 של הפיקוח על הבנקים נקבע כי החל מפברואר 2018 אישורים עקרוניים יישארו בתוקף של 24 ימים במקום 12 ימים(להלן - תקופת האישור העקרוני). המפקחת על הבנקים דאז קבעה כי על הבנקים חלה חובה לשמור את תנאי המשכנתא לתקופה ארוכה יותר, למעט הלוואות בהן אין צורך לבצע שעבוד מחדש אז תקופת שמירת התנאים תישאר על 12 ימים. המפקחת על הבנקים דאז הסבירה את ההחלטה בכך שתקופה של 12 ימים להמצאת מסמכים לקבלת ההלוואה היא תקופה קצרה שהלקוחות מתקשים לעמוד בה ועל כן הוחלט להאריך את התקופה ל-24 ימים. עם זאת, ציינה המפקחת דאז כי הלוואות בהן אין צורך לבצע שעבוד מחדש הן הלוואות שכרוכות בתהליכים קצרים יותר ועל כן תקופת האישור העקרוני תישאר 12 ימים. בהתאם לכך, בסעיף 4ג(א)(4) </w:t>
      </w:r>
      <w:r w:rsidRPr="001F2586">
        <w:rPr>
          <w:rFonts w:eastAsia="Calibri" w:hint="cs"/>
          <w:rtl/>
        </w:rPr>
        <w:t>בנב"ת</w:t>
      </w:r>
      <w:r w:rsidRPr="001F2586">
        <w:rPr>
          <w:rFonts w:eastAsia="Calibri" w:hint="cs"/>
          <w:rtl/>
        </w:rPr>
        <w:t xml:space="preserve"> 451 נקבע כי בנק יקבע תקופה סבירה להמצאת מסמכים הדרושים לאימות נתונים באישור העקרוני וכי תקופה זו לא תפחת מ-24 ימים. המשמעות היא שהבנק ישמור על התנאים שנקבעו באישור העקרוני, לרבות שיעורי הריביות, למשך תקופה זו לפחות, ובחלוף תקופה זו הבנק רשאי לשנות את התנאים שנקבעו באישור העקרוני. יצוין כי במקרה בו הלקוח לא המציא מסמכים בזמן תקופת האישור העקרוני על הבנק להפנות את תשומת ליבו של הלקוח לכך שחלף זמן שמירת התנאים ולמסור לו אישור עקרוני מעודכן.</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עד לרפורמת השקיפות האישור העקרוני שניתן ללקוח בכל בנק היה בפורמט שאינו אחיד, כך שהוא היה מקבל בכל בנק אישור עקרוני במבנה שונה. כמו כן מבקש הלוואה היה יכול לקבל מספר הצעות מבנקים במסלולי הלוואה שונים של ריביות באופן שמקשה עליו להבין את ההצעות ולהשוות ביניהם. הפיקוח על הבנקים קבע בשנת 2022 בסעיף 4ג (2) </w:t>
      </w:r>
      <w:r w:rsidRPr="001F2586">
        <w:rPr>
          <w:rFonts w:eastAsia="Calibri" w:hint="cs"/>
          <w:rtl/>
        </w:rPr>
        <w:t>בנב"ת</w:t>
      </w:r>
      <w:r w:rsidRPr="001F2586">
        <w:rPr>
          <w:rFonts w:eastAsia="Calibri" w:hint="cs"/>
          <w:rtl/>
        </w:rPr>
        <w:t xml:space="preserve"> 451 כי אישור עקרוני יכלול תמהיל מסלולים המותאם לצרכי ומאפייני הלקוח (להלן - סל מוצע או סל רביעי) וכן תמהילי מסלולי אחידים (להלן - הסלים האחידים)</w:t>
      </w:r>
      <w:r>
        <w:rPr>
          <w:rFonts w:eastAsia="Calibri"/>
          <w:vertAlign w:val="superscript"/>
          <w:rtl/>
        </w:rPr>
        <w:footnoteReference w:id="282"/>
      </w:r>
      <w:r w:rsidRPr="001F2586">
        <w:rPr>
          <w:rFonts w:eastAsia="Calibri" w:hint="cs"/>
          <w:rtl/>
        </w:rPr>
        <w:t>. מטרת הסלים האחידים היא להגביר את ההבנה, לחזק את יכולת ההשוואה של הלקוחות בין הצעות שונות של משכנתא ולחזק את כוח המיקוח שלהם בתהליך המשא ומתן על תנאי המשכנתא.</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בסעיף 4ג(ב) </w:t>
      </w:r>
      <w:r w:rsidRPr="001F2586">
        <w:rPr>
          <w:rFonts w:eastAsia="Calibri" w:hint="cs"/>
          <w:rtl/>
        </w:rPr>
        <w:t>בנב"ת</w:t>
      </w:r>
      <w:r w:rsidRPr="001F2586">
        <w:rPr>
          <w:rFonts w:eastAsia="Calibri" w:hint="cs"/>
          <w:rtl/>
        </w:rPr>
        <w:t xml:space="preserve"> 451 נקבע כי אישור עקרוני יימסר ללקוח בכתב ובמבנה אחיד. בין היתר נקבע כי האישור יכלול נתונים אלו על כל אחד ממסלולי ההלוואה בסלים האחידים ובסל המוצע: תקופת ההלוואה; לוח הסילוקין של ההלוואה; שיעור הריבית השנתית</w:t>
      </w:r>
      <w:r>
        <w:rPr>
          <w:rFonts w:eastAsia="Calibri"/>
          <w:vertAlign w:val="superscript"/>
          <w:rtl/>
        </w:rPr>
        <w:footnoteReference w:id="283"/>
      </w:r>
      <w:r w:rsidRPr="001F2586">
        <w:rPr>
          <w:rFonts w:eastAsia="Calibri" w:hint="cs"/>
          <w:rtl/>
        </w:rPr>
        <w:t>; הריבית הכוללת החזויה</w:t>
      </w:r>
      <w:r>
        <w:rPr>
          <w:rFonts w:eastAsia="Calibri"/>
          <w:vertAlign w:val="superscript"/>
          <w:rtl/>
        </w:rPr>
        <w:footnoteReference w:id="284"/>
      </w:r>
      <w:r w:rsidRPr="001F2586">
        <w:rPr>
          <w:rFonts w:eastAsia="Calibri" w:hint="cs"/>
          <w:rtl/>
        </w:rPr>
        <w:t xml:space="preserve">; סכום ההחזר החודשי הראשון וסכום ההחזר החודשי הגבוה ביותר הצפוי על פי </w:t>
      </w:r>
      <w:r w:rsidRPr="001F2586">
        <w:rPr>
          <w:rFonts w:eastAsia="Calibri" w:hint="cs"/>
          <w:rtl/>
        </w:rPr>
        <w:t>התחזית</w:t>
      </w:r>
      <w:r>
        <w:rPr>
          <w:rFonts w:eastAsia="Calibri"/>
          <w:vertAlign w:val="superscript"/>
          <w:rtl/>
        </w:rPr>
        <w:footnoteReference w:id="285"/>
      </w:r>
      <w:r w:rsidRPr="001F2586">
        <w:rPr>
          <w:rFonts w:eastAsia="Calibri" w:hint="cs"/>
          <w:rtl/>
        </w:rPr>
        <w:t>; סך כל הסכום הצפוי החזוי שישולם עד לסוף תקופת ההלוואה</w:t>
      </w:r>
      <w:r>
        <w:rPr>
          <w:rFonts w:eastAsia="Calibri"/>
          <w:vertAlign w:val="superscript"/>
          <w:rtl/>
        </w:rPr>
        <w:footnoteReference w:id="286"/>
      </w:r>
      <w:r w:rsidRPr="001F2586">
        <w:rPr>
          <w:rFonts w:eastAsia="Calibri" w:hint="cs"/>
          <w:rtl/>
        </w:rPr>
        <w:t>. עוד נקבע כי יוצג באישור העקרוני "מידע נוסף" ללקוח על תנאי ההלוואה</w:t>
      </w:r>
      <w:r>
        <w:rPr>
          <w:rFonts w:eastAsia="Calibri"/>
          <w:vertAlign w:val="superscript"/>
          <w:rtl/>
        </w:rPr>
        <w:footnoteReference w:id="287"/>
      </w:r>
      <w:r w:rsidRPr="001F2586">
        <w:rPr>
          <w:rFonts w:eastAsia="Calibri" w:hint="cs"/>
          <w:rtl/>
        </w:rPr>
        <w:t>, רשימת המסמכים הנדרשים לצורך קבלת ההלוואה והפנייה לביצוע שמאות. להלן תרשים המציג את המבנה אחיד של אישור עקרוני</w:t>
      </w:r>
      <w:r>
        <w:rPr>
          <w:rFonts w:eastAsia="Calibri"/>
          <w:vertAlign w:val="superscript"/>
          <w:rtl/>
        </w:rPr>
        <w:footnoteReference w:id="288"/>
      </w:r>
      <w:r w:rsidRPr="001F2586">
        <w:rPr>
          <w:rFonts w:eastAsia="Calibri" w:hint="cs"/>
          <w:rtl/>
        </w:rPr>
        <w:t xml:space="preserve"> בהלוואה לדיור.</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 xml:space="preserve">תרשים 35: </w:t>
      </w:r>
      <w:r w:rsidRPr="001F2586">
        <w:rPr>
          <w:rFonts w:eastAsia="Calibri" w:hint="eastAsia"/>
          <w:bCs/>
          <w:sz w:val="24"/>
          <w:rtl/>
        </w:rPr>
        <w:t>מבנה</w:t>
      </w:r>
      <w:r w:rsidRPr="001F2586">
        <w:rPr>
          <w:rFonts w:eastAsia="Calibri"/>
          <w:bCs/>
          <w:sz w:val="24"/>
          <w:rtl/>
        </w:rPr>
        <w:t xml:space="preserve"> </w:t>
      </w:r>
      <w:r w:rsidRPr="001F2586">
        <w:rPr>
          <w:rFonts w:eastAsia="Calibri" w:hint="eastAsia"/>
          <w:bCs/>
          <w:sz w:val="24"/>
          <w:rtl/>
        </w:rPr>
        <w:t>אישור</w:t>
      </w:r>
      <w:r w:rsidRPr="001F2586">
        <w:rPr>
          <w:rFonts w:eastAsia="Calibri"/>
          <w:bCs/>
          <w:sz w:val="24"/>
          <w:rtl/>
        </w:rPr>
        <w:t xml:space="preserve"> עקרוני להלוואה לדיור</w:t>
      </w:r>
    </w:p>
    <w:p w:rsidR="001F2586" w:rsidRPr="001F2586" w:rsidP="001F2586">
      <w:pPr>
        <w:spacing w:line="269" w:lineRule="auto"/>
        <w:contextualSpacing/>
        <w:jc w:val="center"/>
        <w:rPr>
          <w:rFonts w:eastAsia="Calibri"/>
          <w:rtl/>
        </w:rPr>
      </w:pPr>
      <w:r w:rsidRPr="001F2586">
        <w:rPr>
          <w:rFonts w:eastAsia="Calibri"/>
          <w:noProof/>
        </w:rPr>
        <w:drawing>
          <wp:inline distT="0" distB="0" distL="0" distR="0">
            <wp:extent cx="5071427" cy="4402862"/>
            <wp:effectExtent l="0" t="0" r="0" b="0"/>
            <wp:docPr id="12" name="תמונה 12" descr="שלושה סלים אחידים וסל מוצע. עבור כל מהם מוצג תקופה, הריבית הכוללת החזויה, סכום ההחזר החודשי הראשון, סכום ההחזר החודשי הגבוה ביותר הצםוי על פי התחזית, וסך כל הסכום שצפוי שישולם עד לסוף תקופת ההלווא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47"/>
                    <a:srcRect t="7256" b="3839"/>
                    <a:stretch>
                      <a:fillRect/>
                    </a:stretch>
                  </pic:blipFill>
                  <pic:spPr bwMode="auto">
                    <a:xfrm>
                      <a:off x="0" y="0"/>
                      <a:ext cx="5072332" cy="440364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rPr>
          <w:rFonts w:eastAsia="Calibri"/>
          <w:sz w:val="16"/>
          <w:szCs w:val="20"/>
          <w:rtl/>
        </w:rPr>
      </w:pPr>
      <w:r w:rsidRPr="001F2586">
        <w:rPr>
          <w:rFonts w:ascii="David" w:eastAsia="Calibri" w:hAnsi="David" w:hint="cs"/>
          <w:szCs w:val="20"/>
          <w:rtl/>
        </w:rPr>
        <w:t>המקור:</w:t>
      </w:r>
      <w:r w:rsidRPr="001F2586">
        <w:rPr>
          <w:rFonts w:eastAsia="Calibri" w:hint="cs"/>
          <w:rtl/>
        </w:rPr>
        <w:t xml:space="preserve"> </w:t>
      </w:r>
      <w:r w:rsidRPr="001F2586">
        <w:rPr>
          <w:rFonts w:eastAsia="Calibri" w:hint="cs"/>
          <w:sz w:val="16"/>
          <w:szCs w:val="20"/>
          <w:rtl/>
        </w:rPr>
        <w:t xml:space="preserve">המפקח על הבנקים, </w:t>
      </w:r>
      <w:r w:rsidRPr="001F2586">
        <w:rPr>
          <w:rFonts w:eastAsia="Calibri" w:hint="cs"/>
          <w:sz w:val="16"/>
          <w:szCs w:val="20"/>
          <w:rtl/>
        </w:rPr>
        <w:t>נב"ת</w:t>
      </w:r>
      <w:r w:rsidRPr="001F2586">
        <w:rPr>
          <w:rFonts w:eastAsia="Calibri" w:hint="cs"/>
          <w:sz w:val="16"/>
          <w:szCs w:val="20"/>
          <w:rtl/>
        </w:rPr>
        <w:t xml:space="preserve"> 451, תוספת 6 - אישור עקרוני להלוואה לדיור.</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מהתרשים עולה כי נקבעו שלושה סלים אחידים שהרכבם נקבע על ידי בנק ישראל, והם: סל אחיד 1 - ההלוואה כולה בריבית קבועה לא צמודה כך שהיא מייצגת הלוואה נטולת סיכון שבה למשתני המקרו כמו אינפלציה וריבית אין השפעה; סל אחיד 2 - ההלוואה מחולקת לשלושה חלקים שווים בין קבועה לא צמודה, ריבית הפריים וריבית משתנה צמודה כל 5 שנים המבטאת רמת סיכון מסוימת לשינויים בריבית ואינפלציה; וסל אחיד 3 - ההלוואה מחולקת לשני חלקים שווים של ריבית קבועה לא צמודה וריבית הפריים, המבטאת גם היא רמת סיכון מסוימת לשינויים בריבית </w:t>
      </w:r>
      <w:r w:rsidRPr="001F2586">
        <w:rPr>
          <w:rFonts w:eastAsia="Calibri" w:hint="cs"/>
          <w:rtl/>
        </w:rPr>
        <w:t xml:space="preserve">ובאינפלציה. עוד עולה מהתרשים כי באישור העקרוני מוצגים לכל אחד מהסלים נתונים שונים המציגים תחזיות לריבית הכוללת החזויה, לסכום ההחזר החודשי הגבוה ביותר הצפוי ולסך הסכום הצפוי שישולם עד לתום תקופת ההלוואה.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hint="cs"/>
          <w:rtl/>
        </w:rPr>
        <w:t xml:space="preserve">יצוין כי תחזיות אלו </w:t>
      </w:r>
      <w:r w:rsidRPr="001F2586">
        <w:rPr>
          <w:rFonts w:eastAsia="Calibri"/>
          <w:rtl/>
        </w:rPr>
        <w:t>נגזרות ממחירי אגרות החוב הממשלתיות ומשקפות את הערכות ה</w:t>
      </w:r>
      <w:r w:rsidRPr="001F2586">
        <w:rPr>
          <w:rFonts w:eastAsia="Calibri" w:hint="cs"/>
          <w:rtl/>
        </w:rPr>
        <w:t>גופים ה</w:t>
      </w:r>
      <w:r w:rsidRPr="001F2586">
        <w:rPr>
          <w:rFonts w:eastAsia="Calibri"/>
          <w:rtl/>
        </w:rPr>
        <w:t>פעילים בשוק ההון. כיוון</w:t>
      </w:r>
      <w:r w:rsidRPr="001F2586">
        <w:rPr>
          <w:rFonts w:eastAsia="Calibri" w:hint="cs"/>
          <w:rtl/>
        </w:rPr>
        <w:t xml:space="preserve"> </w:t>
      </w:r>
      <w:r w:rsidRPr="001F2586">
        <w:rPr>
          <w:rFonts w:eastAsia="Calibri"/>
          <w:rtl/>
        </w:rPr>
        <w:t xml:space="preserve">שמדובר בתחזיות שנגזרות משוק ההון, בהתאם למציאות הכלכלית בעת גיבושן, </w:t>
      </w:r>
      <w:r w:rsidRPr="001F2586">
        <w:rPr>
          <w:rFonts w:eastAsia="Calibri" w:hint="cs"/>
          <w:rtl/>
        </w:rPr>
        <w:t>ייתכן</w:t>
      </w:r>
      <w:r w:rsidRPr="001F2586">
        <w:rPr>
          <w:rFonts w:eastAsia="Calibri"/>
          <w:rtl/>
        </w:rPr>
        <w:t xml:space="preserve"> שהתשלומים ושיעורי</w:t>
      </w:r>
      <w:r w:rsidRPr="001F2586">
        <w:rPr>
          <w:rFonts w:eastAsia="Calibri" w:hint="cs"/>
          <w:rtl/>
        </w:rPr>
        <w:t xml:space="preserve"> </w:t>
      </w:r>
      <w:r w:rsidRPr="001F2586">
        <w:rPr>
          <w:rFonts w:eastAsia="Calibri"/>
          <w:rtl/>
        </w:rPr>
        <w:t>הריבית שישולמו בפועל יהיו שונים</w:t>
      </w:r>
      <w:r w:rsidRPr="001F2586">
        <w:rPr>
          <w:rFonts w:eastAsia="Calibri" w:hint="cs"/>
          <w:rtl/>
        </w:rPr>
        <w:t>, ומשכך גבוהים או נמוכים מהסכום או השיעור המוצג באישור העקרוני</w:t>
      </w:r>
      <w:r w:rsidRPr="001F2586">
        <w:rPr>
          <w:rFonts w:eastAsia="Calibri"/>
          <w:rtl/>
        </w:rPr>
        <w:t>.</w:t>
      </w:r>
      <w:r w:rsidRPr="001F2586">
        <w:rPr>
          <w:rFonts w:eastAsia="Calibri" w:hint="cs"/>
          <w:rtl/>
        </w:rPr>
        <w:t xml:space="preserve"> יצוין בנוסף כי בהתאם לתוספת 4 </w:t>
      </w:r>
      <w:r w:rsidRPr="001F2586">
        <w:rPr>
          <w:rFonts w:eastAsia="Calibri" w:hint="cs"/>
          <w:rtl/>
        </w:rPr>
        <w:t>בנב"ת</w:t>
      </w:r>
      <w:r w:rsidRPr="001F2586">
        <w:rPr>
          <w:rFonts w:eastAsia="Calibri" w:hint="cs"/>
          <w:rtl/>
        </w:rPr>
        <w:t xml:space="preserve"> 451</w:t>
      </w:r>
      <w:r>
        <w:rPr>
          <w:rFonts w:eastAsia="Calibri"/>
          <w:vertAlign w:val="superscript"/>
          <w:rtl/>
        </w:rPr>
        <w:footnoteReference w:id="289"/>
      </w:r>
      <w:r w:rsidRPr="001F2586">
        <w:rPr>
          <w:rFonts w:eastAsia="Calibri" w:hint="cs"/>
          <w:rtl/>
        </w:rPr>
        <w:t xml:space="preserve"> נקבע כי </w:t>
      </w:r>
      <w:r w:rsidRPr="001F2586">
        <w:rPr>
          <w:rFonts w:eastAsia="Calibri"/>
          <w:rtl/>
        </w:rPr>
        <w:t>תאגיד בנקאי רשאי לכלול בתיק המשכנתאות שלו סוגי הלוואות שאין להן תחזיות, ובכלל</w:t>
      </w:r>
      <w:r w:rsidRPr="001F2586">
        <w:rPr>
          <w:rFonts w:eastAsia="Calibri" w:hint="cs"/>
          <w:rtl/>
        </w:rPr>
        <w:t xml:space="preserve"> </w:t>
      </w:r>
      <w:r w:rsidRPr="001F2586">
        <w:rPr>
          <w:rFonts w:eastAsia="Calibri"/>
          <w:rtl/>
        </w:rPr>
        <w:t>זאת הלוואות מסוג "מט"ח/צמוד מט"ח" והלוואות מסוג "אחר"</w:t>
      </w:r>
      <w:r w:rsidRPr="001F2586">
        <w:rPr>
          <w:rFonts w:eastAsia="Calibri" w:hint="cs"/>
          <w:rtl/>
        </w:rPr>
        <w:t xml:space="preserve">, </w:t>
      </w:r>
      <w:r w:rsidRPr="001F2586">
        <w:rPr>
          <w:rFonts w:eastAsia="Calibri"/>
          <w:rtl/>
        </w:rPr>
        <w:t>בהיקף של עד 3% מתיק</w:t>
      </w:r>
      <w:r w:rsidRPr="001F2586">
        <w:rPr>
          <w:rFonts w:eastAsia="Calibri" w:hint="cs"/>
          <w:rtl/>
        </w:rPr>
        <w:t xml:space="preserve"> </w:t>
      </w:r>
      <w:r w:rsidRPr="001F2586">
        <w:rPr>
          <w:rFonts w:eastAsia="Calibri"/>
          <w:rtl/>
        </w:rPr>
        <w:t xml:space="preserve">המשכנתאות.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יצוין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מנתוני</w:t>
      </w:r>
      <w:r w:rsidRPr="001F2586">
        <w:rPr>
          <w:rFonts w:eastAsia="Calibri"/>
          <w:b/>
          <w:bCs/>
          <w:rtl/>
        </w:rPr>
        <w:t xml:space="preserve"> </w:t>
      </w:r>
      <w:r w:rsidRPr="001F2586">
        <w:rPr>
          <w:rFonts w:eastAsia="Calibri" w:hint="eastAsia"/>
          <w:b/>
          <w:bCs/>
          <w:rtl/>
        </w:rPr>
        <w:t>בנק</w:t>
      </w:r>
      <w:r w:rsidRPr="001F2586">
        <w:rPr>
          <w:rFonts w:eastAsia="Calibri"/>
          <w:b/>
          <w:bCs/>
          <w:rtl/>
        </w:rPr>
        <w:t xml:space="preserve"> </w:t>
      </w:r>
      <w:r w:rsidRPr="001F2586">
        <w:rPr>
          <w:rFonts w:eastAsia="Calibri" w:hint="eastAsia"/>
          <w:b/>
          <w:bCs/>
          <w:rtl/>
        </w:rPr>
        <w:t>ישראל</w:t>
      </w:r>
      <w:r w:rsidRPr="001F2586">
        <w:rPr>
          <w:rFonts w:eastAsia="Calibri"/>
          <w:b/>
          <w:bCs/>
          <w:rtl/>
        </w:rPr>
        <w:t xml:space="preserve"> </w:t>
      </w:r>
      <w:r w:rsidRPr="001F2586">
        <w:rPr>
          <w:rFonts w:eastAsia="Calibri" w:hint="eastAsia"/>
          <w:b/>
          <w:bCs/>
          <w:rtl/>
        </w:rPr>
        <w:t>לשנת</w:t>
      </w:r>
      <w:r w:rsidRPr="001F2586">
        <w:rPr>
          <w:rFonts w:eastAsia="Calibri"/>
          <w:b/>
          <w:bCs/>
          <w:rtl/>
        </w:rPr>
        <w:t xml:space="preserve"> 2024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כ</w:t>
      </w:r>
      <w:r w:rsidRPr="001F2586">
        <w:rPr>
          <w:rFonts w:eastAsia="Calibri"/>
          <w:b/>
          <w:bCs/>
          <w:rtl/>
        </w:rPr>
        <w:t xml:space="preserve">-98% </w:t>
      </w:r>
      <w:r w:rsidRPr="001F2586">
        <w:rPr>
          <w:rFonts w:eastAsia="Calibri" w:hint="eastAsia"/>
          <w:b/>
          <w:bCs/>
          <w:rtl/>
        </w:rPr>
        <w:t>מהביצועים</w:t>
      </w:r>
      <w:r w:rsidRPr="001F2586">
        <w:rPr>
          <w:rFonts w:eastAsia="Calibri"/>
          <w:b/>
          <w:bCs/>
          <w:rtl/>
        </w:rPr>
        <w:t xml:space="preserve"> </w:t>
      </w:r>
      <w:r w:rsidRPr="001F2586">
        <w:rPr>
          <w:rFonts w:eastAsia="Calibri" w:hint="eastAsia"/>
          <w:b/>
          <w:bCs/>
          <w:rtl/>
        </w:rPr>
        <w:t>ניתנים</w:t>
      </w:r>
      <w:r w:rsidRPr="001F2586">
        <w:rPr>
          <w:rFonts w:eastAsia="Calibri"/>
          <w:b/>
          <w:bCs/>
          <w:rtl/>
        </w:rPr>
        <w:t xml:space="preserve"> </w:t>
      </w:r>
      <w:r w:rsidRPr="001F2586">
        <w:rPr>
          <w:rFonts w:eastAsia="Calibri" w:hint="eastAsia"/>
          <w:b/>
          <w:bCs/>
          <w:rtl/>
        </w:rPr>
        <w:t>בסל</w:t>
      </w:r>
      <w:r w:rsidRPr="001F2586">
        <w:rPr>
          <w:rFonts w:eastAsia="Calibri"/>
          <w:b/>
          <w:bCs/>
          <w:rtl/>
        </w:rPr>
        <w:t xml:space="preserve"> </w:t>
      </w:r>
      <w:r w:rsidRPr="001F2586">
        <w:rPr>
          <w:rFonts w:eastAsia="Calibri" w:hint="eastAsia"/>
          <w:b/>
          <w:bCs/>
          <w:rtl/>
        </w:rPr>
        <w:t>רביעי</w:t>
      </w:r>
      <w:r w:rsidRPr="001F2586">
        <w:rPr>
          <w:rFonts w:eastAsia="Calibri"/>
          <w:b/>
          <w:bCs/>
          <w:rtl/>
        </w:rPr>
        <w:t xml:space="preserve">, </w:t>
      </w:r>
      <w:r w:rsidRPr="001F2586">
        <w:rPr>
          <w:rFonts w:eastAsia="Calibri" w:hint="eastAsia"/>
          <w:b/>
          <w:bCs/>
          <w:rtl/>
        </w:rPr>
        <w:t>כלומר</w:t>
      </w:r>
      <w:r w:rsidRPr="001F2586">
        <w:rPr>
          <w:rFonts w:eastAsia="Calibri"/>
          <w:b/>
          <w:bCs/>
          <w:rtl/>
        </w:rPr>
        <w:t xml:space="preserve"> </w:t>
      </w:r>
      <w:r w:rsidRPr="001F2586">
        <w:rPr>
          <w:rFonts w:eastAsia="Calibri" w:hint="eastAsia"/>
          <w:b/>
          <w:bCs/>
          <w:rtl/>
        </w:rPr>
        <w:t>הלווים</w:t>
      </w:r>
      <w:r w:rsidRPr="001F2586">
        <w:rPr>
          <w:rFonts w:eastAsia="Calibri"/>
          <w:b/>
          <w:bCs/>
          <w:rtl/>
        </w:rPr>
        <w:t xml:space="preserve"> </w:t>
      </w:r>
      <w:r w:rsidRPr="001F2586">
        <w:rPr>
          <w:rFonts w:eastAsia="Calibri" w:hint="eastAsia"/>
          <w:b/>
          <w:bCs/>
          <w:rtl/>
        </w:rPr>
        <w:t>בוחרים</w:t>
      </w:r>
      <w:r w:rsidRPr="001F2586">
        <w:rPr>
          <w:rFonts w:eastAsia="Calibri"/>
          <w:b/>
          <w:bCs/>
          <w:rtl/>
        </w:rPr>
        <w:t xml:space="preserve"> </w:t>
      </w:r>
      <w:r w:rsidRPr="001F2586">
        <w:rPr>
          <w:rFonts w:eastAsia="Calibri" w:hint="eastAsia"/>
          <w:b/>
          <w:bCs/>
          <w:rtl/>
        </w:rPr>
        <w:t>בסל</w:t>
      </w:r>
      <w:r w:rsidRPr="001F2586">
        <w:rPr>
          <w:rFonts w:eastAsia="Calibri"/>
          <w:b/>
          <w:bCs/>
          <w:rtl/>
        </w:rPr>
        <w:t xml:space="preserve"> </w:t>
      </w:r>
      <w:r w:rsidRPr="001F2586">
        <w:rPr>
          <w:rFonts w:eastAsia="Calibri" w:hint="eastAsia"/>
          <w:b/>
          <w:bCs/>
          <w:rtl/>
        </w:rPr>
        <w:t>מוצע</w:t>
      </w:r>
      <w:r w:rsidRPr="001F2586">
        <w:rPr>
          <w:rFonts w:eastAsia="Calibri"/>
          <w:b/>
          <w:bCs/>
          <w:rtl/>
        </w:rPr>
        <w:t xml:space="preserve"> </w:t>
      </w:r>
      <w:r w:rsidRPr="001F2586">
        <w:rPr>
          <w:rFonts w:eastAsia="Calibri" w:hint="eastAsia"/>
          <w:b/>
          <w:bCs/>
          <w:rtl/>
        </w:rPr>
        <w:t>אחר</w:t>
      </w:r>
      <w:r w:rsidRPr="001F2586">
        <w:rPr>
          <w:rFonts w:eastAsia="Calibri" w:hint="cs"/>
          <w:b/>
          <w:bCs/>
          <w:rtl/>
        </w:rPr>
        <w:t xml:space="preserve"> שנקבע בינם לבין הבנקים</w:t>
      </w:r>
      <w:r w:rsidRPr="001F2586">
        <w:rPr>
          <w:rFonts w:eastAsia="Calibri"/>
          <w:b/>
          <w:bCs/>
          <w:rtl/>
        </w:rPr>
        <w:t xml:space="preserve">, </w:t>
      </w:r>
      <w:r w:rsidRPr="001F2586">
        <w:rPr>
          <w:rFonts w:eastAsia="Calibri" w:hint="eastAsia"/>
          <w:b/>
          <w:bCs/>
          <w:rtl/>
        </w:rPr>
        <w:t>השונה</w:t>
      </w:r>
      <w:r w:rsidRPr="001F2586">
        <w:rPr>
          <w:rFonts w:eastAsia="Calibri"/>
          <w:b/>
          <w:bCs/>
          <w:rtl/>
        </w:rPr>
        <w:t xml:space="preserve"> </w:t>
      </w:r>
      <w:r w:rsidRPr="001F2586">
        <w:rPr>
          <w:rFonts w:eastAsia="Calibri" w:hint="eastAsia"/>
          <w:b/>
          <w:bCs/>
          <w:rtl/>
        </w:rPr>
        <w:t>בהרכבו</w:t>
      </w:r>
      <w:r w:rsidRPr="001F2586">
        <w:rPr>
          <w:rFonts w:eastAsia="Calibri"/>
          <w:b/>
          <w:bCs/>
          <w:rtl/>
        </w:rPr>
        <w:t xml:space="preserve"> </w:t>
      </w:r>
      <w:r w:rsidRPr="001F2586">
        <w:rPr>
          <w:rFonts w:eastAsia="Calibri" w:hint="eastAsia"/>
          <w:b/>
          <w:bCs/>
          <w:rtl/>
        </w:rPr>
        <w:t>מהסלים</w:t>
      </w:r>
      <w:r w:rsidRPr="001F2586">
        <w:rPr>
          <w:rFonts w:eastAsia="Calibri"/>
          <w:b/>
          <w:bCs/>
          <w:rtl/>
        </w:rPr>
        <w:t xml:space="preserve"> </w:t>
      </w:r>
      <w:r w:rsidRPr="001F2586">
        <w:rPr>
          <w:rFonts w:eastAsia="Calibri" w:hint="eastAsia"/>
          <w:b/>
          <w:bCs/>
          <w:rtl/>
        </w:rPr>
        <w:t>האחידים שנקבעו</w:t>
      </w:r>
      <w:r w:rsidRPr="001F2586">
        <w:rPr>
          <w:rFonts w:eastAsia="Calibri" w:hint="cs"/>
          <w:b/>
          <w:bCs/>
          <w:rtl/>
        </w:rPr>
        <w:t xml:space="preserve"> ע"י הפיקוח על הבנקים </w:t>
      </w:r>
      <w:r w:rsidRPr="001F2586">
        <w:rPr>
          <w:rFonts w:eastAsia="Calibri"/>
          <w:b/>
          <w:bCs/>
          <w:rtl/>
        </w:rPr>
        <w:t>ב</w:t>
      </w:r>
      <w:r w:rsidRPr="001F2586">
        <w:rPr>
          <w:rFonts w:eastAsia="Calibri" w:hint="cs"/>
          <w:b/>
          <w:bCs/>
          <w:rtl/>
        </w:rPr>
        <w:t>נב"ת</w:t>
      </w:r>
      <w:r w:rsidRPr="001F2586">
        <w:rPr>
          <w:rFonts w:eastAsia="Calibri" w:hint="cs"/>
          <w:b/>
          <w:bCs/>
          <w:rtl/>
        </w:rPr>
        <w:t xml:space="preserve"> 451 </w:t>
      </w:r>
      <w:r w:rsidRPr="001F2586">
        <w:rPr>
          <w:rFonts w:eastAsia="Calibri"/>
          <w:b/>
          <w:bCs/>
          <w:rtl/>
        </w:rPr>
        <w:t xml:space="preserve">בשנת </w:t>
      </w:r>
      <w:r w:rsidRPr="001F2586">
        <w:rPr>
          <w:rFonts w:eastAsia="Calibri" w:hint="cs"/>
          <w:b/>
          <w:bCs/>
          <w:rtl/>
        </w:rPr>
        <w:t xml:space="preserve">2022, והם אלו: </w:t>
      </w:r>
      <w:r w:rsidRPr="001F2586">
        <w:rPr>
          <w:rFonts w:eastAsia="Calibri"/>
          <w:b/>
          <w:bCs/>
          <w:rtl/>
        </w:rPr>
        <w:t>סל אחיד 1 - ההלוואה כולה בריבית קבועה לא צמודה; סל אחיד 2 - ההלוואה מחולקת לשלושה חלקים שווים בין קבועה לא צמודה, ריבית הפריים וריבית משתנה צמודה כל 5 שנים; וסל אחיד 3 - ההלוואה מחולקת לשני חלקים שווים של ריבית קבועה לא צמודה וריבית הפריים</w:t>
      </w:r>
      <w:r w:rsidRPr="001F2586">
        <w:rPr>
          <w:rFonts w:eastAsia="Calibri" w:hint="cs"/>
          <w:b/>
          <w:bCs/>
          <w:rtl/>
        </w:rPr>
        <w:t>.</w:t>
      </w:r>
      <w:r w:rsidRPr="001F2586">
        <w:rPr>
          <w:rFonts w:eastAsia="Calibri"/>
          <w:b/>
          <w:bCs/>
          <w:rtl/>
        </w:rPr>
        <w:t xml:space="preserve"> </w:t>
      </w:r>
      <w:r w:rsidRPr="001F2586">
        <w:rPr>
          <w:rFonts w:eastAsia="Calibri" w:hint="eastAsia"/>
          <w:b/>
          <w:bCs/>
          <w:rtl/>
        </w:rPr>
        <w:t>התמהילים</w:t>
      </w:r>
      <w:r w:rsidRPr="001F2586">
        <w:rPr>
          <w:rFonts w:eastAsia="Calibri"/>
          <w:b/>
          <w:bCs/>
          <w:rtl/>
        </w:rPr>
        <w:t xml:space="preserve"> </w:t>
      </w:r>
      <w:r w:rsidRPr="001F2586">
        <w:rPr>
          <w:rFonts w:eastAsia="Calibri" w:hint="eastAsia"/>
          <w:b/>
          <w:bCs/>
          <w:rtl/>
        </w:rPr>
        <w:t>השכיחים</w:t>
      </w:r>
      <w:r w:rsidRPr="001F2586">
        <w:rPr>
          <w:rFonts w:eastAsia="Calibri"/>
          <w:b/>
          <w:bCs/>
          <w:rtl/>
        </w:rPr>
        <w:t xml:space="preserve"> </w:t>
      </w:r>
      <w:r w:rsidRPr="001F2586">
        <w:rPr>
          <w:rFonts w:eastAsia="Calibri" w:hint="eastAsia"/>
          <w:b/>
          <w:bCs/>
          <w:rtl/>
        </w:rPr>
        <w:t>ביותר</w:t>
      </w:r>
      <w:r w:rsidRPr="001F2586">
        <w:rPr>
          <w:rFonts w:eastAsia="Calibri"/>
          <w:b/>
          <w:bCs/>
          <w:rtl/>
        </w:rPr>
        <w:t xml:space="preserve"> </w:t>
      </w:r>
      <w:r w:rsidRPr="001F2586">
        <w:rPr>
          <w:rFonts w:eastAsia="Calibri" w:hint="eastAsia"/>
          <w:b/>
          <w:bCs/>
          <w:rtl/>
        </w:rPr>
        <w:t>בהלוואות</w:t>
      </w:r>
      <w:r w:rsidRPr="001F2586">
        <w:rPr>
          <w:rFonts w:eastAsia="Calibri"/>
          <w:b/>
          <w:bCs/>
          <w:rtl/>
        </w:rPr>
        <w:t xml:space="preserve"> </w:t>
      </w:r>
      <w:r w:rsidRPr="001F2586">
        <w:rPr>
          <w:rFonts w:eastAsia="Calibri" w:hint="eastAsia"/>
          <w:b/>
          <w:bCs/>
          <w:rtl/>
        </w:rPr>
        <w:t>למטרת</w:t>
      </w:r>
      <w:r w:rsidRPr="001F2586">
        <w:rPr>
          <w:rFonts w:eastAsia="Calibri"/>
          <w:b/>
          <w:bCs/>
          <w:rtl/>
        </w:rPr>
        <w:t xml:space="preserve"> </w:t>
      </w:r>
      <w:r w:rsidRPr="001F2586">
        <w:rPr>
          <w:rFonts w:eastAsia="Calibri" w:hint="eastAsia"/>
          <w:b/>
          <w:bCs/>
          <w:rtl/>
        </w:rPr>
        <w:t>מגורים</w:t>
      </w:r>
      <w:r w:rsidRPr="001F2586">
        <w:rPr>
          <w:rFonts w:eastAsia="Calibri"/>
          <w:b/>
          <w:bCs/>
          <w:rtl/>
        </w:rPr>
        <w:t xml:space="preserve"> </w:t>
      </w:r>
      <w:r w:rsidRPr="001F2586">
        <w:rPr>
          <w:rFonts w:eastAsia="Calibri" w:hint="eastAsia"/>
          <w:b/>
          <w:bCs/>
          <w:rtl/>
        </w:rPr>
        <w:t>שניתנו</w:t>
      </w:r>
      <w:r w:rsidRPr="001F2586">
        <w:rPr>
          <w:rFonts w:eastAsia="Calibri"/>
          <w:b/>
          <w:bCs/>
          <w:rtl/>
        </w:rPr>
        <w:t xml:space="preserve"> </w:t>
      </w:r>
      <w:r w:rsidRPr="001F2586">
        <w:rPr>
          <w:rFonts w:eastAsia="Calibri" w:hint="eastAsia"/>
          <w:b/>
          <w:bCs/>
          <w:rtl/>
        </w:rPr>
        <w:t>במערכת</w:t>
      </w:r>
      <w:r w:rsidRPr="001F2586">
        <w:rPr>
          <w:rFonts w:eastAsia="Calibri"/>
          <w:b/>
          <w:bCs/>
          <w:rtl/>
        </w:rPr>
        <w:t xml:space="preserve"> </w:t>
      </w:r>
      <w:r w:rsidRPr="001F2586">
        <w:rPr>
          <w:rFonts w:eastAsia="Calibri" w:hint="eastAsia"/>
          <w:b/>
          <w:bCs/>
          <w:rtl/>
        </w:rPr>
        <w:t>הבנקאית</w:t>
      </w:r>
      <w:r w:rsidRPr="001F2586">
        <w:rPr>
          <w:rFonts w:eastAsia="Calibri"/>
          <w:b/>
          <w:bCs/>
          <w:rtl/>
        </w:rPr>
        <w:t xml:space="preserve"> </w:t>
      </w:r>
      <w:r w:rsidRPr="001F2586">
        <w:rPr>
          <w:rFonts w:eastAsia="Calibri" w:hint="eastAsia"/>
          <w:b/>
          <w:bCs/>
          <w:rtl/>
        </w:rPr>
        <w:t>בשנת</w:t>
      </w:r>
      <w:r w:rsidRPr="001F2586">
        <w:rPr>
          <w:rFonts w:eastAsia="Calibri"/>
          <w:b/>
          <w:bCs/>
          <w:rtl/>
        </w:rPr>
        <w:t xml:space="preserve"> 2024 </w:t>
      </w:r>
      <w:r w:rsidRPr="001F2586">
        <w:rPr>
          <w:rFonts w:eastAsia="Calibri" w:hint="eastAsia"/>
          <w:b/>
          <w:bCs/>
          <w:rtl/>
        </w:rPr>
        <w:t>שניתנו</w:t>
      </w:r>
      <w:r w:rsidRPr="001F2586">
        <w:rPr>
          <w:rFonts w:eastAsia="Calibri"/>
          <w:b/>
          <w:bCs/>
          <w:rtl/>
        </w:rPr>
        <w:t xml:space="preserve"> </w:t>
      </w:r>
      <w:r w:rsidRPr="001F2586">
        <w:rPr>
          <w:rFonts w:eastAsia="Calibri" w:hint="eastAsia"/>
          <w:b/>
          <w:bCs/>
          <w:rtl/>
        </w:rPr>
        <w:t>במסגרת</w:t>
      </w:r>
      <w:r w:rsidRPr="001F2586">
        <w:rPr>
          <w:rFonts w:eastAsia="Calibri"/>
          <w:b/>
          <w:bCs/>
          <w:rtl/>
        </w:rPr>
        <w:t xml:space="preserve"> </w:t>
      </w:r>
      <w:r w:rsidRPr="001F2586">
        <w:rPr>
          <w:rFonts w:eastAsia="Calibri" w:hint="eastAsia"/>
          <w:b/>
          <w:bCs/>
          <w:rtl/>
        </w:rPr>
        <w:t>הסל</w:t>
      </w:r>
      <w:r w:rsidRPr="001F2586">
        <w:rPr>
          <w:rFonts w:eastAsia="Calibri"/>
          <w:b/>
          <w:bCs/>
          <w:rtl/>
        </w:rPr>
        <w:t xml:space="preserve"> </w:t>
      </w:r>
      <w:r w:rsidRPr="001F2586">
        <w:rPr>
          <w:rFonts w:eastAsia="Calibri" w:hint="eastAsia"/>
          <w:b/>
          <w:bCs/>
          <w:rtl/>
        </w:rPr>
        <w:t>הרביעי</w:t>
      </w:r>
      <w:r w:rsidRPr="001F2586">
        <w:rPr>
          <w:rFonts w:eastAsia="Calibri"/>
          <w:b/>
          <w:bCs/>
          <w:rtl/>
        </w:rPr>
        <w:t xml:space="preserve"> </w:t>
      </w:r>
      <w:r w:rsidRPr="001F2586">
        <w:rPr>
          <w:rFonts w:eastAsia="Calibri" w:hint="eastAsia"/>
          <w:b/>
          <w:bCs/>
          <w:rtl/>
        </w:rPr>
        <w:t>הם</w:t>
      </w:r>
      <w:r w:rsidRPr="001F2586">
        <w:rPr>
          <w:rFonts w:eastAsia="Calibri"/>
          <w:b/>
          <w:bCs/>
          <w:rtl/>
        </w:rPr>
        <w:t xml:space="preserve">: 34% </w:t>
      </w:r>
      <w:r w:rsidRPr="001F2586">
        <w:rPr>
          <w:rFonts w:eastAsia="Calibri" w:hint="eastAsia"/>
          <w:b/>
          <w:bCs/>
          <w:rtl/>
        </w:rPr>
        <w:t>מהביצועים</w:t>
      </w:r>
      <w:r w:rsidRPr="001F2586">
        <w:rPr>
          <w:rFonts w:eastAsia="Calibri"/>
          <w:b/>
          <w:bCs/>
          <w:rtl/>
        </w:rPr>
        <w:t xml:space="preserve"> </w:t>
      </w:r>
      <w:r w:rsidRPr="001F2586">
        <w:rPr>
          <w:rFonts w:eastAsia="Calibri" w:hint="eastAsia"/>
          <w:b/>
          <w:bCs/>
          <w:rtl/>
        </w:rPr>
        <w:t>ניתנו</w:t>
      </w:r>
      <w:r w:rsidRPr="001F2586">
        <w:rPr>
          <w:rFonts w:eastAsia="Calibri"/>
          <w:b/>
          <w:bCs/>
          <w:rtl/>
        </w:rPr>
        <w:t xml:space="preserve"> </w:t>
      </w:r>
      <w:r w:rsidRPr="001F2586">
        <w:rPr>
          <w:rFonts w:eastAsia="Calibri" w:hint="eastAsia"/>
          <w:b/>
          <w:bCs/>
          <w:rtl/>
        </w:rPr>
        <w:t>בריבית</w:t>
      </w:r>
      <w:r w:rsidRPr="001F2586">
        <w:rPr>
          <w:rFonts w:eastAsia="Calibri"/>
          <w:b/>
          <w:bCs/>
          <w:rtl/>
        </w:rPr>
        <w:t xml:space="preserve"> </w:t>
      </w:r>
      <w:r w:rsidRPr="001F2586">
        <w:rPr>
          <w:rFonts w:eastAsia="Calibri" w:hint="eastAsia"/>
          <w:b/>
          <w:bCs/>
          <w:rtl/>
        </w:rPr>
        <w:t>קבועה</w:t>
      </w:r>
      <w:r w:rsidRPr="001F2586">
        <w:rPr>
          <w:rFonts w:eastAsia="Calibri"/>
          <w:b/>
          <w:bCs/>
          <w:rtl/>
        </w:rPr>
        <w:t xml:space="preserve"> </w:t>
      </w:r>
      <w:r w:rsidRPr="001F2586">
        <w:rPr>
          <w:rFonts w:eastAsia="Calibri" w:hint="eastAsia"/>
          <w:b/>
          <w:bCs/>
          <w:rtl/>
        </w:rPr>
        <w:t>לא</w:t>
      </w:r>
      <w:r w:rsidRPr="001F2586">
        <w:rPr>
          <w:rFonts w:eastAsia="Calibri"/>
          <w:b/>
          <w:bCs/>
          <w:rtl/>
        </w:rPr>
        <w:t xml:space="preserve"> </w:t>
      </w:r>
      <w:r w:rsidRPr="001F2586">
        <w:rPr>
          <w:rFonts w:eastAsia="Calibri" w:hint="eastAsia"/>
          <w:b/>
          <w:bCs/>
          <w:rtl/>
        </w:rPr>
        <w:t>צמודה</w:t>
      </w:r>
      <w:r w:rsidRPr="001F2586">
        <w:rPr>
          <w:rFonts w:eastAsia="Calibri"/>
          <w:b/>
          <w:bCs/>
          <w:rtl/>
        </w:rPr>
        <w:t xml:space="preserve"> </w:t>
      </w:r>
      <w:r w:rsidRPr="001F2586">
        <w:rPr>
          <w:rFonts w:eastAsia="Calibri" w:hint="eastAsia"/>
          <w:b/>
          <w:bCs/>
          <w:rtl/>
        </w:rPr>
        <w:t>ובריבית</w:t>
      </w:r>
      <w:r w:rsidRPr="001F2586">
        <w:rPr>
          <w:rFonts w:eastAsia="Calibri"/>
          <w:b/>
          <w:bCs/>
          <w:rtl/>
        </w:rPr>
        <w:t xml:space="preserve"> </w:t>
      </w:r>
      <w:r w:rsidRPr="001F2586">
        <w:rPr>
          <w:rFonts w:eastAsia="Calibri" w:hint="eastAsia"/>
          <w:b/>
          <w:bCs/>
          <w:rtl/>
        </w:rPr>
        <w:t>משתנה</w:t>
      </w:r>
      <w:r w:rsidRPr="001F2586">
        <w:rPr>
          <w:rFonts w:eastAsia="Calibri"/>
          <w:b/>
          <w:bCs/>
          <w:rtl/>
        </w:rPr>
        <w:t xml:space="preserve"> </w:t>
      </w:r>
      <w:r w:rsidRPr="001F2586">
        <w:rPr>
          <w:rFonts w:eastAsia="Calibri" w:hint="eastAsia"/>
          <w:b/>
          <w:bCs/>
          <w:rtl/>
        </w:rPr>
        <w:t>לא</w:t>
      </w:r>
      <w:r w:rsidRPr="001F2586">
        <w:rPr>
          <w:rFonts w:eastAsia="Calibri"/>
          <w:b/>
          <w:bCs/>
          <w:rtl/>
        </w:rPr>
        <w:t xml:space="preserve"> </w:t>
      </w:r>
      <w:r w:rsidRPr="001F2586">
        <w:rPr>
          <w:rFonts w:eastAsia="Calibri" w:hint="eastAsia"/>
          <w:b/>
          <w:bCs/>
          <w:rtl/>
        </w:rPr>
        <w:t>צמודה</w:t>
      </w:r>
      <w:r w:rsidRPr="001F2586">
        <w:rPr>
          <w:rFonts w:eastAsia="Calibri"/>
          <w:b/>
          <w:bCs/>
          <w:rtl/>
        </w:rPr>
        <w:t xml:space="preserve">; </w:t>
      </w:r>
      <w:r w:rsidRPr="001F2586">
        <w:rPr>
          <w:rFonts w:eastAsia="Calibri" w:hint="eastAsia"/>
          <w:b/>
          <w:bCs/>
          <w:rtl/>
        </w:rPr>
        <w:t>ו</w:t>
      </w:r>
      <w:r w:rsidRPr="001F2586">
        <w:rPr>
          <w:rFonts w:eastAsia="Calibri"/>
          <w:b/>
          <w:bCs/>
          <w:rtl/>
        </w:rPr>
        <w:t xml:space="preserve">-10% </w:t>
      </w:r>
      <w:r w:rsidRPr="001F2586">
        <w:rPr>
          <w:rFonts w:eastAsia="Calibri" w:hint="eastAsia"/>
          <w:b/>
          <w:bCs/>
          <w:rtl/>
        </w:rPr>
        <w:t>מהביצועים</w:t>
      </w:r>
      <w:r w:rsidRPr="001F2586">
        <w:rPr>
          <w:rFonts w:eastAsia="Calibri"/>
          <w:b/>
          <w:bCs/>
          <w:rtl/>
        </w:rPr>
        <w:t xml:space="preserve"> </w:t>
      </w:r>
      <w:r w:rsidRPr="001F2586">
        <w:rPr>
          <w:rFonts w:eastAsia="Calibri" w:hint="eastAsia"/>
          <w:b/>
          <w:bCs/>
          <w:rtl/>
        </w:rPr>
        <w:t>ניתנו</w:t>
      </w:r>
      <w:r w:rsidRPr="001F2586">
        <w:rPr>
          <w:rFonts w:eastAsia="Calibri"/>
          <w:b/>
          <w:bCs/>
          <w:rtl/>
        </w:rPr>
        <w:t xml:space="preserve"> </w:t>
      </w:r>
      <w:r w:rsidRPr="001F2586">
        <w:rPr>
          <w:rFonts w:eastAsia="Calibri" w:hint="eastAsia"/>
          <w:b/>
          <w:bCs/>
          <w:rtl/>
        </w:rPr>
        <w:t>בחלוקה</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ריבית</w:t>
      </w:r>
      <w:r w:rsidRPr="001F2586">
        <w:rPr>
          <w:rFonts w:eastAsia="Calibri"/>
          <w:b/>
          <w:bCs/>
          <w:rtl/>
        </w:rPr>
        <w:t xml:space="preserve"> </w:t>
      </w:r>
      <w:r w:rsidRPr="001F2586">
        <w:rPr>
          <w:rFonts w:eastAsia="Calibri" w:hint="eastAsia"/>
          <w:b/>
          <w:bCs/>
          <w:rtl/>
        </w:rPr>
        <w:t>קבועה</w:t>
      </w:r>
      <w:r w:rsidRPr="001F2586">
        <w:rPr>
          <w:rFonts w:eastAsia="Calibri"/>
          <w:b/>
          <w:bCs/>
          <w:rtl/>
        </w:rPr>
        <w:t xml:space="preserve"> </w:t>
      </w:r>
      <w:r w:rsidRPr="001F2586">
        <w:rPr>
          <w:rFonts w:eastAsia="Calibri" w:hint="eastAsia"/>
          <w:b/>
          <w:bCs/>
          <w:rtl/>
        </w:rPr>
        <w:t>לא</w:t>
      </w:r>
      <w:r w:rsidRPr="001F2586">
        <w:rPr>
          <w:rFonts w:eastAsia="Calibri"/>
          <w:b/>
          <w:bCs/>
          <w:rtl/>
        </w:rPr>
        <w:t xml:space="preserve"> </w:t>
      </w:r>
      <w:r w:rsidRPr="001F2586">
        <w:rPr>
          <w:rFonts w:eastAsia="Calibri" w:hint="eastAsia"/>
          <w:b/>
          <w:bCs/>
          <w:rtl/>
        </w:rPr>
        <w:t>צמודה</w:t>
      </w:r>
      <w:r w:rsidRPr="001F2586">
        <w:rPr>
          <w:rFonts w:eastAsia="Calibri"/>
          <w:b/>
          <w:bCs/>
          <w:rtl/>
        </w:rPr>
        <w:t xml:space="preserve">, </w:t>
      </w:r>
      <w:r w:rsidRPr="001F2586">
        <w:rPr>
          <w:rFonts w:eastAsia="Calibri" w:hint="eastAsia"/>
          <w:b/>
          <w:bCs/>
          <w:rtl/>
        </w:rPr>
        <w:t>ריבית</w:t>
      </w:r>
      <w:r w:rsidRPr="001F2586">
        <w:rPr>
          <w:rFonts w:eastAsia="Calibri"/>
          <w:b/>
          <w:bCs/>
          <w:rtl/>
        </w:rPr>
        <w:t xml:space="preserve"> </w:t>
      </w:r>
      <w:r w:rsidRPr="001F2586">
        <w:rPr>
          <w:rFonts w:eastAsia="Calibri" w:hint="eastAsia"/>
          <w:b/>
          <w:bCs/>
          <w:rtl/>
        </w:rPr>
        <w:t>משתנה</w:t>
      </w:r>
      <w:r w:rsidRPr="001F2586">
        <w:rPr>
          <w:rFonts w:eastAsia="Calibri"/>
          <w:b/>
          <w:bCs/>
          <w:rtl/>
        </w:rPr>
        <w:t xml:space="preserve"> </w:t>
      </w:r>
      <w:r w:rsidRPr="001F2586">
        <w:rPr>
          <w:rFonts w:eastAsia="Calibri" w:hint="eastAsia"/>
          <w:b/>
          <w:bCs/>
          <w:rtl/>
        </w:rPr>
        <w:t>לא</w:t>
      </w:r>
      <w:r w:rsidRPr="001F2586">
        <w:rPr>
          <w:rFonts w:eastAsia="Calibri"/>
          <w:b/>
          <w:bCs/>
          <w:rtl/>
        </w:rPr>
        <w:t xml:space="preserve"> </w:t>
      </w:r>
      <w:r w:rsidRPr="001F2586">
        <w:rPr>
          <w:rFonts w:eastAsia="Calibri" w:hint="eastAsia"/>
          <w:b/>
          <w:bCs/>
          <w:rtl/>
        </w:rPr>
        <w:t>צמודה</w:t>
      </w:r>
      <w:r w:rsidRPr="001F2586">
        <w:rPr>
          <w:rFonts w:eastAsia="Calibri"/>
          <w:b/>
          <w:bCs/>
          <w:rtl/>
        </w:rPr>
        <w:t xml:space="preserve"> </w:t>
      </w:r>
      <w:r w:rsidRPr="001F2586">
        <w:rPr>
          <w:rFonts w:eastAsia="Calibri" w:hint="eastAsia"/>
          <w:b/>
          <w:bCs/>
          <w:rtl/>
        </w:rPr>
        <w:t>וריבית</w:t>
      </w:r>
      <w:r w:rsidRPr="001F2586">
        <w:rPr>
          <w:rFonts w:eastAsia="Calibri"/>
          <w:b/>
          <w:bCs/>
          <w:rtl/>
        </w:rPr>
        <w:t xml:space="preserve"> </w:t>
      </w:r>
      <w:r w:rsidRPr="001F2586">
        <w:rPr>
          <w:rFonts w:eastAsia="Calibri" w:hint="eastAsia"/>
          <w:b/>
          <w:bCs/>
          <w:rtl/>
        </w:rPr>
        <w:t>משתנה</w:t>
      </w:r>
      <w:r w:rsidRPr="001F2586">
        <w:rPr>
          <w:rFonts w:eastAsia="Calibri"/>
          <w:b/>
          <w:bCs/>
          <w:rtl/>
        </w:rPr>
        <w:t xml:space="preserve"> </w:t>
      </w:r>
      <w:r w:rsidRPr="001F2586">
        <w:rPr>
          <w:rFonts w:eastAsia="Calibri" w:hint="eastAsia"/>
          <w:b/>
          <w:bCs/>
          <w:rtl/>
        </w:rPr>
        <w:t>צמודה</w:t>
      </w:r>
      <w:r>
        <w:rPr>
          <w:rFonts w:eastAsia="Calibri"/>
          <w:b/>
          <w:bCs/>
          <w:vertAlign w:val="superscript"/>
          <w:rtl/>
        </w:rPr>
        <w:footnoteReference w:id="290"/>
      </w:r>
      <w:r w:rsidRPr="001F2586">
        <w:rPr>
          <w:rFonts w:eastAsia="Calibri"/>
          <w:b/>
          <w:bCs/>
          <w:rtl/>
        </w:rPr>
        <w:t>.</w:t>
      </w:r>
      <w:r w:rsidRPr="001F2586">
        <w:rPr>
          <w:rFonts w:eastAsia="Calibri" w:hint="cs"/>
          <w:b/>
          <w:bCs/>
          <w:rtl/>
        </w:rPr>
        <w:t xml:space="preserve"> </w:t>
      </w:r>
    </w:p>
    <w:p w:rsidR="001F2586" w:rsidRPr="001F2586" w:rsidP="001F2586">
      <w:pPr>
        <w:spacing w:line="269" w:lineRule="auto"/>
        <w:ind w:left="-567"/>
        <w:rPr>
          <w:rFonts w:eastAsia="Calibri"/>
          <w:szCs w:val="20"/>
          <w:rtl/>
        </w:rPr>
      </w:pPr>
      <w:bookmarkStart w:id="76" w:name="_Hlk225074887"/>
    </w:p>
    <w:p w:rsidR="001F2586" w:rsidRPr="001F2586" w:rsidP="001F2586">
      <w:pPr>
        <w:spacing w:line="269" w:lineRule="auto"/>
        <w:rPr>
          <w:rFonts w:eastAsia="Calibri"/>
          <w:b/>
          <w:bCs/>
          <w:rtl/>
        </w:rPr>
      </w:pPr>
      <w:r w:rsidRPr="001F2586">
        <w:rPr>
          <w:rFonts w:eastAsia="Calibri" w:hint="eastAsia"/>
          <w:b/>
          <w:bCs/>
          <w:rtl/>
        </w:rPr>
        <w:t>בסקירת</w:t>
      </w:r>
      <w:r w:rsidRPr="001F2586">
        <w:rPr>
          <w:rFonts w:eastAsia="Calibri"/>
          <w:b/>
          <w:bCs/>
          <w:rtl/>
        </w:rPr>
        <w:t xml:space="preserve"> מערכת הבנקאות לשנת 2025 </w:t>
      </w:r>
      <w:r w:rsidRPr="001F2586">
        <w:rPr>
          <w:rFonts w:eastAsia="Calibri" w:hint="eastAsia"/>
          <w:b/>
          <w:bCs/>
          <w:rtl/>
        </w:rPr>
        <w:t>ציין</w:t>
      </w:r>
      <w:r w:rsidRPr="001F2586">
        <w:rPr>
          <w:rFonts w:eastAsia="Calibri"/>
          <w:b/>
          <w:bCs/>
          <w:rtl/>
        </w:rPr>
        <w:t xml:space="preserve"> בנק ישראל כי </w:t>
      </w:r>
      <w:r w:rsidRPr="001F2586">
        <w:rPr>
          <w:rFonts w:eastAsia="Calibri" w:hint="eastAsia"/>
          <w:b/>
          <w:bCs/>
          <w:rtl/>
        </w:rPr>
        <w:t>הוא</w:t>
      </w:r>
      <w:r w:rsidRPr="001F2586">
        <w:rPr>
          <w:rFonts w:eastAsia="Calibri"/>
          <w:b/>
          <w:bCs/>
          <w:rtl/>
        </w:rPr>
        <w:t xml:space="preserve"> ערך ביקורות בדבר יישום הרפורמה במשכנתאות. ממצאי הביקורת מצביעים על ציות של הבנקים לעיקרי הרפורמה. עם זאת נמצאו מקרים שבהם הסל הרביעי שהוצע ללקוחות היה מורכב וכלל ריבוי של תקופות לפירעון ותמחור שאינו עקבי עם </w:t>
      </w:r>
      <w:r w:rsidRPr="001F2586">
        <w:rPr>
          <w:rFonts w:eastAsia="Calibri" w:hint="eastAsia"/>
          <w:b/>
          <w:bCs/>
          <w:rtl/>
        </w:rPr>
        <w:t>תמחור</w:t>
      </w:r>
      <w:r w:rsidRPr="001F2586">
        <w:rPr>
          <w:rFonts w:eastAsia="Calibri"/>
          <w:b/>
          <w:bCs/>
          <w:rtl/>
        </w:rPr>
        <w:t xml:space="preserve"> הסלים הרגולטוריים. פרקטיקה זו מכבידה על יכולתם של הלקוחות להבין את ההשלכות של בחירה בין המסלולים ועל יכולתם להשוות בין ההצעות של בנקים שונים. </w:t>
      </w:r>
      <w:r w:rsidRPr="001F2586">
        <w:rPr>
          <w:rFonts w:eastAsia="Calibri" w:hint="eastAsia"/>
          <w:b/>
          <w:bCs/>
          <w:rtl/>
        </w:rPr>
        <w:t>עוד</w:t>
      </w:r>
      <w:r w:rsidRPr="001F2586">
        <w:rPr>
          <w:rFonts w:eastAsia="Calibri"/>
          <w:b/>
          <w:bCs/>
          <w:rtl/>
        </w:rPr>
        <w:t xml:space="preserve"> צוין בסקירה כי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דרש</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האישור</w:t>
      </w:r>
      <w:r w:rsidRPr="001F2586">
        <w:rPr>
          <w:rFonts w:eastAsia="Calibri"/>
          <w:b/>
          <w:bCs/>
          <w:rtl/>
        </w:rPr>
        <w:t xml:space="preserve"> </w:t>
      </w:r>
      <w:r w:rsidRPr="001F2586">
        <w:rPr>
          <w:rFonts w:eastAsia="Calibri" w:hint="eastAsia"/>
          <w:b/>
          <w:bCs/>
          <w:rtl/>
        </w:rPr>
        <w:t>העקרוני</w:t>
      </w:r>
      <w:r w:rsidRPr="001F2586">
        <w:rPr>
          <w:rFonts w:eastAsia="Calibri"/>
          <w:b/>
          <w:bCs/>
          <w:rtl/>
        </w:rPr>
        <w:t xml:space="preserve"> </w:t>
      </w:r>
      <w:r w:rsidRPr="001F2586">
        <w:rPr>
          <w:rFonts w:eastAsia="Calibri" w:hint="eastAsia"/>
          <w:b/>
          <w:bCs/>
          <w:rtl/>
        </w:rPr>
        <w:t>שיוצג</w:t>
      </w:r>
      <w:r w:rsidRPr="001F2586">
        <w:rPr>
          <w:rFonts w:eastAsia="Calibri"/>
          <w:b/>
          <w:bCs/>
          <w:rtl/>
        </w:rPr>
        <w:t xml:space="preserve"> </w:t>
      </w:r>
      <w:r w:rsidRPr="001F2586">
        <w:rPr>
          <w:rFonts w:eastAsia="Calibri" w:hint="eastAsia"/>
          <w:b/>
          <w:bCs/>
          <w:rtl/>
        </w:rPr>
        <w:t>ללקוחות</w:t>
      </w:r>
      <w:r w:rsidRPr="001F2586">
        <w:rPr>
          <w:rFonts w:eastAsia="Calibri"/>
          <w:b/>
          <w:bCs/>
          <w:rtl/>
        </w:rPr>
        <w:t xml:space="preserve"> </w:t>
      </w:r>
      <w:r w:rsidRPr="001F2586">
        <w:rPr>
          <w:rFonts w:eastAsia="Calibri" w:hint="eastAsia"/>
          <w:b/>
          <w:bCs/>
          <w:rtl/>
        </w:rPr>
        <w:t>יכלול</w:t>
      </w:r>
      <w:r w:rsidRPr="001F2586">
        <w:rPr>
          <w:rFonts w:eastAsia="Calibri"/>
          <w:b/>
          <w:bCs/>
          <w:rtl/>
        </w:rPr>
        <w:t xml:space="preserve"> </w:t>
      </w:r>
      <w:r w:rsidRPr="001F2586">
        <w:rPr>
          <w:rFonts w:eastAsia="Calibri" w:hint="eastAsia"/>
          <w:b/>
          <w:bCs/>
          <w:rtl/>
        </w:rPr>
        <w:t>סלים</w:t>
      </w:r>
      <w:r w:rsidRPr="001F2586">
        <w:rPr>
          <w:rFonts w:eastAsia="Calibri"/>
          <w:b/>
          <w:bCs/>
          <w:rtl/>
        </w:rPr>
        <w:t xml:space="preserve"> </w:t>
      </w:r>
      <w:r w:rsidRPr="001F2586">
        <w:rPr>
          <w:rFonts w:eastAsia="Calibri" w:hint="eastAsia"/>
          <w:b/>
          <w:bCs/>
          <w:rtl/>
        </w:rPr>
        <w:t>לתקופה</w:t>
      </w:r>
      <w:r w:rsidRPr="001F2586">
        <w:rPr>
          <w:rFonts w:eastAsia="Calibri"/>
          <w:b/>
          <w:bCs/>
          <w:rtl/>
        </w:rPr>
        <w:t xml:space="preserve"> </w:t>
      </w:r>
      <w:r w:rsidRPr="001F2586">
        <w:rPr>
          <w:rFonts w:eastAsia="Calibri" w:hint="eastAsia"/>
          <w:b/>
          <w:bCs/>
          <w:rtl/>
        </w:rPr>
        <w:t>אחידה</w:t>
      </w:r>
      <w:r w:rsidRPr="001F2586">
        <w:rPr>
          <w:rFonts w:eastAsia="Calibri"/>
          <w:b/>
          <w:bCs/>
          <w:rtl/>
        </w:rPr>
        <w:t xml:space="preserve"> </w:t>
      </w:r>
      <w:r w:rsidRPr="001F2586">
        <w:rPr>
          <w:rFonts w:eastAsia="Calibri" w:hint="eastAsia"/>
          <w:b/>
          <w:bCs/>
          <w:rtl/>
        </w:rPr>
        <w:t>וזהה</w:t>
      </w:r>
      <w:r w:rsidRPr="001F2586">
        <w:rPr>
          <w:rFonts w:eastAsia="Calibri"/>
          <w:b/>
          <w:bCs/>
          <w:rtl/>
        </w:rPr>
        <w:t xml:space="preserve"> </w:t>
      </w:r>
      <w:r w:rsidRPr="001F2586">
        <w:rPr>
          <w:rFonts w:eastAsia="Calibri" w:hint="eastAsia"/>
          <w:b/>
          <w:bCs/>
          <w:rtl/>
        </w:rPr>
        <w:t>לזו</w:t>
      </w:r>
      <w:r w:rsidRPr="001F2586">
        <w:rPr>
          <w:rFonts w:eastAsia="Calibri"/>
          <w:b/>
          <w:bCs/>
          <w:rtl/>
        </w:rPr>
        <w:t xml:space="preserve"> </w:t>
      </w:r>
      <w:r w:rsidRPr="001F2586">
        <w:rPr>
          <w:rFonts w:eastAsia="Calibri" w:hint="eastAsia"/>
          <w:b/>
          <w:bCs/>
          <w:rtl/>
        </w:rPr>
        <w:t>שנקבעה</w:t>
      </w:r>
      <w:r w:rsidRPr="001F2586">
        <w:rPr>
          <w:rFonts w:eastAsia="Calibri"/>
          <w:b/>
          <w:bCs/>
          <w:rtl/>
        </w:rPr>
        <w:t xml:space="preserve"> </w:t>
      </w:r>
      <w:r w:rsidRPr="001F2586">
        <w:rPr>
          <w:rFonts w:eastAsia="Calibri" w:hint="eastAsia"/>
          <w:b/>
          <w:bCs/>
          <w:rtl/>
        </w:rPr>
        <w:t>לתקופת</w:t>
      </w:r>
      <w:r w:rsidRPr="001F2586">
        <w:rPr>
          <w:rFonts w:eastAsia="Calibri"/>
          <w:b/>
          <w:bCs/>
          <w:rtl/>
        </w:rPr>
        <w:t xml:space="preserve"> </w:t>
      </w:r>
      <w:r w:rsidRPr="001F2586">
        <w:rPr>
          <w:rFonts w:eastAsia="Calibri" w:hint="eastAsia"/>
          <w:b/>
          <w:bCs/>
          <w:rtl/>
        </w:rPr>
        <w:t>הסלים</w:t>
      </w:r>
      <w:r w:rsidRPr="001F2586">
        <w:rPr>
          <w:rFonts w:eastAsia="Calibri"/>
          <w:b/>
          <w:bCs/>
          <w:rtl/>
        </w:rPr>
        <w:t xml:space="preserve"> </w:t>
      </w:r>
      <w:r w:rsidRPr="001F2586">
        <w:rPr>
          <w:rFonts w:eastAsia="Calibri" w:hint="eastAsia"/>
          <w:b/>
          <w:bCs/>
          <w:rtl/>
        </w:rPr>
        <w:t>הרגולטוריים</w:t>
      </w:r>
      <w:r w:rsidRPr="001F2586">
        <w:rPr>
          <w:rFonts w:eastAsia="Calibri"/>
          <w:b/>
          <w:bCs/>
          <w:rtl/>
        </w:rPr>
        <w:t xml:space="preserve"> </w:t>
      </w:r>
      <w:r w:rsidRPr="001F2586">
        <w:rPr>
          <w:rFonts w:eastAsia="Calibri" w:hint="eastAsia"/>
          <w:b/>
          <w:bCs/>
          <w:rtl/>
        </w:rPr>
        <w:t>וכן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התמחור</w:t>
      </w:r>
      <w:r w:rsidRPr="001F2586">
        <w:rPr>
          <w:rFonts w:eastAsia="Calibri"/>
          <w:b/>
          <w:bCs/>
          <w:rtl/>
        </w:rPr>
        <w:t xml:space="preserve"> </w:t>
      </w:r>
      <w:r w:rsidRPr="001F2586">
        <w:rPr>
          <w:rFonts w:eastAsia="Calibri" w:hint="eastAsia"/>
          <w:b/>
          <w:bCs/>
          <w:rtl/>
        </w:rPr>
        <w:t>שלהם</w:t>
      </w:r>
      <w:r w:rsidRPr="001F2586">
        <w:rPr>
          <w:rFonts w:eastAsia="Calibri"/>
          <w:b/>
          <w:bCs/>
          <w:rtl/>
        </w:rPr>
        <w:t xml:space="preserve"> </w:t>
      </w:r>
      <w:r w:rsidRPr="001F2586">
        <w:rPr>
          <w:rFonts w:eastAsia="Calibri" w:hint="eastAsia"/>
          <w:b/>
          <w:bCs/>
          <w:rtl/>
        </w:rPr>
        <w:t>יעשה</w:t>
      </w:r>
      <w:r w:rsidRPr="001F2586">
        <w:rPr>
          <w:rFonts w:eastAsia="Calibri"/>
          <w:b/>
          <w:bCs/>
          <w:rtl/>
        </w:rPr>
        <w:t xml:space="preserve"> </w:t>
      </w:r>
      <w:r w:rsidRPr="001F2586">
        <w:rPr>
          <w:rFonts w:eastAsia="Calibri" w:hint="eastAsia"/>
          <w:b/>
          <w:bCs/>
          <w:rtl/>
        </w:rPr>
        <w:t>באופן</w:t>
      </w:r>
      <w:r w:rsidRPr="001F2586">
        <w:rPr>
          <w:rFonts w:eastAsia="Calibri"/>
          <w:b/>
          <w:bCs/>
          <w:rtl/>
        </w:rPr>
        <w:t xml:space="preserve"> </w:t>
      </w:r>
      <w:r w:rsidRPr="001F2586">
        <w:rPr>
          <w:rFonts w:eastAsia="Calibri" w:hint="eastAsia"/>
          <w:b/>
          <w:bCs/>
          <w:rtl/>
        </w:rPr>
        <w:t>שקוף</w:t>
      </w:r>
      <w:r w:rsidRPr="001F2586">
        <w:rPr>
          <w:rFonts w:eastAsia="Calibri"/>
          <w:b/>
          <w:bCs/>
          <w:rtl/>
        </w:rPr>
        <w:t xml:space="preserve"> </w:t>
      </w:r>
      <w:r w:rsidRPr="001F2586">
        <w:rPr>
          <w:rFonts w:eastAsia="Calibri" w:hint="eastAsia"/>
          <w:b/>
          <w:bCs/>
          <w:rtl/>
        </w:rPr>
        <w:t>ועקבי</w:t>
      </w:r>
      <w:r w:rsidRPr="001F2586">
        <w:rPr>
          <w:rFonts w:eastAsia="Calibri"/>
          <w:b/>
          <w:bCs/>
          <w:rtl/>
        </w:rPr>
        <w:t xml:space="preserve">, </w:t>
      </w:r>
      <w:r w:rsidRPr="001F2586">
        <w:rPr>
          <w:rFonts w:eastAsia="Calibri" w:hint="eastAsia"/>
          <w:b/>
          <w:bCs/>
          <w:rtl/>
        </w:rPr>
        <w:t>התואם</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עקרונות</w:t>
      </w:r>
      <w:r w:rsidRPr="001F2586">
        <w:rPr>
          <w:rFonts w:eastAsia="Calibri"/>
          <w:b/>
          <w:bCs/>
          <w:rtl/>
        </w:rPr>
        <w:t xml:space="preserve"> </w:t>
      </w:r>
      <w:r w:rsidRPr="001F2586">
        <w:rPr>
          <w:rFonts w:eastAsia="Calibri" w:hint="eastAsia"/>
          <w:b/>
          <w:bCs/>
          <w:rtl/>
        </w:rPr>
        <w:t>הפשטות</w:t>
      </w:r>
      <w:r w:rsidRPr="001F2586">
        <w:rPr>
          <w:rFonts w:eastAsia="Calibri"/>
          <w:b/>
          <w:bCs/>
          <w:rtl/>
        </w:rPr>
        <w:t xml:space="preserve">, </w:t>
      </w:r>
      <w:r w:rsidRPr="001F2586">
        <w:rPr>
          <w:rFonts w:eastAsia="Calibri" w:hint="eastAsia"/>
          <w:b/>
          <w:bCs/>
          <w:rtl/>
        </w:rPr>
        <w:t>ההשוואתיות</w:t>
      </w:r>
      <w:r w:rsidRPr="001F2586">
        <w:rPr>
          <w:rFonts w:eastAsia="Calibri"/>
          <w:b/>
          <w:bCs/>
          <w:rtl/>
        </w:rPr>
        <w:t xml:space="preserve"> </w:t>
      </w:r>
      <w:r w:rsidRPr="001F2586">
        <w:rPr>
          <w:rFonts w:eastAsia="Calibri" w:hint="eastAsia"/>
          <w:b/>
          <w:bCs/>
          <w:rtl/>
        </w:rPr>
        <w:t>וההוגנות</w:t>
      </w:r>
      <w:r w:rsidRPr="001F2586">
        <w:rPr>
          <w:rFonts w:eastAsia="Calibri"/>
          <w:b/>
          <w:bCs/>
          <w:rtl/>
        </w:rPr>
        <w:t xml:space="preserve"> </w:t>
      </w:r>
      <w:r w:rsidRPr="001F2586">
        <w:rPr>
          <w:rFonts w:eastAsia="Calibri" w:hint="eastAsia"/>
          <w:b/>
          <w:bCs/>
          <w:rtl/>
        </w:rPr>
        <w:t>שעליהם</w:t>
      </w:r>
      <w:r w:rsidRPr="001F2586">
        <w:rPr>
          <w:rFonts w:eastAsia="Calibri"/>
          <w:b/>
          <w:bCs/>
          <w:rtl/>
        </w:rPr>
        <w:t xml:space="preserve"> </w:t>
      </w:r>
      <w:r w:rsidRPr="001F2586">
        <w:rPr>
          <w:rFonts w:eastAsia="Calibri" w:hint="eastAsia"/>
          <w:b/>
          <w:bCs/>
          <w:rtl/>
        </w:rPr>
        <w:t>הרפורמה</w:t>
      </w:r>
      <w:r w:rsidRPr="001F2586">
        <w:rPr>
          <w:rFonts w:eastAsia="Calibri"/>
          <w:b/>
          <w:bCs/>
          <w:rtl/>
        </w:rPr>
        <w:t xml:space="preserve"> </w:t>
      </w:r>
      <w:r w:rsidRPr="001F2586">
        <w:rPr>
          <w:rFonts w:eastAsia="Calibri" w:hint="eastAsia"/>
          <w:b/>
          <w:bCs/>
          <w:rtl/>
        </w:rPr>
        <w:t>מושתתת</w:t>
      </w:r>
      <w:r w:rsidRPr="001F2586">
        <w:rPr>
          <w:rFonts w:eastAsia="Calibri"/>
          <w:b/>
          <w:bCs/>
          <w:rtl/>
        </w:rPr>
        <w:t>.</w:t>
      </w:r>
      <w:r w:rsidRPr="001F2586">
        <w:rPr>
          <w:rFonts w:eastAsia="Calibri" w:hint="cs"/>
          <w:rtl/>
        </w:rPr>
        <w:t xml:space="preserve"> </w:t>
      </w:r>
      <w:bookmarkEnd w:id="76"/>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בתשובת בנק ישראל צוין כי מטרת הסלים האחידים היא לתת ללווים כלי השוואה המאפשר הבנה עמוקה יותר של תמהיל המשכנתא והם אינם נועדו כדי לשמש המלצה ללווים, ומשכך בחירת הלווים בסל אחר, שאינו אחד מהסלים האחידים, אינו מעיד על אי הצלחתה של הרפורמה.</w:t>
      </w:r>
      <w:r w:rsidRPr="001F2586">
        <w:rPr>
          <w:rFonts w:eastAsia="Calibri" w:hint="cs"/>
          <w:rtl/>
        </w:rPr>
        <w:t xml:space="preserve"> </w:t>
      </w:r>
      <w:r w:rsidRPr="001F2586">
        <w:rPr>
          <w:rFonts w:eastAsia="Calibri"/>
          <w:rtl/>
        </w:rPr>
        <w:t xml:space="preserve">הסלים האחידים אכן מאפשרים כלי השוואתי ללווים שלא ניתן להם בעבר. עם זאת, בחירת הלווים בסל אחר מעלה ספק אם הם מבצעים השוואה שלו בין הבנקים, ובכלל לגבי התרומה של סלים אחידים, בהרכב כזה או אחר, ליכולת ההשוואה </w:t>
      </w:r>
      <w:r w:rsidRPr="001F2586">
        <w:rPr>
          <w:rFonts w:eastAsia="Calibri"/>
          <w:rtl/>
        </w:rPr>
        <w:t>והתיחור</w:t>
      </w:r>
      <w:r w:rsidRPr="001F2586">
        <w:rPr>
          <w:rFonts w:eastAsia="Calibri"/>
          <w:rtl/>
        </w:rPr>
        <w:t xml:space="preserve"> של הלווים.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לאור הנתונים ב</w:t>
      </w:r>
      <w:r w:rsidRPr="001F2586">
        <w:rPr>
          <w:rFonts w:eastAsia="Calibri"/>
          <w:b/>
          <w:bCs/>
          <w:rtl/>
        </w:rPr>
        <w:t xml:space="preserve">סקירה </w:t>
      </w:r>
      <w:r w:rsidRPr="001F2586">
        <w:rPr>
          <w:rFonts w:eastAsia="Calibri" w:hint="cs"/>
          <w:b/>
          <w:bCs/>
          <w:rtl/>
        </w:rPr>
        <w:t xml:space="preserve">של בנק ישראל לשנת 2025 לפיהם נמצאו מקרים בהם הוצע ללווים סל הלוואה מורכב שאינו עקבי עם תמחור הסלים הרגולטוריים, מומלץ כי הפיקוח על הבנקים ימשיך לבצע ביקורות על הבנקים בדבר יישום רפורמת השקיפות לאור חשיבותה. עוד מומלץ כי הפיקוח יבחן מעת לעת כי מידת היכולת של הלקוחות לביצוע השוואות </w:t>
      </w:r>
      <w:r w:rsidRPr="001F2586">
        <w:rPr>
          <w:rFonts w:eastAsia="Calibri" w:hint="cs"/>
          <w:b/>
          <w:bCs/>
          <w:rtl/>
        </w:rPr>
        <w:t>ותיחור</w:t>
      </w:r>
      <w:r w:rsidRPr="001F2586">
        <w:rPr>
          <w:rFonts w:eastAsia="Calibri" w:hint="cs"/>
          <w:b/>
          <w:bCs/>
          <w:rtl/>
        </w:rPr>
        <w:t xml:space="preserve"> מול הבנקים אכן נשמרת לאור המציאות הכלכלית המשתנה. </w:t>
      </w:r>
    </w:p>
    <w:p w:rsidR="001F2586" w:rsidRPr="001F2586" w:rsidP="001F2586">
      <w:pPr>
        <w:spacing w:line="269" w:lineRule="auto"/>
        <w:rPr>
          <w:rFonts w:eastAsia="Calibri"/>
          <w:rtl/>
        </w:rPr>
      </w:pPr>
    </w:p>
    <w:p w:rsidR="0070405E">
      <w:pPr>
        <w:bidi w:val="0"/>
        <w:spacing w:after="200" w:line="276" w:lineRule="auto"/>
        <w:rPr>
          <w:rFonts w:eastAsia="Times New Roman"/>
          <w:spacing w:val="40"/>
          <w:rtl/>
        </w:rPr>
      </w:pPr>
      <w:r>
        <w:rPr>
          <w:rFonts w:eastAsia="Times New Roman"/>
          <w:spacing w:val="40"/>
          <w:rtl/>
        </w:rPr>
        <w:br w:type="page"/>
      </w:r>
    </w:p>
    <w:p w:rsidR="001F2586" w:rsidRPr="001F2586" w:rsidP="001F2586">
      <w:pPr>
        <w:keepNext/>
        <w:keepLines/>
        <w:spacing w:line="269" w:lineRule="auto"/>
        <w:outlineLvl w:val="5"/>
        <w:rPr>
          <w:rFonts w:eastAsia="Times New Roman"/>
          <w:spacing w:val="40"/>
          <w:rtl/>
        </w:rPr>
      </w:pPr>
      <w:r w:rsidRPr="001F2586">
        <w:rPr>
          <w:rFonts w:eastAsia="Times New Roman" w:hint="cs"/>
          <w:spacing w:val="40"/>
          <w:rtl/>
        </w:rPr>
        <w:t>ניתוח רגישות ו</w:t>
      </w:r>
      <w:r w:rsidRPr="001F2586">
        <w:rPr>
          <w:rFonts w:eastAsia="Times New Roman"/>
          <w:spacing w:val="40"/>
          <w:rtl/>
        </w:rPr>
        <w:t>הריבית הכוללת החזויה ככלי להשוואה בין בנקים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דוח מבקר המדינה משנת 2015 בנוגע לפיקוח על מתן אשראי למשקי בית הצביע כי ל</w:t>
      </w:r>
      <w:r w:rsidRPr="001F2586">
        <w:rPr>
          <w:rFonts w:eastAsia="Calibri"/>
          <w:rtl/>
        </w:rPr>
        <w:t xml:space="preserve">פיקוח על הבנקים </w:t>
      </w:r>
      <w:r w:rsidRPr="001F2586">
        <w:rPr>
          <w:rFonts w:eastAsia="Calibri" w:hint="cs"/>
          <w:rtl/>
        </w:rPr>
        <w:t>לא הייתה</w:t>
      </w:r>
      <w:r w:rsidRPr="001F2586">
        <w:rPr>
          <w:rFonts w:eastAsia="Calibri"/>
          <w:rtl/>
        </w:rPr>
        <w:t xml:space="preserve"> הוראה המחייבת את התאגידים הבנקאיים לתת ללקוח, בעת מתן האשראי, תחזיות של הרמה שאליה עלול להגיע ההחזר החודשי בהלוואות בריבית משתנה במקרה של עלייה בריבית </w:t>
      </w:r>
      <w:r w:rsidRPr="001F2586">
        <w:rPr>
          <w:rFonts w:eastAsia="Calibri" w:hint="cs"/>
          <w:rtl/>
        </w:rPr>
        <w:t>ו</w:t>
      </w:r>
      <w:r w:rsidRPr="001F2586">
        <w:rPr>
          <w:rFonts w:eastAsia="Calibri"/>
          <w:rtl/>
        </w:rPr>
        <w:t>בפרט לגבי הלוואות בסכומים גבוהים</w:t>
      </w:r>
      <w:r>
        <w:rPr>
          <w:rFonts w:eastAsia="Calibri"/>
          <w:vertAlign w:val="superscript"/>
          <w:rtl/>
        </w:rPr>
        <w:footnoteReference w:id="291"/>
      </w:r>
      <w:r w:rsidRPr="001F2586">
        <w:rPr>
          <w:rFonts w:eastAsia="Calibri" w:hint="cs"/>
          <w:rtl/>
        </w:rPr>
        <w:t>.</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 xml:space="preserve">קיימת חשיבות בהצגת כלים שמספקים ללקוחות מידע פשוט המאפשר להם להבין את השינויים האפשריים בהחזר החודשי. הפיקוח על הבנקים קבע </w:t>
      </w:r>
      <w:r w:rsidRPr="001F2586">
        <w:rPr>
          <w:rFonts w:eastAsia="Calibri" w:hint="cs"/>
          <w:rtl/>
        </w:rPr>
        <w:t>בנב"ת</w:t>
      </w:r>
      <w:r w:rsidRPr="001F2586">
        <w:rPr>
          <w:rFonts w:eastAsia="Calibri" w:hint="cs"/>
          <w:rtl/>
        </w:rPr>
        <w:t xml:space="preserve"> 451 כאמור כי לכל סל הלוואה תחושב הריבית הכוללת החזויה שהיא </w:t>
      </w:r>
      <w:r w:rsidRPr="001F2586">
        <w:rPr>
          <w:rFonts w:eastAsia="Calibri"/>
          <w:rtl/>
        </w:rPr>
        <w:t xml:space="preserve">אחד הרכיבים המשמעותיים </w:t>
      </w:r>
      <w:r w:rsidRPr="001F2586">
        <w:rPr>
          <w:rFonts w:eastAsia="Calibri" w:hint="cs"/>
          <w:rtl/>
        </w:rPr>
        <w:t>ב</w:t>
      </w:r>
      <w:r w:rsidRPr="001F2586">
        <w:rPr>
          <w:rFonts w:eastAsia="Calibri"/>
          <w:rtl/>
        </w:rPr>
        <w:t>אישור העקרוני</w:t>
      </w:r>
      <w:r w:rsidRPr="001F2586">
        <w:rPr>
          <w:rFonts w:eastAsia="Calibri" w:hint="cs"/>
          <w:rtl/>
        </w:rPr>
        <w:t>, וכן סכום ההחזר החודשי הגבוה ביותר הצפוי וסך כל הסכום הצפוי שישולם עד לתום תקופת ההלוואה</w:t>
      </w:r>
      <w:r>
        <w:rPr>
          <w:rFonts w:eastAsia="Calibri"/>
          <w:vertAlign w:val="superscript"/>
          <w:rtl/>
        </w:rPr>
        <w:footnoteReference w:id="292"/>
      </w:r>
      <w:r w:rsidRPr="001F2586">
        <w:rPr>
          <w:rFonts w:eastAsia="Calibri" w:hint="cs"/>
          <w:rtl/>
        </w:rPr>
        <w:t xml:space="preserve">. </w:t>
      </w:r>
      <w:r w:rsidRPr="001F2586">
        <w:rPr>
          <w:rFonts w:eastAsia="Calibri"/>
          <w:rtl/>
        </w:rPr>
        <w:t>כמו</w:t>
      </w:r>
      <w:r w:rsidRPr="001F2586">
        <w:rPr>
          <w:rFonts w:eastAsia="Calibri" w:hint="cs"/>
          <w:rtl/>
        </w:rPr>
        <w:t xml:space="preserve"> כן,</w:t>
      </w:r>
      <w:r w:rsidRPr="001F2586">
        <w:rPr>
          <w:rFonts w:eastAsia="Calibri"/>
          <w:rtl/>
        </w:rPr>
        <w:t xml:space="preserve"> </w:t>
      </w:r>
      <w:r w:rsidRPr="001F2586">
        <w:rPr>
          <w:rFonts w:eastAsia="Calibri" w:hint="cs"/>
          <w:rtl/>
        </w:rPr>
        <w:t>כאמור</w:t>
      </w:r>
      <w:r w:rsidRPr="001F2586">
        <w:rPr>
          <w:rFonts w:eastAsia="Calibri"/>
          <w:rtl/>
        </w:rPr>
        <w:t xml:space="preserve"> </w:t>
      </w:r>
      <w:r w:rsidRPr="001F2586">
        <w:rPr>
          <w:rFonts w:eastAsia="Calibri" w:hint="cs"/>
          <w:rtl/>
        </w:rPr>
        <w:t xml:space="preserve">הפיקוח על הבנקים קבע </w:t>
      </w:r>
      <w:r w:rsidRPr="001F2586">
        <w:rPr>
          <w:rFonts w:eastAsia="Calibri" w:hint="cs"/>
          <w:rtl/>
        </w:rPr>
        <w:t>בנב"ת</w:t>
      </w:r>
      <w:r w:rsidRPr="001F2586">
        <w:rPr>
          <w:rFonts w:eastAsia="Calibri" w:hint="cs"/>
          <w:rtl/>
        </w:rPr>
        <w:t xml:space="preserve"> 451</w:t>
      </w:r>
      <w:r w:rsidRPr="001F2586">
        <w:rPr>
          <w:rFonts w:eastAsia="Calibri"/>
          <w:rtl/>
        </w:rPr>
        <w:t xml:space="preserve"> כי כל תאגיד בנקאי יעמיד לרשות הציבור כלי של מחשבון מקוון המאפשר ביצוע סימולציות של תמהילים שונים של הלוואות בטווחי זמן שונים.</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rtl/>
        </w:rPr>
        <w:t xml:space="preserve">הריבית </w:t>
      </w:r>
      <w:r w:rsidRPr="001F2586">
        <w:rPr>
          <w:rFonts w:eastAsia="Calibri" w:hint="cs"/>
          <w:rtl/>
        </w:rPr>
        <w:t xml:space="preserve">הכוללת </w:t>
      </w:r>
      <w:r w:rsidRPr="001F2586">
        <w:rPr>
          <w:rFonts w:eastAsia="Calibri"/>
          <w:rtl/>
        </w:rPr>
        <w:t xml:space="preserve">החזויה </w:t>
      </w:r>
      <w:r w:rsidRPr="001F2586">
        <w:rPr>
          <w:rFonts w:eastAsia="Calibri" w:hint="cs"/>
          <w:rtl/>
        </w:rPr>
        <w:t xml:space="preserve">היא כאמור שיעור </w:t>
      </w:r>
      <w:r w:rsidRPr="001F2586">
        <w:rPr>
          <w:rFonts w:eastAsia="Calibri"/>
          <w:rtl/>
        </w:rPr>
        <w:t>הריבית האפקטיבית השנתית שצפוי הלווה לשלם לאורך חיי</w:t>
      </w:r>
      <w:r w:rsidRPr="001F2586">
        <w:rPr>
          <w:rFonts w:eastAsia="Calibri" w:hint="cs"/>
          <w:rtl/>
        </w:rPr>
        <w:t xml:space="preserve"> </w:t>
      </w:r>
      <w:r w:rsidRPr="001F2586">
        <w:rPr>
          <w:rFonts w:eastAsia="Calibri"/>
          <w:rtl/>
        </w:rPr>
        <w:t>ההלוואה</w:t>
      </w:r>
      <w:r w:rsidRPr="001F2586">
        <w:rPr>
          <w:rFonts w:eastAsia="Calibri" w:hint="cs"/>
          <w:rtl/>
        </w:rPr>
        <w:t xml:space="preserve">. </w:t>
      </w:r>
      <w:r w:rsidRPr="001F2586">
        <w:rPr>
          <w:rFonts w:eastAsia="Calibri"/>
          <w:rtl/>
        </w:rPr>
        <w:t xml:space="preserve">ריבית זו </w:t>
      </w:r>
      <w:r w:rsidRPr="001F2586">
        <w:rPr>
          <w:rFonts w:eastAsia="Calibri" w:hint="cs"/>
          <w:rtl/>
        </w:rPr>
        <w:t>קובעת את סך</w:t>
      </w:r>
      <w:r w:rsidRPr="001F2586">
        <w:rPr>
          <w:rFonts w:eastAsia="Calibri"/>
          <w:rtl/>
        </w:rPr>
        <w:t xml:space="preserve"> התשלומים</w:t>
      </w:r>
      <w:r w:rsidRPr="001F2586">
        <w:rPr>
          <w:rFonts w:eastAsia="Calibri" w:hint="cs"/>
          <w:rtl/>
        </w:rPr>
        <w:t xml:space="preserve"> </w:t>
      </w:r>
      <w:r w:rsidRPr="001F2586">
        <w:rPr>
          <w:rFonts w:eastAsia="Calibri"/>
          <w:rtl/>
        </w:rPr>
        <w:t xml:space="preserve">שהלווה צפוי לשלם </w:t>
      </w:r>
      <w:r w:rsidRPr="001F2586">
        <w:rPr>
          <w:rFonts w:eastAsia="Calibri" w:hint="cs"/>
          <w:rtl/>
        </w:rPr>
        <w:t>על</w:t>
      </w:r>
      <w:r w:rsidRPr="001F2586">
        <w:rPr>
          <w:rFonts w:eastAsia="Calibri"/>
          <w:rtl/>
        </w:rPr>
        <w:t xml:space="preserve"> ההלוואה</w:t>
      </w:r>
      <w:r w:rsidRPr="001F2586">
        <w:rPr>
          <w:rFonts w:eastAsia="Calibri" w:hint="cs"/>
          <w:rtl/>
        </w:rPr>
        <w:t>.</w:t>
      </w:r>
      <w:r w:rsidRPr="001F2586">
        <w:rPr>
          <w:rFonts w:eastAsia="Calibri"/>
          <w:rtl/>
        </w:rPr>
        <w:t xml:space="preserve"> משכך היא </w:t>
      </w:r>
      <w:r w:rsidRPr="001F2586">
        <w:rPr>
          <w:rFonts w:eastAsia="Calibri" w:hint="cs"/>
          <w:rtl/>
        </w:rPr>
        <w:t>משמשת כאחד</w:t>
      </w:r>
      <w:r w:rsidRPr="001F2586">
        <w:rPr>
          <w:rFonts w:eastAsia="Calibri"/>
          <w:rtl/>
        </w:rPr>
        <w:t xml:space="preserve"> המדדים להשוואה בין הצעות </w:t>
      </w:r>
      <w:r w:rsidRPr="001F2586">
        <w:rPr>
          <w:rFonts w:eastAsia="Calibri" w:hint="cs"/>
          <w:rtl/>
        </w:rPr>
        <w:t xml:space="preserve">שונות של </w:t>
      </w:r>
      <w:r w:rsidRPr="001F2586">
        <w:rPr>
          <w:rFonts w:eastAsia="Calibri"/>
          <w:rtl/>
        </w:rPr>
        <w:t>הבנקים</w:t>
      </w:r>
      <w:r w:rsidRPr="001F2586">
        <w:rPr>
          <w:rFonts w:eastAsia="Calibri" w:hint="cs"/>
          <w:rtl/>
        </w:rPr>
        <w:t>, שכן היא</w:t>
      </w:r>
      <w:r w:rsidRPr="001F2586">
        <w:rPr>
          <w:rFonts w:eastAsia="Calibri"/>
          <w:rtl/>
        </w:rPr>
        <w:t xml:space="preserve"> מסייעת לשקף ללקוחות את הסיכון הגלום בתמהיל ההלוואה והשפעתו</w:t>
      </w:r>
      <w:r w:rsidRPr="001F2586">
        <w:rPr>
          <w:rFonts w:eastAsia="Calibri" w:hint="cs"/>
          <w:rtl/>
        </w:rPr>
        <w:t xml:space="preserve"> האפשרית</w:t>
      </w:r>
      <w:r w:rsidRPr="001F2586">
        <w:rPr>
          <w:rFonts w:eastAsia="Calibri"/>
          <w:rtl/>
        </w:rPr>
        <w:t xml:space="preserve"> על ההחזר</w:t>
      </w:r>
      <w:r w:rsidRPr="001F2586">
        <w:rPr>
          <w:rFonts w:eastAsia="Calibri" w:hint="cs"/>
          <w:rtl/>
        </w:rPr>
        <w:t xml:space="preserve"> </w:t>
      </w:r>
      <w:r w:rsidRPr="001F2586">
        <w:rPr>
          <w:rFonts w:eastAsia="Calibri"/>
          <w:rtl/>
        </w:rPr>
        <w:t>החודשי.</w:t>
      </w:r>
      <w:r w:rsidRPr="001F2586">
        <w:rPr>
          <w:rFonts w:eastAsia="Calibri" w:hint="cs"/>
          <w:rtl/>
        </w:rPr>
        <w:t xml:space="preserve"> שיעור ה</w:t>
      </w:r>
      <w:r w:rsidRPr="001F2586">
        <w:rPr>
          <w:rFonts w:eastAsia="Calibri"/>
          <w:rtl/>
        </w:rPr>
        <w:t xml:space="preserve">ריבית </w:t>
      </w:r>
      <w:r w:rsidRPr="001F2586">
        <w:rPr>
          <w:rFonts w:eastAsia="Calibri" w:hint="cs"/>
          <w:rtl/>
        </w:rPr>
        <w:t xml:space="preserve">הכוללת החזויה, </w:t>
      </w:r>
      <w:r w:rsidRPr="001F2586">
        <w:rPr>
          <w:rFonts w:eastAsia="Calibri"/>
          <w:rtl/>
        </w:rPr>
        <w:t>המחושבת לפי מתודולוגיה שקבע בנק ישראל</w:t>
      </w:r>
      <w:r>
        <w:rPr>
          <w:rFonts w:eastAsia="Calibri"/>
          <w:vertAlign w:val="superscript"/>
          <w:rtl/>
        </w:rPr>
        <w:footnoteReference w:id="293"/>
      </w:r>
      <w:r w:rsidRPr="001F2586">
        <w:rPr>
          <w:rFonts w:eastAsia="Calibri"/>
          <w:rtl/>
        </w:rPr>
        <w:t>, שונה מ</w:t>
      </w:r>
      <w:r w:rsidRPr="001F2586">
        <w:rPr>
          <w:rFonts w:eastAsia="Calibri" w:hint="cs"/>
          <w:rtl/>
        </w:rPr>
        <w:t xml:space="preserve">שיעור </w:t>
      </w:r>
      <w:r w:rsidRPr="001F2586">
        <w:rPr>
          <w:rFonts w:eastAsia="Calibri"/>
          <w:rtl/>
        </w:rPr>
        <w:t>הריבית הנקובה</w:t>
      </w:r>
      <w:r w:rsidRPr="001F2586">
        <w:rPr>
          <w:rFonts w:eastAsia="Calibri" w:hint="cs"/>
          <w:rtl/>
        </w:rPr>
        <w:t xml:space="preserve"> </w:t>
      </w:r>
      <w:r w:rsidRPr="001F2586">
        <w:rPr>
          <w:rFonts w:eastAsia="Calibri"/>
          <w:rtl/>
        </w:rPr>
        <w:t>במועד נטילת ההלוואה</w:t>
      </w:r>
      <w:r w:rsidRPr="001F2586">
        <w:rPr>
          <w:rFonts w:eastAsia="Calibri" w:hint="cs"/>
          <w:rtl/>
        </w:rPr>
        <w:t xml:space="preserve"> בכל מסלולי ההלוואה, למעט הלוואה בריבית קבועה לא צמודה שאינה חשופה לשינויים בריבית ובאינפלציה</w:t>
      </w:r>
      <w:r>
        <w:rPr>
          <w:rFonts w:eastAsia="Calibri"/>
          <w:vertAlign w:val="superscript"/>
          <w:rtl/>
        </w:rPr>
        <w:footnoteReference w:id="294"/>
      </w:r>
      <w:r w:rsidRPr="001F2586">
        <w:rPr>
          <w:rFonts w:eastAsia="Calibri" w:hint="cs"/>
          <w:rtl/>
        </w:rPr>
        <w:t xml:space="preserve">. </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שיעור הריבית הכוללת החזויה</w:t>
      </w:r>
      <w:r w:rsidRPr="001F2586">
        <w:rPr>
          <w:rFonts w:eastAsia="Calibri"/>
          <w:rtl/>
        </w:rPr>
        <w:t xml:space="preserve"> מבטא את השפעת ההתפתחות החזויה של משתני</w:t>
      </w:r>
      <w:r w:rsidRPr="001F2586">
        <w:rPr>
          <w:rFonts w:eastAsia="Calibri" w:hint="cs"/>
          <w:rtl/>
        </w:rPr>
        <w:t xml:space="preserve"> </w:t>
      </w:r>
      <w:r w:rsidRPr="001F2586">
        <w:rPr>
          <w:rFonts w:eastAsia="Calibri"/>
          <w:rtl/>
        </w:rPr>
        <w:t>המקרו בשוק</w:t>
      </w:r>
      <w:r w:rsidRPr="001F2586">
        <w:rPr>
          <w:rFonts w:eastAsia="Calibri" w:hint="cs"/>
          <w:rtl/>
        </w:rPr>
        <w:t xml:space="preserve"> - </w:t>
      </w:r>
      <w:r w:rsidRPr="001F2586">
        <w:rPr>
          <w:rFonts w:eastAsia="Calibri"/>
          <w:rtl/>
        </w:rPr>
        <w:t xml:space="preserve">ריבית בנק ישראל, אינפלציה ותשואות </w:t>
      </w:r>
      <w:r w:rsidRPr="001F2586">
        <w:rPr>
          <w:rFonts w:eastAsia="Calibri"/>
          <w:rtl/>
        </w:rPr>
        <w:t>האג"ח</w:t>
      </w:r>
      <w:r w:rsidRPr="001F2586">
        <w:rPr>
          <w:rFonts w:eastAsia="Calibri"/>
          <w:rtl/>
        </w:rPr>
        <w:t xml:space="preserve"> הממשלתיות</w:t>
      </w:r>
      <w:r w:rsidRPr="001F2586">
        <w:rPr>
          <w:rFonts w:eastAsia="Calibri" w:hint="cs"/>
          <w:rtl/>
        </w:rPr>
        <w:t xml:space="preserve">- </w:t>
      </w:r>
      <w:r w:rsidRPr="001F2586">
        <w:rPr>
          <w:rFonts w:eastAsia="Calibri"/>
          <w:rtl/>
        </w:rPr>
        <w:t xml:space="preserve">כתלות בתמהיל ההלוואה </w:t>
      </w:r>
      <w:r w:rsidRPr="001F2586">
        <w:rPr>
          <w:rFonts w:eastAsia="Calibri" w:hint="cs"/>
          <w:rtl/>
        </w:rPr>
        <w:t>הנבחר</w:t>
      </w:r>
      <w:r w:rsidRPr="001F2586">
        <w:rPr>
          <w:rFonts w:eastAsia="Calibri"/>
          <w:rtl/>
        </w:rPr>
        <w:t xml:space="preserve"> ומאפשרת</w:t>
      </w:r>
      <w:r w:rsidRPr="001F2586">
        <w:rPr>
          <w:rFonts w:eastAsia="Calibri" w:hint="cs"/>
          <w:rtl/>
        </w:rPr>
        <w:t xml:space="preserve"> </w:t>
      </w:r>
      <w:r w:rsidRPr="001F2586">
        <w:rPr>
          <w:rFonts w:eastAsia="Calibri"/>
          <w:rtl/>
        </w:rPr>
        <w:t>ללווה להבין מהי רמת</w:t>
      </w:r>
      <w:r w:rsidRPr="001F2586">
        <w:rPr>
          <w:rFonts w:eastAsia="Calibri" w:hint="cs"/>
          <w:rtl/>
        </w:rPr>
        <w:t xml:space="preserve"> </w:t>
      </w:r>
      <w:r w:rsidRPr="001F2586">
        <w:rPr>
          <w:rFonts w:eastAsia="Calibri"/>
          <w:rtl/>
        </w:rPr>
        <w:t>החשיפה שלו למשתנים מקרו</w:t>
      </w:r>
      <w:r w:rsidRPr="001F2586">
        <w:rPr>
          <w:rFonts w:eastAsia="Calibri" w:hint="cs"/>
          <w:rtl/>
        </w:rPr>
        <w:t>-</w:t>
      </w:r>
      <w:r w:rsidRPr="001F2586">
        <w:rPr>
          <w:rFonts w:eastAsia="Calibri"/>
          <w:rtl/>
        </w:rPr>
        <w:t>כלכליים המשפיעים על ההחזר החודשי.</w:t>
      </w:r>
      <w:r w:rsidRPr="001F2586">
        <w:rPr>
          <w:rFonts w:eastAsia="Calibri" w:hint="cs"/>
          <w:rtl/>
        </w:rPr>
        <w:t xml:space="preserve"> מאחר והבנקים מציעים משכנתאות בריבית משתנה או עם הצמדה למדד, חישוב שיעור הריבית הכוללת החזויה תלוי באופן קריטי בהנחות לגבי התפתחות הריבית והאינפלציה לאורך תקופת ההלוואה. בנק ישראל ציין במסמך המסביר את המתודולוגיה שעליה מבוסס החישוב של הריבית הכוללת החזויה מיום 27.7.22 כי בשל חוסר הודאות הגלום בהערכות לריבית ולאינפלציה הוא בחר להשתמש בציפיות השוק כפי שמגולמות במחירי אגרות החוב הממשלתיות הנומינליות ואגרות החוב הממשלתיות הצמודות למדד. עוד ציין בנק ישראל כי הוא עוקב באופן שוטף אחר עקומי התשואות כדי לוודא שהתנהגותם תואמת את המצופה בהתאם לתיאוריה לפיה הם מחושבים</w:t>
      </w:r>
      <w:r>
        <w:rPr>
          <w:rFonts w:eastAsia="Calibri"/>
          <w:vertAlign w:val="superscript"/>
          <w:rtl/>
        </w:rPr>
        <w:footnoteReference w:id="295"/>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תרשים המציג השוואה בין שיעור הריבית הכוללת החזויה לשיעור הריבית המשוקללת בסלים האחידים ובסלים הנפוצים ביותר לפי ניתוח שביצע הפיקוח על הבנקים להלוואות למטרת מגורים שנלקחו בשנת 2024:</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bCs/>
          <w:sz w:val="24"/>
          <w:szCs w:val="20"/>
          <w:rtl/>
        </w:rPr>
        <w:tab/>
      </w:r>
      <w:r w:rsidRPr="001F2586">
        <w:rPr>
          <w:rFonts w:eastAsia="Calibri" w:hint="cs"/>
          <w:b/>
          <w:sz w:val="24"/>
          <w:rtl/>
        </w:rPr>
        <w:t>תרשים 36:</w:t>
      </w:r>
      <w:r w:rsidRPr="001F2586">
        <w:rPr>
          <w:rFonts w:eastAsia="Calibri" w:hint="cs"/>
          <w:bCs/>
          <w:sz w:val="24"/>
          <w:rtl/>
        </w:rPr>
        <w:t xml:space="preserve"> </w:t>
      </w:r>
      <w:r w:rsidRPr="001F2586">
        <w:rPr>
          <w:rFonts w:eastAsia="Calibri" w:hint="eastAsia"/>
          <w:bCs/>
          <w:sz w:val="24"/>
          <w:rtl/>
        </w:rPr>
        <w:t>השוואה</w:t>
      </w:r>
      <w:r w:rsidRPr="001F2586">
        <w:rPr>
          <w:rFonts w:eastAsia="Calibri"/>
          <w:bCs/>
          <w:sz w:val="24"/>
          <w:rtl/>
        </w:rPr>
        <w:t xml:space="preserve"> </w:t>
      </w:r>
      <w:r w:rsidRPr="001F2586">
        <w:rPr>
          <w:rFonts w:eastAsia="Calibri" w:hint="eastAsia"/>
          <w:bCs/>
          <w:sz w:val="24"/>
          <w:rtl/>
        </w:rPr>
        <w:t>בין</w:t>
      </w:r>
      <w:r w:rsidRPr="001F2586">
        <w:rPr>
          <w:rFonts w:eastAsia="Calibri"/>
          <w:bCs/>
          <w:sz w:val="24"/>
          <w:rtl/>
        </w:rPr>
        <w:t xml:space="preserve"> </w:t>
      </w:r>
      <w:r w:rsidRPr="001F2586">
        <w:rPr>
          <w:rFonts w:eastAsia="Calibri" w:hint="eastAsia"/>
          <w:bCs/>
          <w:sz w:val="24"/>
          <w:rtl/>
        </w:rPr>
        <w:t>שיעורי</w:t>
      </w:r>
      <w:r w:rsidRPr="001F2586">
        <w:rPr>
          <w:rFonts w:eastAsia="Calibri"/>
          <w:bCs/>
          <w:sz w:val="24"/>
          <w:rtl/>
        </w:rPr>
        <w:t xml:space="preserve"> </w:t>
      </w:r>
      <w:r w:rsidRPr="001F2586">
        <w:rPr>
          <w:rFonts w:eastAsia="Calibri" w:hint="eastAsia"/>
          <w:bCs/>
          <w:sz w:val="24"/>
          <w:rtl/>
        </w:rPr>
        <w:t>הריבית</w:t>
      </w:r>
      <w:r w:rsidRPr="001F2586">
        <w:rPr>
          <w:rFonts w:eastAsia="Calibri"/>
          <w:bCs/>
          <w:sz w:val="24"/>
          <w:rtl/>
        </w:rPr>
        <w:t xml:space="preserve"> </w:t>
      </w:r>
      <w:r w:rsidRPr="001F2586">
        <w:rPr>
          <w:rFonts w:eastAsia="Calibri" w:hint="eastAsia"/>
          <w:bCs/>
          <w:sz w:val="24"/>
          <w:rtl/>
        </w:rPr>
        <w:t>הכוללת</w:t>
      </w:r>
      <w:r w:rsidRPr="001F2586">
        <w:rPr>
          <w:rFonts w:eastAsia="Calibri"/>
          <w:bCs/>
          <w:sz w:val="24"/>
          <w:rtl/>
        </w:rPr>
        <w:t xml:space="preserve"> </w:t>
      </w:r>
      <w:r w:rsidRPr="001F2586">
        <w:rPr>
          <w:rFonts w:eastAsia="Calibri" w:hint="eastAsia"/>
          <w:bCs/>
          <w:sz w:val="24"/>
          <w:rtl/>
        </w:rPr>
        <w:t>החזויה</w:t>
      </w:r>
      <w:r w:rsidRPr="001F2586">
        <w:rPr>
          <w:rFonts w:eastAsia="Calibri"/>
          <w:bCs/>
          <w:sz w:val="24"/>
          <w:rtl/>
        </w:rPr>
        <w:t xml:space="preserve"> </w:t>
      </w:r>
      <w:r w:rsidRPr="001F2586">
        <w:rPr>
          <w:rFonts w:eastAsia="Calibri" w:hint="eastAsia"/>
          <w:bCs/>
          <w:sz w:val="24"/>
          <w:rtl/>
        </w:rPr>
        <w:t>והריבית</w:t>
      </w:r>
      <w:r w:rsidRPr="001F2586">
        <w:rPr>
          <w:rFonts w:eastAsia="Calibri"/>
          <w:bCs/>
          <w:sz w:val="24"/>
          <w:rtl/>
        </w:rPr>
        <w:t xml:space="preserve"> </w:t>
      </w:r>
      <w:r w:rsidRPr="001F2586">
        <w:rPr>
          <w:rFonts w:eastAsia="Calibri" w:hint="eastAsia"/>
          <w:bCs/>
          <w:sz w:val="24"/>
          <w:rtl/>
        </w:rPr>
        <w:t>המשוקללת</w:t>
      </w:r>
      <w:r w:rsidRPr="001F2586">
        <w:rPr>
          <w:rFonts w:eastAsia="Calibri"/>
          <w:bCs/>
          <w:sz w:val="24"/>
          <w:rtl/>
        </w:rPr>
        <w:t xml:space="preserve"> </w:t>
      </w:r>
      <w:r w:rsidRPr="001F2586">
        <w:rPr>
          <w:rFonts w:eastAsia="Calibri" w:hint="eastAsia"/>
          <w:bCs/>
          <w:sz w:val="24"/>
          <w:rtl/>
        </w:rPr>
        <w:t>בסלים</w:t>
      </w:r>
      <w:r w:rsidRPr="001F2586">
        <w:rPr>
          <w:rFonts w:eastAsia="Calibri"/>
          <w:bCs/>
          <w:sz w:val="24"/>
          <w:rtl/>
        </w:rPr>
        <w:t xml:space="preserve"> </w:t>
      </w:r>
      <w:r w:rsidRPr="001F2586">
        <w:rPr>
          <w:rFonts w:eastAsia="Calibri" w:hint="eastAsia"/>
          <w:bCs/>
          <w:sz w:val="24"/>
          <w:rtl/>
        </w:rPr>
        <w:t>האחידים</w:t>
      </w:r>
      <w:r w:rsidRPr="001F2586">
        <w:rPr>
          <w:rFonts w:eastAsia="Calibri"/>
          <w:bCs/>
          <w:sz w:val="24"/>
          <w:rtl/>
        </w:rPr>
        <w:t xml:space="preserve"> </w:t>
      </w:r>
      <w:r w:rsidRPr="001F2586">
        <w:rPr>
          <w:rFonts w:eastAsia="Calibri" w:hint="eastAsia"/>
          <w:bCs/>
          <w:sz w:val="24"/>
          <w:rtl/>
        </w:rPr>
        <w:t>ובסלים</w:t>
      </w:r>
      <w:r w:rsidRPr="001F2586">
        <w:rPr>
          <w:rFonts w:eastAsia="Calibri"/>
          <w:bCs/>
          <w:sz w:val="24"/>
          <w:rtl/>
        </w:rPr>
        <w:t xml:space="preserve"> </w:t>
      </w:r>
      <w:r w:rsidRPr="001F2586">
        <w:rPr>
          <w:rFonts w:eastAsia="Calibri" w:hint="eastAsia"/>
          <w:bCs/>
          <w:sz w:val="24"/>
          <w:rtl/>
        </w:rPr>
        <w:t>הנפוצים</w:t>
      </w:r>
      <w:r w:rsidRPr="001F2586">
        <w:rPr>
          <w:rFonts w:eastAsia="Calibri"/>
          <w:bCs/>
          <w:sz w:val="24"/>
          <w:rtl/>
        </w:rPr>
        <w:t xml:space="preserve"> </w:t>
      </w:r>
      <w:r w:rsidRPr="001F2586">
        <w:rPr>
          <w:rFonts w:eastAsia="Calibri" w:hint="eastAsia"/>
          <w:bCs/>
          <w:sz w:val="24"/>
          <w:rtl/>
        </w:rPr>
        <w:t>ביותר</w:t>
      </w:r>
      <w:r w:rsidRPr="001F2586">
        <w:rPr>
          <w:rFonts w:eastAsia="Calibri"/>
          <w:bCs/>
          <w:sz w:val="24"/>
          <w:rtl/>
        </w:rPr>
        <w:t xml:space="preserve"> </w:t>
      </w:r>
      <w:r w:rsidRPr="001F2586">
        <w:rPr>
          <w:rFonts w:eastAsia="Calibri" w:hint="eastAsia"/>
          <w:bCs/>
          <w:sz w:val="24"/>
          <w:rtl/>
        </w:rPr>
        <w:t>בשנת</w:t>
      </w:r>
      <w:r w:rsidRPr="001F2586">
        <w:rPr>
          <w:rFonts w:eastAsia="Calibri"/>
          <w:bCs/>
          <w:sz w:val="24"/>
          <w:rtl/>
        </w:rPr>
        <w:t xml:space="preserve"> 2024</w:t>
      </w:r>
    </w:p>
    <w:p w:rsidR="001F2586" w:rsidRPr="001F2586" w:rsidP="001F2586">
      <w:pPr>
        <w:spacing w:line="269" w:lineRule="auto"/>
        <w:jc w:val="center"/>
        <w:rPr>
          <w:rFonts w:eastAsia="Calibri"/>
          <w:rtl/>
        </w:rPr>
      </w:pPr>
      <w:r w:rsidRPr="001F2586">
        <w:rPr>
          <w:rFonts w:eastAsia="Calibri"/>
          <w:noProof/>
        </w:rPr>
        <w:drawing>
          <wp:inline distT="0" distB="0" distL="0" distR="0">
            <wp:extent cx="4781246" cy="3172570"/>
            <wp:effectExtent l="0" t="0" r="635" b="8890"/>
            <wp:docPr id="66" name="תמונה 66" descr="השוואה בין ריבית כוללת חזויה (IRR) ובין הריבית המשוקללת לפי סלים שונים.&#10;&#10;בסל מוצע 1- 100% קבועה לא צמודה - ריבית משוקללת 4.9%, ריבית כוללת חזויה- 4.9%.&#10;&#10;בסל מוצע 2 - שליש קבועה לא צמודה, שליש פריים ושליש משתנה צמודה - ריבית משוקללת - 4.1%, ריבית כוללת חזויה 5.7%.&#10;&#10;בסל מוצע 3- 0.5 קבועה לא צמודה, 0.5 פריים- ריבית משוקללת- 5.3%, ריבית כוללת חזויה- 5.4%.&#10;&#10;סל 4 מותאם ללקוח- 98% מהביצועים:&#10;התמהיל השכיח ביותר -34% מהביצועים - משתנה לא צמדוה+קבועה לא צמודה: ריבית משוקללת- 4.9%, ריבית כוללת חזויה 5.6%.&#10;&#10;התמהיל השני השכיח ביותר- 10% מהביצועים: משתנה לא צמודה+קבועה לא צמודה+משתנה צמודה: ריבית משוקללת - 4.5%, ריבית כוללת חזויה- 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xmlns:r="http://schemas.openxmlformats.org/officeDocument/2006/relationships" r:embed="rId48"/>
                    <a:stretch>
                      <a:fillRect/>
                    </a:stretch>
                  </pic:blipFill>
                  <pic:spPr>
                    <a:xfrm>
                      <a:off x="0" y="0"/>
                      <a:ext cx="4787831" cy="3176940"/>
                    </a:xfrm>
                    <a:prstGeom prst="rect">
                      <a:avLst/>
                    </a:prstGeom>
                  </pic:spPr>
                </pic:pic>
              </a:graphicData>
            </a:graphic>
          </wp:inline>
        </w:drawing>
      </w:r>
    </w:p>
    <w:p w:rsidR="001F2586" w:rsidRPr="001F2586" w:rsidP="001F2586">
      <w:pPr>
        <w:spacing w:line="269" w:lineRule="auto"/>
        <w:rPr>
          <w:rFonts w:ascii="David" w:eastAsia="Calibri" w:hAnsi="David"/>
          <w:szCs w:val="20"/>
          <w:rtl/>
        </w:rPr>
      </w:pPr>
      <w:r w:rsidRPr="001F2586">
        <w:rPr>
          <w:rFonts w:ascii="David" w:eastAsia="Calibri" w:hAnsi="David" w:hint="cs"/>
          <w:szCs w:val="20"/>
          <w:rtl/>
        </w:rPr>
        <w:t>ה</w:t>
      </w:r>
      <w:r w:rsidRPr="001F2586">
        <w:rPr>
          <w:rFonts w:ascii="David" w:eastAsia="Calibri" w:hAnsi="David"/>
          <w:szCs w:val="20"/>
          <w:rtl/>
        </w:rPr>
        <w:t>מקור: הפיקוח על הבנקים, מערכת הבנקאות בישראל-סקירה שנתית לשנת 2024 (מאי 2025), עמ' 207 -</w:t>
      </w:r>
      <w:r w:rsidRPr="001F2586">
        <w:rPr>
          <w:rFonts w:ascii="David" w:eastAsia="Calibri" w:hAnsi="David" w:hint="cs"/>
          <w:szCs w:val="20"/>
          <w:rtl/>
        </w:rPr>
        <w:t xml:space="preserve"> </w:t>
      </w:r>
      <w:r w:rsidRPr="001F2586">
        <w:rPr>
          <w:rFonts w:ascii="David" w:eastAsia="Calibri" w:hAnsi="David"/>
          <w:szCs w:val="20"/>
          <w:rtl/>
        </w:rPr>
        <w:t>208</w:t>
      </w:r>
      <w:r w:rsidRPr="001F2586">
        <w:rPr>
          <w:rFonts w:ascii="David" w:eastAsia="Calibri" w:hAnsi="David" w:hint="cs"/>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מהניתוח שביצע הפיקוח על הבנקים עולה כי </w:t>
      </w:r>
      <w:r w:rsidRPr="001F2586">
        <w:rPr>
          <w:rFonts w:eastAsia="Calibri"/>
          <w:rtl/>
        </w:rPr>
        <w:t>למעט בסל הראשון</w:t>
      </w:r>
      <w:r w:rsidRPr="001F2586">
        <w:rPr>
          <w:rFonts w:eastAsia="Calibri" w:hint="cs"/>
          <w:rtl/>
        </w:rPr>
        <w:t xml:space="preserve"> שניתן כולו בריבית קבועה לא צמודה</w:t>
      </w:r>
      <w:r w:rsidRPr="001F2586">
        <w:rPr>
          <w:rFonts w:eastAsia="Calibri"/>
          <w:rtl/>
        </w:rPr>
        <w:t>, קיים פער בין שיעור</w:t>
      </w:r>
      <w:r w:rsidRPr="001F2586">
        <w:rPr>
          <w:rFonts w:eastAsia="Calibri" w:hint="cs"/>
          <w:rtl/>
        </w:rPr>
        <w:t>י</w:t>
      </w:r>
      <w:r w:rsidRPr="001F2586">
        <w:rPr>
          <w:rFonts w:eastAsia="Calibri"/>
          <w:rtl/>
        </w:rPr>
        <w:t xml:space="preserve"> הריבית המשוקללת </w:t>
      </w:r>
      <w:r w:rsidRPr="001F2586">
        <w:rPr>
          <w:rFonts w:eastAsia="Calibri" w:hint="cs"/>
          <w:rtl/>
        </w:rPr>
        <w:t xml:space="preserve">לבין הריבית הכוללת החזויה. עוד עולה כי ככל ששיעור גדול יותר של ההלוואה צמוד למדד כך הריבית המשוקללת נמוכה יותר, אך יש בה סיכון גבוה יותר בשל חשיפה גבוהה יותר למשתני המקרו להם יש השפעה רבה על ההחזר החודשי ועל הסכום הכולל הצפוי לאורך תקופת ההלוואה. לעומת זאת ככל ששיעור גדול יותר של הלוואה אינו חשוף למשתני המקרו, כלומר אינו חשוף לסיכונים, כך הפער בין שיעור הריבית המשוקללת והריבית הכוללת החזויה יורד. </w:t>
      </w:r>
      <w:r w:rsidRPr="001F2586">
        <w:rPr>
          <w:rFonts w:eastAsia="Calibri"/>
          <w:rtl/>
        </w:rPr>
        <w:t>פער</w:t>
      </w:r>
      <w:r w:rsidRPr="001F2586">
        <w:rPr>
          <w:rFonts w:eastAsia="Calibri" w:hint="cs"/>
          <w:rtl/>
        </w:rPr>
        <w:t>ים אלו</w:t>
      </w:r>
      <w:r w:rsidRPr="001F2586">
        <w:rPr>
          <w:rFonts w:eastAsia="Calibri"/>
          <w:rtl/>
        </w:rPr>
        <w:t xml:space="preserve"> ממחיש</w:t>
      </w:r>
      <w:r w:rsidRPr="001F2586">
        <w:rPr>
          <w:rFonts w:eastAsia="Calibri" w:hint="cs"/>
          <w:rtl/>
        </w:rPr>
        <w:t>ים</w:t>
      </w:r>
      <w:r w:rsidRPr="001F2586">
        <w:rPr>
          <w:rFonts w:eastAsia="Calibri"/>
          <w:rtl/>
        </w:rPr>
        <w:t xml:space="preserve"> את</w:t>
      </w:r>
      <w:r w:rsidRPr="001F2586">
        <w:rPr>
          <w:rFonts w:eastAsia="Calibri" w:hint="cs"/>
          <w:rtl/>
        </w:rPr>
        <w:t xml:space="preserve"> </w:t>
      </w:r>
      <w:r w:rsidRPr="001F2586">
        <w:rPr>
          <w:rFonts w:eastAsia="Calibri"/>
          <w:rtl/>
        </w:rPr>
        <w:t>השפעתם של משתני</w:t>
      </w:r>
      <w:r w:rsidRPr="001F2586">
        <w:rPr>
          <w:rFonts w:eastAsia="Calibri" w:hint="cs"/>
          <w:rtl/>
        </w:rPr>
        <w:t xml:space="preserve"> </w:t>
      </w:r>
      <w:r w:rsidRPr="001F2586">
        <w:rPr>
          <w:rFonts w:eastAsia="Calibri"/>
          <w:rtl/>
        </w:rPr>
        <w:t>המקרו על ההלוואה ואת חשיבות הצגתה של הריבית המשוקללת לצד ה</w:t>
      </w:r>
      <w:r w:rsidRPr="001F2586">
        <w:rPr>
          <w:rFonts w:eastAsia="Calibri" w:hint="cs"/>
          <w:rtl/>
        </w:rPr>
        <w:t>ריבית הכוללת החזויה</w:t>
      </w:r>
      <w:r w:rsidRPr="001F2586">
        <w:rPr>
          <w:rFonts w:eastAsia="Calibri"/>
          <w:rtl/>
        </w:rPr>
        <w:t xml:space="preserve"> בפני</w:t>
      </w:r>
      <w:r w:rsidRPr="001F2586">
        <w:rPr>
          <w:rFonts w:eastAsia="Calibri" w:hint="cs"/>
          <w:rtl/>
        </w:rPr>
        <w:t xml:space="preserve"> </w:t>
      </w:r>
      <w:r w:rsidRPr="001F2586">
        <w:rPr>
          <w:rFonts w:eastAsia="Calibri"/>
          <w:rtl/>
        </w:rPr>
        <w:t xml:space="preserve">הלקוח, כך </w:t>
      </w:r>
      <w:r w:rsidRPr="001F2586">
        <w:rPr>
          <w:rFonts w:eastAsia="Calibri" w:hint="cs"/>
          <w:rtl/>
        </w:rPr>
        <w:t>שתהיה</w:t>
      </w:r>
      <w:r w:rsidRPr="001F2586">
        <w:rPr>
          <w:rFonts w:eastAsia="Calibri"/>
          <w:rtl/>
        </w:rPr>
        <w:t xml:space="preserve"> שיקול משמעותי עבורו בתהליך נטילת ההלוואה, הן בהשוואה בין </w:t>
      </w:r>
      <w:r w:rsidRPr="001F2586">
        <w:rPr>
          <w:rFonts w:eastAsia="Calibri" w:hint="cs"/>
          <w:rtl/>
        </w:rPr>
        <w:t xml:space="preserve">הצעות </w:t>
      </w:r>
      <w:r w:rsidRPr="001F2586">
        <w:rPr>
          <w:rFonts w:eastAsia="Calibri"/>
          <w:rtl/>
        </w:rPr>
        <w:t>הבנקים והן בבחירת</w:t>
      </w:r>
      <w:r w:rsidRPr="001F2586">
        <w:rPr>
          <w:rFonts w:eastAsia="Calibri" w:hint="cs"/>
          <w:rtl/>
        </w:rPr>
        <w:t xml:space="preserve"> הרכב ההלוואה המיטבי עבורו.</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הפיקוח על הבנקים ציין במענה למשרד מבקר המדינה מיום 22.1.26 כי עמדתו היא שישנה חשיבות ללקוח להבין את השפעת השינויים בריבית ובאינפלציה על ההחזר החודשי וכי נדרש להעביר את המידע ללקוח באופן אפקטיבי. עוד ציין הפיקוח כי בעבר הייתה דרישה </w:t>
      </w:r>
      <w:r w:rsidRPr="001F2586">
        <w:rPr>
          <w:rFonts w:eastAsia="Calibri" w:hint="cs"/>
          <w:rtl/>
        </w:rPr>
        <w:t>בנב"ת</w:t>
      </w:r>
      <w:r w:rsidRPr="001F2586">
        <w:rPr>
          <w:rFonts w:eastAsia="Calibri" w:hint="cs"/>
          <w:rtl/>
        </w:rPr>
        <w:t xml:space="preserve"> 451 לתת ללקוח דפי הסבר בהם מפורטים בין השאר "</w:t>
      </w:r>
      <w:r w:rsidRPr="001F2586">
        <w:rPr>
          <w:rFonts w:eastAsia="Calibri"/>
          <w:rtl/>
        </w:rPr>
        <w:t>אופן חישוב הריבית ודוגמאות של לוחות תשלומים לכל 10,000 ש"ח</w:t>
      </w:r>
      <w:r w:rsidRPr="001F2586">
        <w:rPr>
          <w:rFonts w:eastAsia="Calibri" w:hint="cs"/>
          <w:rtl/>
        </w:rPr>
        <w:t xml:space="preserve"> </w:t>
      </w:r>
      <w:r w:rsidRPr="001F2586">
        <w:rPr>
          <w:rFonts w:eastAsia="Calibri"/>
          <w:rtl/>
        </w:rPr>
        <w:t>בשיעורי ריבית שכיחים, עבור טווחי זמן שונים</w:t>
      </w:r>
      <w:r w:rsidRPr="001F2586">
        <w:rPr>
          <w:rFonts w:eastAsia="Calibri" w:hint="cs"/>
          <w:rtl/>
        </w:rPr>
        <w:t>" שנמצאה כלא אפקטיבית ולא כללה התייחסות להשפעת האינפלציה. בשל כך החליט הפיקוח על הבנקים במסגרת רפורמת השקיפות</w:t>
      </w:r>
      <w:r>
        <w:rPr>
          <w:rFonts w:eastAsia="Calibri"/>
          <w:vertAlign w:val="superscript"/>
          <w:rtl/>
        </w:rPr>
        <w:footnoteReference w:id="296"/>
      </w:r>
      <w:r w:rsidRPr="001F2586">
        <w:rPr>
          <w:rFonts w:eastAsia="Calibri" w:hint="cs"/>
          <w:rtl/>
        </w:rPr>
        <w:t xml:space="preserve"> להחליף את דפי ההסבר המציגים דוגמאות של לוחות תשלומים לשימוש בכלי של מחשבון מקוון באתרי האינטרנט של כל בנק ולהציג את כלי הריבית החזויה באישור העקרוני. המחשבון המקוון מאפשר כאמור ביצוע של סימולציות של תמהילי הלוואות שונים המאפשרים לקבל אומדן להשפעות של שינויים בתמהיל על נתונים שונים</w:t>
      </w:r>
      <w:r>
        <w:rPr>
          <w:rFonts w:eastAsia="Calibri"/>
          <w:vertAlign w:val="superscript"/>
          <w:rtl/>
        </w:rPr>
        <w:footnoteReference w:id="297"/>
      </w:r>
      <w:r w:rsidRPr="001F2586">
        <w:rPr>
          <w:rFonts w:eastAsia="Calibri" w:hint="cs"/>
          <w:rtl/>
        </w:rPr>
        <w:t xml:space="preserve"> בהלוואה וכי כלי הריבית הכוללת החזויה כולל תחזיות לשינויים בריבית ובאינפלציה.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כאמור, הפיקוח על הבנקים ביטל בשנת 2022 את ההוראה לבנקים </w:t>
      </w:r>
      <w:r w:rsidRPr="001F2586">
        <w:rPr>
          <w:rFonts w:eastAsia="Calibri" w:hint="cs"/>
          <w:b/>
          <w:bCs/>
          <w:rtl/>
        </w:rPr>
        <w:t>בנב"ת</w:t>
      </w:r>
      <w:r w:rsidRPr="001F2586">
        <w:rPr>
          <w:rFonts w:eastAsia="Calibri" w:hint="cs"/>
          <w:b/>
          <w:bCs/>
          <w:rtl/>
        </w:rPr>
        <w:t xml:space="preserve"> 451 להציג ללקוחות דפי הסבר לגבי "אופן</w:t>
      </w:r>
      <w:r w:rsidRPr="001F2586">
        <w:rPr>
          <w:rFonts w:eastAsia="Calibri"/>
          <w:b/>
          <w:bCs/>
          <w:rtl/>
        </w:rPr>
        <w:t xml:space="preserve"> חישוב הריבית ודוגמאות של לוחות תשלומים לכל 10,000 ש"ח</w:t>
      </w:r>
      <w:r w:rsidRPr="001F2586">
        <w:rPr>
          <w:rFonts w:eastAsia="Calibri" w:hint="cs"/>
          <w:b/>
          <w:bCs/>
          <w:rtl/>
        </w:rPr>
        <w:t xml:space="preserve"> </w:t>
      </w:r>
      <w:r w:rsidRPr="001F2586">
        <w:rPr>
          <w:rFonts w:eastAsia="Calibri"/>
          <w:b/>
          <w:bCs/>
          <w:rtl/>
        </w:rPr>
        <w:t xml:space="preserve">בשיעורי </w:t>
      </w:r>
      <w:r w:rsidRPr="001F2586">
        <w:rPr>
          <w:rFonts w:eastAsia="Calibri"/>
          <w:b/>
          <w:bCs/>
          <w:rtl/>
        </w:rPr>
        <w:t>ריבית שכיחים, עבור טווחי זמן שונים</w:t>
      </w:r>
      <w:r w:rsidRPr="001F2586">
        <w:rPr>
          <w:rFonts w:eastAsia="Calibri" w:hint="cs"/>
          <w:b/>
          <w:bCs/>
          <w:rtl/>
        </w:rPr>
        <w:t>", וזאת כיוון שנמצאו כלא אפקטיביים ולא הייתה בהם התייחסות להשפעת האינפלציה. במקום דפי ההסבר החליט הפיקוח על הבנקים בשנת 2022, במסגרת רפורמת השקיפות, לאפשר ללקוחות להשתמש בכלים אחרים שיסייעו להם להבין את ההשפעות האפשריות על ההחזר החודשי במשכנתא, והם אלו: מחשבון מקוון באתרי האינטרנט של הבנקים, והצגת הריבית הכוללת החזויה באישור העקרוני ככלי להצגה של ניתוח רגישות. כמו כן, באישור העקרוני בכל סל מוצגים ההחזר החודשי הגבוה ביותר הצפוי לפי תחזית והסכום הכולל שהלווה צפוי לשלם לפי תמהיל ההלוואה. עם זאת לא נמצא כי הפיקוח על הבנקים בחן את האפקטיביות של הצגת הריבית הכוללת החזויה באישור העקרוני והאם הלווים מבינים את המשמעות שלה, כך שלא ניתן להסיק מהי מידת היעילות של השימוש בכלי זה לניתוח רגישות.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לפיקוח על הבנקים לבחון מעת לעת את מידת היעילות של השימוש בכלי הריבית החזויה ככלי ניתוח רגישות ולשקול את הצורך לבחון חלופות נוספות להצגה של ניתוחי רגישות.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בתשובת בנק ישראל צוין כי הפיקוח ביצע בחינה של אפקטיביות כלי ההשוואה בין הצעות וביצע שינויים בהמשך לממצאים שעלו בבחינה זו, וכי ימשיך לעקוב ולבחון את האפקטיביות גם בעתיד.</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bookmarkStart w:id="77" w:name="_Hlk231741864"/>
      <w:r w:rsidRPr="001F2586">
        <w:rPr>
          <w:rFonts w:eastAsia="Times New Roman" w:hint="cs"/>
          <w:bCs/>
          <w:spacing w:val="40"/>
          <w:rtl/>
        </w:rPr>
        <w:t xml:space="preserve">שיעורי </w:t>
      </w:r>
      <w:r w:rsidRPr="001F2586">
        <w:rPr>
          <w:rFonts w:eastAsia="Times New Roman" w:hint="cs"/>
          <w:bCs/>
          <w:spacing w:val="40"/>
          <w:rtl/>
        </w:rPr>
        <w:t>תיחור</w:t>
      </w:r>
      <w:r w:rsidRPr="001F2586">
        <w:rPr>
          <w:rFonts w:eastAsia="Times New Roman" w:hint="cs"/>
          <w:bCs/>
          <w:spacing w:val="40"/>
          <w:rtl/>
        </w:rPr>
        <w:t xml:space="preserve"> בלקיחת המשכנתאות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אחת המטרות של רפורמת השקיפות במשכנתאות היא להגביר את </w:t>
      </w:r>
      <w:r w:rsidRPr="001F2586">
        <w:rPr>
          <w:rFonts w:eastAsia="Calibri" w:hint="cs"/>
          <w:rtl/>
        </w:rPr>
        <w:t>התיחור</w:t>
      </w:r>
      <w:r w:rsidRPr="001F2586">
        <w:rPr>
          <w:rFonts w:eastAsia="Calibri" w:hint="cs"/>
          <w:rtl/>
        </w:rPr>
        <w:t xml:space="preserve"> שמבצעים לווים. ככל </w:t>
      </w:r>
      <w:r w:rsidRPr="001F2586">
        <w:rPr>
          <w:rFonts w:eastAsia="Calibri" w:hint="cs"/>
          <w:rtl/>
        </w:rPr>
        <w:t>שתיחור</w:t>
      </w:r>
      <w:r w:rsidRPr="001F2586">
        <w:rPr>
          <w:rFonts w:eastAsia="Calibri" w:hint="cs"/>
          <w:rtl/>
        </w:rPr>
        <w:t xml:space="preserve"> מתבצע יותר פעמים יש לכך פוטנציאל להגביר את התחרות בין הבנקים באופן שיסייע ללווה להפחית את שיעורי הריביות ואת עלויות המשכנתא. במחקר רשות התחרות משנת 2021 צוין כי "...השפעה של</w:t>
      </w:r>
      <w:r w:rsidRPr="001F2586">
        <w:rPr>
          <w:rFonts w:eastAsia="Calibri"/>
          <w:rtl/>
        </w:rPr>
        <w:t xml:space="preserve"> קבלת 1</w:t>
      </w:r>
      <w:r w:rsidRPr="001F2586">
        <w:rPr>
          <w:rFonts w:eastAsia="Calibri" w:hint="cs"/>
          <w:rtl/>
        </w:rPr>
        <w:t xml:space="preserve"> </w:t>
      </w:r>
      <w:r w:rsidRPr="001F2586">
        <w:rPr>
          <w:rFonts w:eastAsia="Calibri"/>
          <w:rtl/>
        </w:rPr>
        <w:t>-</w:t>
      </w:r>
      <w:r w:rsidRPr="001F2586">
        <w:rPr>
          <w:rFonts w:eastAsia="Calibri" w:hint="cs"/>
          <w:rtl/>
        </w:rPr>
        <w:t xml:space="preserve"> </w:t>
      </w:r>
      <w:r w:rsidRPr="001F2586">
        <w:rPr>
          <w:rFonts w:eastAsia="Calibri"/>
          <w:rtl/>
        </w:rPr>
        <w:t>2 הצעות</w:t>
      </w:r>
      <w:r w:rsidRPr="001F2586">
        <w:rPr>
          <w:rFonts w:eastAsia="Calibri" w:hint="cs"/>
          <w:rtl/>
        </w:rPr>
        <w:t xml:space="preserve"> </w:t>
      </w:r>
      <w:r w:rsidRPr="001F2586">
        <w:rPr>
          <w:rFonts w:eastAsia="Calibri"/>
          <w:rtl/>
        </w:rPr>
        <w:t>מחיר נוספות נאמדת בהפחתה ממוצעת של 8-10 נקודות בסיס. במקרים מסוימים</w:t>
      </w:r>
      <w:r w:rsidRPr="001F2586">
        <w:rPr>
          <w:rFonts w:eastAsia="Calibri" w:hint="cs"/>
          <w:rtl/>
        </w:rPr>
        <w:t xml:space="preserve"> </w:t>
      </w:r>
      <w:r w:rsidRPr="001F2586">
        <w:rPr>
          <w:rFonts w:eastAsia="Calibri"/>
          <w:rtl/>
        </w:rPr>
        <w:t xml:space="preserve">מגיעה הפחתת המחיר הנובעת </w:t>
      </w:r>
      <w:r w:rsidRPr="001F2586">
        <w:rPr>
          <w:rFonts w:eastAsia="Calibri"/>
          <w:rtl/>
        </w:rPr>
        <w:t>מתיחור</w:t>
      </w:r>
      <w:r w:rsidRPr="001F2586">
        <w:rPr>
          <w:rFonts w:eastAsia="Calibri"/>
          <w:rtl/>
        </w:rPr>
        <w:t xml:space="preserve"> עד ל</w:t>
      </w:r>
      <w:r w:rsidRPr="001F2586">
        <w:rPr>
          <w:rFonts w:eastAsia="Calibri" w:hint="cs"/>
          <w:rtl/>
        </w:rPr>
        <w:t>-</w:t>
      </w:r>
      <w:r w:rsidRPr="001F2586">
        <w:rPr>
          <w:rFonts w:eastAsia="Calibri"/>
          <w:rtl/>
        </w:rPr>
        <w:t>20 נקודות בסיס ויותר</w:t>
      </w:r>
      <w:r w:rsidRPr="001F2586">
        <w:rPr>
          <w:rFonts w:eastAsia="Calibri" w:hint="cs"/>
          <w:rtl/>
        </w:rPr>
        <w:t>", וכי "</w:t>
      </w:r>
      <w:r w:rsidRPr="001F2586">
        <w:rPr>
          <w:rFonts w:eastAsia="Calibri"/>
          <w:rtl/>
        </w:rPr>
        <w:t>החסכון</w:t>
      </w:r>
      <w:r w:rsidRPr="001F2586">
        <w:rPr>
          <w:rFonts w:eastAsia="Calibri"/>
          <w:rtl/>
        </w:rPr>
        <w:t xml:space="preserve"> הפוטנציאלי מקיום הליך של השוואת</w:t>
      </w:r>
      <w:r w:rsidRPr="001F2586">
        <w:rPr>
          <w:rFonts w:eastAsia="Calibri" w:hint="cs"/>
          <w:rtl/>
        </w:rPr>
        <w:t xml:space="preserve"> </w:t>
      </w:r>
      <w:r w:rsidRPr="001F2586">
        <w:rPr>
          <w:rFonts w:eastAsia="Calibri"/>
          <w:rtl/>
        </w:rPr>
        <w:t xml:space="preserve">מחירים, אשר אינו מתממש בפועל, גדול פי </w:t>
      </w:r>
      <w:r w:rsidRPr="001F2586">
        <w:rPr>
          <w:rFonts w:eastAsia="Calibri" w:hint="cs"/>
          <w:rtl/>
        </w:rPr>
        <w:t xml:space="preserve">2 </w:t>
      </w:r>
      <w:r w:rsidRPr="001F2586">
        <w:rPr>
          <w:rFonts w:eastAsia="Calibri"/>
          <w:rtl/>
        </w:rPr>
        <w:t>-</w:t>
      </w:r>
      <w:r w:rsidRPr="001F2586">
        <w:rPr>
          <w:rFonts w:eastAsia="Calibri" w:hint="cs"/>
          <w:rtl/>
        </w:rPr>
        <w:t xml:space="preserve"> 3</w:t>
      </w:r>
      <w:r w:rsidRPr="001F2586">
        <w:rPr>
          <w:rFonts w:eastAsia="Calibri"/>
          <w:rtl/>
        </w:rPr>
        <w:t xml:space="preserve"> </w:t>
      </w:r>
      <w:r w:rsidRPr="001F2586">
        <w:rPr>
          <w:rFonts w:eastAsia="Calibri"/>
          <w:rtl/>
        </w:rPr>
        <w:t>מהחסכון</w:t>
      </w:r>
      <w:r w:rsidRPr="001F2586">
        <w:rPr>
          <w:rFonts w:eastAsia="Calibri"/>
          <w:rtl/>
        </w:rPr>
        <w:t xml:space="preserve"> בפועל</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sz w:val="24"/>
          <w:rtl/>
        </w:rPr>
      </w:pPr>
      <w:r w:rsidRPr="001F2586">
        <w:rPr>
          <w:rFonts w:ascii="David" w:eastAsia="Calibri" w:hAnsi="David" w:hint="cs"/>
          <w:b/>
          <w:bCs/>
          <w:sz w:val="24"/>
          <w:rtl/>
        </w:rPr>
        <w:t xml:space="preserve">בשנת 2021 הכינה רשות התחרות מחקר בנושא בעיות אינפורמציה בשוק המשכנתאות ממנו עולים נתונים על רמת </w:t>
      </w:r>
      <w:r w:rsidRPr="001F2586">
        <w:rPr>
          <w:rFonts w:ascii="David" w:eastAsia="Calibri" w:hAnsi="David" w:hint="cs"/>
          <w:b/>
          <w:bCs/>
          <w:sz w:val="24"/>
          <w:rtl/>
        </w:rPr>
        <w:t>התיחור</w:t>
      </w:r>
      <w:r w:rsidRPr="001F2586">
        <w:rPr>
          <w:rFonts w:ascii="David" w:eastAsia="Calibri" w:hAnsi="David" w:hint="cs"/>
          <w:b/>
          <w:bCs/>
          <w:sz w:val="24"/>
          <w:rtl/>
        </w:rPr>
        <w:t xml:space="preserve"> בשנים 2015 - 2017. בשנת 2025 פרסם בנק ישראל סקירה שנתית ובה נתונים על רמת </w:t>
      </w:r>
      <w:r w:rsidRPr="001F2586">
        <w:rPr>
          <w:rFonts w:ascii="David" w:eastAsia="Calibri" w:hAnsi="David" w:hint="cs"/>
          <w:b/>
          <w:bCs/>
          <w:sz w:val="24"/>
          <w:rtl/>
        </w:rPr>
        <w:t>התיחור</w:t>
      </w:r>
      <w:r w:rsidRPr="001F2586">
        <w:rPr>
          <w:rFonts w:ascii="David" w:eastAsia="Calibri" w:hAnsi="David" w:hint="cs"/>
          <w:b/>
          <w:bCs/>
          <w:sz w:val="24"/>
          <w:rtl/>
        </w:rPr>
        <w:t xml:space="preserve"> בשנת 2024. יצוין כי שני המחקרים התבססו ככל הנראה על מקורות מידע שונים ונערכו במתודולוגיות שונות. משרד מבקר המדינה בחן את שני המחקרים על מנת ליצור תמונת מצב כללית בדבר רמת </w:t>
      </w:r>
      <w:r w:rsidRPr="001F2586">
        <w:rPr>
          <w:rFonts w:ascii="David" w:eastAsia="Calibri" w:hAnsi="David" w:hint="cs"/>
          <w:b/>
          <w:bCs/>
          <w:sz w:val="24"/>
          <w:rtl/>
        </w:rPr>
        <w:t>התיחור</w:t>
      </w:r>
      <w:r w:rsidRPr="001F2586">
        <w:rPr>
          <w:rFonts w:ascii="David" w:eastAsia="Calibri" w:hAnsi="David" w:hint="cs"/>
          <w:b/>
          <w:bCs/>
          <w:sz w:val="24"/>
          <w:rtl/>
        </w:rPr>
        <w:t xml:space="preserve"> בתחום לקיחת המשכנתאות. </w:t>
      </w:r>
      <w:r w:rsidRPr="001F2586">
        <w:rPr>
          <w:rFonts w:ascii="David" w:eastAsia="Calibri" w:hAnsi="David"/>
          <w:b/>
          <w:bCs/>
          <w:sz w:val="24"/>
          <w:rtl/>
        </w:rPr>
        <w:t xml:space="preserve">לפי נתוני בנק ישראל לשנת 2024 רק כ-37% </w:t>
      </w:r>
      <w:r w:rsidRPr="001F2586">
        <w:rPr>
          <w:rFonts w:ascii="David" w:eastAsia="Calibri" w:hAnsi="David" w:hint="cs"/>
          <w:b/>
          <w:bCs/>
          <w:sz w:val="24"/>
          <w:rtl/>
        </w:rPr>
        <w:t>מהלווים</w:t>
      </w:r>
      <w:r w:rsidRPr="001F2586">
        <w:rPr>
          <w:rFonts w:ascii="David" w:eastAsia="Calibri" w:hAnsi="David"/>
          <w:b/>
          <w:bCs/>
          <w:sz w:val="24"/>
          <w:rtl/>
        </w:rPr>
        <w:t xml:space="preserve"> שלקחו </w:t>
      </w:r>
      <w:r w:rsidRPr="001F2586">
        <w:rPr>
          <w:rFonts w:ascii="David" w:eastAsia="Calibri" w:hAnsi="David" w:hint="cs"/>
          <w:b/>
          <w:bCs/>
          <w:sz w:val="24"/>
          <w:rtl/>
        </w:rPr>
        <w:t xml:space="preserve">הלוואות לדיור </w:t>
      </w:r>
      <w:r w:rsidRPr="001F2586">
        <w:rPr>
          <w:rFonts w:ascii="David" w:eastAsia="Calibri" w:hAnsi="David"/>
          <w:b/>
          <w:bCs/>
          <w:sz w:val="24"/>
          <w:rtl/>
        </w:rPr>
        <w:t xml:space="preserve">בשנת 2024 </w:t>
      </w:r>
      <w:r w:rsidRPr="001F2586">
        <w:rPr>
          <w:rFonts w:ascii="David" w:eastAsia="Calibri" w:hAnsi="David" w:hint="cs"/>
          <w:b/>
          <w:bCs/>
          <w:sz w:val="24"/>
          <w:rtl/>
        </w:rPr>
        <w:t>ערכו</w:t>
      </w:r>
      <w:r w:rsidRPr="001F2586">
        <w:rPr>
          <w:rFonts w:ascii="David" w:eastAsia="Calibri" w:hAnsi="David"/>
          <w:b/>
          <w:bCs/>
          <w:sz w:val="24"/>
          <w:rtl/>
        </w:rPr>
        <w:t xml:space="preserve"> השוואה בין אישורים עקרוניים במספר בנקים (</w:t>
      </w:r>
      <w:r w:rsidRPr="001F2586">
        <w:rPr>
          <w:rFonts w:ascii="David" w:eastAsia="Calibri" w:hAnsi="David"/>
          <w:b/>
          <w:bCs/>
          <w:sz w:val="24"/>
          <w:rtl/>
        </w:rPr>
        <w:t>תיחור</w:t>
      </w:r>
      <w:r w:rsidRPr="001F2586">
        <w:rPr>
          <w:rFonts w:ascii="David" w:eastAsia="Calibri" w:hAnsi="David"/>
          <w:b/>
          <w:bCs/>
          <w:sz w:val="24"/>
        </w:rPr>
        <w:t>(</w:t>
      </w:r>
      <w:r w:rsidRPr="001F2586">
        <w:rPr>
          <w:rFonts w:ascii="David" w:eastAsia="Calibri" w:hAnsi="David"/>
          <w:b/>
          <w:bCs/>
          <w:sz w:val="24"/>
          <w:rtl/>
        </w:rPr>
        <w:t xml:space="preserve">, כלומר </w:t>
      </w:r>
      <w:r w:rsidRPr="001F2586">
        <w:rPr>
          <w:rFonts w:ascii="David" w:eastAsia="Calibri" w:hAnsi="David" w:hint="cs"/>
          <w:b/>
          <w:bCs/>
          <w:sz w:val="24"/>
          <w:rtl/>
        </w:rPr>
        <w:t>קיבלו</w:t>
      </w:r>
      <w:r w:rsidRPr="001F2586">
        <w:rPr>
          <w:rFonts w:ascii="David" w:eastAsia="Calibri" w:hAnsi="David"/>
          <w:b/>
          <w:bCs/>
          <w:sz w:val="24"/>
          <w:rtl/>
        </w:rPr>
        <w:t xml:space="preserve"> על הלוואות אלו אישור עקרוני ביותר מבנק אחד. המשמעות היא </w:t>
      </w:r>
      <w:r w:rsidRPr="001F2586">
        <w:rPr>
          <w:rFonts w:ascii="David" w:eastAsia="Calibri" w:hAnsi="David" w:hint="cs"/>
          <w:b/>
          <w:bCs/>
          <w:sz w:val="24"/>
          <w:rtl/>
        </w:rPr>
        <w:t>ש-</w:t>
      </w:r>
      <w:r w:rsidRPr="001F2586">
        <w:rPr>
          <w:rFonts w:ascii="David" w:eastAsia="Calibri" w:hAnsi="David"/>
          <w:b/>
          <w:bCs/>
          <w:sz w:val="24"/>
          <w:rtl/>
        </w:rPr>
        <w:t xml:space="preserve">63% </w:t>
      </w:r>
      <w:r w:rsidRPr="001F2586">
        <w:rPr>
          <w:rFonts w:ascii="David" w:eastAsia="Calibri" w:hAnsi="David" w:hint="cs"/>
          <w:b/>
          <w:bCs/>
          <w:sz w:val="24"/>
          <w:rtl/>
        </w:rPr>
        <w:t>מהלווים</w:t>
      </w:r>
      <w:r w:rsidRPr="001F2586">
        <w:rPr>
          <w:rFonts w:ascii="David" w:eastAsia="Calibri" w:hAnsi="David"/>
          <w:b/>
          <w:bCs/>
          <w:sz w:val="24"/>
          <w:rtl/>
        </w:rPr>
        <w:t xml:space="preserve"> כלל </w:t>
      </w:r>
      <w:r w:rsidRPr="001F2586">
        <w:rPr>
          <w:rFonts w:ascii="David" w:eastAsia="Calibri" w:hAnsi="David" w:hint="cs"/>
          <w:b/>
          <w:bCs/>
          <w:sz w:val="24"/>
          <w:rtl/>
        </w:rPr>
        <w:t>לא עושים</w:t>
      </w:r>
      <w:r w:rsidRPr="001F2586">
        <w:rPr>
          <w:rFonts w:ascii="David" w:eastAsia="Calibri" w:hAnsi="David"/>
          <w:b/>
          <w:bCs/>
          <w:sz w:val="24"/>
          <w:rtl/>
        </w:rPr>
        <w:t xml:space="preserve"> </w:t>
      </w:r>
      <w:r w:rsidRPr="001F2586">
        <w:rPr>
          <w:rFonts w:ascii="David" w:eastAsia="Calibri" w:hAnsi="David" w:hint="eastAsia"/>
          <w:b/>
          <w:bCs/>
          <w:sz w:val="24"/>
          <w:rtl/>
        </w:rPr>
        <w:t>תיחור</w:t>
      </w:r>
      <w:r w:rsidRPr="001F2586">
        <w:rPr>
          <w:rFonts w:ascii="David" w:eastAsia="Calibri" w:hAnsi="David"/>
          <w:b/>
          <w:bCs/>
          <w:sz w:val="24"/>
          <w:rtl/>
        </w:rPr>
        <w:t xml:space="preserve">. </w:t>
      </w:r>
      <w:r w:rsidRPr="001F2586">
        <w:rPr>
          <w:rFonts w:ascii="David" w:eastAsia="Calibri" w:hAnsi="David" w:hint="cs"/>
          <w:b/>
          <w:bCs/>
          <w:sz w:val="24"/>
          <w:rtl/>
        </w:rPr>
        <w:t>יצוין כי</w:t>
      </w:r>
      <w:r w:rsidRPr="001F2586">
        <w:rPr>
          <w:rFonts w:ascii="David" w:eastAsia="Calibri" w:hAnsi="David"/>
          <w:b/>
          <w:bCs/>
          <w:sz w:val="24"/>
          <w:rtl/>
        </w:rPr>
        <w:t xml:space="preserve"> </w:t>
      </w:r>
      <w:r w:rsidRPr="001F2586">
        <w:rPr>
          <w:rFonts w:ascii="David" w:eastAsia="Calibri" w:hAnsi="David" w:hint="eastAsia"/>
          <w:b/>
          <w:bCs/>
          <w:sz w:val="24"/>
          <w:rtl/>
        </w:rPr>
        <w:t>במחקר</w:t>
      </w:r>
      <w:r w:rsidRPr="001F2586">
        <w:rPr>
          <w:rFonts w:ascii="David" w:eastAsia="Calibri" w:hAnsi="David"/>
          <w:b/>
          <w:bCs/>
          <w:sz w:val="24"/>
          <w:rtl/>
        </w:rPr>
        <w:t xml:space="preserve"> רשות התחרות </w:t>
      </w:r>
      <w:r w:rsidRPr="001F2586">
        <w:rPr>
          <w:rFonts w:ascii="David" w:eastAsia="Calibri" w:hAnsi="David" w:hint="eastAsia"/>
          <w:b/>
          <w:bCs/>
          <w:sz w:val="24"/>
          <w:rtl/>
        </w:rPr>
        <w:t>משנת</w:t>
      </w:r>
      <w:r w:rsidRPr="001F2586">
        <w:rPr>
          <w:rFonts w:ascii="David" w:eastAsia="Calibri" w:hAnsi="David"/>
          <w:b/>
          <w:bCs/>
          <w:sz w:val="24"/>
          <w:rtl/>
        </w:rPr>
        <w:t xml:space="preserve"> 2021, </w:t>
      </w:r>
      <w:r w:rsidRPr="001F2586">
        <w:rPr>
          <w:rFonts w:ascii="David" w:eastAsia="Calibri" w:hAnsi="David" w:hint="eastAsia"/>
          <w:b/>
          <w:bCs/>
          <w:sz w:val="24"/>
          <w:rtl/>
        </w:rPr>
        <w:t>שנעשה</w:t>
      </w:r>
      <w:r w:rsidRPr="001F2586">
        <w:rPr>
          <w:rFonts w:ascii="David" w:eastAsia="Calibri" w:hAnsi="David"/>
          <w:b/>
          <w:bCs/>
          <w:sz w:val="24"/>
          <w:rtl/>
        </w:rPr>
        <w:t xml:space="preserve"> </w:t>
      </w:r>
      <w:r w:rsidRPr="001F2586">
        <w:rPr>
          <w:rFonts w:ascii="David" w:eastAsia="Calibri" w:hAnsi="David" w:hint="eastAsia"/>
          <w:b/>
          <w:bCs/>
          <w:sz w:val="24"/>
          <w:rtl/>
        </w:rPr>
        <w:t>על</w:t>
      </w:r>
      <w:r w:rsidRPr="001F2586">
        <w:rPr>
          <w:rFonts w:ascii="David" w:eastAsia="Calibri" w:hAnsi="David"/>
          <w:b/>
          <w:bCs/>
          <w:sz w:val="24"/>
          <w:rtl/>
        </w:rPr>
        <w:t xml:space="preserve"> </w:t>
      </w:r>
      <w:r w:rsidRPr="001F2586">
        <w:rPr>
          <w:rFonts w:ascii="David" w:eastAsia="Calibri" w:hAnsi="David" w:hint="eastAsia"/>
          <w:b/>
          <w:bCs/>
          <w:sz w:val="24"/>
          <w:rtl/>
        </w:rPr>
        <w:t>היקף</w:t>
      </w:r>
      <w:r w:rsidRPr="001F2586">
        <w:rPr>
          <w:rFonts w:ascii="David" w:eastAsia="Calibri" w:hAnsi="David"/>
          <w:b/>
          <w:bCs/>
          <w:sz w:val="24"/>
          <w:rtl/>
        </w:rPr>
        <w:t xml:space="preserve"> שונה של הלוואות </w:t>
      </w:r>
      <w:r w:rsidRPr="001F2586">
        <w:rPr>
          <w:rFonts w:ascii="David" w:eastAsia="Calibri" w:hAnsi="David" w:hint="eastAsia"/>
          <w:b/>
          <w:bCs/>
          <w:sz w:val="24"/>
          <w:rtl/>
        </w:rPr>
        <w:t>בחלק</w:t>
      </w:r>
      <w:r w:rsidRPr="001F2586">
        <w:rPr>
          <w:rFonts w:ascii="David" w:eastAsia="Calibri" w:hAnsi="David"/>
          <w:b/>
          <w:bCs/>
          <w:sz w:val="24"/>
          <w:rtl/>
        </w:rPr>
        <w:t xml:space="preserve"> </w:t>
      </w:r>
      <w:r w:rsidRPr="001F2586">
        <w:rPr>
          <w:rFonts w:ascii="David" w:eastAsia="Calibri" w:hAnsi="David" w:hint="eastAsia"/>
          <w:b/>
          <w:bCs/>
          <w:sz w:val="24"/>
          <w:rtl/>
        </w:rPr>
        <w:t>מן</w:t>
      </w:r>
      <w:r w:rsidRPr="001F2586">
        <w:rPr>
          <w:rFonts w:ascii="David" w:eastAsia="Calibri" w:hAnsi="David"/>
          <w:b/>
          <w:bCs/>
          <w:sz w:val="24"/>
          <w:rtl/>
        </w:rPr>
        <w:t xml:space="preserve"> </w:t>
      </w:r>
      <w:r w:rsidRPr="001F2586">
        <w:rPr>
          <w:rFonts w:ascii="David" w:eastAsia="Calibri" w:hAnsi="David" w:hint="eastAsia"/>
          <w:b/>
          <w:bCs/>
          <w:sz w:val="24"/>
          <w:rtl/>
        </w:rPr>
        <w:t>המערכת</w:t>
      </w:r>
      <w:r w:rsidRPr="001F2586">
        <w:rPr>
          <w:rFonts w:ascii="David" w:eastAsia="Calibri" w:hAnsi="David"/>
          <w:b/>
          <w:bCs/>
          <w:sz w:val="24"/>
          <w:rtl/>
        </w:rPr>
        <w:t xml:space="preserve"> </w:t>
      </w:r>
      <w:r w:rsidRPr="001F2586">
        <w:rPr>
          <w:rFonts w:ascii="David" w:eastAsia="Calibri" w:hAnsi="David" w:hint="eastAsia"/>
          <w:b/>
          <w:bCs/>
          <w:sz w:val="24"/>
          <w:rtl/>
        </w:rPr>
        <w:t>הבנקאית</w:t>
      </w:r>
      <w:r w:rsidRPr="001F2586">
        <w:rPr>
          <w:rFonts w:ascii="David" w:eastAsia="Calibri" w:hAnsi="David"/>
          <w:b/>
          <w:bCs/>
          <w:sz w:val="24"/>
          <w:rtl/>
        </w:rPr>
        <w:t xml:space="preserve">, </w:t>
      </w:r>
      <w:r w:rsidRPr="001F2586">
        <w:rPr>
          <w:rFonts w:ascii="David" w:eastAsia="Calibri" w:hAnsi="David" w:hint="eastAsia"/>
          <w:b/>
          <w:bCs/>
          <w:sz w:val="24"/>
          <w:rtl/>
        </w:rPr>
        <w:t>נמצא</w:t>
      </w:r>
      <w:r w:rsidRPr="001F2586">
        <w:rPr>
          <w:rFonts w:ascii="David" w:eastAsia="Calibri" w:hAnsi="David"/>
          <w:b/>
          <w:bCs/>
          <w:sz w:val="24"/>
          <w:rtl/>
        </w:rPr>
        <w:t xml:space="preserve"> </w:t>
      </w:r>
      <w:r w:rsidRPr="001F2586">
        <w:rPr>
          <w:rFonts w:ascii="David" w:eastAsia="Calibri" w:hAnsi="David" w:hint="eastAsia"/>
          <w:b/>
          <w:bCs/>
          <w:sz w:val="24"/>
          <w:rtl/>
        </w:rPr>
        <w:t>כי</w:t>
      </w:r>
      <w:r w:rsidRPr="001F2586">
        <w:rPr>
          <w:rFonts w:ascii="David" w:eastAsia="Calibri" w:hAnsi="David"/>
          <w:b/>
          <w:bCs/>
          <w:sz w:val="24"/>
          <w:rtl/>
        </w:rPr>
        <w:t xml:space="preserve"> </w:t>
      </w:r>
      <w:r w:rsidRPr="001F2586">
        <w:rPr>
          <w:rFonts w:ascii="David" w:eastAsia="Calibri" w:hAnsi="David" w:hint="eastAsia"/>
          <w:b/>
          <w:bCs/>
          <w:sz w:val="24"/>
          <w:rtl/>
        </w:rPr>
        <w:t>שיעור</w:t>
      </w:r>
      <w:r w:rsidRPr="001F2586">
        <w:rPr>
          <w:rFonts w:ascii="David" w:eastAsia="Calibri" w:hAnsi="David"/>
          <w:b/>
          <w:bCs/>
          <w:sz w:val="24"/>
          <w:rtl/>
        </w:rPr>
        <w:t xml:space="preserve"> </w:t>
      </w:r>
      <w:r w:rsidRPr="001F2586">
        <w:rPr>
          <w:rFonts w:ascii="David" w:eastAsia="Calibri" w:hAnsi="David" w:hint="cs"/>
          <w:b/>
          <w:bCs/>
          <w:sz w:val="24"/>
          <w:rtl/>
        </w:rPr>
        <w:t>הלווים</w:t>
      </w:r>
      <w:r>
        <w:rPr>
          <w:rFonts w:ascii="David" w:eastAsia="Calibri" w:hAnsi="David"/>
          <w:b/>
          <w:bCs/>
          <w:sz w:val="24"/>
          <w:vertAlign w:val="superscript"/>
          <w:rtl/>
        </w:rPr>
        <w:footnoteReference w:id="298"/>
      </w:r>
      <w:r w:rsidRPr="001F2586">
        <w:rPr>
          <w:rFonts w:ascii="David" w:eastAsia="Calibri" w:hAnsi="David"/>
          <w:b/>
          <w:bCs/>
          <w:sz w:val="24"/>
          <w:rtl/>
        </w:rPr>
        <w:t xml:space="preserve"> </w:t>
      </w:r>
      <w:r w:rsidRPr="001F2586">
        <w:rPr>
          <w:rFonts w:ascii="David" w:eastAsia="Calibri" w:hAnsi="David" w:hint="cs"/>
          <w:b/>
          <w:bCs/>
          <w:sz w:val="24"/>
          <w:rtl/>
        </w:rPr>
        <w:t xml:space="preserve">שביצעו </w:t>
      </w:r>
      <w:r w:rsidRPr="001F2586">
        <w:rPr>
          <w:rFonts w:ascii="David" w:eastAsia="Calibri" w:hAnsi="David" w:hint="cs"/>
          <w:b/>
          <w:bCs/>
          <w:sz w:val="24"/>
          <w:rtl/>
        </w:rPr>
        <w:t>תיחור</w:t>
      </w:r>
      <w:r w:rsidRPr="001F2586">
        <w:rPr>
          <w:rFonts w:ascii="David" w:eastAsia="Calibri" w:hAnsi="David"/>
          <w:b/>
          <w:bCs/>
          <w:sz w:val="24"/>
          <w:rtl/>
        </w:rPr>
        <w:t xml:space="preserve"> בשנים 2015 - 2017 הוא כ-44%</w:t>
      </w:r>
      <w:r w:rsidRPr="001F2586">
        <w:rPr>
          <w:rFonts w:ascii="David" w:eastAsia="Calibri" w:hAnsi="David" w:hint="cs"/>
          <w:b/>
          <w:bCs/>
          <w:sz w:val="24"/>
          <w:rtl/>
        </w:rPr>
        <w:t xml:space="preserve">, כך שכ-56% מהם כלל לא עושים </w:t>
      </w:r>
      <w:r w:rsidRPr="001F2586">
        <w:rPr>
          <w:rFonts w:ascii="David" w:eastAsia="Calibri" w:hAnsi="David" w:hint="cs"/>
          <w:b/>
          <w:bCs/>
          <w:sz w:val="24"/>
          <w:rtl/>
        </w:rPr>
        <w:t>תיחור</w:t>
      </w:r>
      <w:r w:rsidRPr="001F2586">
        <w:rPr>
          <w:rFonts w:ascii="David" w:eastAsia="Calibri" w:hAnsi="David"/>
          <w:b/>
          <w:bCs/>
          <w:sz w:val="24"/>
          <w:rtl/>
        </w:rPr>
        <w:t xml:space="preserve">. עוד עולה </w:t>
      </w:r>
      <w:r w:rsidRPr="001F2586">
        <w:rPr>
          <w:rFonts w:ascii="David" w:eastAsia="Calibri" w:hAnsi="David" w:hint="eastAsia"/>
          <w:b/>
          <w:bCs/>
          <w:sz w:val="24"/>
          <w:rtl/>
        </w:rPr>
        <w:t>מ</w:t>
      </w:r>
      <w:r w:rsidRPr="001F2586">
        <w:rPr>
          <w:rFonts w:ascii="David" w:eastAsia="Calibri" w:hAnsi="David"/>
          <w:b/>
          <w:bCs/>
          <w:sz w:val="24"/>
          <w:rtl/>
        </w:rPr>
        <w:t xml:space="preserve">נתוני בנק ישראל לשנת 2024 כי למאפייני הלווה יש השפעה רבה על שיעור </w:t>
      </w:r>
      <w:r w:rsidRPr="001F2586">
        <w:rPr>
          <w:rFonts w:ascii="David" w:eastAsia="Calibri" w:hAnsi="David" w:hint="eastAsia"/>
          <w:b/>
          <w:bCs/>
          <w:sz w:val="24"/>
          <w:rtl/>
        </w:rPr>
        <w:t>התיחור</w:t>
      </w:r>
      <w:r w:rsidRPr="001F2586">
        <w:rPr>
          <w:rFonts w:ascii="David" w:eastAsia="Calibri" w:hAnsi="David"/>
          <w:b/>
          <w:bCs/>
          <w:sz w:val="24"/>
          <w:rtl/>
        </w:rPr>
        <w:t xml:space="preserve">. כך למשל, ככל שהדירוג הסוציו-אקונומי עולה כך הסבירות שהלווה יעשה </w:t>
      </w:r>
      <w:r w:rsidRPr="001F2586">
        <w:rPr>
          <w:rFonts w:ascii="David" w:eastAsia="Calibri" w:hAnsi="David" w:hint="eastAsia"/>
          <w:b/>
          <w:bCs/>
          <w:sz w:val="24"/>
          <w:rtl/>
        </w:rPr>
        <w:t>תיחור</w:t>
      </w:r>
      <w:r w:rsidRPr="001F2586">
        <w:rPr>
          <w:rFonts w:ascii="David" w:eastAsia="Calibri" w:hAnsi="David"/>
          <w:b/>
          <w:bCs/>
          <w:sz w:val="24"/>
          <w:rtl/>
        </w:rPr>
        <w:t xml:space="preserve"> גדל, וכי ככל שגיל הלווה עולה הסבירות שייעשה </w:t>
      </w:r>
      <w:r w:rsidRPr="001F2586">
        <w:rPr>
          <w:rFonts w:ascii="David" w:eastAsia="Calibri" w:hAnsi="David" w:hint="eastAsia"/>
          <w:b/>
          <w:bCs/>
          <w:sz w:val="24"/>
          <w:rtl/>
        </w:rPr>
        <w:t>תיחור</w:t>
      </w:r>
      <w:r w:rsidRPr="001F2586">
        <w:rPr>
          <w:rFonts w:ascii="David" w:eastAsia="Calibri" w:hAnsi="David"/>
          <w:b/>
          <w:bCs/>
          <w:sz w:val="24"/>
          <w:rtl/>
        </w:rPr>
        <w:t xml:space="preserve"> יורדת. בנוסף, לסוג הדירה הנרכשת או למטרת ההלוואה יש גם השפעה על הסבירות לביצוע </w:t>
      </w:r>
      <w:r w:rsidRPr="001F2586">
        <w:rPr>
          <w:rFonts w:ascii="David" w:eastAsia="Calibri" w:hAnsi="David" w:hint="eastAsia"/>
          <w:b/>
          <w:bCs/>
          <w:sz w:val="24"/>
          <w:rtl/>
        </w:rPr>
        <w:t>תיחור</w:t>
      </w:r>
      <w:r w:rsidRPr="001F2586">
        <w:rPr>
          <w:rFonts w:ascii="David" w:eastAsia="Calibri" w:hAnsi="David"/>
          <w:b/>
          <w:bCs/>
          <w:sz w:val="24"/>
          <w:rtl/>
        </w:rPr>
        <w:t xml:space="preserve"> ועל שיעורו</w:t>
      </w:r>
      <w:r>
        <w:rPr>
          <w:rFonts w:ascii="David" w:eastAsia="Calibri" w:hAnsi="David"/>
          <w:b/>
          <w:bCs/>
          <w:sz w:val="24"/>
          <w:vertAlign w:val="superscript"/>
          <w:rtl/>
        </w:rPr>
        <w:footnoteReference w:id="299"/>
      </w:r>
      <w:r w:rsidRPr="001F2586">
        <w:rPr>
          <w:rFonts w:ascii="David" w:eastAsia="Calibri" w:hAnsi="David"/>
          <w:b/>
          <w:bCs/>
          <w:sz w:val="24"/>
          <w:rtl/>
        </w:rPr>
        <w:t xml:space="preserve">. יצוין כי לפי נתונים שהציג בנק ישראל שיעור </w:t>
      </w:r>
      <w:r w:rsidRPr="001F2586">
        <w:rPr>
          <w:rFonts w:ascii="David" w:eastAsia="Calibri" w:hAnsi="David" w:hint="eastAsia"/>
          <w:b/>
          <w:bCs/>
          <w:sz w:val="24"/>
          <w:rtl/>
        </w:rPr>
        <w:t>התיחור</w:t>
      </w:r>
      <w:r w:rsidRPr="001F2586">
        <w:rPr>
          <w:rFonts w:ascii="David" w:eastAsia="Calibri" w:hAnsi="David"/>
          <w:b/>
          <w:bCs/>
          <w:sz w:val="24"/>
          <w:rtl/>
        </w:rPr>
        <w:t xml:space="preserve"> גדל בהלוואות שנעשות בליווי של יועץ לעומת הלוואות שאינן בליווי יועץ</w:t>
      </w:r>
      <w:r>
        <w:rPr>
          <w:rFonts w:ascii="David" w:eastAsia="Calibri" w:hAnsi="David"/>
          <w:b/>
          <w:bCs/>
          <w:sz w:val="24"/>
          <w:vertAlign w:val="superscript"/>
          <w:rtl/>
        </w:rPr>
        <w:footnoteReference w:id="300"/>
      </w:r>
      <w:r w:rsidRPr="001F2586">
        <w:rPr>
          <w:rFonts w:ascii="David" w:eastAsia="Calibri" w:hAnsi="David"/>
          <w:b/>
          <w:bCs/>
          <w:sz w:val="24"/>
          <w:rtl/>
        </w:rPr>
        <w:t>.</w:t>
      </w:r>
      <w:r w:rsidRPr="001F2586">
        <w:rPr>
          <w:rFonts w:ascii="David" w:eastAsia="Calibri" w:hAnsi="David" w:hint="cs"/>
          <w:sz w:val="24"/>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sz w:val="24"/>
          <w:rtl/>
        </w:rPr>
      </w:pPr>
      <w:r w:rsidRPr="001F2586">
        <w:rPr>
          <w:rFonts w:ascii="David" w:eastAsia="Calibri" w:hAnsi="David" w:hint="cs"/>
          <w:sz w:val="24"/>
          <w:rtl/>
        </w:rPr>
        <w:t xml:space="preserve">להלן שיעורי </w:t>
      </w:r>
      <w:r w:rsidRPr="001F2586">
        <w:rPr>
          <w:rFonts w:ascii="David" w:eastAsia="Calibri" w:hAnsi="David" w:hint="cs"/>
          <w:sz w:val="24"/>
          <w:rtl/>
        </w:rPr>
        <w:t>התיחור</w:t>
      </w:r>
      <w:r w:rsidRPr="001F2586">
        <w:rPr>
          <w:rFonts w:ascii="David" w:eastAsia="Calibri" w:hAnsi="David" w:hint="cs"/>
          <w:sz w:val="24"/>
          <w:rtl/>
        </w:rPr>
        <w:t xml:space="preserve"> בהלוואות שנלקחו בשנת 2024 לרכישת דירה</w:t>
      </w:r>
      <w:r>
        <w:rPr>
          <w:rFonts w:ascii="David" w:eastAsia="Calibri" w:hAnsi="David"/>
          <w:sz w:val="24"/>
          <w:vertAlign w:val="superscript"/>
          <w:rtl/>
        </w:rPr>
        <w:footnoteReference w:id="301"/>
      </w:r>
      <w:r w:rsidRPr="001F2586">
        <w:rPr>
          <w:rFonts w:ascii="David" w:eastAsia="Calibri" w:hAnsi="David" w:hint="cs"/>
          <w:sz w:val="24"/>
          <w:rtl/>
        </w:rPr>
        <w:t xml:space="preserve"> לאחר יישום הרפורמה, ושיעורי </w:t>
      </w:r>
      <w:r w:rsidRPr="001F2586">
        <w:rPr>
          <w:rFonts w:ascii="David" w:eastAsia="Calibri" w:hAnsi="David" w:hint="cs"/>
          <w:sz w:val="24"/>
          <w:rtl/>
        </w:rPr>
        <w:t>התיחור</w:t>
      </w:r>
      <w:r w:rsidRPr="001F2586">
        <w:rPr>
          <w:rFonts w:ascii="David" w:eastAsia="Calibri" w:hAnsi="David" w:hint="cs"/>
          <w:sz w:val="24"/>
          <w:rtl/>
        </w:rPr>
        <w:t xml:space="preserve"> בהלוואות שנלקחו לרכישת דירה לפני יישום הרפורמה, בשנים 2015 - 2017</w:t>
      </w:r>
      <w:r>
        <w:rPr>
          <w:rFonts w:ascii="David" w:eastAsia="Calibri" w:hAnsi="David"/>
          <w:sz w:val="24"/>
          <w:vertAlign w:val="superscript"/>
          <w:rtl/>
        </w:rPr>
        <w:footnoteReference w:id="302"/>
      </w:r>
      <w:r w:rsidRPr="001F2586">
        <w:rPr>
          <w:rFonts w:ascii="David" w:eastAsia="Calibri" w:hAnsi="David" w:hint="cs"/>
          <w:sz w:val="24"/>
          <w:rtl/>
        </w:rPr>
        <w:t>, בפילוח לפי סוג הדירה הנרכשת (דירה יחידה; דירה חליפית; ודירה להשקעה)</w:t>
      </w:r>
      <w:r>
        <w:rPr>
          <w:rFonts w:ascii="David" w:eastAsia="Calibri" w:hAnsi="David"/>
          <w:sz w:val="24"/>
          <w:vertAlign w:val="superscript"/>
          <w:rtl/>
        </w:rPr>
        <w:footnoteReference w:id="303"/>
      </w:r>
      <w:r w:rsidRPr="001F2586">
        <w:rPr>
          <w:rFonts w:ascii="David" w:eastAsia="Calibri" w:hAnsi="David" w:hint="cs"/>
          <w:sz w:val="24"/>
          <w:rtl/>
        </w:rPr>
        <w:t xml:space="preserve">: </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sz w:val="24"/>
          <w:rtl/>
        </w:rPr>
      </w:pPr>
      <w:r w:rsidRPr="001F2586">
        <w:rPr>
          <w:rFonts w:eastAsia="Calibri" w:hint="eastAsia"/>
          <w:b/>
          <w:sz w:val="24"/>
          <w:rtl/>
        </w:rPr>
        <w:t>תרשים</w:t>
      </w:r>
      <w:r w:rsidRPr="001F2586">
        <w:rPr>
          <w:rFonts w:eastAsia="Calibri"/>
          <w:b/>
          <w:sz w:val="24"/>
          <w:rtl/>
        </w:rPr>
        <w:t xml:space="preserve"> </w:t>
      </w:r>
      <w:r w:rsidRPr="001F2586">
        <w:rPr>
          <w:rFonts w:eastAsia="Calibri" w:hint="cs"/>
          <w:b/>
          <w:sz w:val="24"/>
          <w:rtl/>
        </w:rPr>
        <w:t>37</w:t>
      </w:r>
      <w:r w:rsidRPr="001F2586">
        <w:rPr>
          <w:rFonts w:eastAsia="Calibri"/>
          <w:b/>
          <w:sz w:val="24"/>
          <w:rtl/>
        </w:rPr>
        <w:t>:</w:t>
      </w:r>
      <w:r w:rsidRPr="001F2586">
        <w:rPr>
          <w:rFonts w:eastAsia="Calibri"/>
          <w:bCs/>
          <w:sz w:val="24"/>
          <w:rtl/>
        </w:rPr>
        <w:t xml:space="preserve"> </w:t>
      </w:r>
      <w:r w:rsidRPr="001F2586">
        <w:rPr>
          <w:rFonts w:eastAsia="Calibri" w:hint="eastAsia"/>
          <w:bCs/>
          <w:sz w:val="24"/>
          <w:rtl/>
        </w:rPr>
        <w:t>שיעורי</w:t>
      </w:r>
      <w:r w:rsidRPr="001F2586">
        <w:rPr>
          <w:rFonts w:eastAsia="Calibri"/>
          <w:bCs/>
          <w:sz w:val="24"/>
          <w:rtl/>
        </w:rPr>
        <w:t xml:space="preserve"> </w:t>
      </w:r>
      <w:r w:rsidRPr="001F2586">
        <w:rPr>
          <w:rFonts w:eastAsia="Calibri" w:hint="eastAsia"/>
          <w:bCs/>
          <w:sz w:val="24"/>
          <w:rtl/>
        </w:rPr>
        <w:t>התיחור</w:t>
      </w:r>
      <w:r w:rsidRPr="001F2586">
        <w:rPr>
          <w:rFonts w:eastAsia="Calibri"/>
          <w:bCs/>
          <w:sz w:val="24"/>
          <w:rtl/>
        </w:rPr>
        <w:t xml:space="preserve"> </w:t>
      </w:r>
      <w:r w:rsidRPr="001F2586">
        <w:rPr>
          <w:rFonts w:eastAsia="Calibri" w:hint="eastAsia"/>
          <w:bCs/>
          <w:sz w:val="24"/>
          <w:rtl/>
        </w:rPr>
        <w:t>בהלוואות</w:t>
      </w:r>
      <w:r w:rsidRPr="001F2586">
        <w:rPr>
          <w:rFonts w:eastAsia="Calibri"/>
          <w:bCs/>
          <w:sz w:val="24"/>
          <w:rtl/>
        </w:rPr>
        <w:t xml:space="preserve"> </w:t>
      </w:r>
      <w:r w:rsidRPr="001F2586">
        <w:rPr>
          <w:rFonts w:eastAsia="Calibri" w:hint="cs"/>
          <w:bCs/>
          <w:sz w:val="24"/>
          <w:rtl/>
        </w:rPr>
        <w:t>לרכישת דירות (דירה יחידה, דירה חליפית ודירה להשקעה)</w:t>
      </w:r>
    </w:p>
    <w:p w:rsidR="001F2586" w:rsidRPr="001F2586" w:rsidP="001F2586">
      <w:pPr>
        <w:spacing w:line="269" w:lineRule="auto"/>
        <w:ind w:left="-1"/>
        <w:jc w:val="center"/>
        <w:rPr>
          <w:rFonts w:eastAsia="Calibri"/>
          <w:szCs w:val="20"/>
          <w:rtl/>
        </w:rPr>
      </w:pPr>
      <w:r w:rsidRPr="001F2586">
        <w:rPr>
          <w:rFonts w:eastAsia="Calibri"/>
          <w:noProof/>
          <w:szCs w:val="20"/>
        </w:rPr>
        <w:drawing>
          <wp:inline distT="0" distB="0" distL="0" distR="0">
            <wp:extent cx="4444365" cy="3194685"/>
            <wp:effectExtent l="0" t="0" r="0" b="5715"/>
            <wp:docPr id="36" name="תמונה 36" descr="שיעורי תיחור (באחוזים) בשנים 2015 -2017: דירה יחידה- 47, דירה חליפית 41, דירה להשקעה - 36.&#10;&#10;שיעורי תיחור (באחוזים) בשנת 2024:  דירה יחידה- 46, דירה חליפית 40, דירה להשקעה -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444365" cy="3194685"/>
                    </a:xfrm>
                    <a:prstGeom prst="rect">
                      <a:avLst/>
                    </a:prstGeom>
                    <a:noFill/>
                  </pic:spPr>
                </pic:pic>
              </a:graphicData>
            </a:graphic>
          </wp:inline>
        </w:drawing>
      </w:r>
    </w:p>
    <w:p w:rsidR="001F2586" w:rsidRPr="001F2586" w:rsidP="001F2586">
      <w:pPr>
        <w:spacing w:line="269" w:lineRule="auto"/>
        <w:rPr>
          <w:rFonts w:ascii="David" w:eastAsia="Calibri" w:hAnsi="David"/>
          <w:szCs w:val="20"/>
          <w:rtl/>
        </w:rPr>
      </w:pPr>
      <w:r w:rsidRPr="001F2586">
        <w:rPr>
          <w:rFonts w:ascii="David" w:eastAsia="Calibri" w:hAnsi="David" w:hint="cs"/>
          <w:szCs w:val="20"/>
          <w:rtl/>
        </w:rPr>
        <w:t>ה</w:t>
      </w:r>
      <w:r w:rsidRPr="001F2586">
        <w:rPr>
          <w:rFonts w:ascii="David" w:eastAsia="Calibri" w:hAnsi="David"/>
          <w:szCs w:val="20"/>
          <w:rtl/>
        </w:rPr>
        <w:t xml:space="preserve">מקורות: הפיקוח על הבנקים, </w:t>
      </w:r>
      <w:r w:rsidR="00260379">
        <w:rPr>
          <w:rFonts w:ascii="David" w:eastAsia="Calibri" w:hAnsi="David" w:hint="cs"/>
          <w:szCs w:val="20"/>
          <w:rtl/>
        </w:rPr>
        <w:t>"</w:t>
      </w:r>
      <w:r w:rsidRPr="001F2586">
        <w:rPr>
          <w:rFonts w:ascii="David" w:eastAsia="Calibri" w:hAnsi="David"/>
          <w:szCs w:val="20"/>
          <w:rtl/>
        </w:rPr>
        <w:t>מערכת הבנקאות בישראל-סקירה שנתית לשנת 2024</w:t>
      </w:r>
      <w:r w:rsidR="00260379">
        <w:rPr>
          <w:rFonts w:ascii="David" w:eastAsia="Calibri" w:hAnsi="David" w:hint="cs"/>
          <w:szCs w:val="20"/>
          <w:rtl/>
        </w:rPr>
        <w:t>"</w:t>
      </w:r>
      <w:r w:rsidRPr="001F2586">
        <w:rPr>
          <w:rFonts w:ascii="David" w:eastAsia="Calibri" w:hAnsi="David"/>
          <w:szCs w:val="20"/>
          <w:rtl/>
        </w:rPr>
        <w:t xml:space="preserve"> (מאי 2025)</w:t>
      </w:r>
      <w:r w:rsidRPr="001F2586">
        <w:rPr>
          <w:rFonts w:ascii="David" w:eastAsia="Calibri" w:hAnsi="David"/>
          <w:rtl/>
        </w:rPr>
        <w:t>,</w:t>
      </w:r>
      <w:r w:rsidRPr="001F2586">
        <w:rPr>
          <w:rFonts w:ascii="David" w:eastAsia="Calibri" w:hAnsi="David"/>
          <w:szCs w:val="20"/>
          <w:rtl/>
        </w:rPr>
        <w:t xml:space="preserve"> עמ' 96; ורשות התחרות, </w:t>
      </w:r>
      <w:r w:rsidR="00260379">
        <w:rPr>
          <w:rFonts w:ascii="David" w:eastAsia="Calibri" w:hAnsi="David" w:hint="cs"/>
          <w:szCs w:val="20"/>
          <w:rtl/>
        </w:rPr>
        <w:t>"</w:t>
      </w:r>
      <w:hyperlink r:id="rId50" w:history="1">
        <w:r w:rsidRPr="00260379">
          <w:rPr>
            <w:rFonts w:ascii="David" w:eastAsia="Calibri" w:hAnsi="David"/>
            <w:szCs w:val="20"/>
            <w:rtl/>
          </w:rPr>
          <w:t>בעיות אינפורמציה בשוק המשכנתאות בישראל</w:t>
        </w:r>
      </w:hyperlink>
      <w:r w:rsidRPr="001F2586">
        <w:rPr>
          <w:rFonts w:ascii="David" w:eastAsia="Calibri" w:hAnsi="David"/>
          <w:szCs w:val="20"/>
          <w:rtl/>
        </w:rPr>
        <w:t>: פיזור מחירים וחיפוש</w:t>
      </w:r>
      <w:r w:rsidR="00260379">
        <w:rPr>
          <w:rFonts w:ascii="David" w:eastAsia="Calibri" w:hAnsi="David" w:hint="cs"/>
          <w:szCs w:val="20"/>
          <w:rtl/>
        </w:rPr>
        <w:t>"</w:t>
      </w:r>
      <w:r w:rsidRPr="001F2586">
        <w:rPr>
          <w:rFonts w:ascii="David" w:eastAsia="Calibri" w:hAnsi="David"/>
          <w:szCs w:val="20"/>
          <w:rtl/>
        </w:rPr>
        <w:t xml:space="preserve"> (יולי 2021), עמ' 29.</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מהתרשים</w:t>
      </w:r>
      <w:r w:rsidRPr="001F2586">
        <w:rPr>
          <w:rFonts w:eastAsia="Calibri"/>
          <w:rtl/>
        </w:rPr>
        <w:t xml:space="preserve"> </w:t>
      </w:r>
      <w:r w:rsidRPr="001F2586">
        <w:rPr>
          <w:rFonts w:eastAsia="Calibri" w:hint="cs"/>
          <w:rtl/>
        </w:rPr>
        <w:t xml:space="preserve">עולה כי שיעור </w:t>
      </w:r>
      <w:r w:rsidRPr="001F2586">
        <w:rPr>
          <w:rFonts w:eastAsia="Calibri" w:hint="cs"/>
          <w:rtl/>
        </w:rPr>
        <w:t>התיחור</w:t>
      </w:r>
      <w:r w:rsidRPr="001F2586">
        <w:rPr>
          <w:rFonts w:eastAsia="Calibri" w:hint="cs"/>
          <w:rtl/>
        </w:rPr>
        <w:t xml:space="preserve"> הגבוה ביותר הוא בדירה ראשונה והשיעור הנמוך ביותר הוא בדירה להשקעה. יצוין בנוסף כי לפי נתוני בנק ישראל שיעור </w:t>
      </w:r>
      <w:r w:rsidRPr="001F2586">
        <w:rPr>
          <w:rFonts w:eastAsia="Calibri" w:hint="cs"/>
          <w:rtl/>
        </w:rPr>
        <w:t>התיחור</w:t>
      </w:r>
      <w:r w:rsidRPr="001F2586">
        <w:rPr>
          <w:rFonts w:eastAsia="Calibri" w:hint="cs"/>
          <w:rtl/>
        </w:rPr>
        <w:t xml:space="preserve"> במחזורים ובהלוואות בביטחון דירת מגורים הם נמוכים יותר, כ-38% וכ-17% בהתאמה.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b/>
          <w:bCs/>
          <w:rtl/>
        </w:rPr>
        <w:t xml:space="preserve">אחת המטרות שהגדיר בנק ישראל ברפורמת השקיפות במשכנתאות </w:t>
      </w:r>
      <w:r w:rsidRPr="001F2586">
        <w:rPr>
          <w:rFonts w:eastAsia="Calibri" w:hint="cs"/>
          <w:b/>
          <w:bCs/>
          <w:rtl/>
        </w:rPr>
        <w:t xml:space="preserve">מאוגוסט 2022 </w:t>
      </w:r>
      <w:r w:rsidRPr="001F2586">
        <w:rPr>
          <w:rFonts w:eastAsia="Calibri"/>
          <w:b/>
          <w:bCs/>
          <w:rtl/>
        </w:rPr>
        <w:t xml:space="preserve">היא להגביר את </w:t>
      </w:r>
      <w:r w:rsidRPr="001F2586">
        <w:rPr>
          <w:rFonts w:eastAsia="Calibri"/>
          <w:b/>
          <w:bCs/>
          <w:rtl/>
        </w:rPr>
        <w:t>התיחור</w:t>
      </w:r>
      <w:r w:rsidRPr="001F2586">
        <w:rPr>
          <w:rFonts w:eastAsia="Calibri"/>
          <w:b/>
          <w:bCs/>
          <w:rtl/>
        </w:rPr>
        <w:t xml:space="preserve"> שמבצעים לווים. </w:t>
      </w:r>
      <w:r w:rsidRPr="001F2586">
        <w:rPr>
          <w:rFonts w:eastAsia="Calibri" w:hint="cs"/>
          <w:b/>
          <w:bCs/>
          <w:rtl/>
        </w:rPr>
        <w:t xml:space="preserve">נמצא כי </w:t>
      </w:r>
      <w:r w:rsidRPr="001F2586">
        <w:rPr>
          <w:rFonts w:eastAsia="Calibri"/>
          <w:b/>
          <w:bCs/>
          <w:rtl/>
        </w:rPr>
        <w:t xml:space="preserve">על אף הרפורמה, </w:t>
      </w:r>
      <w:r w:rsidRPr="001F2586">
        <w:rPr>
          <w:rFonts w:eastAsia="Calibri" w:hint="cs"/>
          <w:b/>
          <w:bCs/>
          <w:rtl/>
        </w:rPr>
        <w:t xml:space="preserve">על פי נתוני בנק ישראל, </w:t>
      </w:r>
      <w:r w:rsidRPr="001F2586">
        <w:rPr>
          <w:rFonts w:eastAsia="Calibri"/>
          <w:b/>
          <w:bCs/>
          <w:rtl/>
        </w:rPr>
        <w:t xml:space="preserve">שיעור </w:t>
      </w:r>
      <w:r w:rsidRPr="001F2586">
        <w:rPr>
          <w:rFonts w:eastAsia="Calibri"/>
          <w:b/>
          <w:bCs/>
          <w:rtl/>
        </w:rPr>
        <w:t>התיחור</w:t>
      </w:r>
      <w:r w:rsidRPr="001F2586">
        <w:rPr>
          <w:rFonts w:eastAsia="Calibri"/>
          <w:b/>
          <w:bCs/>
          <w:rtl/>
        </w:rPr>
        <w:t xml:space="preserve"> </w:t>
      </w:r>
      <w:r w:rsidRPr="001F2586">
        <w:rPr>
          <w:rFonts w:eastAsia="Calibri" w:hint="cs"/>
          <w:b/>
          <w:bCs/>
          <w:rtl/>
        </w:rPr>
        <w:t xml:space="preserve">של לווים </w:t>
      </w:r>
      <w:r w:rsidRPr="001F2586">
        <w:rPr>
          <w:rFonts w:eastAsia="Calibri"/>
          <w:b/>
          <w:bCs/>
          <w:rtl/>
        </w:rPr>
        <w:t>בשנת 2024 לאחר יישום הרפורמה</w:t>
      </w:r>
      <w:r w:rsidRPr="001F2586">
        <w:rPr>
          <w:rFonts w:eastAsia="Calibri" w:hint="cs"/>
          <w:b/>
          <w:bCs/>
          <w:rtl/>
        </w:rPr>
        <w:t xml:space="preserve"> הוא נמוך יחסית</w:t>
      </w:r>
      <w:r w:rsidRPr="001F2586">
        <w:rPr>
          <w:rFonts w:eastAsia="Calibri"/>
          <w:b/>
          <w:bCs/>
          <w:rtl/>
        </w:rPr>
        <w:t>(37%)</w:t>
      </w:r>
      <w:r w:rsidRPr="001F2586">
        <w:rPr>
          <w:rFonts w:eastAsia="Calibri" w:hint="cs"/>
          <w:b/>
          <w:bCs/>
          <w:rtl/>
        </w:rPr>
        <w:t>,</w:t>
      </w:r>
      <w:r w:rsidRPr="001F2586">
        <w:rPr>
          <w:rFonts w:eastAsia="Calibri"/>
          <w:b/>
          <w:bCs/>
          <w:rtl/>
        </w:rPr>
        <w:t xml:space="preserve"> </w:t>
      </w:r>
      <w:r w:rsidRPr="001F2586">
        <w:rPr>
          <w:rFonts w:ascii="David" w:eastAsia="Calibri" w:hAnsi="David" w:hint="cs"/>
          <w:b/>
          <w:bCs/>
          <w:sz w:val="24"/>
          <w:rtl/>
        </w:rPr>
        <w:t>כך שמרבית</w:t>
      </w:r>
      <w:r w:rsidRPr="001F2586">
        <w:rPr>
          <w:rFonts w:ascii="David" w:eastAsia="Calibri" w:hAnsi="David"/>
          <w:b/>
          <w:bCs/>
          <w:sz w:val="24"/>
          <w:rtl/>
        </w:rPr>
        <w:t xml:space="preserve"> </w:t>
      </w:r>
      <w:r w:rsidRPr="001F2586">
        <w:rPr>
          <w:rFonts w:ascii="David" w:eastAsia="Calibri" w:hAnsi="David" w:hint="cs"/>
          <w:b/>
          <w:bCs/>
          <w:sz w:val="24"/>
          <w:rtl/>
        </w:rPr>
        <w:t>הלווים (</w:t>
      </w:r>
      <w:r w:rsidRPr="001F2586">
        <w:rPr>
          <w:rFonts w:ascii="David" w:eastAsia="Calibri" w:hAnsi="David"/>
          <w:b/>
          <w:bCs/>
          <w:sz w:val="24"/>
          <w:rtl/>
        </w:rPr>
        <w:t>63%</w:t>
      </w:r>
      <w:r w:rsidRPr="001F2586">
        <w:rPr>
          <w:rFonts w:ascii="David" w:eastAsia="Calibri" w:hAnsi="David" w:hint="cs"/>
          <w:b/>
          <w:bCs/>
          <w:sz w:val="24"/>
          <w:rtl/>
        </w:rPr>
        <w:t>) קיבלו</w:t>
      </w:r>
      <w:r w:rsidRPr="001F2586">
        <w:rPr>
          <w:rFonts w:ascii="David" w:eastAsia="Calibri" w:hAnsi="David"/>
          <w:b/>
          <w:bCs/>
          <w:sz w:val="24"/>
          <w:rtl/>
        </w:rPr>
        <w:t xml:space="preserve"> הצעה מבנק אחד בלבד. </w:t>
      </w:r>
      <w:r w:rsidRPr="001F2586">
        <w:rPr>
          <w:rFonts w:eastAsia="Calibri"/>
          <w:b/>
          <w:bCs/>
          <w:rtl/>
        </w:rPr>
        <w:t xml:space="preserve">כמו כן, </w:t>
      </w:r>
      <w:r w:rsidRPr="001F2586">
        <w:rPr>
          <w:rFonts w:eastAsia="Calibri" w:hint="cs"/>
          <w:b/>
          <w:bCs/>
          <w:rtl/>
        </w:rPr>
        <w:t xml:space="preserve">מנתוני בנק ישראל לשנת 2024 עולה </w:t>
      </w:r>
      <w:r w:rsidRPr="001F2586">
        <w:rPr>
          <w:rFonts w:eastAsia="Calibri"/>
          <w:b/>
          <w:bCs/>
          <w:rtl/>
        </w:rPr>
        <w:t xml:space="preserve">כי </w:t>
      </w:r>
      <w:r w:rsidRPr="001F2586">
        <w:rPr>
          <w:rFonts w:eastAsia="Calibri" w:hint="cs"/>
          <w:b/>
          <w:bCs/>
          <w:rtl/>
        </w:rPr>
        <w:t xml:space="preserve">שיעורי </w:t>
      </w:r>
      <w:r w:rsidRPr="001F2586">
        <w:rPr>
          <w:rFonts w:eastAsia="Calibri" w:hint="cs"/>
          <w:b/>
          <w:bCs/>
          <w:rtl/>
        </w:rPr>
        <w:t>התיחור</w:t>
      </w:r>
      <w:r w:rsidRPr="001F2586">
        <w:rPr>
          <w:rFonts w:eastAsia="Calibri" w:hint="cs"/>
          <w:b/>
          <w:bCs/>
          <w:rtl/>
        </w:rPr>
        <w:t xml:space="preserve"> גבוהים יותר ברכישת דירה יחידה (46%) לעומת דירה חליפית (40%) או דירה להשקעה (38%), כך שמרבית הלווים שלוקחים הלוואות למטרת רכישת דירה לא עושים </w:t>
      </w:r>
      <w:r w:rsidRPr="001F2586">
        <w:rPr>
          <w:rFonts w:eastAsia="Calibri" w:hint="cs"/>
          <w:b/>
          <w:bCs/>
          <w:rtl/>
        </w:rPr>
        <w:t>תיחור</w:t>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כי הפיקוח על הבנקים </w:t>
      </w:r>
      <w:r w:rsidRPr="001F2586">
        <w:rPr>
          <w:rFonts w:eastAsia="Calibri" w:hint="eastAsia"/>
          <w:b/>
          <w:bCs/>
          <w:rtl/>
        </w:rPr>
        <w:t>יבחן</w:t>
      </w:r>
      <w:r w:rsidRPr="001F2586">
        <w:rPr>
          <w:rFonts w:eastAsia="Calibri" w:hint="cs"/>
          <w:b/>
          <w:bCs/>
          <w:rtl/>
        </w:rPr>
        <w:t xml:space="preserve"> דרכים לשיפור שיעורי </w:t>
      </w:r>
      <w:r w:rsidRPr="001F2586">
        <w:rPr>
          <w:rFonts w:eastAsia="Calibri" w:hint="cs"/>
          <w:b/>
          <w:bCs/>
          <w:rtl/>
        </w:rPr>
        <w:t>התיחור</w:t>
      </w:r>
      <w:r w:rsidRPr="001F2586">
        <w:rPr>
          <w:rFonts w:eastAsia="Calibri" w:hint="cs"/>
          <w:b/>
          <w:bCs/>
          <w:rtl/>
        </w:rPr>
        <w:t xml:space="preserve"> של הלווים במשכנתאות ובפרט בקרב לווים בגילים מבוגרים, בדירוג סוציו-אקונומי נמוך, ובהלוואות למטרות שונות. כמו כן, מומלץ כי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ישקול</w:t>
      </w:r>
      <w:r w:rsidRPr="001F2586">
        <w:rPr>
          <w:rFonts w:eastAsia="Calibri"/>
          <w:b/>
          <w:bCs/>
          <w:rtl/>
        </w:rPr>
        <w:t xml:space="preserve"> </w:t>
      </w:r>
      <w:r w:rsidRPr="001F2586">
        <w:rPr>
          <w:rFonts w:eastAsia="Calibri" w:hint="eastAsia"/>
          <w:b/>
          <w:bCs/>
          <w:rtl/>
        </w:rPr>
        <w:t>לפרסם</w:t>
      </w:r>
      <w:r w:rsidRPr="001F2586">
        <w:rPr>
          <w:rFonts w:eastAsia="Calibri"/>
          <w:b/>
          <w:bCs/>
          <w:rtl/>
        </w:rPr>
        <w:t xml:space="preserve"> את שיעורי </w:t>
      </w:r>
      <w:r w:rsidRPr="001F2586">
        <w:rPr>
          <w:rFonts w:eastAsia="Calibri" w:hint="eastAsia"/>
          <w:b/>
          <w:bCs/>
          <w:rtl/>
        </w:rPr>
        <w:t>התיחור</w:t>
      </w:r>
      <w:r w:rsidRPr="001F2586">
        <w:rPr>
          <w:rFonts w:eastAsia="Calibri"/>
          <w:b/>
          <w:bCs/>
          <w:rtl/>
        </w:rPr>
        <w:t xml:space="preserve"> לציבור באופן עיתי וסדור</w:t>
      </w:r>
      <w:r w:rsidRPr="001F2586">
        <w:rPr>
          <w:rFonts w:eastAsia="Calibri" w:hint="cs"/>
          <w:b/>
          <w:bCs/>
          <w:rtl/>
        </w:rPr>
        <w:t>.</w:t>
      </w:r>
    </w:p>
    <w:bookmarkEnd w:id="77"/>
    <w:p w:rsidR="001F2586" w:rsidRPr="001F2586" w:rsidP="001F2586">
      <w:pPr>
        <w:spacing w:line="269" w:lineRule="auto"/>
        <w:rPr>
          <w:rFonts w:eastAsia="Calibri"/>
          <w:b/>
          <w:bCs/>
          <w:rtl/>
        </w:rPr>
      </w:pP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 xml:space="preserve">הערכת השפעות האסדרה ליישום רפורמת השקיפות </w:t>
      </w:r>
    </w:p>
    <w:p w:rsidR="001F2586" w:rsidRPr="001F2586" w:rsidP="001F2586">
      <w:pPr>
        <w:rPr>
          <w:rFonts w:eastAsia="Calibri"/>
          <w:rtl/>
        </w:rPr>
      </w:pPr>
    </w:p>
    <w:p w:rsidR="001F2586" w:rsidRPr="001F2586" w:rsidP="001F2586">
      <w:pPr>
        <w:spacing w:line="269" w:lineRule="auto"/>
        <w:rPr>
          <w:rFonts w:eastAsia="Calibri"/>
          <w:rtl/>
        </w:rPr>
      </w:pPr>
      <w:r w:rsidRPr="001F2586">
        <w:rPr>
          <w:rFonts w:eastAsia="Calibri" w:hint="cs"/>
          <w:rtl/>
        </w:rPr>
        <w:t>לפי המדריך הממשלתי בנושא הערכת השפעות הרגולציה</w:t>
      </w:r>
      <w:r>
        <w:rPr>
          <w:rFonts w:eastAsia="Calibri"/>
          <w:vertAlign w:val="superscript"/>
          <w:rtl/>
        </w:rPr>
        <w:footnoteReference w:id="304"/>
      </w:r>
      <w:r w:rsidRPr="001F2586">
        <w:rPr>
          <w:rFonts w:eastAsia="Calibri" w:hint="cs"/>
          <w:rtl/>
        </w:rPr>
        <w:t xml:space="preserve"> אסדרה היא "חוק או תקנה בת פועל תחיקתי המהווה כלל</w:t>
      </w:r>
      <w:r w:rsidRPr="001F2586">
        <w:rPr>
          <w:rFonts w:eastAsia="Calibri"/>
          <w:rtl/>
        </w:rPr>
        <w:t xml:space="preserve"> התנהגות מחייב במסגרת פעילות כלכלית או חברתית, ושהוא</w:t>
      </w:r>
      <w:r w:rsidRPr="001F2586">
        <w:rPr>
          <w:rFonts w:eastAsia="Calibri" w:hint="cs"/>
          <w:rtl/>
        </w:rPr>
        <w:t xml:space="preserve"> </w:t>
      </w:r>
      <w:r w:rsidRPr="001F2586">
        <w:rPr>
          <w:rFonts w:eastAsia="Calibri"/>
          <w:rtl/>
        </w:rPr>
        <w:t>בר אכיפה על ידי רשות מינהלית מוסמכת לפי דין"</w:t>
      </w:r>
      <w:r w:rsidRPr="001F2586">
        <w:rPr>
          <w:rFonts w:eastAsia="Calibri" w:hint="cs"/>
          <w:rtl/>
        </w:rPr>
        <w:t xml:space="preserve">. </w:t>
      </w:r>
      <w:r w:rsidRPr="001F2586">
        <w:rPr>
          <w:rFonts w:eastAsia="Calibri"/>
          <w:rtl/>
        </w:rPr>
        <w:t>הרגולציה מטילה עלויות רבות שאינן ניתנות</w:t>
      </w:r>
      <w:r w:rsidRPr="001F2586">
        <w:rPr>
          <w:rFonts w:eastAsia="Calibri" w:hint="cs"/>
          <w:rtl/>
        </w:rPr>
        <w:t xml:space="preserve"> לכימות במונחי תקציב המדינה. להטלת רגולציה או אי הטלת רגולציה יש מחיר כלכלי, משקי וחברתי. רגולציה מיטבית היא התערבות מידתית ומאוזנת בשוק המביאה להשגת תכלית מוגדרת המצדיקה את הנטל (הישיר והעקיף) על החברה והמשק.</w:t>
      </w:r>
      <w:r w:rsidRPr="001F2586">
        <w:rPr>
          <w:rFonts w:eastAsia="Calibri"/>
          <w:rtl/>
        </w:rPr>
        <w:t xml:space="preserve"> חוק עקרונות האסדרה</w:t>
      </w:r>
      <w:r w:rsidRPr="001F2586">
        <w:rPr>
          <w:rFonts w:eastAsia="Calibri" w:hint="cs"/>
          <w:rtl/>
        </w:rPr>
        <w:t>, התשפ"ב-2021 קובע</w:t>
      </w:r>
      <w:r w:rsidRPr="001F2586">
        <w:rPr>
          <w:rFonts w:eastAsia="Calibri"/>
          <w:rtl/>
        </w:rPr>
        <w:t xml:space="preserve"> בסעיף 2 עקרונות מנחים לביצוע אסדרה, ובין השאר, כי אסדרה תעשה </w:t>
      </w:r>
      <w:r w:rsidRPr="001F2586">
        <w:rPr>
          <w:rFonts w:eastAsia="Calibri" w:hint="cs"/>
          <w:rtl/>
        </w:rPr>
        <w:t xml:space="preserve">במידת האפשר </w:t>
      </w:r>
      <w:r w:rsidRPr="001F2586">
        <w:rPr>
          <w:rFonts w:eastAsia="Calibri"/>
          <w:rtl/>
        </w:rPr>
        <w:t>"באופן שיש בו כדי לקדם את התחרות</w:t>
      </w:r>
      <w:r w:rsidRPr="001F2586">
        <w:rPr>
          <w:rFonts w:eastAsia="Calibri" w:hint="cs"/>
          <w:rtl/>
        </w:rPr>
        <w:t xml:space="preserve"> </w:t>
      </w:r>
      <w:r w:rsidRPr="001F2586">
        <w:rPr>
          <w:rFonts w:eastAsia="Calibri"/>
          <w:rtl/>
        </w:rPr>
        <w:t>הענפית ולהביא להפחתת יוקר המחיה"</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במדינות המפותחות</w:t>
      </w:r>
      <w:r w:rsidRPr="001F2586">
        <w:rPr>
          <w:rFonts w:eastAsia="Calibri"/>
          <w:b/>
          <w:bCs/>
        </w:rPr>
        <w:t xml:space="preserve"> </w:t>
      </w:r>
      <w:r w:rsidRPr="001F2586">
        <w:rPr>
          <w:rFonts w:eastAsia="Calibri"/>
          <w:rtl/>
        </w:rPr>
        <w:t xml:space="preserve">מוסדו מנגנונים ופותחו תורות הערכה של השפעות הרגולציה, לבחינת </w:t>
      </w:r>
      <w:r w:rsidRPr="001F2586">
        <w:rPr>
          <w:rFonts w:eastAsia="Calibri" w:hint="cs"/>
          <w:rtl/>
        </w:rPr>
        <w:t xml:space="preserve">יתרונות וחסרונות והגברת האפקטיביות, </w:t>
      </w:r>
      <w:r w:rsidRPr="001F2586">
        <w:rPr>
          <w:rFonts w:eastAsia="Calibri"/>
          <w:rtl/>
        </w:rPr>
        <w:t>הן עבור הרשות השלטונית והן עבור המגזר המפוקח והציבור כולו</w:t>
      </w:r>
      <w:r w:rsidRPr="001F2586">
        <w:rPr>
          <w:rFonts w:eastAsia="Calibri" w:hint="cs"/>
          <w:rtl/>
        </w:rPr>
        <w:t>. במסגרת זו הוחלט</w:t>
      </w:r>
      <w:r w:rsidRPr="001F2586">
        <w:rPr>
          <w:rFonts w:eastAsia="Calibri"/>
          <w:rtl/>
        </w:rPr>
        <w:t xml:space="preserve"> לבחון התקנת רגולציה עם בעלי העניין שעתידים להיות מושפעים </w:t>
      </w:r>
      <w:r w:rsidRPr="001F2586">
        <w:rPr>
          <w:rFonts w:eastAsia="Calibri" w:hint="cs"/>
          <w:rtl/>
        </w:rPr>
        <w:t>ממנה</w:t>
      </w:r>
      <w:r w:rsidRPr="001F2586">
        <w:rPr>
          <w:rFonts w:eastAsia="Calibri"/>
          <w:rtl/>
        </w:rPr>
        <w:t>.</w:t>
      </w:r>
      <w:r w:rsidRPr="001F2586">
        <w:rPr>
          <w:rFonts w:eastAsia="Calibri" w:hint="cs"/>
          <w:rtl/>
        </w:rPr>
        <w:t xml:space="preserve"> </w:t>
      </w:r>
      <w:r w:rsidRPr="001F2586">
        <w:rPr>
          <w:rFonts w:eastAsia="Calibri"/>
          <w:rtl/>
        </w:rPr>
        <w:t>תהליך זה נקרא</w:t>
      </w:r>
      <w:r w:rsidRPr="001F2586">
        <w:rPr>
          <w:rFonts w:eastAsia="Calibri" w:hint="cs"/>
          <w:rtl/>
        </w:rPr>
        <w:t xml:space="preserve"> </w:t>
      </w:r>
      <w:r w:rsidRPr="001F2586">
        <w:rPr>
          <w:rFonts w:eastAsia="Calibri"/>
        </w:rPr>
        <w:t>Regulatory Impact Assessment - RIA</w:t>
      </w:r>
      <w:r w:rsidRPr="001F2586">
        <w:rPr>
          <w:rFonts w:eastAsia="Calibri"/>
          <w:rtl/>
        </w:rPr>
        <w:t xml:space="preserve"> </w:t>
      </w:r>
      <w:r w:rsidRPr="001F2586">
        <w:rPr>
          <w:rFonts w:eastAsia="Calibri" w:hint="cs"/>
          <w:rtl/>
        </w:rPr>
        <w:t>-</w:t>
      </w:r>
      <w:r w:rsidRPr="001F2586">
        <w:rPr>
          <w:rFonts w:eastAsia="Calibri"/>
          <w:rtl/>
        </w:rPr>
        <w:t>הערכת השפעות רגולצי</w:t>
      </w:r>
      <w:r w:rsidRPr="001F2586">
        <w:rPr>
          <w:rFonts w:eastAsia="Calibri" w:hint="cs"/>
          <w:rtl/>
        </w:rPr>
        <w:t>ה</w:t>
      </w:r>
      <w:r>
        <w:rPr>
          <w:rFonts w:eastAsia="Calibri"/>
          <w:vertAlign w:val="superscript"/>
          <w:rtl/>
        </w:rPr>
        <w:footnoteReference w:id="305"/>
      </w:r>
      <w:r w:rsidRPr="001F2586">
        <w:rPr>
          <w:rFonts w:eastAsia="Calibri" w:hint="cs"/>
          <w:rtl/>
        </w:rPr>
        <w:t>.</w:t>
      </w:r>
      <w:r w:rsidRPr="001F2586">
        <w:rPr>
          <w:rFonts w:eastAsia="Calibri"/>
        </w:rPr>
        <w:t xml:space="preserve"> </w:t>
      </w:r>
      <w:r w:rsidRPr="001F2586">
        <w:rPr>
          <w:rFonts w:eastAsia="Calibri"/>
          <w:rtl/>
        </w:rPr>
        <w:t>ועדת טרכטנברג הכירה</w:t>
      </w:r>
      <w:r w:rsidRPr="001F2586">
        <w:rPr>
          <w:rFonts w:eastAsia="Calibri" w:hint="cs"/>
          <w:rtl/>
        </w:rPr>
        <w:t xml:space="preserve"> בשנת 2011 </w:t>
      </w:r>
      <w:r w:rsidRPr="001F2586">
        <w:rPr>
          <w:rFonts w:eastAsia="Calibri"/>
          <w:rtl/>
        </w:rPr>
        <w:t>בכך שתהליך ההערכה יכלול גם בחינת השפעות חברתיות וכלל משקיות, כגון השפעה על יוקר המחיה ועל פערים חברתיים. ריבוי זוויות</w:t>
      </w:r>
      <w:r w:rsidRPr="001F2586">
        <w:rPr>
          <w:rFonts w:eastAsia="Calibri" w:hint="cs"/>
          <w:rtl/>
        </w:rPr>
        <w:t xml:space="preserve"> </w:t>
      </w:r>
      <w:r w:rsidRPr="001F2586">
        <w:rPr>
          <w:rFonts w:eastAsia="Calibri"/>
          <w:rtl/>
        </w:rPr>
        <w:t>הראייה הנדרשות להערכת רגולציה מראש, מחייב חיזוק השיח עם מומחים, בעלי עניין וקבוצות מהציבור, בדומה לנעשה במדינות רבות</w:t>
      </w:r>
      <w:r w:rsidRPr="001F2586">
        <w:rPr>
          <w:rFonts w:eastAsia="Calibri" w:hint="cs"/>
          <w:rtl/>
        </w:rPr>
        <w:t xml:space="preserve"> </w:t>
      </w:r>
      <w:r w:rsidRPr="001F2586">
        <w:rPr>
          <w:rFonts w:eastAsia="Calibri"/>
          <w:rtl/>
        </w:rPr>
        <w:t>בעולם</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ב-22.10.14 קיבלה </w:t>
      </w:r>
      <w:r w:rsidRPr="001F2586">
        <w:rPr>
          <w:rFonts w:eastAsia="Calibri" w:hint="cs"/>
          <w:rtl/>
        </w:rPr>
        <w:t>הממשלה</w:t>
      </w:r>
      <w:r w:rsidRPr="001F2586">
        <w:rPr>
          <w:rFonts w:eastAsia="Calibri"/>
          <w:rtl/>
        </w:rPr>
        <w:t xml:space="preserve"> החלטה שעניינה הפחתת נטל רגולטורי</w:t>
      </w:r>
      <w:r>
        <w:rPr>
          <w:rFonts w:eastAsia="Calibri"/>
          <w:vertAlign w:val="superscript"/>
          <w:rtl/>
        </w:rPr>
        <w:footnoteReference w:id="306"/>
      </w:r>
      <w:r w:rsidRPr="001F2586">
        <w:rPr>
          <w:rFonts w:eastAsia="Calibri" w:hint="cs"/>
          <w:rtl/>
        </w:rPr>
        <w:t>. הממשלה</w:t>
      </w:r>
      <w:r w:rsidRPr="001F2586">
        <w:rPr>
          <w:rFonts w:eastAsia="Calibri"/>
          <w:rtl/>
        </w:rPr>
        <w:t xml:space="preserve"> קבעה </w:t>
      </w:r>
      <w:r w:rsidRPr="001F2586">
        <w:rPr>
          <w:rFonts w:eastAsia="Calibri" w:hint="cs"/>
          <w:rtl/>
        </w:rPr>
        <w:t xml:space="preserve">בהחלטה זו </w:t>
      </w:r>
      <w:r w:rsidRPr="001F2586">
        <w:rPr>
          <w:rFonts w:eastAsia="Calibri"/>
          <w:rtl/>
        </w:rPr>
        <w:t>כי "על רגולטור, בבואו לקבוע רגולציה חדשה, לשקול, בכפוף לתכלית הרגולציה ובמסגרת השיקולים המדריכים אותו על פי החקיקה</w:t>
      </w:r>
      <w:r w:rsidRPr="001F2586">
        <w:rPr>
          <w:rFonts w:eastAsia="Calibri" w:hint="cs"/>
          <w:rtl/>
        </w:rPr>
        <w:t xml:space="preserve"> </w:t>
      </w:r>
      <w:r w:rsidRPr="001F2586">
        <w:rPr>
          <w:rFonts w:eastAsia="Calibri"/>
          <w:rtl/>
        </w:rPr>
        <w:t>המסמיכה ועל פי כל דין, גם בחירה בחלופה המפחיתה את הנטל הרגולטורי"</w:t>
      </w:r>
      <w:r w:rsidRPr="001F2586">
        <w:rPr>
          <w:rFonts w:eastAsia="Calibri" w:hint="cs"/>
          <w:rtl/>
        </w:rPr>
        <w:t xml:space="preserve">. </w:t>
      </w:r>
      <w:r w:rsidRPr="001F2586">
        <w:rPr>
          <w:rFonts w:eastAsia="Calibri"/>
          <w:rtl/>
        </w:rPr>
        <w:t xml:space="preserve">על פי החלטה זו, תהליך הכנת או עדכון רגולציה חדשה </w:t>
      </w:r>
      <w:r w:rsidRPr="001F2586">
        <w:rPr>
          <w:rFonts w:eastAsia="Calibri" w:hint="cs"/>
          <w:rtl/>
        </w:rPr>
        <w:t>-</w:t>
      </w:r>
      <w:r w:rsidRPr="001F2586">
        <w:rPr>
          <w:rFonts w:eastAsia="Calibri"/>
          <w:rtl/>
        </w:rPr>
        <w:t xml:space="preserve"> בחקיקה ראשית או משנית, חייב לכלול הליך של הערכת השפעה של רגולציה חדשה</w:t>
      </w:r>
      <w:r w:rsidRPr="001F2586">
        <w:rPr>
          <w:rFonts w:eastAsia="Calibri" w:hint="cs"/>
          <w:rtl/>
        </w:rPr>
        <w:t xml:space="preserve">. </w:t>
      </w:r>
      <w:r w:rsidRPr="001F2586">
        <w:rPr>
          <w:rFonts w:eastAsia="Calibri"/>
          <w:rtl/>
        </w:rPr>
        <w:t>ההחלטה מגדירה את השיקולים המרכיבים את תהליך</w:t>
      </w:r>
      <w:r w:rsidRPr="001F2586">
        <w:rPr>
          <w:rFonts w:eastAsia="Calibri" w:hint="cs"/>
          <w:rtl/>
        </w:rPr>
        <w:t xml:space="preserve"> הערכת הרגולציה</w:t>
      </w:r>
      <w:r w:rsidRPr="001F2586">
        <w:rPr>
          <w:rFonts w:eastAsia="Calibri"/>
        </w:rPr>
        <w:t xml:space="preserve"> </w:t>
      </w:r>
      <w:r w:rsidRPr="001F2586">
        <w:rPr>
          <w:rFonts w:eastAsia="Calibri"/>
          <w:rtl/>
        </w:rPr>
        <w:t>וקובעת כי יישום השיקולים יתבצע באמצעות המדריך הממשלתי להערכת השפעות רגולציה</w:t>
      </w:r>
      <w:r w:rsidRPr="001F2586">
        <w:rPr>
          <w:rFonts w:eastAsia="Calibri" w:hint="cs"/>
          <w:rtl/>
        </w:rPr>
        <w:t xml:space="preserve"> ש</w:t>
      </w:r>
      <w:r w:rsidRPr="001F2586">
        <w:rPr>
          <w:rFonts w:eastAsia="Calibri"/>
          <w:rtl/>
        </w:rPr>
        <w:t>נועד לספק הנחיות וכלים לביצוע ההחלטה</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בהחלטת הממשלה נקבע כי בנק ישראל פטור מחובות להפחתת נטל רגולטורי. עם זאת, מצופה כי בנק ישראל יבחן את התועלת והעלות מצעדי אסדרה שהוא נוקט בהן. רפורמת השקיפות במשכנתאות הטילה על הבנקים עלויות ומשאבים, ועל כן ראוי לבחון את התועלות שלה אל מול העלויות שנבעו ממנה על מנת להעריך את השפעותיה ומידת הצלחתה.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התועלת של רפורמת השקיפות יכולה להימדד על ידי שיעור הפחתת ההחזר החודשי או שיעור הריבית במשכנתאות ללווים. מניתוח שביצע בנק ישראל להתפתחות בתמחור המשכנתאות בישראל שפורסם במרץ 2025 עלה כי בתקופה מספטמבר 2022 - ספטמבר 2024 </w:t>
      </w:r>
      <w:r w:rsidRPr="001F2586">
        <w:rPr>
          <w:rFonts w:eastAsia="Calibri"/>
          <w:rtl/>
        </w:rPr>
        <w:t>ירדו מרווחי המשכנתאות</w:t>
      </w:r>
      <w:r>
        <w:rPr>
          <w:rFonts w:eastAsia="Calibri"/>
          <w:vertAlign w:val="superscript"/>
          <w:rtl/>
        </w:rPr>
        <w:footnoteReference w:id="307"/>
      </w:r>
      <w:r w:rsidRPr="001F2586">
        <w:rPr>
          <w:rFonts w:eastAsia="Calibri"/>
          <w:rtl/>
        </w:rPr>
        <w:t xml:space="preserve"> בישראל על רקע מספר התפתחויות</w:t>
      </w:r>
      <w:r w:rsidRPr="001F2586">
        <w:rPr>
          <w:rFonts w:eastAsia="Calibri" w:hint="cs"/>
          <w:rtl/>
        </w:rPr>
        <w:t xml:space="preserve">: </w:t>
      </w:r>
      <w:r w:rsidRPr="001F2586">
        <w:rPr>
          <w:rFonts w:eastAsia="Calibri"/>
          <w:rtl/>
        </w:rPr>
        <w:t>עליית ריבית בנק ישראל</w:t>
      </w:r>
      <w:r w:rsidRPr="001F2586">
        <w:rPr>
          <w:rFonts w:eastAsia="Calibri" w:hint="cs"/>
          <w:rtl/>
        </w:rPr>
        <w:t>;</w:t>
      </w:r>
      <w:r w:rsidRPr="001F2586">
        <w:rPr>
          <w:rFonts w:eastAsia="Calibri"/>
          <w:rtl/>
        </w:rPr>
        <w:t xml:space="preserve"> </w:t>
      </w:r>
      <w:r w:rsidRPr="001F2586">
        <w:rPr>
          <w:rFonts w:eastAsia="Calibri" w:hint="cs"/>
          <w:rtl/>
        </w:rPr>
        <w:t>רפורמת השקיפות במשכנתאות</w:t>
      </w:r>
      <w:r w:rsidRPr="001F2586">
        <w:rPr>
          <w:rFonts w:eastAsia="Calibri"/>
          <w:rtl/>
        </w:rPr>
        <w:t>, ומלחמת חרבות ברזל</w:t>
      </w:r>
      <w:r w:rsidRPr="001F2586">
        <w:rPr>
          <w:rFonts w:eastAsia="Calibri" w:hint="cs"/>
          <w:rtl/>
        </w:rPr>
        <w:t xml:space="preserve">, וכי </w:t>
      </w:r>
      <w:r w:rsidRPr="001F2586">
        <w:rPr>
          <w:rFonts w:eastAsia="Calibri"/>
          <w:rtl/>
        </w:rPr>
        <w:t>כרבע מהירידה של המרווחים מוסבר</w:t>
      </w:r>
      <w:r w:rsidRPr="001F2586">
        <w:rPr>
          <w:rFonts w:eastAsia="Calibri" w:hint="cs"/>
          <w:rtl/>
        </w:rPr>
        <w:t>ת</w:t>
      </w:r>
      <w:r w:rsidRPr="001F2586">
        <w:rPr>
          <w:rFonts w:eastAsia="Calibri"/>
          <w:rtl/>
        </w:rPr>
        <w:t xml:space="preserve"> בהתגברות התחרות בשוק</w:t>
      </w:r>
      <w:r>
        <w:rPr>
          <w:rFonts w:eastAsia="Calibri"/>
          <w:vertAlign w:val="superscript"/>
          <w:rtl/>
        </w:rPr>
        <w:footnoteReference w:id="308"/>
      </w:r>
      <w:r w:rsidRPr="001F2586">
        <w:rPr>
          <w:rFonts w:eastAsia="Calibri" w:hint="cs"/>
          <w:rtl/>
        </w:rPr>
        <w:t xml:space="preserve">. עוד עלה מניתוח זה כי 0.4% מירידת המרווחים במשכנתאות למגורים בתקופה </w:t>
      </w:r>
      <w:r w:rsidRPr="001F2586">
        <w:rPr>
          <w:rFonts w:eastAsia="Calibri" w:hint="cs"/>
          <w:rtl/>
        </w:rPr>
        <w:t>זו (לאחר יישום הרפורמה) מיוחסת להשפעות רפורמת השקיפות במשכנתאות, והיא שוות ערך לכ-260 ש"ח עבור משכנתא ממוצעת שנלקחה בספטמבר 2024</w:t>
      </w:r>
      <w:r>
        <w:rPr>
          <w:rFonts w:eastAsia="Calibri"/>
          <w:vertAlign w:val="superscript"/>
          <w:rtl/>
        </w:rPr>
        <w:footnoteReference w:id="309"/>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הפיקוח על הבנקים מסר במענה למשרד מבקר המדינה מיום 22.1.26 כי קיימת עלות לבנקים ביישום רגולציה וכנגדה הוא רואה את תועלת הציבור. עוד ציין הפיקוח כי בהליכי התייעצות שקיים עם המערכת הבנקאית עלה כי יישום הרפורמה כרוך בתקציבים, בהיערכות </w:t>
      </w:r>
      <w:r w:rsidRPr="001F2586">
        <w:rPr>
          <w:rFonts w:eastAsia="Calibri" w:hint="cs"/>
          <w:rtl/>
        </w:rPr>
        <w:t>מיכונית</w:t>
      </w:r>
      <w:r w:rsidRPr="001F2586">
        <w:rPr>
          <w:rFonts w:eastAsia="Calibri" w:hint="cs"/>
          <w:rtl/>
        </w:rPr>
        <w:t xml:space="preserve"> וכי קיים עומס רגולטורי, ובשל כך ניתן לבנקים זמן היערכות ארוך יותר עד לתחילת יישום הרפורמה.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קיימת חשיבות כי הפיקוח על הבנקים יבחן את התועלות של רפורמת השקיפות אל מול העלויות הנובעות ממנה על מנת להעריך את השפעותיה ומידת הצלחתה מאז יישומה במערכת הבנקאית מספטמבר 2022 ואילך. נמצא כי הפיקוח על הבנקים בחן את התועלת הכלכלית של הרפורמה עבור הלווים ומצא כי היא הביאה לירידה של 0.4% בריביות של משכנתאות למגורים בשנתיים הראשונות לאחר הרפורמה (שוות ערך לכ-260 ש"ח בחודש עבור משכנתא ממוצעת בספטמבר 2024). עם זאת,</w:t>
      </w:r>
      <w:r w:rsidRPr="001F2586">
        <w:rPr>
          <w:rFonts w:eastAsia="Calibri" w:hint="cs"/>
          <w:rtl/>
        </w:rPr>
        <w:t xml:space="preserve"> </w:t>
      </w:r>
      <w:r w:rsidRPr="001F2586">
        <w:rPr>
          <w:rFonts w:eastAsia="Calibri" w:hint="cs"/>
          <w:b/>
          <w:bCs/>
          <w:rtl/>
        </w:rPr>
        <w:t xml:space="preserve">נמצא כי הפיקוח על הבנקים לא בחן את עלות הרגולציה </w:t>
      </w:r>
      <w:r w:rsidRPr="001F2586">
        <w:rPr>
          <w:rFonts w:eastAsia="Calibri"/>
          <w:b/>
          <w:bCs/>
          <w:rtl/>
        </w:rPr>
        <w:t>(</w:t>
      </w:r>
      <w:r w:rsidRPr="001F2586">
        <w:rPr>
          <w:rFonts w:eastAsia="Calibri"/>
          <w:b/>
          <w:bCs/>
        </w:rPr>
        <w:t>RIA</w:t>
      </w:r>
      <w:r w:rsidRPr="001F2586">
        <w:rPr>
          <w:rFonts w:eastAsia="Calibri"/>
          <w:b/>
          <w:bCs/>
          <w:rtl/>
        </w:rPr>
        <w:t>)</w:t>
      </w:r>
      <w:r w:rsidRPr="001F2586">
        <w:rPr>
          <w:rFonts w:eastAsia="Calibri" w:hint="cs"/>
          <w:b/>
          <w:bCs/>
          <w:rtl/>
        </w:rPr>
        <w:t xml:space="preserve"> ליישום הרפורמה עבור השנים בהם תוכננה וקודמה, ועבור השנים 2022 - 2025 בהן הרפורמה מיושמת. בשל כך לא ניתן להעריך את עלויות האסדרה של יישום רפורמת השקיפות ולבחון אותה במבט רחב של עלויות מול תועלות.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מומלץ כי הפיקוח על הבנקים יבחן את עלויות יישום הרפורמה ואת התועלות שלה באופן עיתי וסדור.</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הנגשה ופרסום של שיעורי ריביות במשכנתאות באתר "קו המשווה"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פרסום מידע השוואתי מחזק את כוחו של הלקוח באמצעות צמצום פערי המידע בינו לבין</w:t>
      </w:r>
      <w:r w:rsidRPr="001F2586">
        <w:rPr>
          <w:rFonts w:eastAsia="Calibri" w:hint="cs"/>
          <w:rtl/>
        </w:rPr>
        <w:t xml:space="preserve"> </w:t>
      </w:r>
      <w:r w:rsidRPr="001F2586">
        <w:rPr>
          <w:rFonts w:eastAsia="Calibri"/>
          <w:rtl/>
        </w:rPr>
        <w:t>הבנק, ובתוך כך משמש כאמצעי לשכלול התחרות. הוא מאפשר איתור המידע בקלות ובנוחות, ועשוי להקל</w:t>
      </w:r>
      <w:r w:rsidRPr="001F2586">
        <w:rPr>
          <w:rFonts w:eastAsia="Calibri" w:hint="cs"/>
          <w:rtl/>
        </w:rPr>
        <w:t xml:space="preserve"> </w:t>
      </w:r>
      <w:r w:rsidRPr="001F2586">
        <w:rPr>
          <w:rFonts w:eastAsia="Calibri"/>
          <w:rtl/>
        </w:rPr>
        <w:t>על ביצוע סקרי שוק. מטרת פרסום המידע היא לסייע לציבור הרחב לנהל משא</w:t>
      </w:r>
      <w:r w:rsidRPr="001F2586">
        <w:rPr>
          <w:rFonts w:eastAsia="Calibri" w:hint="cs"/>
          <w:rtl/>
        </w:rPr>
        <w:t xml:space="preserve"> </w:t>
      </w:r>
      <w:r w:rsidRPr="001F2586">
        <w:rPr>
          <w:rFonts w:eastAsia="Calibri"/>
          <w:rtl/>
        </w:rPr>
        <w:t>ומתן מול הבנק ולהקטין</w:t>
      </w:r>
      <w:r w:rsidRPr="001F2586">
        <w:rPr>
          <w:rFonts w:eastAsia="Calibri" w:hint="cs"/>
          <w:rtl/>
        </w:rPr>
        <w:t xml:space="preserve"> חסמים.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sz w:val="24"/>
        </w:rPr>
      </w:pPr>
      <w:r w:rsidRPr="001F2586">
        <w:rPr>
          <w:rFonts w:eastAsia="Calibri" w:hint="cs"/>
          <w:rtl/>
        </w:rPr>
        <w:t>בחוק הבנקאות (שירות ללקוח), התשמ"א-1981 (להלן - חוק הבנקאות (שירות ללקוח) נקבע כי המפקח על הבנקים רשאי לפרסם נתונים שונים כמו ההוצאה הממוצעת בפועל של לקוחות בעד שירותים; סכומים ושיעורים של עמלות שגובים תאגידים בנקאיים בעד סוגי שירותים שתאפשר השוואת עמלות; שיעורי ריביות המשולמות בפועל על ידי כל אחד מהבנקים ללקוחות בעד פיקדונות, בדרך שתאפשר השוואת ריביות; ושיעורי ריביות הנגבות בפועל על ידי כל אחד מהבנקים מלקוחות בעד מתן אשראי, בדרך המאפשרת השוואת ריביות</w:t>
      </w:r>
      <w:r>
        <w:rPr>
          <w:rFonts w:eastAsia="Calibri"/>
          <w:vertAlign w:val="superscript"/>
          <w:rtl/>
        </w:rPr>
        <w:footnoteReference w:id="310"/>
      </w:r>
      <w:r w:rsidRPr="001F2586">
        <w:rPr>
          <w:rFonts w:eastAsia="Calibri" w:hint="cs"/>
          <w:rtl/>
        </w:rPr>
        <w:t>.</w:t>
      </w:r>
      <w:r w:rsidRPr="001F2586">
        <w:rPr>
          <w:rFonts w:eastAsia="Calibri" w:hint="cs"/>
        </w:rPr>
        <w:t xml:space="preserve"> </w:t>
      </w:r>
      <w:r w:rsidRPr="001F2586">
        <w:rPr>
          <w:rFonts w:eastAsia="Calibri" w:hint="cs"/>
          <w:rtl/>
        </w:rPr>
        <w:t>חשיפה של הציבור למוצרים פיננסיים שונים, וכן הבנה והשוואה שלהם, מסייעים לחזק את יכולת המיקוח שלו ואת יכולתו לקבל החלטה מושכלת המבוססת על נתונים המונגשים לציבור. על כן הנגשת מידע לציבור הוא שלב הכרחי בהעברת הכוח ללקוח וקידום התחרות במערכת הפיננסית</w:t>
      </w:r>
      <w:r>
        <w:rPr>
          <w:rFonts w:eastAsia="Calibri"/>
          <w:sz w:val="24"/>
          <w:vertAlign w:val="superscript"/>
          <w:rtl/>
        </w:rPr>
        <w:footnoteReference w:id="311"/>
      </w:r>
      <w:r w:rsidRPr="001F2586">
        <w:rPr>
          <w:rFonts w:eastAsia="Calibri" w:hint="cs"/>
          <w:sz w:val="24"/>
          <w:rtl/>
        </w:rPr>
        <w:t>. כאמור, לאור זאת שנתונים רבים</w:t>
      </w:r>
      <w:r>
        <w:rPr>
          <w:rFonts w:eastAsia="Calibri"/>
          <w:sz w:val="24"/>
          <w:vertAlign w:val="superscript"/>
          <w:rtl/>
        </w:rPr>
        <w:footnoteReference w:id="312"/>
      </w:r>
      <w:r w:rsidRPr="001F2586">
        <w:rPr>
          <w:rFonts w:eastAsia="Calibri" w:hint="cs"/>
          <w:sz w:val="24"/>
          <w:rtl/>
        </w:rPr>
        <w:t xml:space="preserve"> משפיעים על שיעורי הריביות במשכנתאות, מצופה כי המפקח על הבנקים יפרסם נתונים השוואתיים עליהם בדרך המאפשרת השוואת ריביות כלשון חוק הבנקאות (שירות ללקוח).</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במכתב של המפקח על הבנקים דאז למנכ"לי התאגידים הבנקאיים מיום 7.9.22</w:t>
      </w:r>
      <w:r>
        <w:rPr>
          <w:rFonts w:eastAsia="Calibri"/>
          <w:vertAlign w:val="superscript"/>
          <w:rtl/>
        </w:rPr>
        <w:footnoteReference w:id="313"/>
      </w:r>
      <w:r w:rsidRPr="001F2586">
        <w:rPr>
          <w:rFonts w:eastAsia="Calibri" w:hint="cs"/>
          <w:rtl/>
        </w:rPr>
        <w:t xml:space="preserve"> ציין המפקח דאז כי בכוונת הפיקוח על הבנקים לפעול לפרסום של שיעורי הריבית המשולמים על ידי הבנקים בעד פיקדונו</w:t>
      </w:r>
      <w:r w:rsidRPr="001F2586">
        <w:rPr>
          <w:rFonts w:eastAsia="Calibri" w:hint="eastAsia"/>
          <w:rtl/>
        </w:rPr>
        <w:t>ת</w:t>
      </w:r>
      <w:r w:rsidRPr="001F2586">
        <w:rPr>
          <w:rFonts w:eastAsia="Calibri" w:hint="cs"/>
          <w:rtl/>
        </w:rPr>
        <w:t xml:space="preserve"> ושל שיעורי הריביות המשולמים על ידי לקוחות בעד מתן אשראי. מטרת פרסום </w:t>
      </w:r>
      <w:r w:rsidRPr="001F2586">
        <w:rPr>
          <w:rFonts w:eastAsia="Calibri" w:hint="cs"/>
          <w:rtl/>
        </w:rPr>
        <w:t>שיעורי הריביות באה על רקע שינויים בסביבת הריבית והאינפלציה בשנת 2022 ונועדה להגביר את השקיפות ולחזק את כוחו של הלקוח. הפרסום נועד לספק ללקוחות כלי פשוט שיסייע להם להשוות בין התנאים שמציעים הבנקים השונים למוצרים פיננסיים של פיקדונו</w:t>
      </w:r>
      <w:r w:rsidRPr="001F2586">
        <w:rPr>
          <w:rFonts w:eastAsia="Calibri" w:hint="eastAsia"/>
          <w:rtl/>
        </w:rPr>
        <w:t>ת</w:t>
      </w:r>
      <w:r w:rsidRPr="001F2586">
        <w:rPr>
          <w:rFonts w:eastAsia="Calibri" w:hint="cs"/>
          <w:rtl/>
        </w:rPr>
        <w:t xml:space="preserve"> והלוואות.</w:t>
      </w:r>
      <w:bookmarkStart w:id="78" w:name="_Hlk219724514"/>
      <w:r w:rsidRPr="001F2586">
        <w:rPr>
          <w:rFonts w:eastAsia="Calibri" w:hint="cs"/>
          <w:rtl/>
        </w:rPr>
        <w:t xml:space="preserve"> יצוין כי </w:t>
      </w:r>
      <w:r w:rsidRPr="001F2586">
        <w:rPr>
          <w:rFonts w:eastAsia="Calibri"/>
          <w:rtl/>
        </w:rPr>
        <w:t xml:space="preserve">לראשונה </w:t>
      </w:r>
      <w:r w:rsidRPr="001F2586">
        <w:rPr>
          <w:rFonts w:eastAsia="Calibri" w:hint="cs"/>
          <w:rtl/>
        </w:rPr>
        <w:t>באוקטובר 2022</w:t>
      </w:r>
      <w:r>
        <w:rPr>
          <w:rFonts w:eastAsia="Calibri"/>
          <w:vertAlign w:val="superscript"/>
          <w:rtl/>
        </w:rPr>
        <w:footnoteReference w:id="314"/>
      </w:r>
      <w:r w:rsidRPr="001F2586">
        <w:rPr>
          <w:rFonts w:eastAsia="Calibri" w:hint="cs"/>
          <w:rtl/>
        </w:rPr>
        <w:t xml:space="preserve"> התפרסמו</w:t>
      </w:r>
      <w:r w:rsidRPr="001F2586">
        <w:rPr>
          <w:rFonts w:eastAsia="Calibri"/>
          <w:rtl/>
        </w:rPr>
        <w:t xml:space="preserve"> לציבור </w:t>
      </w:r>
      <w:r w:rsidRPr="001F2586">
        <w:rPr>
          <w:rFonts w:eastAsia="Calibri" w:hint="cs"/>
          <w:rtl/>
        </w:rPr>
        <w:t xml:space="preserve">שיעורי </w:t>
      </w:r>
      <w:r w:rsidRPr="001F2586">
        <w:rPr>
          <w:rFonts w:eastAsia="Calibri"/>
          <w:rtl/>
        </w:rPr>
        <w:t xml:space="preserve">ריביות </w:t>
      </w:r>
      <w:r w:rsidRPr="001F2586">
        <w:rPr>
          <w:rFonts w:eastAsia="Calibri" w:hint="cs"/>
          <w:rtl/>
        </w:rPr>
        <w:t>במערכת הבנקאית</w:t>
      </w:r>
      <w:r w:rsidRPr="001F2586">
        <w:rPr>
          <w:rFonts w:eastAsia="Calibri"/>
          <w:rtl/>
        </w:rPr>
        <w:t xml:space="preserve"> שמספק</w:t>
      </w:r>
      <w:r w:rsidRPr="001F2586">
        <w:rPr>
          <w:rFonts w:eastAsia="Calibri" w:hint="cs"/>
          <w:rtl/>
        </w:rPr>
        <w:t>ים</w:t>
      </w:r>
      <w:r w:rsidRPr="001F2586">
        <w:rPr>
          <w:rFonts w:eastAsia="Calibri"/>
          <w:rtl/>
        </w:rPr>
        <w:t xml:space="preserve"> כלי פשוט לציבור הרחב להשוואת מחירים</w:t>
      </w:r>
      <w:r w:rsidRPr="001F2586">
        <w:rPr>
          <w:rFonts w:eastAsia="Calibri" w:hint="cs"/>
          <w:rtl/>
        </w:rPr>
        <w:t xml:space="preserve"> </w:t>
      </w:r>
      <w:r w:rsidRPr="001F2586">
        <w:rPr>
          <w:rFonts w:eastAsia="Calibri"/>
          <w:rtl/>
        </w:rPr>
        <w:t>ולבחירת מוצרים פיננסים מתאימים</w:t>
      </w:r>
      <w:r>
        <w:rPr>
          <w:rFonts w:eastAsia="Calibri"/>
          <w:vertAlign w:val="superscript"/>
          <w:rtl/>
        </w:rPr>
        <w:footnoteReference w:id="315"/>
      </w:r>
      <w:r w:rsidRPr="001F2586">
        <w:rPr>
          <w:rFonts w:eastAsia="Calibri"/>
          <w:rtl/>
        </w:rPr>
        <w:t>.</w:t>
      </w:r>
    </w:p>
    <w:bookmarkEnd w:id="78"/>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ב-5.7.23 הודיע בנק ישראל על פרסום שיעורי הריביות של הבנקים על משכנתאות למטרת מגורים</w:t>
      </w:r>
      <w:r>
        <w:rPr>
          <w:rFonts w:eastAsia="Calibri"/>
          <w:vertAlign w:val="superscript"/>
          <w:rtl/>
        </w:rPr>
        <w:footnoteReference w:id="316"/>
      </w:r>
      <w:r w:rsidRPr="001F2586">
        <w:rPr>
          <w:rFonts w:eastAsia="Calibri" w:hint="cs"/>
          <w:rtl/>
        </w:rPr>
        <w:t xml:space="preserve"> כדי לחזק את המודעות של הלקוחות ולהגביר את התחרות בין הבנקים. המפקח על הבנקים ציין בהודעה כי פרסום המידע הוא צעד חשוב בהגברת השקיפות ובחיזוק כוחו של הלקוח וכי הוא יאפשר ללקוחות לקבל החלטה מושכלת על המשכנתא. יצוין כי </w:t>
      </w:r>
      <w:r w:rsidRPr="001F2586">
        <w:rPr>
          <w:rFonts w:eastAsia="Calibri"/>
          <w:rtl/>
        </w:rPr>
        <w:t>ההשוואה מתפרסמת על בסיס דיווחי הבנקים על ריביות וביצועים על אשראי למטרת מגורים ומתבססת על המתודולוגיה לחישוב הריבית הכוללת החזויה</w:t>
      </w:r>
      <w:r w:rsidRPr="001F2586">
        <w:rPr>
          <w:rFonts w:eastAsia="Calibri" w:hint="cs"/>
          <w:rtl/>
        </w:rPr>
        <w:t xml:space="preserve"> שנקבעה</w:t>
      </w:r>
      <w:r w:rsidRPr="001F2586">
        <w:rPr>
          <w:rFonts w:eastAsia="Calibri"/>
          <w:rtl/>
        </w:rPr>
        <w:t xml:space="preserve"> </w:t>
      </w:r>
      <w:r w:rsidRPr="001F2586">
        <w:rPr>
          <w:rFonts w:eastAsia="Calibri" w:hint="cs"/>
          <w:rtl/>
        </w:rPr>
        <w:t>ב</w:t>
      </w:r>
      <w:r w:rsidRPr="001F2586">
        <w:rPr>
          <w:rFonts w:eastAsia="Calibri"/>
          <w:rtl/>
        </w:rPr>
        <w:t>נב"ת</w:t>
      </w:r>
      <w:r w:rsidRPr="001F2586">
        <w:rPr>
          <w:rFonts w:eastAsia="Calibri"/>
          <w:rtl/>
        </w:rPr>
        <w:t xml:space="preserve"> 451</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ב-12.7.23 הודיע בנק ישראל</w:t>
      </w:r>
      <w:r>
        <w:rPr>
          <w:rFonts w:eastAsia="Calibri"/>
          <w:vertAlign w:val="superscript"/>
          <w:rtl/>
        </w:rPr>
        <w:footnoteReference w:id="317"/>
      </w:r>
      <w:r w:rsidRPr="001F2586">
        <w:rPr>
          <w:rFonts w:eastAsia="Calibri" w:hint="cs"/>
          <w:rtl/>
        </w:rPr>
        <w:t xml:space="preserve"> על השקת אתר קו המשווה שבו מרוכז מידע השוואתי על מוצרים פיננסים שונים וכן מדריכים בנושאים פיננסיים שונים כמו רפורמת השקיפות במשכנתאות אשר "...נועדו לסייע לציבור להתנהל בצורה מושכלת בעולם הפיננסי בכלל ומול הבנקים בפרט...". </w:t>
      </w:r>
      <w:r w:rsidRPr="001F2586">
        <w:rPr>
          <w:rFonts w:eastAsia="Calibri"/>
          <w:rtl/>
        </w:rPr>
        <w:t xml:space="preserve">הפיקוח על הבנקים מפרסם </w:t>
      </w:r>
      <w:r w:rsidRPr="001F2586">
        <w:rPr>
          <w:rFonts w:eastAsia="Calibri" w:hint="cs"/>
          <w:rtl/>
        </w:rPr>
        <w:t xml:space="preserve">בקו המשווה </w:t>
      </w:r>
      <w:r w:rsidRPr="001F2586">
        <w:rPr>
          <w:rFonts w:eastAsia="Calibri"/>
          <w:rtl/>
        </w:rPr>
        <w:t xml:space="preserve">נתונים </w:t>
      </w:r>
      <w:r w:rsidRPr="001F2586">
        <w:rPr>
          <w:rFonts w:eastAsia="Calibri" w:hint="cs"/>
          <w:rtl/>
        </w:rPr>
        <w:t xml:space="preserve">אלו </w:t>
      </w:r>
      <w:r w:rsidRPr="001F2586">
        <w:rPr>
          <w:rFonts w:eastAsia="Calibri"/>
          <w:rtl/>
        </w:rPr>
        <w:t>על משכנתאות למטרת מגורים: שיעורי ריביות ממוצעות במסלולי הלוואה שונים של המשכנתא</w:t>
      </w:r>
      <w:r w:rsidRPr="001F2586">
        <w:rPr>
          <w:rFonts w:eastAsia="Calibri" w:hint="cs"/>
          <w:rtl/>
        </w:rPr>
        <w:t xml:space="preserve"> בריבית קבועה ובריבית משתנה;</w:t>
      </w:r>
      <w:r w:rsidRPr="001F2586">
        <w:rPr>
          <w:rFonts w:eastAsia="Calibri"/>
          <w:rtl/>
        </w:rPr>
        <w:t xml:space="preserve"> השיעור של כל מסלול הלוואה בתמהיל </w:t>
      </w:r>
      <w:r w:rsidRPr="001F2586">
        <w:rPr>
          <w:rFonts w:eastAsia="Calibri" w:hint="cs"/>
          <w:rtl/>
        </w:rPr>
        <w:t>ביצועי המשכנתאות;</w:t>
      </w:r>
      <w:r w:rsidRPr="001F2586">
        <w:rPr>
          <w:rFonts w:eastAsia="Calibri"/>
          <w:rtl/>
        </w:rPr>
        <w:t xml:space="preserve"> והריבית הכוללת החזויה בכל בנק ו</w:t>
      </w:r>
      <w:r w:rsidRPr="001F2586">
        <w:rPr>
          <w:rFonts w:eastAsia="Calibri" w:hint="cs"/>
          <w:rtl/>
        </w:rPr>
        <w:t xml:space="preserve">הממוצע שלה </w:t>
      </w:r>
      <w:r w:rsidRPr="001F2586">
        <w:rPr>
          <w:rFonts w:eastAsia="Calibri"/>
          <w:rtl/>
        </w:rPr>
        <w:t>במערכת הבנקאית.</w:t>
      </w:r>
      <w:r w:rsidRPr="001F2586">
        <w:rPr>
          <w:rFonts w:eastAsia="Calibri" w:hint="cs"/>
          <w:rtl/>
        </w:rPr>
        <w:t xml:space="preserve"> להלן השוואה של שיעורי הריביות הממוצעות, והריבית הכוללת החזויה על משכנתאות למטרת מגורים שניתנו בדצמבר 2025 במערכת הבנקאית כפי שמוצג באתר </w:t>
      </w:r>
      <w:r w:rsidRPr="001F2586">
        <w:rPr>
          <w:rFonts w:eastAsia="Calibri" w:hint="eastAsia"/>
          <w:rtl/>
        </w:rPr>
        <w:t>קו</w:t>
      </w:r>
      <w:r w:rsidRPr="001F2586">
        <w:rPr>
          <w:rFonts w:eastAsia="Calibri"/>
          <w:rtl/>
        </w:rPr>
        <w:t xml:space="preserve"> </w:t>
      </w:r>
      <w:r w:rsidRPr="001F2586">
        <w:rPr>
          <w:rFonts w:eastAsia="Calibri" w:hint="eastAsia"/>
          <w:rtl/>
        </w:rPr>
        <w:t>המשווה</w:t>
      </w:r>
      <w:r w:rsidRPr="001F2586">
        <w:rPr>
          <w:rFonts w:ascii="David" w:eastAsia="Calibri" w:hAnsi="David"/>
          <w:sz w:val="24"/>
        </w:rPr>
        <w:t>:</w:t>
      </w:r>
    </w:p>
    <w:p w:rsidR="001F2586" w:rsidRPr="00507697" w:rsidP="00507697">
      <w:pPr>
        <w:keepNext/>
        <w:keepLines/>
        <w:spacing w:line="269" w:lineRule="auto"/>
        <w:ind w:left="-2"/>
        <w:jc w:val="center"/>
        <w:outlineLvl w:val="4"/>
        <w:rPr>
          <w:rFonts w:eastAsia="Calibri"/>
          <w:b/>
          <w:sz w:val="24"/>
          <w:rtl/>
        </w:rPr>
      </w:pPr>
    </w:p>
    <w:p w:rsidR="001F2586" w:rsidRPr="001F2586" w:rsidP="00507697">
      <w:pPr>
        <w:keepNext/>
        <w:keepLines/>
        <w:spacing w:line="269" w:lineRule="auto"/>
        <w:ind w:left="-2"/>
        <w:jc w:val="center"/>
        <w:outlineLvl w:val="4"/>
        <w:rPr>
          <w:rFonts w:eastAsia="Calibri"/>
          <w:bCs/>
          <w:sz w:val="24"/>
          <w:rtl/>
        </w:rPr>
      </w:pPr>
      <w:r w:rsidRPr="001F2586">
        <w:rPr>
          <w:rFonts w:eastAsia="Calibri" w:hint="cs"/>
          <w:b/>
          <w:sz w:val="24"/>
          <w:rtl/>
        </w:rPr>
        <w:t>תרשים 38:</w:t>
      </w:r>
      <w:r w:rsidRPr="001F2586">
        <w:rPr>
          <w:rFonts w:eastAsia="Calibri" w:hint="cs"/>
          <w:bCs/>
          <w:sz w:val="24"/>
          <w:rtl/>
        </w:rPr>
        <w:t xml:space="preserve"> </w:t>
      </w:r>
      <w:r w:rsidRPr="001F2586">
        <w:rPr>
          <w:rFonts w:eastAsia="Calibri" w:hint="eastAsia"/>
          <w:bCs/>
          <w:sz w:val="24"/>
          <w:rtl/>
        </w:rPr>
        <w:t>שיעורי</w:t>
      </w:r>
      <w:r w:rsidRPr="001F2586">
        <w:rPr>
          <w:rFonts w:eastAsia="Calibri"/>
          <w:bCs/>
          <w:sz w:val="24"/>
          <w:rtl/>
        </w:rPr>
        <w:t xml:space="preserve"> </w:t>
      </w:r>
      <w:r w:rsidRPr="001F2586">
        <w:rPr>
          <w:rFonts w:eastAsia="Calibri" w:hint="eastAsia"/>
          <w:bCs/>
          <w:sz w:val="24"/>
          <w:rtl/>
        </w:rPr>
        <w:t>הריביות</w:t>
      </w:r>
      <w:r w:rsidRPr="001F2586">
        <w:rPr>
          <w:rFonts w:eastAsia="Calibri"/>
          <w:bCs/>
          <w:sz w:val="24"/>
          <w:rtl/>
        </w:rPr>
        <w:t xml:space="preserve"> </w:t>
      </w:r>
      <w:r w:rsidRPr="001F2586">
        <w:rPr>
          <w:rFonts w:eastAsia="Calibri" w:hint="eastAsia"/>
          <w:bCs/>
          <w:sz w:val="24"/>
          <w:rtl/>
        </w:rPr>
        <w:t>הממוצעות</w:t>
      </w:r>
      <w:r w:rsidRPr="001F2586">
        <w:rPr>
          <w:rFonts w:eastAsia="Calibri"/>
          <w:bCs/>
          <w:sz w:val="24"/>
          <w:rtl/>
        </w:rPr>
        <w:t xml:space="preserve"> </w:t>
      </w:r>
      <w:r w:rsidRPr="001F2586">
        <w:rPr>
          <w:rFonts w:eastAsia="Calibri" w:hint="eastAsia"/>
          <w:bCs/>
          <w:sz w:val="24"/>
          <w:rtl/>
        </w:rPr>
        <w:t>והריבית</w:t>
      </w:r>
      <w:r w:rsidRPr="001F2586">
        <w:rPr>
          <w:rFonts w:eastAsia="Calibri"/>
          <w:bCs/>
          <w:sz w:val="24"/>
          <w:rtl/>
        </w:rPr>
        <w:t xml:space="preserve"> </w:t>
      </w:r>
      <w:r w:rsidRPr="001F2586">
        <w:rPr>
          <w:rFonts w:eastAsia="Calibri" w:hint="eastAsia"/>
          <w:bCs/>
          <w:sz w:val="24"/>
          <w:rtl/>
        </w:rPr>
        <w:t>הכוללת</w:t>
      </w:r>
      <w:r w:rsidRPr="001F2586">
        <w:rPr>
          <w:rFonts w:eastAsia="Calibri"/>
          <w:bCs/>
          <w:sz w:val="24"/>
          <w:rtl/>
        </w:rPr>
        <w:t xml:space="preserve"> </w:t>
      </w:r>
      <w:r w:rsidRPr="001F2586">
        <w:rPr>
          <w:rFonts w:eastAsia="Calibri" w:hint="eastAsia"/>
          <w:bCs/>
          <w:sz w:val="24"/>
          <w:rtl/>
        </w:rPr>
        <w:t>החזויה</w:t>
      </w:r>
      <w:r w:rsidRPr="001F2586">
        <w:rPr>
          <w:rFonts w:eastAsia="Calibri"/>
          <w:bCs/>
          <w:sz w:val="24"/>
          <w:rtl/>
        </w:rPr>
        <w:t xml:space="preserve"> </w:t>
      </w:r>
      <w:r w:rsidRPr="001F2586">
        <w:rPr>
          <w:rFonts w:eastAsia="Calibri" w:hint="eastAsia"/>
          <w:bCs/>
          <w:sz w:val="24"/>
          <w:rtl/>
        </w:rPr>
        <w:t>על</w:t>
      </w:r>
      <w:r w:rsidRPr="001F2586">
        <w:rPr>
          <w:rFonts w:eastAsia="Calibri"/>
          <w:bCs/>
          <w:sz w:val="24"/>
          <w:rtl/>
        </w:rPr>
        <w:t xml:space="preserve"> </w:t>
      </w:r>
      <w:r w:rsidRPr="001F2586">
        <w:rPr>
          <w:rFonts w:eastAsia="Calibri" w:hint="eastAsia"/>
          <w:bCs/>
          <w:sz w:val="24"/>
          <w:rtl/>
        </w:rPr>
        <w:t>משכנתאות</w:t>
      </w:r>
      <w:r w:rsidRPr="001F2586">
        <w:rPr>
          <w:rFonts w:eastAsia="Calibri"/>
          <w:bCs/>
          <w:sz w:val="24"/>
          <w:rtl/>
        </w:rPr>
        <w:t xml:space="preserve"> </w:t>
      </w:r>
      <w:r w:rsidRPr="001F2586">
        <w:rPr>
          <w:rFonts w:eastAsia="Calibri" w:hint="eastAsia"/>
          <w:bCs/>
          <w:sz w:val="24"/>
          <w:rtl/>
        </w:rPr>
        <w:t>למטרת</w:t>
      </w:r>
      <w:r w:rsidRPr="001F2586">
        <w:rPr>
          <w:rFonts w:eastAsia="Calibri"/>
          <w:bCs/>
          <w:sz w:val="24"/>
          <w:rtl/>
        </w:rPr>
        <w:t xml:space="preserve"> </w:t>
      </w:r>
      <w:r w:rsidRPr="001F2586">
        <w:rPr>
          <w:rFonts w:eastAsia="Calibri" w:hint="eastAsia"/>
          <w:bCs/>
          <w:sz w:val="24"/>
          <w:rtl/>
        </w:rPr>
        <w:t>מגורים</w:t>
      </w:r>
      <w:r w:rsidRPr="001F2586">
        <w:rPr>
          <w:rFonts w:eastAsia="Calibri"/>
          <w:bCs/>
          <w:sz w:val="24"/>
          <w:rtl/>
        </w:rPr>
        <w:t xml:space="preserve"> </w:t>
      </w:r>
      <w:r w:rsidRPr="001F2586">
        <w:rPr>
          <w:rFonts w:eastAsia="Calibri" w:hint="eastAsia"/>
          <w:bCs/>
          <w:sz w:val="24"/>
          <w:rtl/>
        </w:rPr>
        <w:t>שניתנו</w:t>
      </w:r>
      <w:r w:rsidRPr="001F2586">
        <w:rPr>
          <w:rFonts w:eastAsia="Calibri"/>
          <w:bCs/>
          <w:sz w:val="24"/>
          <w:rtl/>
        </w:rPr>
        <w:t xml:space="preserve"> </w:t>
      </w:r>
      <w:r w:rsidRPr="001F2586">
        <w:rPr>
          <w:rFonts w:eastAsia="Calibri" w:hint="eastAsia"/>
          <w:bCs/>
          <w:sz w:val="24"/>
          <w:rtl/>
        </w:rPr>
        <w:t>בדצמבר</w:t>
      </w:r>
      <w:r w:rsidRPr="001F2586">
        <w:rPr>
          <w:rFonts w:eastAsia="Calibri"/>
          <w:bCs/>
          <w:sz w:val="24"/>
          <w:rtl/>
        </w:rPr>
        <w:t xml:space="preserve"> 2025</w:t>
      </w:r>
    </w:p>
    <w:p w:rsidR="001F2586" w:rsidRPr="001F2586" w:rsidP="001F2586">
      <w:pPr>
        <w:spacing w:line="269" w:lineRule="auto"/>
        <w:jc w:val="center"/>
        <w:rPr>
          <w:rFonts w:eastAsia="Calibri"/>
          <w:rtl/>
        </w:rPr>
      </w:pPr>
      <w:r w:rsidRPr="001F2586">
        <w:rPr>
          <w:rFonts w:eastAsia="Calibri"/>
          <w:noProof/>
        </w:rPr>
        <w:drawing>
          <wp:inline distT="0" distB="0" distL="0" distR="0">
            <wp:extent cx="4115573" cy="3238500"/>
            <wp:effectExtent l="0" t="0" r="0" b="0"/>
            <wp:docPr id="68" name="תמונה 68" descr="שיעורי הריביות הממוצעות בכל מסלול במשכנתאות שניתנו בדצמבר 2025:&#10;&#10;קבועה לא צמודה-שיערו ריבית 4.74%, משקלן בהלוואות -31%.&#10;&#10;משתנה לא צמודה (פריים)- 5.05%, משקלן בהלוואות- 11%.&#10;&#10;משתנה לא צמודה (שאינה פריים)- 4.72%, משקלן בהלוואות 47%.&#10;&#10;משתנה צמוד מדד- 3.36%, משקלן בהלוואות - 5%.&#10;&#10;קבועה צמוד מדד- 3.04%, משקלן בהלוואות- 6%.&#10;&#10;IRR-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51"/>
                    <a:srcRect t="17739"/>
                    <a:stretch>
                      <a:fillRect/>
                    </a:stretch>
                  </pic:blipFill>
                  <pic:spPr bwMode="auto">
                    <a:xfrm>
                      <a:off x="0" y="0"/>
                      <a:ext cx="4143885" cy="3260778"/>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rPr>
          <w:rFonts w:ascii="David" w:eastAsia="Calibri" w:hAnsi="David"/>
          <w:szCs w:val="20"/>
          <w:rtl/>
        </w:rPr>
      </w:pPr>
      <w:r w:rsidRPr="001F2586">
        <w:rPr>
          <w:rFonts w:ascii="David" w:eastAsia="Calibri" w:hAnsi="David" w:hint="cs"/>
          <w:szCs w:val="20"/>
          <w:rtl/>
        </w:rPr>
        <w:t>ה</w:t>
      </w:r>
      <w:r w:rsidRPr="001F2586">
        <w:rPr>
          <w:rFonts w:ascii="David" w:eastAsia="Calibri" w:hAnsi="David"/>
          <w:szCs w:val="20"/>
          <w:rtl/>
        </w:rPr>
        <w:t>מקור: אתר בנק ישראל - קו המשווה - משכנתאות, נכון למידע המוצג ביום 19.1.26</w:t>
      </w:r>
      <w:r w:rsidRPr="001F2586">
        <w:rPr>
          <w:rFonts w:ascii="David" w:eastAsia="Calibri" w:hAnsi="David" w:hint="cs"/>
          <w:szCs w:val="20"/>
          <w:rtl/>
        </w:rPr>
        <w:t>.</w:t>
      </w:r>
    </w:p>
    <w:p w:rsidR="001F2586" w:rsidRPr="001F2586" w:rsidP="001F2586">
      <w:pPr>
        <w:spacing w:line="269" w:lineRule="auto"/>
        <w:rPr>
          <w:rFonts w:eastAsia="Calibri"/>
          <w:rtl/>
        </w:rPr>
      </w:pPr>
      <w:r w:rsidRPr="001F2586">
        <w:rPr>
          <w:rFonts w:eastAsia="Calibri" w:hint="cs"/>
          <w:rtl/>
        </w:rPr>
        <w:t>בטבלה ניתן לראות השוואה הכוללת את שיעור הריבית הממוצעת לכל אחד ממסלולי ההלוואה השכיחים של משכנתא במערכת הבנקאית, וכן את שיעור מסלול ההלוואה בהתפלגות המסלולים של הלוואות שנתנו הבנקים בדצמבר 2025. כמו כן, מוצג מדד ה-</w:t>
      </w:r>
      <w:r w:rsidRPr="001F2586">
        <w:rPr>
          <w:rFonts w:eastAsia="Calibri" w:hint="cs"/>
        </w:rPr>
        <w:t>IRR</w:t>
      </w:r>
      <w:r w:rsidRPr="001F2586">
        <w:rPr>
          <w:rFonts w:eastAsia="Calibri" w:hint="cs"/>
          <w:rtl/>
        </w:rPr>
        <w:t xml:space="preserve"> המייצג את שיעור הריבית הכוללת החזויה על משכנתאות למטרת מגורים במערכת הבנקאית. מדד זה </w:t>
      </w:r>
      <w:r w:rsidRPr="001F2586">
        <w:rPr>
          <w:rFonts w:eastAsia="Calibri"/>
          <w:rtl/>
        </w:rPr>
        <w:t>מחשב את העלות הכוללת של המשכנת</w:t>
      </w:r>
      <w:r w:rsidRPr="001F2586">
        <w:rPr>
          <w:rFonts w:eastAsia="Calibri" w:hint="cs"/>
          <w:rtl/>
        </w:rPr>
        <w:t>א</w:t>
      </w:r>
      <w:r w:rsidRPr="001F2586">
        <w:rPr>
          <w:rFonts w:eastAsia="Calibri"/>
          <w:rtl/>
        </w:rPr>
        <w:t xml:space="preserve"> לאורך כל תקופת ההלוואה, כולל תשלומים וריביות עתידי</w:t>
      </w:r>
      <w:r w:rsidRPr="001F2586">
        <w:rPr>
          <w:rFonts w:eastAsia="Calibri" w:hint="cs"/>
          <w:rtl/>
        </w:rPr>
        <w:t>י</w:t>
      </w:r>
      <w:r w:rsidRPr="001F2586">
        <w:rPr>
          <w:rFonts w:eastAsia="Calibri"/>
          <w:rtl/>
        </w:rPr>
        <w:t xml:space="preserve">ם. </w:t>
      </w:r>
      <w:r w:rsidRPr="001F2586">
        <w:rPr>
          <w:rFonts w:eastAsia="Calibri" w:hint="cs"/>
          <w:rtl/>
        </w:rPr>
        <w:t xml:space="preserve">בכך, </w:t>
      </w:r>
      <w:r w:rsidRPr="001F2586">
        <w:rPr>
          <w:rFonts w:eastAsia="Calibri"/>
          <w:rtl/>
        </w:rPr>
        <w:t>המדד מאפשר להשוות בין הצעות שונות ולקבל תמונה מלאה של העלות הכוללת של המשכנת</w:t>
      </w:r>
      <w:r w:rsidRPr="001F2586">
        <w:rPr>
          <w:rFonts w:eastAsia="Calibri" w:hint="cs"/>
          <w:rtl/>
        </w:rPr>
        <w:t xml:space="preserve">א. עם זאת לא מוצג מדד </w:t>
      </w:r>
      <w:r w:rsidRPr="001F2586">
        <w:rPr>
          <w:rFonts w:eastAsia="Calibri"/>
        </w:rPr>
        <w:t>IRR</w:t>
      </w:r>
      <w:r w:rsidRPr="001F2586">
        <w:rPr>
          <w:rFonts w:eastAsia="Calibri" w:hint="cs"/>
          <w:rtl/>
        </w:rPr>
        <w:t xml:space="preserve"> לכל מסלול ריבית בנפרד.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יצוין כי הפיקוח על הבנקים מחייב</w:t>
      </w:r>
      <w:r>
        <w:rPr>
          <w:rFonts w:eastAsia="Calibri"/>
          <w:vertAlign w:val="superscript"/>
          <w:rtl/>
        </w:rPr>
        <w:footnoteReference w:id="318"/>
      </w:r>
      <w:r w:rsidRPr="001F2586">
        <w:rPr>
          <w:rFonts w:eastAsia="Calibri"/>
          <w:rtl/>
        </w:rPr>
        <w:t xml:space="preserve"> את הבנקים בדיווח חודשי של שיעורי הריביות שניתנו בריבית קבועה ובריבית משתנה במשכנתאות, בין היתר לפי משתנים אלו: תקופה לפירעון, שיעור המימון, שיעור החזר מהכנסה.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rtl/>
        </w:rPr>
        <w:t>כמו כן, הפיקוח על הבנקים עוקב אחר נתונים סטטיסטיים על השימוש במוצרי השוואה שונים. מידע זה משמש את הפיקוח כדי להעריך את מידת החשיפה של הציבור למידע המפורסם ב"קו המשווה" וכדי לזהות הזדמנויות לשיפור החשיפה. יצוין כי ההערכה של מידת החשיפה והשימוש של הציבור בכלי ההשוואה היא מצומצמת לאור זאת שהציבור גם נחשף לנתונים ב</w:t>
      </w:r>
      <w:r w:rsidRPr="001F2586">
        <w:rPr>
          <w:rFonts w:eastAsia="Calibri"/>
          <w:rtl/>
        </w:rPr>
        <w:t>עיתונות הכלכלית</w:t>
      </w:r>
      <w:r w:rsidRPr="001F2586">
        <w:rPr>
          <w:rFonts w:eastAsia="Calibri" w:hint="cs"/>
          <w:rtl/>
        </w:rPr>
        <w:t xml:space="preserve">. עם זאת יש חשיבות למעקב אחר נתוני החשיפה לצורך הערכת התרומה של כלי השוואה כמו "קו המשווה" לציבור.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מנתונים שהציג בנק ישראל בהודעה לעיתונות</w:t>
      </w:r>
      <w:r>
        <w:rPr>
          <w:rFonts w:eastAsia="Calibri"/>
          <w:vertAlign w:val="superscript"/>
          <w:rtl/>
        </w:rPr>
        <w:footnoteReference w:id="319"/>
      </w:r>
      <w:r w:rsidRPr="001F2586">
        <w:rPr>
          <w:rFonts w:eastAsia="Calibri" w:hint="cs"/>
          <w:rtl/>
        </w:rPr>
        <w:t xml:space="preserve"> על היקף החשיפה של הציבור לאתר "קו המשווה" בתקופה מינואר 2024 - מרץ 2025 עולה כי חלה עלייה בכמות המשתמשים שנחשפו לכלי זה בעיקר ברבעון הראשון של שנת 2025. בנק ישראל הסביר את העלייה הניכרת בתחילת שנת 2025 בהיקף המשתמשים בתהליך פרסום</w:t>
      </w:r>
      <w:r>
        <w:rPr>
          <w:rFonts w:eastAsia="Calibri"/>
          <w:vertAlign w:val="superscript"/>
          <w:rtl/>
        </w:rPr>
        <w:footnoteReference w:id="320"/>
      </w:r>
      <w:r w:rsidRPr="001F2586">
        <w:rPr>
          <w:rFonts w:eastAsia="Calibri" w:hint="cs"/>
          <w:rtl/>
        </w:rPr>
        <w:t xml:space="preserve"> שהוא השיק באותה עת. הפיקוח על הבנקים ציין במענה למשרד מבקר המדינה מיום 22.1.26 כי בשנת 2025</w:t>
      </w:r>
      <w:r>
        <w:rPr>
          <w:rFonts w:eastAsia="Calibri"/>
          <w:vertAlign w:val="superscript"/>
          <w:rtl/>
        </w:rPr>
        <w:footnoteReference w:id="321"/>
      </w:r>
      <w:r w:rsidRPr="001F2586">
        <w:rPr>
          <w:rFonts w:eastAsia="Calibri" w:hint="cs"/>
          <w:rtl/>
        </w:rPr>
        <w:t xml:space="preserve"> מספר המשתמשים שנכנסו להשוואת הריביות על משכנתאות למטרת מגורים ב"קו המשווה" הוא 38 אלף.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עוד נמצא כי הפיקוח על הבנקים מפרסם בקו המשווה נתונים שונים על שיעורי הריביות על הלוואות צרכניות שניתנות למשקי בית כמו שיעור ריבית ממוצעת, לרבות הריבית הממוצעת ברבעון התחתון וברבעון העליון</w:t>
      </w:r>
      <w:r>
        <w:rPr>
          <w:rFonts w:eastAsia="Calibri"/>
          <w:vertAlign w:val="superscript"/>
          <w:rtl/>
        </w:rPr>
        <w:footnoteReference w:id="322"/>
      </w:r>
      <w:r w:rsidRPr="001F2586">
        <w:rPr>
          <w:rFonts w:eastAsia="Calibri" w:hint="cs"/>
          <w:rtl/>
        </w:rPr>
        <w:t xml:space="preserve"> ושיעור הריבית החציונית</w:t>
      </w:r>
      <w:r>
        <w:rPr>
          <w:rFonts w:eastAsia="Calibri"/>
          <w:vertAlign w:val="superscript"/>
          <w:rtl/>
        </w:rPr>
        <w:footnoteReference w:id="323"/>
      </w:r>
      <w:r w:rsidRPr="001F2586">
        <w:rPr>
          <w:rFonts w:eastAsia="Calibri" w:hint="cs"/>
          <w:rtl/>
        </w:rPr>
        <w:t>. פרסום הריבית החציונית מאפשר לכל צרכן להבין טוב יותר את מיקומו ביחס לשאר הריביות שניתנו לצרכנים אחרים. עם זאת, נתונים אלו אינם מתפרסמים במשכנתאות, שהן ההוצאה המשמעותית ביותר של משקי הבית ולכן יש חשיבות רבה לפרסם נתונים אלו גם עבורם. כמו כן, ראוי להרחיב את פרסום הנתונים על שיעורי הריביות גם על משכנתאות שניתנות כנגד ביטחון של דירת מגורים (להלן - הלוואות לכל מטרה)</w:t>
      </w:r>
      <w:r>
        <w:rPr>
          <w:rFonts w:eastAsia="Calibri"/>
          <w:vertAlign w:val="superscript"/>
          <w:rtl/>
        </w:rPr>
        <w:footnoteReference w:id="324"/>
      </w:r>
      <w:r w:rsidRPr="001F2586">
        <w:rPr>
          <w:rFonts w:eastAsia="Calibri" w:hint="cs"/>
          <w:rtl/>
        </w:rPr>
        <w:t xml:space="preserve"> שיתרתן עומדת על כ-35.7 מיליארד ש"ח</w:t>
      </w:r>
      <w:r>
        <w:rPr>
          <w:rFonts w:eastAsia="Calibri"/>
          <w:vertAlign w:val="superscript"/>
          <w:rtl/>
        </w:rPr>
        <w:footnoteReference w:id="325"/>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sz w:val="24"/>
          <w:rtl/>
        </w:rPr>
      </w:pPr>
      <w:r w:rsidRPr="001F2586">
        <w:rPr>
          <w:rFonts w:eastAsia="Calibri" w:hint="cs"/>
          <w:b/>
          <w:bCs/>
          <w:sz w:val="24"/>
          <w:rtl/>
        </w:rPr>
        <w:t>משרד מבקר המדינה מציין לחיוב את פעולות בנק ישראל לפרסום והנגשה של מידע השוואתי על מוצרים פיננסיים באתר "קו המשווה", ובפרט את פרסום הנתונים החודשיים על שיעורי הריביות הממוצעות במשכנתאות למטרת מגורים החל מיולי 2023. הפרסום כאמור מנגיש מידע שיכול לסייע לציבור בהבנת מוצר המשכנתא וההבדלים בריביות בין מסלולי ההלוואה השונים.</w:t>
      </w:r>
    </w:p>
    <w:p w:rsidR="001F2586" w:rsidRPr="001F2586" w:rsidP="001F2586">
      <w:pPr>
        <w:spacing w:line="269" w:lineRule="auto"/>
        <w:ind w:left="-567"/>
        <w:rPr>
          <w:rFonts w:eastAsia="Calibri"/>
          <w:sz w:val="24"/>
          <w:rtl/>
        </w:rPr>
      </w:pPr>
    </w:p>
    <w:p w:rsidR="001F2586" w:rsidRPr="001F2586" w:rsidP="001F2586">
      <w:pPr>
        <w:spacing w:line="269" w:lineRule="auto"/>
        <w:rPr>
          <w:rFonts w:eastAsia="Calibri"/>
          <w:b/>
          <w:bCs/>
          <w:rtl/>
        </w:rPr>
      </w:pPr>
      <w:bookmarkStart w:id="79" w:name="_Hlk225168420"/>
      <w:r w:rsidRPr="001F2586">
        <w:rPr>
          <w:rFonts w:eastAsia="Calibri" w:hint="cs"/>
          <w:b/>
          <w:bCs/>
          <w:rtl/>
        </w:rPr>
        <w:t>עם זאת נמצא כי הפיקוח על הבנקים אינו מפרסם ב"קו המשווה" נתונים נוספים על שיעורי הריביות במשכנתאות, כפי שנוהג לפרסם על הלוואות צרכניות של משקי בית, כמו הריבית החציונית והריבית הממוצעת ברבעון התחתון והעליון. עוד נמצא כי למרות שהפיקוח על הבנקים מחזיק במידע רחב שהבנקים מדווחים לו בתחום המשכנתאות, כגון שיעורי ריביות בפילוחים לפי משתנים שונים המשפיעים על שיעורי הריביות, הוא אינו מנגיש אותם לציבור ב"קו המשווה". בשל כך נמנעת מהציבור נגישות לנתונים השוואתיים בעלי חשיבות שיכולים להגביר את השקיפות ואת כוחם של הלווים כמו שיעורי ריביות במשכנתאות לפי פילוחים של משתנים כמו תקופה, שיעור המימון ושיעור החזר מהכנסה המשפיעות באופן משמעותי על גובה הריביות. בנוסף הפיקוח על הבנקים אינו מפרסם ב"קו המשווה" נתונים על שיעורי ריביות בהלוואות לכל מטרה</w:t>
      </w:r>
      <w:bookmarkEnd w:id="79"/>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בתשובת בנק ישראל צוין כי בעת הקמת אתר "קו המשווה" נבחן סט הנתונים שיאפשר השוואה נוחה של הריביות עבור המוצרים הפיננסיים השונים מבלי להעמיס נתונים שיקשו על הציבור להשתמש בהם.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מומלץ כי הפיקוח על הבנקים יפעל לשכלל את כלי "קו המשווה" ולהוסיף בו נתונים השוואתיים נוספים על שיעורי הריביות במשכנתאות אשר יגבירו את השקיפות לציבור כמו הנתונים שמפרסם על הלוואות צרכניות למשקי בית, וכן יציג את שיעורי הריביות בפילוח לפי משתנים שונים בהתאם לדיווחים הקיימים אצלו של שיעורי הריביות לפי תקופה, שיעור מימון, שיעור החזר מהכנסה ועוד.</w:t>
      </w:r>
      <w:r w:rsidRPr="001F2586">
        <w:rPr>
          <w:rFonts w:eastAsia="Calibri"/>
          <w:rtl/>
        </w:rPr>
        <w:t xml:space="preserve"> </w:t>
      </w:r>
      <w:r w:rsidRPr="001F2586">
        <w:rPr>
          <w:rFonts w:eastAsia="Calibri" w:hint="eastAsia"/>
          <w:b/>
          <w:bCs/>
          <w:rtl/>
        </w:rPr>
        <w:t>כן</w:t>
      </w:r>
      <w:r w:rsidRPr="001F2586">
        <w:rPr>
          <w:rFonts w:eastAsia="Calibri"/>
          <w:b/>
          <w:bCs/>
          <w:rtl/>
        </w:rPr>
        <w:t xml:space="preserve"> מומלץ לבחון הצגת מדד </w:t>
      </w:r>
      <w:r w:rsidRPr="001F2586">
        <w:rPr>
          <w:rFonts w:eastAsia="Calibri"/>
          <w:b/>
          <w:bCs/>
        </w:rPr>
        <w:t>IRR</w:t>
      </w:r>
      <w:r w:rsidRPr="001F2586">
        <w:rPr>
          <w:rFonts w:eastAsia="Calibri"/>
          <w:b/>
          <w:bCs/>
          <w:rtl/>
        </w:rPr>
        <w:t xml:space="preserve"> לכל מסלול ריבית ול</w:t>
      </w:r>
      <w:r w:rsidRPr="001F2586">
        <w:rPr>
          <w:rFonts w:eastAsia="Calibri" w:hint="eastAsia"/>
          <w:b/>
          <w:bCs/>
          <w:rtl/>
        </w:rPr>
        <w:t>פרסם</w:t>
      </w:r>
      <w:r w:rsidRPr="001F2586">
        <w:rPr>
          <w:rFonts w:eastAsia="Calibri" w:hint="cs"/>
          <w:b/>
          <w:bCs/>
          <w:rtl/>
        </w:rPr>
        <w:t xml:space="preserve"> נתונים השוואתיים של שיעורי ריביות גם בהלוואות לכל מטרה. </w:t>
      </w:r>
    </w:p>
    <w:p w:rsidR="001F2586" w:rsidRPr="001F2586" w:rsidP="001F2586">
      <w:pPr>
        <w:spacing w:line="269" w:lineRule="auto"/>
        <w:rPr>
          <w:rFonts w:eastAsia="Calibri"/>
          <w:b/>
          <w:bCs/>
          <w:rtl/>
        </w:rPr>
      </w:pPr>
    </w:p>
    <w:p w:rsidR="001F2586" w:rsidRPr="001F2586" w:rsidP="001F2586">
      <w:pPr>
        <w:keepNext/>
        <w:keepLines/>
        <w:spacing w:line="269" w:lineRule="auto"/>
        <w:outlineLvl w:val="2"/>
        <w:rPr>
          <w:rFonts w:eastAsia="Times New Roman"/>
          <w:bCs/>
          <w:szCs w:val="28"/>
          <w:u w:val="single"/>
          <w:rtl/>
        </w:rPr>
      </w:pPr>
      <w:r w:rsidRPr="001F2586">
        <w:rPr>
          <w:rFonts w:eastAsia="Times New Roman" w:hint="cs"/>
          <w:bCs/>
          <w:szCs w:val="28"/>
          <w:u w:val="single"/>
          <w:rtl/>
        </w:rPr>
        <w:t xml:space="preserve">מחזור משכנתאות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w:t>
      </w:r>
      <w:r w:rsidRPr="001F2586">
        <w:rPr>
          <w:rFonts w:eastAsia="Calibri"/>
          <w:rtl/>
        </w:rPr>
        <w:t xml:space="preserve">לוואות לדיור כפופות להוראות סעיף </w:t>
      </w:r>
      <w:r w:rsidRPr="001F2586">
        <w:rPr>
          <w:rFonts w:eastAsia="Calibri" w:hint="cs"/>
          <w:rtl/>
        </w:rPr>
        <w:t>13</w:t>
      </w:r>
      <w:r w:rsidRPr="001F2586">
        <w:rPr>
          <w:rFonts w:eastAsia="Calibri"/>
          <w:rtl/>
        </w:rPr>
        <w:t xml:space="preserve"> לפקודת הבנקאות, </w:t>
      </w:r>
      <w:r w:rsidRPr="001F2586">
        <w:rPr>
          <w:rFonts w:eastAsia="Calibri" w:hint="cs"/>
          <w:rtl/>
        </w:rPr>
        <w:t xml:space="preserve">1941 </w:t>
      </w:r>
      <w:r w:rsidRPr="001F2586">
        <w:rPr>
          <w:rFonts w:eastAsia="Calibri"/>
          <w:rtl/>
        </w:rPr>
        <w:t xml:space="preserve">שבהן </w:t>
      </w:r>
      <w:r w:rsidRPr="001F2586">
        <w:rPr>
          <w:rFonts w:eastAsia="Calibri" w:hint="cs"/>
          <w:rtl/>
        </w:rPr>
        <w:t>נקבע</w:t>
      </w:r>
      <w:r w:rsidRPr="001F2586">
        <w:rPr>
          <w:rFonts w:eastAsia="Calibri"/>
          <w:rtl/>
        </w:rPr>
        <w:t xml:space="preserve"> כי הלווים זכאים לפרוע את ההלוואות במועד מוקדם</w:t>
      </w:r>
      <w:r w:rsidRPr="001F2586">
        <w:rPr>
          <w:rFonts w:eastAsia="Calibri" w:hint="cs"/>
          <w:rtl/>
        </w:rPr>
        <w:t xml:space="preserve"> </w:t>
      </w:r>
      <w:r w:rsidRPr="001F2586">
        <w:rPr>
          <w:rFonts w:eastAsia="Calibri"/>
          <w:rtl/>
        </w:rPr>
        <w:t>מזה שהוסכם עליו במסגרת הסכם ההלוואה. לצד זאת נקבע כי הזכות לפירעון מוקדם</w:t>
      </w:r>
      <w:r w:rsidRPr="001F2586">
        <w:rPr>
          <w:rFonts w:eastAsia="Calibri" w:hint="cs"/>
          <w:rtl/>
        </w:rPr>
        <w:t xml:space="preserve"> </w:t>
      </w:r>
      <w:r w:rsidRPr="001F2586">
        <w:rPr>
          <w:rFonts w:eastAsia="Calibri"/>
          <w:rtl/>
        </w:rPr>
        <w:t>מותנית בפירעון של שיעור מינימלי מתוך סכום ההלוואה ובתשלום עמלות שנקבעו בצו</w:t>
      </w:r>
      <w:r w:rsidRPr="001F2586">
        <w:rPr>
          <w:rFonts w:eastAsia="Calibri" w:hint="cs"/>
          <w:rtl/>
        </w:rPr>
        <w:t xml:space="preserve"> </w:t>
      </w:r>
      <w:r w:rsidRPr="001F2586">
        <w:rPr>
          <w:rFonts w:eastAsia="Calibri"/>
          <w:rtl/>
        </w:rPr>
        <w:t>הבנקאות</w:t>
      </w:r>
      <w:r w:rsidRPr="001F2586">
        <w:rPr>
          <w:rFonts w:eastAsia="Calibri" w:hint="cs"/>
          <w:rtl/>
        </w:rPr>
        <w:t xml:space="preserve">. </w:t>
      </w:r>
      <w:bookmarkStart w:id="80" w:name="_Hlk225160245"/>
      <w:r w:rsidRPr="001F2586">
        <w:rPr>
          <w:rFonts w:eastAsia="Calibri"/>
          <w:rtl/>
        </w:rPr>
        <w:t xml:space="preserve">מחזור הלוואת משכנתא </w:t>
      </w:r>
      <w:r w:rsidRPr="001F2586">
        <w:rPr>
          <w:rFonts w:eastAsia="Calibri" w:hint="cs"/>
          <w:rtl/>
        </w:rPr>
        <w:t xml:space="preserve">הניתנות לרכישת דירה </w:t>
      </w:r>
      <w:r w:rsidRPr="001F2586">
        <w:rPr>
          <w:rFonts w:eastAsia="Calibri"/>
          <w:rtl/>
        </w:rPr>
        <w:t xml:space="preserve">הוא תהליך בו הלוואת המשכנתא </w:t>
      </w:r>
      <w:r w:rsidRPr="001F2586">
        <w:rPr>
          <w:rFonts w:eastAsia="Calibri" w:hint="cs"/>
          <w:rtl/>
        </w:rPr>
        <w:t xml:space="preserve">הראשונה </w:t>
      </w:r>
      <w:r w:rsidRPr="001F2586">
        <w:rPr>
          <w:rFonts w:eastAsia="Calibri"/>
          <w:rtl/>
        </w:rPr>
        <w:t>מסולקת ומוחלפת ב</w:t>
      </w:r>
      <w:r w:rsidRPr="001F2586">
        <w:rPr>
          <w:rFonts w:eastAsia="Calibri" w:hint="cs"/>
          <w:rtl/>
        </w:rPr>
        <w:t xml:space="preserve">הלוואת </w:t>
      </w:r>
      <w:r w:rsidRPr="001F2586">
        <w:rPr>
          <w:rFonts w:eastAsia="Calibri"/>
          <w:rtl/>
        </w:rPr>
        <w:t xml:space="preserve">משכנתא חדשה, המציעה </w:t>
      </w:r>
      <w:r w:rsidRPr="001F2586">
        <w:rPr>
          <w:rFonts w:eastAsia="Calibri" w:hint="cs"/>
          <w:rtl/>
        </w:rPr>
        <w:t xml:space="preserve">לרוב </w:t>
      </w:r>
      <w:r w:rsidRPr="001F2586">
        <w:rPr>
          <w:rFonts w:eastAsia="Calibri"/>
          <w:rtl/>
        </w:rPr>
        <w:t xml:space="preserve">תנאים </w:t>
      </w:r>
      <w:r w:rsidRPr="001F2586">
        <w:rPr>
          <w:rFonts w:eastAsia="Calibri" w:hint="cs"/>
          <w:rtl/>
        </w:rPr>
        <w:t>טובים יותר עבור הלווה</w:t>
      </w:r>
      <w:r w:rsidRPr="001F2586">
        <w:rPr>
          <w:rFonts w:eastAsia="Calibri"/>
          <w:rtl/>
        </w:rPr>
        <w:t>.</w:t>
      </w:r>
      <w:r w:rsidRPr="001F2586">
        <w:rPr>
          <w:rFonts w:eastAsia="Calibri" w:hint="cs"/>
          <w:rtl/>
        </w:rPr>
        <w:t xml:space="preserve"> </w:t>
      </w:r>
      <w:bookmarkEnd w:id="80"/>
      <w:r w:rsidRPr="001F2586">
        <w:rPr>
          <w:rFonts w:eastAsia="Calibri"/>
          <w:rtl/>
        </w:rPr>
        <w:t xml:space="preserve">כיוון שהמשכנתא היא הלוואה ארוכת טווח, לעיתים חלים מאז שנלקחה </w:t>
      </w:r>
      <w:r w:rsidRPr="001F2586">
        <w:rPr>
          <w:rFonts w:eastAsia="Calibri" w:hint="cs"/>
          <w:rtl/>
        </w:rPr>
        <w:t xml:space="preserve">ההלוואה הראשונה </w:t>
      </w:r>
      <w:r w:rsidRPr="001F2586">
        <w:rPr>
          <w:rFonts w:eastAsia="Calibri"/>
          <w:rtl/>
        </w:rPr>
        <w:t xml:space="preserve">שינויים משמעותיים, הן בתנאי השוק והן בהיקף ההכנסות וההוצאות המשפחתיות. באמצעות מחזור הלוואת המשכנתא ניתן לשנות את היקף ההחזרים החודשיים כך שיתאימו בצורה מיטבית לצרכים הפיננסיים העדכניים </w:t>
      </w:r>
      <w:r w:rsidRPr="001F2586">
        <w:rPr>
          <w:rFonts w:eastAsia="Calibri" w:hint="cs"/>
          <w:rtl/>
        </w:rPr>
        <w:t>של התא המשפחתי</w:t>
      </w:r>
      <w:r w:rsidRPr="001F2586">
        <w:rPr>
          <w:rFonts w:eastAsia="Calibri"/>
          <w:rtl/>
        </w:rPr>
        <w:t>. המחזור כולל שינוי בהרכב מסלולי ההלוואה, בתנאי ההלוואה, במשך ההלוואה ובגובה ההחזר החודשי.</w:t>
      </w:r>
      <w:r w:rsidRPr="001F2586">
        <w:rPr>
          <w:rFonts w:eastAsia="Calibri" w:hint="cs"/>
          <w:rtl/>
        </w:rPr>
        <w:t xml:space="preserve"> ה</w:t>
      </w:r>
      <w:r w:rsidRPr="001F2586">
        <w:rPr>
          <w:rFonts w:eastAsia="Calibri"/>
          <w:rtl/>
        </w:rPr>
        <w:t xml:space="preserve">תהליך יכול להיות פנימי </w:t>
      </w:r>
      <w:r w:rsidRPr="001F2586">
        <w:rPr>
          <w:rFonts w:eastAsia="Calibri" w:hint="cs"/>
          <w:rtl/>
        </w:rPr>
        <w:t>באותו בנק שבו נלקחה הלוואת המשכנתא הראשונה (להלן - מחזור פנימי)</w:t>
      </w:r>
      <w:r w:rsidRPr="001F2586">
        <w:rPr>
          <w:rFonts w:eastAsia="Calibri"/>
          <w:rtl/>
        </w:rPr>
        <w:t xml:space="preserve"> או </w:t>
      </w:r>
      <w:r w:rsidRPr="001F2586">
        <w:rPr>
          <w:rFonts w:eastAsia="Calibri" w:hint="cs"/>
          <w:rtl/>
        </w:rPr>
        <w:t>בבנק אחר</w:t>
      </w:r>
      <w:r w:rsidRPr="001F2586">
        <w:rPr>
          <w:rFonts w:eastAsia="Calibri"/>
          <w:rtl/>
        </w:rPr>
        <w:t xml:space="preserve"> </w:t>
      </w:r>
      <w:r w:rsidRPr="001F2586">
        <w:rPr>
          <w:rFonts w:eastAsia="Calibri" w:hint="cs"/>
          <w:rtl/>
        </w:rPr>
        <w:t>(להלן - מחזור חיצוני)</w:t>
      </w:r>
      <w:r w:rsidRPr="001F2586">
        <w:rPr>
          <w:rFonts w:eastAsia="Calibri"/>
          <w:rtl/>
        </w:rPr>
        <w:t xml:space="preserve"> וכולל תשלום עמלות פירעון מוקדם ושינוי תמהיל ההלוואה</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נתונים אודות שוק המשכנתאות בין השנים 2019 ועד מאי 2025 - ממוצע הביצועים החודשי בפילוחים שונים (משכנתאות הניתנות לרכישת דירה, מחזור חיצוני, מחזור פנימי ומשכנתאות הניתנות לכל מטרה</w:t>
      </w:r>
      <w:r>
        <w:rPr>
          <w:rFonts w:eastAsia="Calibri"/>
          <w:vertAlign w:val="superscript"/>
          <w:rtl/>
        </w:rPr>
        <w:footnoteReference w:id="326"/>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507697">
      <w:pPr>
        <w:keepNext/>
        <w:keepLines/>
        <w:spacing w:line="269" w:lineRule="auto"/>
        <w:ind w:left="-2"/>
        <w:jc w:val="center"/>
        <w:outlineLvl w:val="4"/>
        <w:rPr>
          <w:rFonts w:eastAsia="Calibri"/>
          <w:b/>
          <w:bCs/>
          <w:rtl/>
        </w:rPr>
      </w:pPr>
      <w:r w:rsidRPr="00507697">
        <w:rPr>
          <w:rFonts w:eastAsia="Calibri" w:hint="cs"/>
          <w:b/>
          <w:sz w:val="24"/>
          <w:rtl/>
        </w:rPr>
        <w:t>תרשים</w:t>
      </w:r>
      <w:r w:rsidRPr="001F2586">
        <w:rPr>
          <w:rFonts w:eastAsia="Calibri" w:hint="cs"/>
          <w:rtl/>
        </w:rPr>
        <w:t xml:space="preserve"> 39:</w:t>
      </w:r>
      <w:r w:rsidRPr="001F2586">
        <w:rPr>
          <w:rFonts w:eastAsia="Calibri" w:hint="cs"/>
          <w:b/>
          <w:bCs/>
          <w:rtl/>
        </w:rPr>
        <w:t xml:space="preserve"> ממוצע חודשי של ביצועים בפילוחים שונים משנת 2019 ועד שנת 2025 במיליארדי ש"ח *</w:t>
      </w:r>
    </w:p>
    <w:p w:rsidR="001F2586" w:rsidRPr="001F2586" w:rsidP="001F2586">
      <w:pPr>
        <w:spacing w:line="269" w:lineRule="auto"/>
        <w:jc w:val="center"/>
        <w:rPr>
          <w:rFonts w:eastAsia="Calibri"/>
          <w:b/>
          <w:bCs/>
          <w:rtl/>
        </w:rPr>
      </w:pPr>
      <w:r w:rsidRPr="001F2586">
        <w:rPr>
          <w:rFonts w:eastAsia="Calibri"/>
          <w:noProof/>
        </w:rPr>
        <w:drawing>
          <wp:inline distT="0" distB="0" distL="0" distR="0">
            <wp:extent cx="5220335" cy="2901963"/>
            <wp:effectExtent l="0" t="0" r="0" b="0"/>
            <wp:docPr id="8" name="תמונה 8" descr="בשנת 2025 סך המשכנתאות לצורך רכישה (ללא מחזור חיצוני) עמדו על 7,589 מילארדי ש&quot;ח; 654 מליוני ש&quot;ח לצורך מחזור חיצוני, 4,847 ש&quot;ח מילארדי ש&quot;ח לצורך מחזור פנימי ו-1,911 מיליארדי שח לכל מטרה.  &#10;בשנת 2024 סך המשכנתאות לצורך רכישה (ללא מחזור חיצוני) עמדו על 7,266 מילארדי ש&quot;ח; 484 מליוני ש&quot;ח לצורך מחזור חיצוני, 5,473 ש&quot;ח מילארדי ש&quot;ח לצורך מחזור פנימי ו-2,117 מיליארדי שח לכל מטרה. &#10;בשנת 2023 סך המשכנתאות לצורך רכישה (ללא מחזור חיצוני) עמדו על 5,849 מילארדי ש&quot;ח; 339 מליוני ש&quot;ח לצורך מחזור חיצוני, 4,292 ש&quot;ח מילארדי ש&quot;ח לצורך מחזור פנימי ו-1,500 מיליארדי שח לכל מטרה. &#10;בשנת 2022 סך המשכנתאות לצורך רכישה (ללא מחזור חיצוני) עמדו על 9,444 מילארדי ש&quot;ח; 524 מליוני ש&quot;ח לצורך מחזור חיצוני, 2,360 ש&quot;ח מילארדי ש&quot;ח לצורך מחזור פנימי ו-1,335 מיליארדי שח לכל מטרה. &#10;בשנת 2021 סך המשכנתאות לצורך רכישה (ללא מחזור חיצוני) עמדו על 10,132 מילארדי ש&quot;ח; 381 מליוני ש&quot;ח לצורך מחזור חיצוני, 2,817 ש&quot;ח מילארדי ש&quot;ח לצורך מחזור פנימי ו-1,887 מיליארדי שח לכל מטרה. &#10;בשנת 2020 סך המשכנתאות לצורך רכישה (ללא מחזור חיצוני) עמדו על 7,745 מילארדי ש&quot;ח; 611 מליוני ש&quot;ח לצורך מחזור חיצוני, 2,307 ש&quot;ח מילארדי ש&quot;ח לצורך מחזור פנימי ו-1,888 מיליארדי שח לכל מטרה. &#10;בשנת 2020 סך המשכנתאות לצורך רכישה (ללא מחזור חיצוני) עמדו על 7,646 מילארדי ש&quot;ח; 35 מליוני ש&quot;ח לצורך מחזור חיצוני , 5,103 ש&quot;ח מילארדי ש&quot;ח לצורך מחזור פנימי ו-1,369 מיליארדי שח לכל מטר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901963"/>
                    </a:xfrm>
                    <a:prstGeom prst="rect">
                      <a:avLst/>
                    </a:prstGeom>
                    <a:noFill/>
                    <a:ln>
                      <a:noFill/>
                    </a:ln>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על פי נתוני בנק ישראל, בעיבוד משרד מבקר המדינה.</w:t>
      </w:r>
    </w:p>
    <w:p w:rsidR="001F2586" w:rsidRPr="001F2586" w:rsidP="001F2586">
      <w:pPr>
        <w:spacing w:line="269" w:lineRule="auto"/>
        <w:rPr>
          <w:rFonts w:eastAsia="Calibri"/>
          <w:szCs w:val="20"/>
          <w:rtl/>
        </w:rPr>
      </w:pPr>
      <w:r w:rsidRPr="001F2586">
        <w:rPr>
          <w:rFonts w:eastAsia="Calibri" w:hint="cs"/>
          <w:szCs w:val="20"/>
          <w:rtl/>
        </w:rPr>
        <w:t>* שנת 2025 - הנתונים הם מינואר עד מאי 2025.</w:t>
      </w:r>
    </w:p>
    <w:p w:rsidR="001F2586" w:rsidRPr="001F2586" w:rsidP="001F2586">
      <w:pPr>
        <w:spacing w:line="269" w:lineRule="auto"/>
        <w:rPr>
          <w:rFonts w:eastAsia="Calibri"/>
          <w:rtl/>
        </w:rPr>
      </w:pPr>
    </w:p>
    <w:p w:rsidR="001F2586" w:rsidRPr="001F2586" w:rsidP="00507697">
      <w:pPr>
        <w:keepNext/>
        <w:keepLines/>
        <w:spacing w:line="269" w:lineRule="auto"/>
        <w:ind w:left="-2"/>
        <w:jc w:val="center"/>
        <w:outlineLvl w:val="4"/>
        <w:rPr>
          <w:rFonts w:eastAsia="Calibri"/>
          <w:b/>
          <w:bCs/>
          <w:rtl/>
        </w:rPr>
      </w:pPr>
      <w:r w:rsidRPr="00507697">
        <w:rPr>
          <w:rFonts w:eastAsia="Calibri" w:hint="cs"/>
          <w:b/>
          <w:sz w:val="24"/>
          <w:rtl/>
        </w:rPr>
        <w:t>תרשים</w:t>
      </w:r>
      <w:r w:rsidRPr="001F2586">
        <w:rPr>
          <w:rFonts w:eastAsia="Calibri" w:hint="cs"/>
          <w:rtl/>
        </w:rPr>
        <w:t xml:space="preserve"> 40:</w:t>
      </w:r>
      <w:r w:rsidRPr="001F2586">
        <w:rPr>
          <w:rFonts w:eastAsia="Calibri" w:hint="cs"/>
          <w:b/>
          <w:bCs/>
          <w:rtl/>
        </w:rPr>
        <w:t xml:space="preserve"> חלק יחסי של ביצועים בפילוחים שונים משנת 2019 ועד שנת 2025*</w:t>
      </w:r>
    </w:p>
    <w:p w:rsidR="001F2586" w:rsidRPr="001F2586" w:rsidP="001F2586">
      <w:pPr>
        <w:spacing w:line="269" w:lineRule="auto"/>
        <w:rPr>
          <w:rFonts w:eastAsia="Calibri"/>
          <w:szCs w:val="20"/>
          <w:rtl/>
        </w:rPr>
      </w:pPr>
      <w:r w:rsidRPr="001F2586">
        <w:rPr>
          <w:rFonts w:eastAsia="Calibri"/>
          <w:noProof/>
        </w:rPr>
        <w:drawing>
          <wp:inline distT="0" distB="0" distL="0" distR="0">
            <wp:extent cx="5220335" cy="3078450"/>
            <wp:effectExtent l="0" t="0" r="0" b="8255"/>
            <wp:docPr id="51" name="תמונה 51" descr="בשנת 2025 , אחוז הרכישות מסך הביצועים עמד על 51%, אחוז המחזור החיצוני עמד על 4% ואחוז המחזור הפנימי עמד על 32% ואילו אחוז ההלוואות לכל טמרה עמד על 13%. לעומת זאת בשנת 2019 &#10; אחוז הרכישות מסך הביצועים עמד על 73%, אחוז המחזור החיצוני עמד על 3% ואחוז המחזור הפנימי עמד על 11% ואילו אחוז ההלוואות לכל טמרה עמד על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078450"/>
                    </a:xfrm>
                    <a:prstGeom prst="rect">
                      <a:avLst/>
                    </a:prstGeom>
                    <a:noFill/>
                    <a:ln>
                      <a:noFill/>
                    </a:ln>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על פי נתוני בנק ישראל בעיבוד משרד מבקר המדינה.</w:t>
      </w:r>
    </w:p>
    <w:p w:rsidR="001F2586" w:rsidRPr="001F2586" w:rsidP="001F2586">
      <w:pPr>
        <w:spacing w:line="269" w:lineRule="auto"/>
        <w:rPr>
          <w:rFonts w:eastAsia="Calibri"/>
          <w:szCs w:val="20"/>
          <w:rtl/>
        </w:rPr>
      </w:pPr>
      <w:r w:rsidRPr="001F2586">
        <w:rPr>
          <w:rFonts w:eastAsia="Calibri" w:hint="cs"/>
          <w:szCs w:val="20"/>
          <w:rtl/>
        </w:rPr>
        <w:t>* שנת 2025 - הנתונים הם מינואר עד מאי 2025.</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מנתונים אלו, ניתן לראות כי משנת 2023 ואילך היקף מחזורי המשכנתאות ושיעור העסקאות של המחזור הפנימי עומדים על כ-32%-36% בשנים 2023 עד 2025 בהשוואה למחזור החיצוני העומד על שיעור של 3%-4% בין השנים 2023 עד 2025. כלומר, שיעור ההיקפים של המחזורים החיצוניים נמוך משמעותית משיעור המחזורים הפנימיים כמו כן, ניתן לראות כי שיעור המחזורים הפנימים החל משנת 2023 גדל פי 2 בהשוואה לשנים קודמות.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נתונים אודות מחזורי המשכנתאות פנימיים מחודש יוני 2024 ועד חודש יוני 2025:</w:t>
      </w:r>
    </w:p>
    <w:p w:rsidR="001F2586" w:rsidRPr="001F2586" w:rsidP="00507697">
      <w:pPr>
        <w:keepNext/>
        <w:keepLines/>
        <w:spacing w:line="269" w:lineRule="auto"/>
        <w:ind w:left="-2"/>
        <w:jc w:val="center"/>
        <w:outlineLvl w:val="4"/>
        <w:rPr>
          <w:rFonts w:eastAsia="Calibri"/>
          <w:b/>
          <w:bCs/>
          <w:rtl/>
        </w:rPr>
      </w:pPr>
      <w:r w:rsidRPr="00507697">
        <w:rPr>
          <w:rFonts w:eastAsia="Calibri" w:hint="cs"/>
          <w:b/>
          <w:sz w:val="24"/>
          <w:rtl/>
        </w:rPr>
        <w:t>תרשים</w:t>
      </w:r>
      <w:r w:rsidRPr="001F2586">
        <w:rPr>
          <w:rFonts w:eastAsia="Calibri" w:hint="cs"/>
          <w:rtl/>
        </w:rPr>
        <w:t xml:space="preserve"> 41:</w:t>
      </w:r>
      <w:r w:rsidRPr="001F2586">
        <w:rPr>
          <w:rFonts w:eastAsia="Calibri" w:hint="cs"/>
          <w:b/>
          <w:bCs/>
        </w:rPr>
        <w:t xml:space="preserve"> </w:t>
      </w:r>
      <w:r w:rsidRPr="001F2586">
        <w:rPr>
          <w:rFonts w:eastAsia="Calibri" w:hint="cs"/>
          <w:b/>
          <w:bCs/>
          <w:rtl/>
        </w:rPr>
        <w:t>מחזורי משכנתאות פנימיים במיליארדי ש"ח מיוני 2024 ועד יוני 2025</w:t>
      </w:r>
    </w:p>
    <w:p w:rsidR="001F2586" w:rsidRPr="001F2586" w:rsidP="00DE0DBA">
      <w:pPr>
        <w:spacing w:line="269" w:lineRule="auto"/>
        <w:jc w:val="center"/>
        <w:rPr>
          <w:rFonts w:eastAsia="Calibri"/>
          <w:rtl/>
        </w:rPr>
      </w:pPr>
      <w:r w:rsidRPr="001F2586">
        <w:rPr>
          <w:rFonts w:eastAsia="Calibri"/>
          <w:noProof/>
        </w:rPr>
        <w:drawing>
          <wp:inline distT="0" distB="0" distL="0" distR="0">
            <wp:extent cx="5139101" cy="2913517"/>
            <wp:effectExtent l="0" t="0" r="4445" b="1270"/>
            <wp:docPr id="11" name="תמונה 11" descr=". ביוני 24 היקף המחזור הפנימי עמד על 2.34 מיליארד ש&quot;ח, ביולי 24 עמד על 2.34 מיליארד ש&quot;ח, אוגוסט 2024 1.77 מיליארד ש&quot;ח, ספטמבר 2024- 2.08 מיליארד ש&quot;ח, אוקטובר 2024- 1.83 מיליארד ש&quot;ח, נובמבר 2024- 2.07 מיליארד ש&quot;ח, דצמבר 2024- 2.39 מיליארד ש&quot;ח , ינואר 2025- 2.71 מיליארד ש&quot;ח, פברואר 2025- 2.529 מיליארד ש&quot;ח , מרץ 2025- 2.71 מיליארד ש&quot;ח, אפריל 2025- 2.77 מיליארד ש&quot;ח, מאי 2025- 2.95 מיליארד ש&quot;ח, יוני 2025- 2.77 מיליארד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t="4275"/>
                    <a:stretch>
                      <a:fillRect/>
                    </a:stretch>
                  </pic:blipFill>
                  <pic:spPr bwMode="auto">
                    <a:xfrm>
                      <a:off x="0" y="0"/>
                      <a:ext cx="5144546" cy="291660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על פי נתוני בנק ישראל בעיבוד משרד מבקר המדינה.</w:t>
      </w:r>
    </w:p>
    <w:p w:rsidR="001F2586" w:rsidRPr="001F2586" w:rsidP="001F2586">
      <w:pPr>
        <w:spacing w:line="269" w:lineRule="auto"/>
        <w:rPr>
          <w:rFonts w:eastAsia="Calibri"/>
          <w:b/>
          <w:bCs/>
          <w:rtl/>
        </w:rPr>
      </w:pPr>
    </w:p>
    <w:p w:rsidR="001F2586" w:rsidRPr="001F2586" w:rsidP="001F2586">
      <w:pPr>
        <w:spacing w:line="269" w:lineRule="auto"/>
        <w:rPr>
          <w:rFonts w:eastAsia="Calibri"/>
          <w:b/>
          <w:bCs/>
          <w:rtl/>
        </w:rPr>
      </w:pPr>
      <w:r w:rsidRPr="001F2586">
        <w:rPr>
          <w:rFonts w:eastAsia="Calibri" w:hint="cs"/>
          <w:b/>
          <w:bCs/>
          <w:rtl/>
        </w:rPr>
        <w:t xml:space="preserve">במחצית הראשונה של שנת 2025 היקף המחזור הפנימי עמד על כ-16.5 מיליארד ש"ח.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על פי נתוני בנק ישראל </w:t>
      </w:r>
      <w:r w:rsidRPr="001F2586">
        <w:rPr>
          <w:rFonts w:eastAsia="Calibri"/>
          <w:b/>
          <w:bCs/>
          <w:rtl/>
        </w:rPr>
        <w:t>במחצית הראשונה של 2025, כ-16.5 מיליארד שקל מתוך 20.5 מיליארד שקל שמוחזרו</w:t>
      </w:r>
      <w:r w:rsidRPr="001F2586">
        <w:rPr>
          <w:rFonts w:eastAsia="Calibri" w:hint="cs"/>
          <w:b/>
          <w:bCs/>
          <w:rtl/>
        </w:rPr>
        <w:t xml:space="preserve"> (כלומר כ-80%)</w:t>
      </w:r>
      <w:r w:rsidRPr="001F2586">
        <w:rPr>
          <w:rFonts w:eastAsia="Calibri"/>
          <w:b/>
          <w:bCs/>
          <w:rtl/>
        </w:rPr>
        <w:t xml:space="preserve"> היו מחזורים פנימיים</w:t>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rtl/>
        </w:rPr>
        <w:t>מהתרשים ומדוח בנק ישראל למחצית הראשונה לשנת 2025</w:t>
      </w:r>
      <w:r>
        <w:rPr>
          <w:rFonts w:eastAsia="Calibri"/>
          <w:vertAlign w:val="superscript"/>
          <w:rtl/>
        </w:rPr>
        <w:footnoteReference w:id="327"/>
      </w:r>
      <w:r w:rsidRPr="001F2586">
        <w:rPr>
          <w:rFonts w:eastAsia="Calibri" w:hint="cs"/>
          <w:rtl/>
        </w:rPr>
        <w:t xml:space="preserve"> </w:t>
      </w:r>
      <w:r w:rsidRPr="001F2586">
        <w:rPr>
          <w:rFonts w:eastAsia="Calibri"/>
          <w:rtl/>
        </w:rPr>
        <w:t>ציין כי</w:t>
      </w:r>
      <w:r w:rsidRPr="001F2586">
        <w:rPr>
          <w:rFonts w:eastAsia="Calibri" w:hint="cs"/>
          <w:rtl/>
        </w:rPr>
        <w:t xml:space="preserve"> קיימת מגמת עלייה בהיקף המחזורים הפנימיים שנצפתה מאמצע יוני 2024 ונמשכה גם בשבעת החודשים הראשונים של שנת 2025. בנק ישראל מסביר את העלייה </w:t>
      </w:r>
      <w:r w:rsidRPr="001F2586">
        <w:rPr>
          <w:rFonts w:eastAsia="Calibri"/>
          <w:rtl/>
        </w:rPr>
        <w:t xml:space="preserve">במחזורים, בין היתר, </w:t>
      </w:r>
      <w:r w:rsidRPr="001F2586">
        <w:rPr>
          <w:rFonts w:eastAsia="Calibri" w:hint="eastAsia"/>
          <w:rtl/>
        </w:rPr>
        <w:t>ב</w:t>
      </w:r>
      <w:r w:rsidRPr="001F2586">
        <w:rPr>
          <w:rFonts w:eastAsia="Calibri"/>
          <w:rtl/>
        </w:rPr>
        <w:t>רצון של לווים לשפר את תנאי ההלוואה שלהם ולהוריד את העלות הכוללת של ההלוואה או להתאים את תמהיל ההלוואה לקראת הציפיות להורדת הריבית, בין היתר גם בהתאם לתחזיות בנק ישראל. יחד עם זאת</w:t>
      </w:r>
      <w:r w:rsidRPr="001F2586">
        <w:rPr>
          <w:rFonts w:eastAsia="Calibri" w:hint="cs"/>
          <w:rtl/>
        </w:rPr>
        <w:t xml:space="preserve"> מציין בנק ישראל</w:t>
      </w:r>
      <w:r w:rsidRPr="001F2586">
        <w:rPr>
          <w:rFonts w:eastAsia="Calibri"/>
          <w:rtl/>
        </w:rPr>
        <w:t>,</w:t>
      </w:r>
      <w:r w:rsidRPr="001F2586">
        <w:rPr>
          <w:rFonts w:eastAsia="Calibri" w:hint="cs"/>
          <w:rtl/>
        </w:rPr>
        <w:t xml:space="preserve"> כי</w:t>
      </w:r>
      <w:r w:rsidRPr="001F2586">
        <w:rPr>
          <w:rFonts w:eastAsia="Calibri"/>
          <w:rtl/>
        </w:rPr>
        <w:t xml:space="preserve"> ייתכן וחלק מהמחזורים משקפים גם צורך של לווים להקטנת גובה ההחזר החודשי </w:t>
      </w:r>
      <w:r w:rsidRPr="001F2586">
        <w:rPr>
          <w:rFonts w:eastAsia="Calibri" w:hint="eastAsia"/>
          <w:rtl/>
        </w:rPr>
        <w:t>על</w:t>
      </w:r>
      <w:r w:rsidRPr="001F2586">
        <w:rPr>
          <w:rFonts w:eastAsia="Calibri"/>
          <w:rtl/>
        </w:rPr>
        <w:t xml:space="preserve"> </w:t>
      </w:r>
      <w:r w:rsidRPr="001F2586">
        <w:rPr>
          <w:rFonts w:eastAsia="Calibri" w:hint="eastAsia"/>
          <w:rtl/>
        </w:rPr>
        <w:t>ידי</w:t>
      </w:r>
      <w:r w:rsidRPr="001F2586">
        <w:rPr>
          <w:rFonts w:eastAsia="Calibri"/>
          <w:rtl/>
        </w:rPr>
        <w:t xml:space="preserve"> </w:t>
      </w:r>
      <w:r w:rsidRPr="001F2586">
        <w:rPr>
          <w:rFonts w:eastAsia="Calibri" w:hint="eastAsia"/>
          <w:rtl/>
        </w:rPr>
        <w:t>פריסת</w:t>
      </w:r>
      <w:r w:rsidRPr="001F2586">
        <w:rPr>
          <w:rFonts w:eastAsia="Calibri"/>
          <w:rtl/>
        </w:rPr>
        <w:t xml:space="preserve"> </w:t>
      </w:r>
      <w:r w:rsidRPr="001F2586">
        <w:rPr>
          <w:rFonts w:eastAsia="Calibri" w:hint="eastAsia"/>
          <w:rtl/>
        </w:rPr>
        <w:t>ה</w:t>
      </w:r>
      <w:r w:rsidRPr="001F2586">
        <w:rPr>
          <w:rFonts w:eastAsia="Calibri"/>
          <w:rtl/>
        </w:rPr>
        <w:t>הלוואה לתקופה ארוכה יותר מהתקופה המקורית של ההלוואה</w:t>
      </w:r>
      <w:r w:rsidRPr="001F2586">
        <w:rPr>
          <w:rFonts w:eastAsia="Calibri"/>
        </w:rPr>
        <w:t xml:space="preserve"> </w:t>
      </w:r>
      <w:r w:rsidRPr="001F2586">
        <w:rPr>
          <w:rFonts w:eastAsia="Calibri" w:hint="cs"/>
          <w:rtl/>
        </w:rPr>
        <w:t xml:space="preserve">(ראו הרחבה בנושא בפרק הסקירה).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ביולי</w:t>
      </w:r>
      <w:r w:rsidRPr="001F2586">
        <w:rPr>
          <w:rFonts w:eastAsia="Calibri"/>
          <w:rtl/>
        </w:rPr>
        <w:t xml:space="preserve"> 2023 פרסם הפיקוח על הבנקים הנחיות חדשות לשיפור תהליכי מחזור משכנתא שנועדו להסיר חסמים בירוקרטיים. ההנחיות </w:t>
      </w:r>
      <w:r w:rsidRPr="001F2586">
        <w:rPr>
          <w:rFonts w:eastAsia="Calibri" w:hint="eastAsia"/>
          <w:rtl/>
        </w:rPr>
        <w:t>היו</w:t>
      </w:r>
      <w:r w:rsidRPr="001F2586">
        <w:rPr>
          <w:rFonts w:eastAsia="Calibri"/>
          <w:rtl/>
        </w:rPr>
        <w:t xml:space="preserve"> אמורות לשפר תהליכים, במטרה להקל על ציבור הלווים המבקשים לפרוע הלוואה בפירעון מוקדם או למחזרה על ידי לקיחת הלוואה בגוף אחר. העדכונים היו אמורים להיכנס לתוקף ביולי 2024. יישום הרפורמה נדחה לאפריל 2025 עקב המלחמה </w:t>
      </w:r>
      <w:r w:rsidRPr="001F2586">
        <w:rPr>
          <w:rFonts w:eastAsia="Calibri" w:hint="eastAsia"/>
          <w:rtl/>
        </w:rPr>
        <w:t>והמורכבות</w:t>
      </w:r>
      <w:r w:rsidRPr="001F2586">
        <w:rPr>
          <w:rFonts w:eastAsia="Calibri"/>
          <w:rtl/>
        </w:rPr>
        <w:t xml:space="preserve"> הטכנולוגית שהצריכה את היערכות הבנקים (להלן - רפורמת "מחזור בקליק"). </w:t>
      </w:r>
      <w:r w:rsidRPr="001F2586">
        <w:rPr>
          <w:rFonts w:eastAsia="Calibri" w:hint="eastAsia"/>
          <w:rtl/>
        </w:rPr>
        <w:t>לדברי</w:t>
      </w:r>
      <w:r w:rsidRPr="001F2586">
        <w:rPr>
          <w:rFonts w:eastAsia="Calibri"/>
          <w:rtl/>
        </w:rPr>
        <w:t xml:space="preserve"> </w:t>
      </w:r>
      <w:r w:rsidRPr="001F2586">
        <w:rPr>
          <w:rFonts w:eastAsia="Calibri" w:hint="eastAsia"/>
          <w:rtl/>
        </w:rPr>
        <w:t>בנק</w:t>
      </w:r>
      <w:r w:rsidRPr="001F2586">
        <w:rPr>
          <w:rFonts w:eastAsia="Calibri"/>
          <w:rtl/>
        </w:rPr>
        <w:t xml:space="preserve"> ישראל מהלך זה אמור להוביל לגידול במחזורים החיצוניים </w:t>
      </w:r>
      <w:r w:rsidRPr="001F2586">
        <w:rPr>
          <w:rFonts w:eastAsia="Calibri" w:hint="eastAsia"/>
          <w:rtl/>
        </w:rPr>
        <w:t>שכן</w:t>
      </w:r>
      <w:r w:rsidRPr="001F2586">
        <w:rPr>
          <w:rFonts w:eastAsia="Calibri"/>
          <w:rtl/>
        </w:rPr>
        <w:t xml:space="preserve"> </w:t>
      </w:r>
      <w:r w:rsidRPr="001F2586">
        <w:rPr>
          <w:rFonts w:eastAsia="Calibri" w:hint="eastAsia"/>
          <w:rtl/>
        </w:rPr>
        <w:t>לקוחות</w:t>
      </w:r>
      <w:r w:rsidRPr="001F2586">
        <w:rPr>
          <w:rFonts w:eastAsia="Calibri"/>
          <w:rtl/>
        </w:rPr>
        <w:t xml:space="preserve"> </w:t>
      </w:r>
      <w:r w:rsidRPr="001F2586">
        <w:rPr>
          <w:rFonts w:eastAsia="Calibri" w:hint="eastAsia"/>
          <w:rtl/>
        </w:rPr>
        <w:t>רבים</w:t>
      </w:r>
      <w:r w:rsidRPr="001F2586">
        <w:rPr>
          <w:rFonts w:eastAsia="Calibri"/>
          <w:rtl/>
        </w:rPr>
        <w:t xml:space="preserve"> </w:t>
      </w:r>
      <w:r w:rsidRPr="001F2586">
        <w:rPr>
          <w:rFonts w:eastAsia="Calibri" w:hint="eastAsia"/>
          <w:rtl/>
        </w:rPr>
        <w:t>נתקלו</w:t>
      </w:r>
      <w:r w:rsidRPr="001F2586">
        <w:rPr>
          <w:rFonts w:eastAsia="Calibri"/>
          <w:rtl/>
        </w:rPr>
        <w:t xml:space="preserve"> </w:t>
      </w:r>
      <w:r w:rsidRPr="001F2586">
        <w:rPr>
          <w:rFonts w:eastAsia="Calibri" w:hint="eastAsia"/>
          <w:rtl/>
        </w:rPr>
        <w:t>בחסמים</w:t>
      </w:r>
      <w:r w:rsidRPr="001F2586">
        <w:rPr>
          <w:rFonts w:eastAsia="Calibri"/>
          <w:rtl/>
        </w:rPr>
        <w:t xml:space="preserve"> </w:t>
      </w:r>
      <w:r w:rsidRPr="001F2586">
        <w:rPr>
          <w:rFonts w:eastAsia="Calibri" w:hint="eastAsia"/>
          <w:rtl/>
        </w:rPr>
        <w:t>בירוקרטיים</w:t>
      </w:r>
      <w:r w:rsidRPr="001F2586">
        <w:rPr>
          <w:rFonts w:eastAsia="Calibri"/>
          <w:rtl/>
        </w:rPr>
        <w:t xml:space="preserve"> </w:t>
      </w:r>
      <w:r w:rsidRPr="001F2586">
        <w:rPr>
          <w:rFonts w:eastAsia="Calibri" w:hint="eastAsia"/>
          <w:rtl/>
        </w:rPr>
        <w:t>בעת</w:t>
      </w:r>
      <w:r w:rsidRPr="001F2586">
        <w:rPr>
          <w:rFonts w:eastAsia="Calibri"/>
          <w:rtl/>
        </w:rPr>
        <w:t xml:space="preserve"> </w:t>
      </w:r>
      <w:r w:rsidRPr="001F2586">
        <w:rPr>
          <w:rFonts w:eastAsia="Calibri" w:hint="eastAsia"/>
          <w:rtl/>
        </w:rPr>
        <w:t>מחזור</w:t>
      </w:r>
      <w:r w:rsidRPr="001F2586">
        <w:rPr>
          <w:rFonts w:eastAsia="Calibri"/>
          <w:rtl/>
        </w:rPr>
        <w:t xml:space="preserve"> </w:t>
      </w:r>
      <w:r w:rsidRPr="001F2586">
        <w:rPr>
          <w:rFonts w:eastAsia="Calibri" w:hint="eastAsia"/>
          <w:rtl/>
        </w:rPr>
        <w:t>חיצוני</w:t>
      </w:r>
      <w:r w:rsidRPr="001F2586">
        <w:rPr>
          <w:rFonts w:eastAsia="Calibri"/>
          <w:rtl/>
        </w:rPr>
        <w:t xml:space="preserve">. בנוסף, המהלך יאפשר את הגברת התחרות בתחום המשכנתאות ושיפור תנאי הריביות ללקוחות.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בהתאם </w:t>
      </w:r>
      <w:r w:rsidRPr="001F2586">
        <w:rPr>
          <w:rFonts w:eastAsia="Calibri" w:hint="cs"/>
          <w:rtl/>
        </w:rPr>
        <w:t>לרפורמת "מחזור בקליק"</w:t>
      </w:r>
      <w:r w:rsidRPr="001F2586">
        <w:rPr>
          <w:rFonts w:eastAsia="Calibri"/>
          <w:rtl/>
        </w:rPr>
        <w:t>, לווה יכול להודיע על כוונתו לבצע פירעון מוקדם של הלוואה באופן מקוון ובטלפון, וכן לקבל את המידע והמסמכים הנדרשים</w:t>
      </w:r>
      <w:r w:rsidRPr="001F2586">
        <w:rPr>
          <w:rFonts w:eastAsia="Calibri" w:hint="cs"/>
          <w:rtl/>
        </w:rPr>
        <w:t xml:space="preserve"> למחזור משכנתא </w:t>
      </w:r>
      <w:r w:rsidRPr="001F2586">
        <w:rPr>
          <w:rFonts w:eastAsia="Calibri"/>
          <w:rtl/>
        </w:rPr>
        <w:t>באופן מקוון, בהתאם לבחירתו, בתבנית המאפשרת שמירה והדפסה</w:t>
      </w:r>
      <w:r w:rsidRPr="001F2586">
        <w:rPr>
          <w:rFonts w:eastAsia="Calibri" w:hint="cs"/>
          <w:rtl/>
        </w:rPr>
        <w:t xml:space="preserve">. </w:t>
      </w:r>
      <w:r w:rsidRPr="001F2586">
        <w:rPr>
          <w:rFonts w:eastAsia="Calibri"/>
          <w:rtl/>
        </w:rPr>
        <w:t>כמו</w:t>
      </w:r>
      <w:r w:rsidRPr="001F2586">
        <w:rPr>
          <w:rFonts w:eastAsia="Calibri" w:hint="cs"/>
          <w:rtl/>
        </w:rPr>
        <w:t xml:space="preserve"> </w:t>
      </w:r>
      <w:r w:rsidRPr="001F2586">
        <w:rPr>
          <w:rFonts w:eastAsia="Calibri"/>
          <w:rtl/>
        </w:rPr>
        <w:t xml:space="preserve">כן, אגב תהליך </w:t>
      </w:r>
      <w:r w:rsidRPr="001F2586">
        <w:rPr>
          <w:rFonts w:eastAsia="Calibri" w:hint="cs"/>
          <w:rtl/>
        </w:rPr>
        <w:t>ה</w:t>
      </w:r>
      <w:r w:rsidRPr="001F2586">
        <w:rPr>
          <w:rFonts w:eastAsia="Calibri"/>
          <w:rtl/>
        </w:rPr>
        <w:t>מחזור</w:t>
      </w:r>
      <w:r w:rsidRPr="001F2586">
        <w:rPr>
          <w:rFonts w:eastAsia="Calibri" w:hint="cs"/>
          <w:rtl/>
        </w:rPr>
        <w:t xml:space="preserve"> ולקיחת </w:t>
      </w:r>
      <w:r w:rsidRPr="001F2586">
        <w:rPr>
          <w:rFonts w:eastAsia="Calibri"/>
          <w:rtl/>
        </w:rPr>
        <w:t>הלוואה באמצעות תאגיד בנקאי אחר, הלווה יכול לבחור אם להודיע על כוונתו לבצע פירעון מוקדם ישירות לתאגיד הבנקאי המקורי, או באמצעות התאגיד הבנקאי החד</w:t>
      </w:r>
      <w:r w:rsidRPr="001F2586">
        <w:rPr>
          <w:rFonts w:eastAsia="Calibri" w:hint="cs"/>
          <w:rtl/>
        </w:rPr>
        <w:t>ש. עוד נקבע כי</w:t>
      </w:r>
      <w:r w:rsidRPr="001F2586">
        <w:rPr>
          <w:rFonts w:eastAsia="Calibri"/>
        </w:rPr>
        <w:t xml:space="preserve"> </w:t>
      </w:r>
      <w:r w:rsidRPr="001F2586">
        <w:rPr>
          <w:rFonts w:eastAsia="Calibri"/>
          <w:rtl/>
        </w:rPr>
        <w:t>הלווה לא יידרש להגיע לסניף הבנק המקורי לשם קבלת המסמכים הנדרשים בתהליך מחזור</w:t>
      </w:r>
      <w:r w:rsidRPr="001F2586">
        <w:rPr>
          <w:rFonts w:eastAsia="Calibri" w:hint="cs"/>
          <w:rtl/>
        </w:rPr>
        <w:t xml:space="preserve"> </w:t>
      </w:r>
      <w:r w:rsidRPr="001F2586">
        <w:rPr>
          <w:rFonts w:eastAsia="Calibri"/>
          <w:rtl/>
        </w:rPr>
        <w:t xml:space="preserve">הלוואה. </w:t>
      </w:r>
      <w:r w:rsidRPr="001F2586">
        <w:rPr>
          <w:rFonts w:eastAsia="Calibri"/>
          <w:rtl/>
        </w:rPr>
        <w:t>מסמכים אלו יועברו באמצעות התאגיד הבנקאי המקורי ישירות אל התאגיד הבנקאי החדש. זאת בין אם הודיע הלווה על כוונתו לבצע פירעון מוקדם ישירות לתאגיד הבנקאי המקורי ובין אם הודיע על כך באמצעות התאגיד הבנקאי החדש. התאגידים הבנקאיים יקיימו ביניהם את התהליכים המתאימים ויבצעו את הפעולות הדרושות לצורך השלמת תהליך מחזור</w:t>
      </w:r>
      <w:r w:rsidRPr="001F2586">
        <w:rPr>
          <w:rFonts w:eastAsia="Calibri" w:hint="cs"/>
          <w:rtl/>
        </w:rPr>
        <w:t xml:space="preserve"> </w:t>
      </w:r>
      <w:r w:rsidRPr="001F2586">
        <w:rPr>
          <w:rFonts w:eastAsia="Calibri"/>
          <w:rtl/>
        </w:rPr>
        <w:t>ההלוואה</w:t>
      </w:r>
      <w:r w:rsidRPr="001F2586">
        <w:rPr>
          <w:rFonts w:eastAsia="Calibri"/>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משרד מבקר המדינה מציין לחיוב את </w:t>
      </w:r>
      <w:r w:rsidRPr="001F2586">
        <w:rPr>
          <w:rFonts w:eastAsia="Calibri"/>
          <w:b/>
          <w:bCs/>
          <w:rtl/>
        </w:rPr>
        <w:t>צעדי</w:t>
      </w:r>
      <w:r w:rsidRPr="001F2586">
        <w:rPr>
          <w:rFonts w:eastAsia="Calibri" w:hint="cs"/>
          <w:b/>
          <w:bCs/>
          <w:rtl/>
        </w:rPr>
        <w:t>ו</w:t>
      </w:r>
      <w:r w:rsidRPr="001F2586">
        <w:rPr>
          <w:rFonts w:eastAsia="Calibri"/>
          <w:b/>
          <w:bCs/>
          <w:rtl/>
        </w:rPr>
        <w:t xml:space="preserve"> </w:t>
      </w:r>
      <w:r w:rsidRPr="001F2586">
        <w:rPr>
          <w:rFonts w:eastAsia="Calibri" w:hint="cs"/>
          <w:b/>
          <w:bCs/>
          <w:rtl/>
        </w:rPr>
        <w:t xml:space="preserve">של </w:t>
      </w:r>
      <w:r w:rsidRPr="001F2586">
        <w:rPr>
          <w:rFonts w:eastAsia="Calibri"/>
          <w:b/>
          <w:bCs/>
          <w:rtl/>
        </w:rPr>
        <w:t xml:space="preserve">בנק ישראל </w:t>
      </w:r>
      <w:r w:rsidRPr="001F2586">
        <w:rPr>
          <w:rFonts w:eastAsia="Calibri" w:hint="cs"/>
          <w:b/>
          <w:bCs/>
          <w:rtl/>
        </w:rPr>
        <w:t xml:space="preserve">לצורך צמצום הבירוקרטיה המוטלת על לווה המעוניין למחזר את המשכנתא.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במהלך תקופת הביקורת פנה משרד מבקר המדינה לבנק ישראל על מנת לבדוק את אפקטיביות הרפורמה. בנק ישראל מסר לצוות הביקורת כי אין בידיו נתונים בדבר אפקטיביות רפורמת "מחזור בקליק" שכן הרפורמה יצאה לדרכה רק במאי 2025. כמו כן ציין בנק ישראל כי חודש יוני 2025 אינו מהווה מדגם מייצג וזאת בעקבות מבצע עם כלביא.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בהינתן הגידול בביקוש למחזורי משכנתאות על ידי הלווים במהלך השנים 2023 - 2025, על בנק ישראל בתור רגולטור לבצע בדיקה של אפקטיביות הרפורמה סמוך להתרחשותה. לבחינת האפקטיביות של הרפורמה והשפעתה בהקלת המחזור של הלווים קיימת חשיבות רבה, בפרט נוכח העבודה שמחזורי משכנתאות עלולים לפגוע ברווחיות המערכת הבנקאית, ולפיכך עולה חשש לפיו הבנקים יכולים להקשות בעת בקשת מחזור משכנתא.</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עד מועד סיום הביקורת </w:t>
      </w:r>
      <w:r w:rsidRPr="001F2586">
        <w:rPr>
          <w:rFonts w:eastAsia="Calibri" w:hint="eastAsia"/>
          <w:b/>
          <w:bCs/>
          <w:rtl/>
        </w:rPr>
        <w:t>לא</w:t>
      </w:r>
      <w:r w:rsidRPr="001F2586">
        <w:rPr>
          <w:rFonts w:eastAsia="Calibri" w:hint="cs"/>
          <w:b/>
          <w:bCs/>
          <w:rtl/>
        </w:rPr>
        <w:t xml:space="preserve"> היו בידי בנק ישראל נתונים בעניין האפקטיביות של רפורמת מחזור המשכנתאות </w:t>
      </w:r>
      <w:r w:rsidRPr="001F2586">
        <w:rPr>
          <w:rFonts w:eastAsia="Calibri" w:hint="eastAsia"/>
          <w:b/>
          <w:bCs/>
          <w:rtl/>
        </w:rPr>
        <w:t>שכן</w:t>
      </w:r>
      <w:r w:rsidRPr="001F2586">
        <w:rPr>
          <w:rFonts w:eastAsia="Calibri"/>
          <w:b/>
          <w:bCs/>
          <w:rtl/>
        </w:rPr>
        <w:t xml:space="preserve"> </w:t>
      </w:r>
      <w:r w:rsidRPr="001F2586">
        <w:rPr>
          <w:rFonts w:eastAsia="Calibri" w:hint="eastAsia"/>
          <w:b/>
          <w:bCs/>
          <w:rtl/>
        </w:rPr>
        <w:t>הרפורמה</w:t>
      </w:r>
      <w:r w:rsidRPr="001F2586">
        <w:rPr>
          <w:rFonts w:eastAsia="Calibri"/>
          <w:b/>
          <w:bCs/>
          <w:rtl/>
        </w:rPr>
        <w:t xml:space="preserve"> </w:t>
      </w:r>
      <w:r w:rsidRPr="001F2586">
        <w:rPr>
          <w:rFonts w:eastAsia="Calibri" w:hint="eastAsia"/>
          <w:b/>
          <w:bCs/>
          <w:rtl/>
        </w:rPr>
        <w:t>יצאה</w:t>
      </w:r>
      <w:r w:rsidRPr="001F2586">
        <w:rPr>
          <w:rFonts w:eastAsia="Calibri"/>
          <w:b/>
          <w:bCs/>
          <w:rtl/>
        </w:rPr>
        <w:t xml:space="preserve"> </w:t>
      </w:r>
      <w:r w:rsidRPr="001F2586">
        <w:rPr>
          <w:rFonts w:eastAsia="Calibri" w:hint="eastAsia"/>
          <w:b/>
          <w:bCs/>
          <w:rtl/>
        </w:rPr>
        <w:t>לדרך</w:t>
      </w:r>
      <w:r w:rsidRPr="001F2586">
        <w:rPr>
          <w:rFonts w:eastAsia="Calibri"/>
          <w:b/>
          <w:bCs/>
          <w:rtl/>
        </w:rPr>
        <w:t xml:space="preserve"> </w:t>
      </w:r>
      <w:r w:rsidRPr="001F2586">
        <w:rPr>
          <w:rFonts w:eastAsia="Calibri" w:hint="eastAsia"/>
          <w:b/>
          <w:bCs/>
          <w:rtl/>
        </w:rPr>
        <w:t>במאי</w:t>
      </w:r>
      <w:r w:rsidRPr="001F2586">
        <w:rPr>
          <w:rFonts w:eastAsia="Calibri"/>
          <w:b/>
          <w:bCs/>
          <w:rtl/>
        </w:rPr>
        <w:t xml:space="preserve"> 2025.</w:t>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Pr>
      </w:pPr>
      <w:r w:rsidRPr="001F2586">
        <w:rPr>
          <w:rFonts w:eastAsia="Calibri" w:hint="cs"/>
          <w:b/>
          <w:bCs/>
          <w:rtl/>
        </w:rPr>
        <w:t xml:space="preserve">נוכח הגידול בהיקפי מחזור המשכנתאות בשנים 2023 - 2025, מומלץ כי </w:t>
      </w:r>
      <w:r w:rsidRPr="001F2586">
        <w:rPr>
          <w:rFonts w:eastAsia="Calibri"/>
          <w:b/>
          <w:bCs/>
          <w:rtl/>
        </w:rPr>
        <w:t xml:space="preserve">בנק ישראל </w:t>
      </w:r>
      <w:r w:rsidRPr="001F2586">
        <w:rPr>
          <w:rFonts w:eastAsia="Calibri" w:hint="cs"/>
          <w:b/>
          <w:bCs/>
          <w:rtl/>
        </w:rPr>
        <w:t>י</w:t>
      </w:r>
      <w:r w:rsidRPr="001F2586">
        <w:rPr>
          <w:rFonts w:eastAsia="Calibri"/>
          <w:b/>
          <w:bCs/>
          <w:rtl/>
        </w:rPr>
        <w:t xml:space="preserve">גבש מנגנון לניטור שוטף ("בקרת זמן אמת") של יישום </w:t>
      </w:r>
      <w:r w:rsidRPr="001F2586">
        <w:rPr>
          <w:rFonts w:eastAsia="Calibri" w:hint="cs"/>
          <w:b/>
          <w:bCs/>
          <w:rtl/>
        </w:rPr>
        <w:t xml:space="preserve">רפורמת המחזור. </w:t>
      </w:r>
      <w:r w:rsidRPr="001F2586">
        <w:rPr>
          <w:rFonts w:eastAsia="Calibri" w:hint="eastAsia"/>
          <w:b/>
          <w:bCs/>
          <w:rtl/>
        </w:rPr>
        <w:t>מומלץ</w:t>
      </w:r>
      <w:r w:rsidRPr="001F2586">
        <w:rPr>
          <w:rFonts w:eastAsia="Calibri"/>
          <w:b/>
          <w:bCs/>
          <w:rtl/>
        </w:rPr>
        <w:t xml:space="preserve"> </w:t>
      </w:r>
      <w:r w:rsidRPr="001F2586">
        <w:rPr>
          <w:rFonts w:eastAsia="Calibri" w:hint="eastAsia"/>
          <w:b/>
          <w:bCs/>
          <w:rtl/>
        </w:rPr>
        <w:t>לבנק</w:t>
      </w:r>
      <w:r w:rsidRPr="001F2586">
        <w:rPr>
          <w:rFonts w:eastAsia="Calibri"/>
          <w:b/>
          <w:bCs/>
          <w:rtl/>
        </w:rPr>
        <w:t xml:space="preserve"> ל</w:t>
      </w:r>
      <w:r w:rsidRPr="001F2586">
        <w:rPr>
          <w:rFonts w:eastAsia="Calibri" w:hint="cs"/>
          <w:b/>
          <w:bCs/>
          <w:rtl/>
        </w:rPr>
        <w:t>המשיך ל</w:t>
      </w:r>
      <w:r w:rsidRPr="001F2586">
        <w:rPr>
          <w:rFonts w:eastAsia="Calibri"/>
          <w:b/>
          <w:bCs/>
          <w:rtl/>
        </w:rPr>
        <w:t xml:space="preserve">בצע בדיקות עומק איכותניות ודגימות שטח של תהליכי המחזור בבנקים השונים, </w:t>
      </w:r>
      <w:r w:rsidRPr="001F2586">
        <w:rPr>
          <w:rFonts w:eastAsia="Calibri" w:hint="cs"/>
          <w:b/>
          <w:bCs/>
          <w:rtl/>
        </w:rPr>
        <w:t xml:space="preserve">על מנת </w:t>
      </w:r>
      <w:r w:rsidRPr="001F2586">
        <w:rPr>
          <w:rFonts w:eastAsia="Calibri"/>
          <w:b/>
          <w:bCs/>
          <w:rtl/>
        </w:rPr>
        <w:t xml:space="preserve">לוודא </w:t>
      </w:r>
      <w:r w:rsidRPr="001F2586">
        <w:rPr>
          <w:rFonts w:eastAsia="Calibri" w:hint="cs"/>
          <w:b/>
          <w:bCs/>
          <w:rtl/>
        </w:rPr>
        <w:t>שאפשרותם</w:t>
      </w:r>
      <w:r w:rsidRPr="001F2586">
        <w:rPr>
          <w:rFonts w:eastAsia="Calibri"/>
          <w:b/>
          <w:bCs/>
          <w:rtl/>
        </w:rPr>
        <w:t xml:space="preserve"> של הלווים למחזר משכנתא בקלות אינה </w:t>
      </w:r>
      <w:r w:rsidRPr="001F2586">
        <w:rPr>
          <w:rFonts w:eastAsia="Calibri" w:hint="cs"/>
          <w:b/>
          <w:bCs/>
          <w:rtl/>
        </w:rPr>
        <w:t>מתעכבת או נבלמת</w:t>
      </w:r>
      <w:r w:rsidRPr="001F2586">
        <w:rPr>
          <w:rFonts w:eastAsia="Calibri"/>
          <w:b/>
          <w:bCs/>
          <w:rtl/>
        </w:rPr>
        <w:t xml:space="preserve"> משיקולי רווחיות של המערכת הבנקאית</w:t>
      </w:r>
      <w:r w:rsidRPr="001F2586">
        <w:rPr>
          <w:rFonts w:eastAsia="Calibri"/>
          <w:b/>
          <w:bCs/>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bookmarkStart w:id="81" w:name="_Hlk230687762"/>
      <w:r w:rsidRPr="001F2586">
        <w:rPr>
          <w:rFonts w:eastAsia="Calibri" w:hint="cs"/>
          <w:rtl/>
        </w:rPr>
        <w:t xml:space="preserve">בנק ישראל ציין בתשובתו כי אפקטיביות של רפורמה נבחנת לאורך זמן כך שעדיין אין בידי הפיקוח על הבנקים מסמכים ונתונים המאפשרים בחינה נאותה של אפקטיביות הרפורמה, שהושקה לפני כשנה בלבד. כמו כן, בעקבות פניית ח"כ בוצעה על ידי היחידה לבקרה בדיקה בנושא. הבנקים מסרו כי הם מיישמים את הסעיף להוראה, וכי הם נקטו בצעדים ליישום ההוראה. לאור תוצאת הבדיקה בנק ישראל לא מצא צורך בהרחבתה בשלב זה. </w:t>
      </w:r>
    </w:p>
    <w:bookmarkEnd w:id="81"/>
    <w:p w:rsidR="001F2586" w:rsidRPr="001F2586" w:rsidP="001F2586">
      <w:pPr>
        <w:spacing w:line="269" w:lineRule="auto"/>
        <w:rPr>
          <w:rFonts w:eastAsia="Calibri"/>
          <w:rtl/>
        </w:rPr>
      </w:pPr>
    </w:p>
    <w:p w:rsidR="001F2586" w:rsidRPr="001F2586" w:rsidP="001F2586">
      <w:pPr>
        <w:keepNext/>
        <w:keepLines/>
        <w:spacing w:line="269" w:lineRule="auto"/>
        <w:outlineLvl w:val="2"/>
        <w:rPr>
          <w:rFonts w:eastAsia="Times New Roman"/>
          <w:bCs/>
          <w:szCs w:val="28"/>
          <w:u w:val="single"/>
          <w:rtl/>
        </w:rPr>
      </w:pPr>
      <w:r w:rsidRPr="001F2586">
        <w:rPr>
          <w:rFonts w:eastAsia="Times New Roman" w:hint="cs"/>
          <w:bCs/>
          <w:szCs w:val="28"/>
          <w:u w:val="single"/>
          <w:rtl/>
        </w:rPr>
        <w:t xml:space="preserve">תלונות הציבור בתחום הלוואות לדיור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הציבור בישראל מתבסס על מגוון שירותים בנקאיים החל מחשבון בנק, הלוואות, משכנתאות, פיקדונו</w:t>
      </w:r>
      <w:r w:rsidRPr="001F2586">
        <w:rPr>
          <w:rFonts w:eastAsia="Calibri" w:hint="eastAsia"/>
          <w:rtl/>
        </w:rPr>
        <w:t>ת</w:t>
      </w:r>
      <w:r w:rsidRPr="001F2586">
        <w:rPr>
          <w:rFonts w:eastAsia="Calibri" w:hint="cs"/>
          <w:rtl/>
        </w:rPr>
        <w:t xml:space="preserve">, אמצעי תשלום ועוד. הסתמכות זו מבוססת על אמון הציבור במערכת הבנקאית, במוצרים ובשירותים הבנקאיים העומדים לרשותו. במסגרת מערכת היחסים בין הבנק לבין הלקוח לעיתים עולות מחלוקות אשר אינן באות לפתרונן באמצעות פניית הלקוח לתאגיד הבנקאי. </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אופן הגשת התלונה על ידי הלקוח </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rtl/>
        </w:rPr>
        <w:t xml:space="preserve">היחידה לפניות הציבור ולבקרה צרכנית בפיקוח על הבנקים </w:t>
      </w:r>
      <w:r w:rsidRPr="001F2586">
        <w:rPr>
          <w:rFonts w:eastAsia="Calibri" w:hint="cs"/>
          <w:rtl/>
        </w:rPr>
        <w:t xml:space="preserve">בבנק ישראל (להלן - היחידה לפניות הציבור) </w:t>
      </w:r>
      <w:r w:rsidRPr="001F2586">
        <w:rPr>
          <w:rFonts w:eastAsia="Calibri"/>
          <w:rtl/>
        </w:rPr>
        <w:t xml:space="preserve">פועלת מכוח סעיף 16 לחוק הבנקאות (שירות ללקוח) התשמ"א-1981, המסמיך את המפקח על הבנקים לברר את פניות הציבור בדבר עסקיהם עם התאגידים הבנקאיים </w:t>
      </w:r>
      <w:r w:rsidRPr="001F2586">
        <w:rPr>
          <w:rFonts w:eastAsia="Calibri" w:hint="cs"/>
          <w:rtl/>
        </w:rPr>
        <w:t>-</w:t>
      </w:r>
      <w:r w:rsidRPr="001F2586">
        <w:rPr>
          <w:rFonts w:eastAsia="Calibri"/>
          <w:rtl/>
        </w:rPr>
        <w:t xml:space="preserve"> בנקים וחברות </w:t>
      </w:r>
      <w:r w:rsidRPr="001F2586">
        <w:rPr>
          <w:rFonts w:eastAsia="Calibri" w:hint="cs"/>
          <w:rtl/>
        </w:rPr>
        <w:t>לכרטיסי</w:t>
      </w:r>
      <w:r w:rsidRPr="001F2586">
        <w:rPr>
          <w:rFonts w:eastAsia="Calibri"/>
          <w:rtl/>
        </w:rPr>
        <w:t xml:space="preserve"> אשראי.</w:t>
      </w:r>
      <w:r w:rsidRPr="001F2586">
        <w:rPr>
          <w:rFonts w:eastAsia="Calibri" w:hint="cs"/>
          <w:rtl/>
        </w:rPr>
        <w:t xml:space="preserve"> היחידה לפניות הציבור נ</w:t>
      </w:r>
      <w:r w:rsidRPr="001F2586">
        <w:rPr>
          <w:rFonts w:eastAsia="Calibri"/>
          <w:rtl/>
        </w:rPr>
        <w:t xml:space="preserve">ותנת מענה לכל פונה לבנק ישראל בבקשה למידע או להגשת תלונה על בנק או חברת כרטיסי אשראי. תפקידה העיקרי של היחידה הוא לקדם עקרונות צרכניים שנועדו להבטיח הוגנות במערכת היחסים שבין התאגיד הבנקאי ובין הלקוח ושירות בנקאי הולם. מתוך התלונות והמידע המתקבל ביחידה </w:t>
      </w:r>
      <w:r w:rsidRPr="001F2586">
        <w:rPr>
          <w:rFonts w:eastAsia="Calibri" w:hint="cs"/>
          <w:rtl/>
        </w:rPr>
        <w:t>הם</w:t>
      </w:r>
      <w:r w:rsidRPr="001F2586">
        <w:rPr>
          <w:rFonts w:eastAsia="Calibri"/>
          <w:rtl/>
        </w:rPr>
        <w:t xml:space="preserve"> מאתרים ליקויים רוחביים ופועלים לתיקונם במערכת הבנקאית.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תיאור שלבי הטיפול בתלונה המוגשת על ידי לקוח:</w:t>
      </w:r>
    </w:p>
    <w:p w:rsidR="001F2586" w:rsidRPr="001F2586" w:rsidP="001F2586">
      <w:pPr>
        <w:spacing w:line="269" w:lineRule="auto"/>
        <w:rPr>
          <w:rFonts w:eastAsia="Calibri"/>
          <w:rtl/>
        </w:rPr>
      </w:pPr>
    </w:p>
    <w:p w:rsidR="001F2586" w:rsidRPr="001F2586" w:rsidP="001F2586">
      <w:pPr>
        <w:spacing w:line="269" w:lineRule="auto"/>
        <w:jc w:val="center"/>
        <w:rPr>
          <w:rFonts w:eastAsia="Calibri"/>
          <w:rtl/>
        </w:rPr>
      </w:pPr>
      <w:r w:rsidRPr="001F2586">
        <w:rPr>
          <w:rFonts w:eastAsia="Calibri" w:hint="cs"/>
          <w:rtl/>
        </w:rPr>
        <w:t xml:space="preserve">לוח 7: </w:t>
      </w:r>
      <w:r w:rsidRPr="001F2586">
        <w:rPr>
          <w:rFonts w:eastAsia="Calibri" w:hint="cs"/>
          <w:b/>
          <w:bCs/>
          <w:rtl/>
        </w:rPr>
        <w:t>שלבי הטיפול בתלונה המוגשת על ידי לקוח</w:t>
      </w:r>
    </w:p>
    <w:tbl>
      <w:tblPr>
        <w:bidiVisual/>
        <w:tblW w:w="0" w:type="auto"/>
        <w:jc w:val="center"/>
        <w:tblCellSpacing w:w="15" w:type="dxa"/>
        <w:tblCellMar>
          <w:left w:w="0" w:type="dxa"/>
          <w:right w:w="0" w:type="dxa"/>
        </w:tblCellMar>
        <w:tblLook w:val="04A0"/>
      </w:tblPr>
      <w:tblGrid>
        <w:gridCol w:w="1376"/>
        <w:gridCol w:w="2973"/>
        <w:gridCol w:w="3855"/>
      </w:tblGrid>
      <w:tr w:rsidTr="00085225">
        <w:tblPrEx>
          <w:tblW w:w="0" w:type="auto"/>
          <w:tblLook w:val="04A0"/>
        </w:tblPrEx>
        <w:trPr>
          <w:tblHeader/>
        </w:trPr>
        <w:tc>
          <w:tcPr>
            <w:tcW w:w="0" w:type="auto"/>
            <w:tcBorders>
              <w:top w:val="single" w:sz="6" w:space="0" w:color="auto"/>
              <w:left w:val="single" w:sz="6" w:space="0" w:color="auto"/>
              <w:bottom w:val="single" w:sz="6" w:space="0" w:color="auto"/>
              <w:right w:val="single" w:sz="6" w:space="0" w:color="auto"/>
            </w:tcBorders>
            <w:shd w:val="clear" w:color="auto" w:fill="D9D9D9"/>
            <w:tcMar>
              <w:top w:w="120" w:type="dxa"/>
              <w:left w:w="180" w:type="dxa"/>
              <w:bottom w:w="120" w:type="dxa"/>
              <w:right w:w="180" w:type="dxa"/>
            </w:tcMar>
            <w:vAlign w:val="center"/>
            <w:hideMark/>
          </w:tcPr>
          <w:p w:rsidR="001F2586" w:rsidRPr="001F2586" w:rsidP="001F2586">
            <w:pPr>
              <w:spacing w:line="269" w:lineRule="auto"/>
              <w:jc w:val="center"/>
              <w:rPr>
                <w:rFonts w:ascii="David" w:eastAsia="Times New Roman" w:hAnsi="David"/>
                <w:color w:val="1F1F1F"/>
                <w:sz w:val="22"/>
                <w:szCs w:val="22"/>
              </w:rPr>
            </w:pPr>
            <w:r w:rsidRPr="001F2586">
              <w:rPr>
                <w:rFonts w:ascii="David" w:eastAsia="Times New Roman" w:hAnsi="David" w:hint="cs"/>
                <w:b/>
                <w:bCs/>
                <w:color w:val="1F1F1F"/>
                <w:sz w:val="22"/>
                <w:szCs w:val="22"/>
                <w:bdr w:val="none" w:sz="0" w:space="0" w:color="auto" w:frame="1"/>
                <w:rtl/>
              </w:rPr>
              <w:t>ה</w:t>
            </w:r>
            <w:r w:rsidRPr="001F2586">
              <w:rPr>
                <w:rFonts w:ascii="David" w:eastAsia="Times New Roman" w:hAnsi="David"/>
                <w:b/>
                <w:bCs/>
                <w:color w:val="1F1F1F"/>
                <w:sz w:val="22"/>
                <w:szCs w:val="22"/>
                <w:bdr w:val="none" w:sz="0" w:space="0" w:color="auto" w:frame="1"/>
                <w:rtl/>
              </w:rPr>
              <w:t>שלב</w:t>
            </w:r>
          </w:p>
        </w:tc>
        <w:tc>
          <w:tcPr>
            <w:tcW w:w="2943" w:type="dxa"/>
            <w:tcBorders>
              <w:top w:val="single" w:sz="6" w:space="0" w:color="auto"/>
              <w:left w:val="single" w:sz="6" w:space="0" w:color="auto"/>
              <w:bottom w:val="single" w:sz="6" w:space="0" w:color="auto"/>
              <w:right w:val="single" w:sz="6" w:space="0" w:color="auto"/>
            </w:tcBorders>
            <w:shd w:val="clear" w:color="auto" w:fill="D9D9D9"/>
            <w:tcMar>
              <w:top w:w="120" w:type="dxa"/>
              <w:left w:w="180" w:type="dxa"/>
              <w:bottom w:w="120" w:type="dxa"/>
              <w:right w:w="180" w:type="dxa"/>
            </w:tcMar>
            <w:vAlign w:val="center"/>
            <w:hideMark/>
          </w:tcPr>
          <w:p w:rsidR="001F2586" w:rsidRPr="001F2586" w:rsidP="001F2586">
            <w:pPr>
              <w:spacing w:line="269" w:lineRule="auto"/>
              <w:jc w:val="center"/>
              <w:rPr>
                <w:rFonts w:ascii="David" w:eastAsia="Times New Roman" w:hAnsi="David"/>
                <w:color w:val="1F1F1F"/>
                <w:sz w:val="22"/>
                <w:szCs w:val="22"/>
                <w:rtl/>
              </w:rPr>
            </w:pPr>
            <w:r w:rsidRPr="001F2586">
              <w:rPr>
                <w:rFonts w:ascii="David" w:eastAsia="Times New Roman" w:hAnsi="David" w:hint="cs"/>
                <w:b/>
                <w:bCs/>
                <w:color w:val="1F1F1F"/>
                <w:sz w:val="22"/>
                <w:szCs w:val="22"/>
                <w:bdr w:val="none" w:sz="0" w:space="0" w:color="auto" w:frame="1"/>
                <w:rtl/>
              </w:rPr>
              <w:t>ה</w:t>
            </w:r>
            <w:r w:rsidRPr="001F2586">
              <w:rPr>
                <w:rFonts w:ascii="David" w:eastAsia="Times New Roman" w:hAnsi="David"/>
                <w:b/>
                <w:bCs/>
                <w:color w:val="1F1F1F"/>
                <w:sz w:val="22"/>
                <w:szCs w:val="22"/>
                <w:bdr w:val="none" w:sz="0" w:space="0" w:color="auto" w:frame="1"/>
                <w:rtl/>
              </w:rPr>
              <w:t>פעולה</w:t>
            </w:r>
          </w:p>
        </w:tc>
        <w:tc>
          <w:tcPr>
            <w:tcW w:w="3810" w:type="dxa"/>
            <w:tcBorders>
              <w:top w:val="single" w:sz="6" w:space="0" w:color="auto"/>
              <w:left w:val="single" w:sz="6" w:space="0" w:color="auto"/>
              <w:bottom w:val="single" w:sz="6" w:space="0" w:color="auto"/>
              <w:right w:val="single" w:sz="6" w:space="0" w:color="auto"/>
            </w:tcBorders>
            <w:shd w:val="clear" w:color="auto" w:fill="D9D9D9"/>
            <w:tcMar>
              <w:top w:w="120" w:type="dxa"/>
              <w:left w:w="180" w:type="dxa"/>
              <w:bottom w:w="120" w:type="dxa"/>
              <w:right w:w="180" w:type="dxa"/>
            </w:tcMar>
            <w:vAlign w:val="center"/>
            <w:hideMark/>
          </w:tcPr>
          <w:p w:rsidR="001F2586" w:rsidRPr="001F2586" w:rsidP="001F2586">
            <w:pPr>
              <w:spacing w:line="269" w:lineRule="auto"/>
              <w:jc w:val="center"/>
              <w:rPr>
                <w:rFonts w:ascii="David" w:eastAsia="Times New Roman" w:hAnsi="David"/>
                <w:color w:val="1F1F1F"/>
                <w:sz w:val="22"/>
                <w:szCs w:val="22"/>
                <w:rtl/>
              </w:rPr>
            </w:pPr>
            <w:r w:rsidRPr="001F2586">
              <w:rPr>
                <w:rFonts w:ascii="David" w:eastAsia="Times New Roman" w:hAnsi="David" w:hint="cs"/>
                <w:b/>
                <w:bCs/>
                <w:color w:val="1F1F1F"/>
                <w:sz w:val="22"/>
                <w:szCs w:val="22"/>
                <w:bdr w:val="none" w:sz="0" w:space="0" w:color="auto" w:frame="1"/>
                <w:rtl/>
              </w:rPr>
              <w:t>הערות נוספות</w:t>
            </w:r>
          </w:p>
        </w:tc>
      </w:tr>
      <w:tr w:rsidTr="00085225">
        <w:tblPrEx>
          <w:tblW w:w="0" w:type="auto"/>
          <w:tblLook w:val="04A0"/>
        </w:tblPrEx>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b/>
                <w:bCs/>
                <w:color w:val="1F1F1F"/>
                <w:sz w:val="22"/>
                <w:szCs w:val="22"/>
                <w:bdr w:val="none" w:sz="0" w:space="0" w:color="auto" w:frame="1"/>
                <w:rtl/>
              </w:rPr>
              <w:t>1.פנייה ראשונית</w:t>
            </w:r>
          </w:p>
        </w:tc>
        <w:tc>
          <w:tcPr>
            <w:tcW w:w="29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color w:val="1F1F1F"/>
                <w:sz w:val="22"/>
                <w:szCs w:val="22"/>
                <w:bdr w:val="none" w:sz="0" w:space="0" w:color="auto" w:frame="1"/>
                <w:rtl/>
              </w:rPr>
              <w:t>הגשת תלונה בכתב לנציב תלונות הציבור הפנימי של התאגיד הבנקאי (בנק/חברת אשראי).</w:t>
            </w:r>
          </w:p>
        </w:tc>
        <w:tc>
          <w:tcPr>
            <w:tcW w:w="38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color w:val="1F1F1F"/>
                <w:sz w:val="22"/>
                <w:szCs w:val="22"/>
                <w:bdr w:val="none" w:sz="0" w:space="0" w:color="auto" w:frame="1"/>
                <w:rtl/>
              </w:rPr>
              <w:t>חובת מענה תוך 45 ימים (בנסיבות מיוחדות עד 60 ימים</w:t>
            </w:r>
            <w:r w:rsidRPr="001F2586">
              <w:rPr>
                <w:rFonts w:ascii="David" w:eastAsia="Times New Roman" w:hAnsi="David" w:hint="cs"/>
                <w:color w:val="1F1F1F"/>
                <w:sz w:val="22"/>
                <w:szCs w:val="22"/>
                <w:bdr w:val="none" w:sz="0" w:space="0" w:color="auto" w:frame="1"/>
                <w:rtl/>
              </w:rPr>
              <w:t>, כאשר תימסר הודעה מראש על קבלת זמן הטיפול הנוסף</w:t>
            </w:r>
            <w:r w:rsidRPr="001F2586">
              <w:rPr>
                <w:rFonts w:ascii="David" w:eastAsia="Times New Roman" w:hAnsi="David"/>
                <w:color w:val="1F1F1F"/>
                <w:sz w:val="22"/>
                <w:szCs w:val="22"/>
                <w:bdr w:val="none" w:sz="0" w:space="0" w:color="auto" w:frame="1"/>
                <w:rtl/>
              </w:rPr>
              <w:t>).</w:t>
            </w:r>
          </w:p>
        </w:tc>
      </w:tr>
      <w:tr w:rsidTr="00085225">
        <w:tblPrEx>
          <w:tblW w:w="0" w:type="auto"/>
          <w:tblLook w:val="04A0"/>
        </w:tblPrEx>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b/>
                <w:bCs/>
                <w:color w:val="1F1F1F"/>
                <w:sz w:val="22"/>
                <w:szCs w:val="22"/>
                <w:bdr w:val="none" w:sz="0" w:space="0" w:color="auto" w:frame="1"/>
                <w:rtl/>
              </w:rPr>
              <w:t>2. קבלת מענה</w:t>
            </w:r>
          </w:p>
        </w:tc>
        <w:tc>
          <w:tcPr>
            <w:tcW w:w="29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color w:val="1F1F1F"/>
                <w:sz w:val="22"/>
                <w:szCs w:val="22"/>
                <w:bdr w:val="none" w:sz="0" w:space="0" w:color="auto" w:frame="1"/>
                <w:rtl/>
              </w:rPr>
              <w:t>קבלת תשובה בכתב מנציבות התאגיד הבנקאי.</w:t>
            </w:r>
          </w:p>
        </w:tc>
        <w:tc>
          <w:tcPr>
            <w:tcW w:w="38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hint="cs"/>
                <w:color w:val="1F1F1F"/>
                <w:sz w:val="22"/>
                <w:szCs w:val="22"/>
                <w:rtl/>
              </w:rPr>
              <w:t>שמירת המסמכים והנתונים המהותיי</w:t>
            </w:r>
            <w:r w:rsidRPr="001F2586">
              <w:rPr>
                <w:rFonts w:ascii="David" w:eastAsia="Times New Roman" w:hAnsi="David" w:hint="eastAsia"/>
                <w:color w:val="1F1F1F"/>
                <w:sz w:val="22"/>
                <w:szCs w:val="22"/>
                <w:rtl/>
              </w:rPr>
              <w:t>ם</w:t>
            </w:r>
            <w:r w:rsidRPr="001F2586">
              <w:rPr>
                <w:rFonts w:ascii="David" w:eastAsia="Times New Roman" w:hAnsi="David" w:hint="cs"/>
                <w:color w:val="1F1F1F"/>
                <w:sz w:val="22"/>
                <w:szCs w:val="22"/>
                <w:rtl/>
              </w:rPr>
              <w:t xml:space="preserve"> הנוגעים לטיפול בתלונה לתקופה של 10 שנים לפחות. </w:t>
            </w:r>
          </w:p>
        </w:tc>
      </w:tr>
      <w:tr w:rsidTr="00085225">
        <w:tblPrEx>
          <w:tblW w:w="0" w:type="auto"/>
          <w:tblLook w:val="04A0"/>
        </w:tblPrEx>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b/>
                <w:bCs/>
                <w:color w:val="1F1F1F"/>
                <w:sz w:val="22"/>
                <w:szCs w:val="22"/>
                <w:bdr w:val="none" w:sz="0" w:space="0" w:color="auto" w:frame="1"/>
                <w:rtl/>
              </w:rPr>
              <w:t xml:space="preserve">3. </w:t>
            </w:r>
            <w:r w:rsidRPr="001F2586">
              <w:rPr>
                <w:rFonts w:ascii="David" w:eastAsia="Times New Roman" w:hAnsi="David" w:hint="cs"/>
                <w:b/>
                <w:bCs/>
                <w:color w:val="1F1F1F"/>
                <w:sz w:val="22"/>
                <w:szCs w:val="22"/>
                <w:bdr w:val="none" w:sz="0" w:space="0" w:color="auto" w:frame="1"/>
                <w:rtl/>
              </w:rPr>
              <w:t>הגשת</w:t>
            </w:r>
            <w:r w:rsidRPr="001F2586">
              <w:rPr>
                <w:rFonts w:ascii="David" w:eastAsia="Times New Roman" w:hAnsi="David"/>
                <w:b/>
                <w:bCs/>
                <w:color w:val="1F1F1F"/>
                <w:sz w:val="22"/>
                <w:szCs w:val="22"/>
                <w:bdr w:val="none" w:sz="0" w:space="0" w:color="auto" w:frame="1"/>
                <w:rtl/>
              </w:rPr>
              <w:t xml:space="preserve"> ערעור</w:t>
            </w:r>
          </w:p>
        </w:tc>
        <w:tc>
          <w:tcPr>
            <w:tcW w:w="29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color w:val="1F1F1F"/>
                <w:sz w:val="22"/>
                <w:szCs w:val="22"/>
                <w:bdr w:val="none" w:sz="0" w:space="0" w:color="auto" w:frame="1"/>
                <w:rtl/>
              </w:rPr>
              <w:t>הפונה אינו שבע רצון מהמענה שקיבל, או לא קיבל מענה כלל בתוך 45 ימים.</w:t>
            </w:r>
            <w:r w:rsidRPr="001F2586">
              <w:rPr>
                <w:rFonts w:ascii="David" w:eastAsia="Times New Roman" w:hAnsi="David" w:hint="cs"/>
                <w:color w:val="1F1F1F"/>
                <w:sz w:val="22"/>
                <w:szCs w:val="22"/>
                <w:bdr w:val="none" w:sz="0" w:space="0" w:color="auto" w:frame="1"/>
                <w:rtl/>
              </w:rPr>
              <w:t xml:space="preserve"> באפשרותו להגיש</w:t>
            </w:r>
            <w:r w:rsidRPr="001F2586">
              <w:rPr>
                <w:rFonts w:ascii="David" w:eastAsia="Times New Roman" w:hAnsi="David"/>
                <w:color w:val="1F1F1F"/>
                <w:sz w:val="22"/>
                <w:szCs w:val="22"/>
                <w:bdr w:val="none" w:sz="0" w:space="0" w:color="auto" w:frame="1"/>
                <w:rtl/>
              </w:rPr>
              <w:t xml:space="preserve"> תלונה / ערעור ליחידה לפניות הציבור בפיקוח על הבנקים בבנק ישראל</w:t>
            </w:r>
            <w:r w:rsidRPr="001F2586">
              <w:rPr>
                <w:rFonts w:ascii="David" w:eastAsia="Times New Roman" w:hAnsi="David" w:hint="cs"/>
                <w:color w:val="1F1F1F"/>
                <w:sz w:val="22"/>
                <w:szCs w:val="22"/>
                <w:bdr w:val="none" w:sz="0" w:space="0" w:color="auto" w:frame="1"/>
                <w:rtl/>
              </w:rPr>
              <w:t>.</w:t>
            </w:r>
          </w:p>
        </w:tc>
        <w:tc>
          <w:tcPr>
            <w:tcW w:w="38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p>
        </w:tc>
      </w:tr>
      <w:tr w:rsidTr="00085225">
        <w:tblPrEx>
          <w:tblW w:w="0" w:type="auto"/>
          <w:tblLook w:val="04A0"/>
        </w:tblPrEx>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260379" w:rsidP="00260379">
            <w:pPr>
              <w:spacing w:line="269" w:lineRule="auto"/>
              <w:jc w:val="left"/>
              <w:rPr>
                <w:rFonts w:ascii="David" w:eastAsia="Times New Roman" w:hAnsi="David"/>
                <w:b/>
                <w:bCs/>
                <w:color w:val="1F1F1F"/>
                <w:sz w:val="22"/>
                <w:szCs w:val="22"/>
                <w:bdr w:val="none" w:sz="0" w:space="0" w:color="auto" w:frame="1"/>
                <w:rtl/>
              </w:rPr>
            </w:pPr>
            <w:r w:rsidRPr="001F2586">
              <w:rPr>
                <w:rFonts w:ascii="David" w:eastAsia="Times New Roman" w:hAnsi="David"/>
                <w:b/>
                <w:bCs/>
                <w:color w:val="1F1F1F"/>
                <w:sz w:val="22"/>
                <w:szCs w:val="22"/>
                <w:bdr w:val="none" w:sz="0" w:space="0" w:color="auto" w:frame="1"/>
                <w:rtl/>
              </w:rPr>
              <w:t>5. בדיקה ובירור</w:t>
            </w:r>
          </w:p>
        </w:tc>
        <w:tc>
          <w:tcPr>
            <w:tcW w:w="29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color w:val="1F1F1F"/>
                <w:sz w:val="22"/>
                <w:szCs w:val="22"/>
                <w:bdr w:val="none" w:sz="0" w:space="0" w:color="auto" w:frame="1"/>
                <w:rtl/>
              </w:rPr>
              <w:t>היחידה לפניות הציבור מעבירה את התלונה לתאגיד הבנקאי ומתנהלת התכתבות מול הבנק והפונה.</w:t>
            </w:r>
          </w:p>
        </w:tc>
        <w:tc>
          <w:tcPr>
            <w:tcW w:w="38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color w:val="1F1F1F"/>
                <w:sz w:val="22"/>
                <w:szCs w:val="22"/>
                <w:bdr w:val="none" w:sz="0" w:space="0" w:color="auto" w:frame="1"/>
                <w:rtl/>
              </w:rPr>
              <w:t>התהליך משמש בסיס לבדיקה מעמיקה.</w:t>
            </w:r>
            <w:r w:rsidRPr="001F2586">
              <w:rPr>
                <w:rFonts w:ascii="David" w:eastAsia="Times New Roman" w:hAnsi="David" w:hint="cs"/>
                <w:color w:val="1F1F1F"/>
                <w:sz w:val="22"/>
                <w:szCs w:val="22"/>
                <w:bdr w:val="none" w:sz="0" w:space="0" w:color="auto" w:frame="1"/>
                <w:rtl/>
              </w:rPr>
              <w:t xml:space="preserve"> על התאגיד הבנקאי להשיב לפיקוח על הבנקים תוך 21 ימים ממועד פניית הפיקוח.</w:t>
            </w:r>
            <w:r w:rsidRPr="001F2586">
              <w:rPr>
                <w:rFonts w:ascii="David" w:eastAsia="Times New Roman" w:hAnsi="David" w:hint="cs"/>
                <w:color w:val="1F1F1F"/>
                <w:sz w:val="22"/>
                <w:szCs w:val="22"/>
                <w:rtl/>
              </w:rPr>
              <w:t xml:space="preserve"> </w:t>
            </w:r>
          </w:p>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color w:val="1F1F1F"/>
                <w:sz w:val="22"/>
                <w:szCs w:val="22"/>
                <w:rtl/>
              </w:rPr>
              <w:t>במקרים שבהם הפנייה אינה מצריכה בירור מקצועי נוסף עם גורם נוסף בבנק ישראל או</w:t>
            </w:r>
            <w:r w:rsidRPr="001F2586">
              <w:rPr>
                <w:rFonts w:ascii="David" w:eastAsia="Times New Roman" w:hAnsi="David" w:hint="cs"/>
                <w:color w:val="1F1F1F"/>
                <w:sz w:val="22"/>
                <w:szCs w:val="22"/>
                <w:rtl/>
              </w:rPr>
              <w:t xml:space="preserve"> </w:t>
            </w:r>
            <w:r w:rsidRPr="001F2586">
              <w:rPr>
                <w:rFonts w:ascii="David" w:eastAsia="Times New Roman" w:hAnsi="David"/>
                <w:color w:val="1F1F1F"/>
                <w:sz w:val="22"/>
                <w:szCs w:val="22"/>
                <w:rtl/>
              </w:rPr>
              <w:t>מחוצה לו</w:t>
            </w:r>
            <w:r w:rsidRPr="001F2586">
              <w:rPr>
                <w:rFonts w:ascii="David" w:eastAsia="Times New Roman" w:hAnsi="David" w:hint="cs"/>
                <w:color w:val="1F1F1F"/>
                <w:sz w:val="22"/>
                <w:szCs w:val="22"/>
                <w:rtl/>
              </w:rPr>
              <w:t>,</w:t>
            </w:r>
            <w:r w:rsidRPr="001F2586">
              <w:rPr>
                <w:rFonts w:ascii="David" w:eastAsia="Times New Roman" w:hAnsi="David"/>
                <w:color w:val="1F1F1F"/>
                <w:sz w:val="22"/>
                <w:szCs w:val="22"/>
                <w:rtl/>
              </w:rPr>
              <w:t xml:space="preserve"> וכן אינה מצריכה בדיקה עם התאגיד הבנקאי</w:t>
            </w:r>
            <w:r w:rsidRPr="001F2586">
              <w:rPr>
                <w:rFonts w:ascii="David" w:eastAsia="Times New Roman" w:hAnsi="David" w:hint="cs"/>
                <w:color w:val="1F1F1F"/>
                <w:sz w:val="22"/>
                <w:szCs w:val="22"/>
                <w:rtl/>
              </w:rPr>
              <w:t>,</w:t>
            </w:r>
            <w:r w:rsidRPr="001F2586">
              <w:rPr>
                <w:rFonts w:ascii="David" w:eastAsia="Times New Roman" w:hAnsi="David"/>
                <w:color w:val="1F1F1F"/>
                <w:sz w:val="22"/>
                <w:szCs w:val="22"/>
                <w:rtl/>
              </w:rPr>
              <w:t xml:space="preserve"> </w:t>
            </w:r>
            <w:r w:rsidRPr="001F2586">
              <w:rPr>
                <w:rFonts w:ascii="David" w:eastAsia="Times New Roman" w:hAnsi="David" w:hint="cs"/>
                <w:color w:val="1F1F1F"/>
                <w:sz w:val="22"/>
                <w:szCs w:val="22"/>
                <w:rtl/>
              </w:rPr>
              <w:t xml:space="preserve">זמן המענה יהיה עד 45 ימים. </w:t>
            </w:r>
          </w:p>
          <w:p w:rsidR="001F2586" w:rsidRPr="001F2586" w:rsidP="001F2586">
            <w:pPr>
              <w:spacing w:line="269" w:lineRule="auto"/>
              <w:jc w:val="left"/>
              <w:rPr>
                <w:rFonts w:ascii="David" w:eastAsia="Times New Roman" w:hAnsi="David"/>
                <w:color w:val="1F1F1F"/>
                <w:sz w:val="22"/>
                <w:szCs w:val="22"/>
                <w:rtl/>
              </w:rPr>
            </w:pPr>
          </w:p>
        </w:tc>
      </w:tr>
      <w:tr w:rsidTr="00085225">
        <w:tblPrEx>
          <w:tblW w:w="0" w:type="auto"/>
          <w:tblLook w:val="04A0"/>
        </w:tblPrEx>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260379" w:rsidP="00260379">
            <w:pPr>
              <w:spacing w:line="269" w:lineRule="auto"/>
              <w:jc w:val="left"/>
              <w:rPr>
                <w:rFonts w:ascii="David" w:eastAsia="Times New Roman" w:hAnsi="David"/>
                <w:b/>
                <w:bCs/>
                <w:color w:val="1F1F1F"/>
                <w:sz w:val="22"/>
                <w:szCs w:val="22"/>
                <w:bdr w:val="none" w:sz="0" w:space="0" w:color="auto" w:frame="1"/>
                <w:rtl/>
              </w:rPr>
            </w:pPr>
            <w:r w:rsidRPr="001F2586">
              <w:rPr>
                <w:rFonts w:ascii="David" w:eastAsia="Times New Roman" w:hAnsi="David"/>
                <w:b/>
                <w:bCs/>
                <w:color w:val="1F1F1F"/>
                <w:sz w:val="22"/>
                <w:szCs w:val="22"/>
                <w:bdr w:val="none" w:sz="0" w:space="0" w:color="auto" w:frame="1"/>
                <w:rtl/>
              </w:rPr>
              <w:t>6. תוצאות וסעד</w:t>
            </w:r>
          </w:p>
        </w:tc>
        <w:tc>
          <w:tcPr>
            <w:tcW w:w="29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color w:val="1F1F1F"/>
                <w:sz w:val="22"/>
                <w:szCs w:val="22"/>
                <w:bdr w:val="none" w:sz="0" w:space="0" w:color="auto" w:frame="1"/>
                <w:rtl/>
              </w:rPr>
              <w:t>שליחת מכתב תשובה לפונה עם פירוט תוצאות הבדיקה.</w:t>
            </w:r>
          </w:p>
        </w:tc>
        <w:tc>
          <w:tcPr>
            <w:tcW w:w="38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1F2586" w:rsidRPr="001F2586" w:rsidP="001F2586">
            <w:pPr>
              <w:spacing w:line="269" w:lineRule="auto"/>
              <w:jc w:val="left"/>
              <w:rPr>
                <w:rFonts w:ascii="David" w:eastAsia="Times New Roman" w:hAnsi="David"/>
                <w:color w:val="1F1F1F"/>
                <w:sz w:val="22"/>
                <w:szCs w:val="22"/>
                <w:rtl/>
              </w:rPr>
            </w:pPr>
            <w:r w:rsidRPr="001F2586">
              <w:rPr>
                <w:rFonts w:ascii="David" w:eastAsia="Times New Roman" w:hAnsi="David"/>
                <w:color w:val="1F1F1F"/>
                <w:sz w:val="22"/>
                <w:szCs w:val="22"/>
                <w:bdr w:val="none" w:sz="0" w:space="0" w:color="auto" w:frame="1"/>
                <w:rtl/>
              </w:rPr>
              <w:t>אם התלונה מוצדקת: דרישה לתיקון ליקוי מהתאגיד (החזר כספי, או הוראה לנקוט/להימנע מפעולה).</w:t>
            </w:r>
          </w:p>
        </w:tc>
      </w:tr>
    </w:tbl>
    <w:p w:rsidR="00260379" w:rsidP="001F2586">
      <w:pPr>
        <w:spacing w:line="269" w:lineRule="auto"/>
        <w:rPr>
          <w:rFonts w:eastAsia="Calibri"/>
          <w:szCs w:val="20"/>
          <w:rtl/>
        </w:rPr>
      </w:pPr>
      <w:r w:rsidRPr="001F2586">
        <w:rPr>
          <w:rFonts w:eastAsia="Calibri" w:hint="cs"/>
          <w:szCs w:val="20"/>
          <w:rtl/>
        </w:rPr>
        <w:t xml:space="preserve">על פי הוראת ניהול בנקאי תקין </w:t>
      </w:r>
      <w:r w:rsidRPr="001F2586">
        <w:rPr>
          <w:rFonts w:eastAsia="Calibri" w:hint="cs"/>
          <w:szCs w:val="20"/>
        </w:rPr>
        <w:t>A</w:t>
      </w:r>
      <w:r w:rsidRPr="001F2586">
        <w:rPr>
          <w:rFonts w:eastAsia="Calibri" w:hint="cs"/>
          <w:szCs w:val="20"/>
          <w:rtl/>
        </w:rPr>
        <w:t>308 שעניינה "טיפול בתלונות הציבור", בעיבוד משרד מבקר המדינה.</w:t>
      </w:r>
    </w:p>
    <w:p w:rsidR="00260379"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ההוראה יוצרת מערך טיפול דו שלבי, בו התאגיד הבנקאי מטפל בשלב הראשון בתלונת הלקוח במסגרת יחסיו עם הלקוח וללא צורך של הלקוח לפנות לגורם נוסף. הפיקוח על הבנקים מטפל ומכריע בתלונות שאינן זוכות לפתרון יעיל בתאגידים עצמם. יצוין כי היחידה גם מטפלת בנושאים מערכתיים העולים מפניות ציבור כלומר בסוגיות שיש להן השלכה רוחבית על הלקוחות.</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hint="cs"/>
          <w:rtl/>
        </w:rPr>
        <w:t>הפנייה ליחידה לפניות הציבור היא ב</w:t>
      </w:r>
      <w:r w:rsidRPr="001F2586">
        <w:rPr>
          <w:rFonts w:eastAsia="Calibri"/>
          <w:rtl/>
        </w:rPr>
        <w:t>אמצעות פורטל היחידה</w:t>
      </w:r>
      <w:r w:rsidRPr="001F2586">
        <w:rPr>
          <w:rFonts w:eastAsia="Calibri" w:hint="cs"/>
          <w:rtl/>
        </w:rPr>
        <w:t>, שם מוצגות</w:t>
      </w:r>
      <w:r w:rsidRPr="001F2586">
        <w:rPr>
          <w:rFonts w:eastAsia="Calibri"/>
          <w:rtl/>
        </w:rPr>
        <w:t xml:space="preserve"> כלל</w:t>
      </w:r>
      <w:r w:rsidRPr="001F2586">
        <w:rPr>
          <w:rFonts w:eastAsia="Calibri" w:hint="cs"/>
          <w:rtl/>
        </w:rPr>
        <w:t xml:space="preserve"> </w:t>
      </w:r>
      <w:r w:rsidRPr="001F2586">
        <w:rPr>
          <w:rFonts w:eastAsia="Calibri"/>
          <w:rtl/>
        </w:rPr>
        <w:t>ההתכתבויות עם היחידה וכן סטאטוס הטיפול בתלונה</w:t>
      </w:r>
      <w:r w:rsidRPr="001F2586">
        <w:rPr>
          <w:rFonts w:eastAsia="Calibri" w:hint="cs"/>
          <w:rtl/>
        </w:rPr>
        <w:t>. כמו כן ניתן לפנות ליחידה באמצעות פקס ודואר</w:t>
      </w:r>
      <w:r w:rsidRPr="001F2586">
        <w:rPr>
          <w:rFonts w:eastAsia="Calibri" w:hint="cs"/>
        </w:rPr>
        <w:t xml:space="preserve"> </w:t>
      </w:r>
      <w:r w:rsidRPr="001F2586">
        <w:rPr>
          <w:rFonts w:eastAsia="Calibri"/>
          <w:rtl/>
        </w:rPr>
        <w:t>בצורה נוחה.</w:t>
      </w:r>
    </w:p>
    <w:p w:rsidR="002441B5" w:rsidRPr="00194C04" w:rsidP="002441B5">
      <w:pPr>
        <w:pStyle w:val="a"/>
        <w:ind w:left="0" w:firstLine="3"/>
        <w:rPr>
          <w:rFonts w:ascii="David" w:hAnsi="David"/>
          <w:b/>
          <w:bCs/>
          <w:rtl/>
        </w:rPr>
      </w:pPr>
    </w:p>
    <w:p w:rsidR="002441B5" w:rsidP="0070405E">
      <w:pPr>
        <w:pStyle w:val="a"/>
        <w:spacing w:line="269" w:lineRule="auto"/>
        <w:ind w:left="0" w:firstLine="6"/>
        <w:rPr>
          <w:rFonts w:ascii="David" w:hAnsi="David"/>
          <w:b/>
          <w:bCs/>
          <w:sz w:val="24"/>
          <w:szCs w:val="24"/>
          <w:rtl/>
        </w:rPr>
      </w:pPr>
      <w:r w:rsidRPr="00AA0017">
        <w:rPr>
          <w:rFonts w:ascii="David" w:hAnsi="David" w:hint="eastAsia"/>
          <w:b/>
          <w:bCs/>
          <w:sz w:val="24"/>
          <w:szCs w:val="24"/>
          <w:rtl/>
        </w:rPr>
        <w:t>נמצא</w:t>
      </w:r>
      <w:r w:rsidRPr="00AA0017">
        <w:rPr>
          <w:rFonts w:ascii="David" w:hAnsi="David"/>
          <w:b/>
          <w:bCs/>
          <w:sz w:val="24"/>
          <w:szCs w:val="24"/>
          <w:rtl/>
        </w:rPr>
        <w:t xml:space="preserve"> </w:t>
      </w:r>
      <w:r>
        <w:rPr>
          <w:rFonts w:ascii="David" w:hAnsi="David" w:hint="cs"/>
          <w:b/>
          <w:bCs/>
          <w:sz w:val="24"/>
          <w:szCs w:val="24"/>
          <w:rtl/>
        </w:rPr>
        <w:t>כי בשל</w:t>
      </w:r>
      <w:r w:rsidRPr="00AA0017">
        <w:rPr>
          <w:rFonts w:ascii="David" w:hAnsi="David"/>
          <w:b/>
          <w:bCs/>
          <w:sz w:val="24"/>
          <w:szCs w:val="24"/>
          <w:rtl/>
        </w:rPr>
        <w:t xml:space="preserve"> מבנה הטיפול </w:t>
      </w:r>
      <w:r>
        <w:rPr>
          <w:rFonts w:ascii="David" w:hAnsi="David" w:hint="cs"/>
          <w:b/>
          <w:bCs/>
          <w:sz w:val="24"/>
          <w:szCs w:val="24"/>
          <w:rtl/>
        </w:rPr>
        <w:t>בתלונות</w:t>
      </w:r>
      <w:r w:rsidRPr="00AA0017">
        <w:rPr>
          <w:rFonts w:ascii="David" w:hAnsi="David"/>
          <w:b/>
          <w:bCs/>
          <w:sz w:val="24"/>
          <w:szCs w:val="24"/>
          <w:rtl/>
        </w:rPr>
        <w:t xml:space="preserve"> (</w:t>
      </w:r>
      <w:r w:rsidRPr="00AA0017">
        <w:rPr>
          <w:rFonts w:ascii="David" w:hAnsi="David" w:hint="eastAsia"/>
          <w:b/>
          <w:bCs/>
          <w:sz w:val="24"/>
          <w:szCs w:val="24"/>
          <w:rtl/>
        </w:rPr>
        <w:t>בתאגיד</w:t>
      </w:r>
      <w:r w:rsidRPr="00AA0017">
        <w:rPr>
          <w:rFonts w:ascii="David" w:hAnsi="David"/>
          <w:b/>
          <w:bCs/>
          <w:sz w:val="24"/>
          <w:szCs w:val="24"/>
          <w:rtl/>
        </w:rPr>
        <w:t xml:space="preserve"> הבנקאי </w:t>
      </w:r>
      <w:r w:rsidRPr="00AA0017">
        <w:rPr>
          <w:rFonts w:ascii="David" w:hAnsi="David" w:hint="eastAsia"/>
          <w:b/>
          <w:bCs/>
          <w:sz w:val="24"/>
          <w:szCs w:val="24"/>
          <w:rtl/>
        </w:rPr>
        <w:t>ו</w:t>
      </w:r>
      <w:r>
        <w:rPr>
          <w:rFonts w:ascii="David" w:hAnsi="David" w:hint="cs"/>
          <w:b/>
          <w:bCs/>
          <w:sz w:val="24"/>
          <w:szCs w:val="24"/>
          <w:rtl/>
        </w:rPr>
        <w:t xml:space="preserve">רק לאחר מכן </w:t>
      </w:r>
      <w:r w:rsidRPr="00AA0017">
        <w:rPr>
          <w:rFonts w:ascii="David" w:hAnsi="David" w:hint="eastAsia"/>
          <w:b/>
          <w:bCs/>
          <w:sz w:val="24"/>
          <w:szCs w:val="24"/>
          <w:rtl/>
        </w:rPr>
        <w:t>בפיקוח</w:t>
      </w:r>
      <w:r w:rsidRPr="00AA0017">
        <w:rPr>
          <w:rFonts w:ascii="David" w:hAnsi="David"/>
          <w:b/>
          <w:bCs/>
          <w:sz w:val="24"/>
          <w:szCs w:val="24"/>
          <w:rtl/>
        </w:rPr>
        <w:t xml:space="preserve"> </w:t>
      </w:r>
      <w:r w:rsidRPr="00AA0017">
        <w:rPr>
          <w:rFonts w:ascii="David" w:hAnsi="David" w:hint="eastAsia"/>
          <w:b/>
          <w:bCs/>
          <w:sz w:val="24"/>
          <w:szCs w:val="24"/>
          <w:rtl/>
        </w:rPr>
        <w:t>על</w:t>
      </w:r>
      <w:r w:rsidRPr="00AA0017">
        <w:rPr>
          <w:rFonts w:ascii="David" w:hAnsi="David"/>
          <w:b/>
          <w:bCs/>
          <w:sz w:val="24"/>
          <w:szCs w:val="24"/>
          <w:rtl/>
        </w:rPr>
        <w:t xml:space="preserve"> </w:t>
      </w:r>
      <w:r w:rsidRPr="00AA0017">
        <w:rPr>
          <w:rFonts w:ascii="David" w:hAnsi="David" w:hint="eastAsia"/>
          <w:b/>
          <w:bCs/>
          <w:sz w:val="24"/>
          <w:szCs w:val="24"/>
          <w:rtl/>
        </w:rPr>
        <w:t>הבנקים</w:t>
      </w:r>
      <w:r w:rsidRPr="00AA0017">
        <w:rPr>
          <w:rFonts w:ascii="David" w:hAnsi="David"/>
          <w:b/>
          <w:bCs/>
          <w:sz w:val="24"/>
          <w:szCs w:val="24"/>
          <w:rtl/>
        </w:rPr>
        <w:t xml:space="preserve">) </w:t>
      </w:r>
      <w:r>
        <w:rPr>
          <w:rFonts w:ascii="David" w:hAnsi="David" w:hint="cs"/>
          <w:b/>
          <w:bCs/>
          <w:sz w:val="24"/>
          <w:szCs w:val="24"/>
          <w:rtl/>
        </w:rPr>
        <w:t xml:space="preserve">אין תמונה כוללת </w:t>
      </w:r>
      <w:r w:rsidRPr="00AA0017">
        <w:rPr>
          <w:rFonts w:ascii="David" w:hAnsi="David"/>
          <w:b/>
          <w:bCs/>
          <w:sz w:val="24"/>
          <w:szCs w:val="24"/>
          <w:rtl/>
        </w:rPr>
        <w:t>ללקוח</w:t>
      </w:r>
      <w:r w:rsidRPr="00AA0017">
        <w:rPr>
          <w:rFonts w:ascii="David" w:hAnsi="David" w:hint="cs"/>
          <w:b/>
          <w:bCs/>
          <w:sz w:val="24"/>
          <w:szCs w:val="24"/>
          <w:rtl/>
        </w:rPr>
        <w:t xml:space="preserve"> </w:t>
      </w:r>
      <w:r>
        <w:rPr>
          <w:rFonts w:ascii="David" w:hAnsi="David" w:hint="cs"/>
          <w:b/>
          <w:bCs/>
          <w:sz w:val="24"/>
          <w:szCs w:val="24"/>
          <w:rtl/>
        </w:rPr>
        <w:t>או ל</w:t>
      </w:r>
      <w:r w:rsidRPr="00AA0017">
        <w:rPr>
          <w:rFonts w:ascii="David" w:hAnsi="David" w:hint="cs"/>
          <w:b/>
          <w:bCs/>
          <w:sz w:val="24"/>
          <w:szCs w:val="24"/>
          <w:rtl/>
        </w:rPr>
        <w:t xml:space="preserve">בנק ישראל </w:t>
      </w:r>
      <w:r>
        <w:rPr>
          <w:rFonts w:ascii="David" w:hAnsi="David" w:hint="cs"/>
          <w:b/>
          <w:bCs/>
          <w:sz w:val="24"/>
          <w:szCs w:val="24"/>
          <w:rtl/>
        </w:rPr>
        <w:t>בדבר סטטוס הטיפול בתלונה</w:t>
      </w:r>
      <w:r w:rsidRPr="00AA0017">
        <w:rPr>
          <w:rFonts w:ascii="David" w:hAnsi="David"/>
          <w:b/>
          <w:bCs/>
          <w:sz w:val="24"/>
          <w:szCs w:val="24"/>
          <w:rtl/>
        </w:rPr>
        <w:t>. מצב זה יוצר חוסר וודאות אצל הפונה לגבי משך הזמן הכולל שיידרש לפתרון הבעיה והשלבים שעליו לעבור.</w:t>
      </w:r>
      <w:r>
        <w:rPr>
          <w:rFonts w:ascii="David" w:hAnsi="David" w:hint="cs"/>
          <w:b/>
          <w:bCs/>
          <w:sz w:val="24"/>
          <w:szCs w:val="24"/>
          <w:rtl/>
        </w:rPr>
        <w:t xml:space="preserve"> </w:t>
      </w:r>
    </w:p>
    <w:p w:rsidR="002441B5"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 xml:space="preserve">בנק ישראל ציין בתשובתו כי תהליך הטיפול להגשת תלונה משוקף לפונים במקומות רבים ובאמצעים שונים על מנת ליידע את הציבור בדבר זכויותיו. </w:t>
      </w:r>
    </w:p>
    <w:p w:rsidR="001F2586" w:rsidRPr="001F2586" w:rsidP="001F2586">
      <w:pPr>
        <w:spacing w:line="269" w:lineRule="auto"/>
        <w:rPr>
          <w:rFonts w:eastAsia="Calibri"/>
          <w:rtl/>
        </w:rPr>
      </w:pPr>
      <w:bookmarkStart w:id="82" w:name="_Hlk224411456"/>
      <w:r w:rsidRPr="001F2586">
        <w:rPr>
          <w:rFonts w:eastAsia="Calibri"/>
          <w:b/>
          <w:bCs/>
          <w:rtl/>
        </w:rPr>
        <w:t>משרד מבקר המדינה ממליץ לבנק ישראל לבחון כלים טכנולוגיים או ממשקי מידע נוספים</w:t>
      </w:r>
      <w:r w:rsidRPr="001F2586">
        <w:rPr>
          <w:rFonts w:eastAsia="Calibri" w:hint="cs"/>
          <w:b/>
          <w:bCs/>
          <w:rtl/>
        </w:rPr>
        <w:t xml:space="preserve"> </w:t>
      </w:r>
      <w:r w:rsidRPr="001F2586">
        <w:rPr>
          <w:rFonts w:eastAsia="Calibri" w:hint="eastAsia"/>
          <w:b/>
          <w:bCs/>
          <w:rtl/>
        </w:rPr>
        <w:t>או</w:t>
      </w:r>
      <w:r w:rsidRPr="001F2586">
        <w:rPr>
          <w:rFonts w:eastAsia="Calibri"/>
          <w:b/>
          <w:bCs/>
          <w:rtl/>
        </w:rPr>
        <w:t xml:space="preserve"> </w:t>
      </w:r>
      <w:r w:rsidRPr="001F2586">
        <w:rPr>
          <w:rFonts w:eastAsia="Calibri" w:hint="eastAsia"/>
          <w:b/>
          <w:bCs/>
          <w:rtl/>
        </w:rPr>
        <w:t>משותפים</w:t>
      </w:r>
      <w:r w:rsidRPr="001F2586">
        <w:rPr>
          <w:rFonts w:eastAsia="Calibri"/>
          <w:b/>
          <w:bCs/>
          <w:rtl/>
        </w:rPr>
        <w:t xml:space="preserve"> עם הבנקים שיאפשרו ללקוח לקבל תמונת מצב אחודה ומפורטת יותר אודות שלבי הטיפול בתלונתו</w:t>
      </w:r>
      <w:r w:rsidRPr="001F2586">
        <w:rPr>
          <w:rFonts w:eastAsia="Calibri" w:hint="cs"/>
          <w:b/>
          <w:bCs/>
          <w:rtl/>
        </w:rPr>
        <w:t xml:space="preserve">, </w:t>
      </w:r>
      <w:r w:rsidRPr="001F2586">
        <w:rPr>
          <w:rFonts w:eastAsia="Calibri"/>
          <w:b/>
          <w:bCs/>
          <w:rtl/>
        </w:rPr>
        <w:t>ובכך לשפר את השירות ללקוח</w:t>
      </w:r>
      <w:r w:rsidRPr="001F2586">
        <w:rPr>
          <w:rFonts w:eastAsia="Calibri" w:hint="cs"/>
          <w:b/>
          <w:bCs/>
          <w:rtl/>
        </w:rPr>
        <w:t xml:space="preserve"> </w:t>
      </w:r>
      <w:r w:rsidRPr="001F2586">
        <w:rPr>
          <w:rFonts w:eastAsia="Calibri" w:hint="eastAsia"/>
          <w:b/>
          <w:bCs/>
          <w:rtl/>
        </w:rPr>
        <w:t>ואת</w:t>
      </w:r>
      <w:r w:rsidRPr="001F2586">
        <w:rPr>
          <w:rFonts w:eastAsia="Calibri"/>
          <w:b/>
          <w:bCs/>
          <w:rtl/>
        </w:rPr>
        <w:t xml:space="preserve"> </w:t>
      </w:r>
      <w:r w:rsidRPr="001F2586">
        <w:rPr>
          <w:rFonts w:eastAsia="Calibri" w:hint="eastAsia"/>
          <w:b/>
          <w:bCs/>
          <w:rtl/>
        </w:rPr>
        <w:t>טיפול</w:t>
      </w:r>
      <w:r w:rsidRPr="001F2586">
        <w:rPr>
          <w:rFonts w:eastAsia="Calibri"/>
          <w:b/>
          <w:bCs/>
          <w:rtl/>
        </w:rPr>
        <w:t xml:space="preserve"> </w:t>
      </w:r>
      <w:r w:rsidRPr="001F2586">
        <w:rPr>
          <w:rFonts w:eastAsia="Calibri" w:hint="eastAsia"/>
          <w:b/>
          <w:bCs/>
          <w:rtl/>
        </w:rPr>
        <w:t>בנק</w:t>
      </w:r>
      <w:r w:rsidRPr="001F2586">
        <w:rPr>
          <w:rFonts w:eastAsia="Calibri"/>
          <w:b/>
          <w:bCs/>
          <w:rtl/>
        </w:rPr>
        <w:t xml:space="preserve"> </w:t>
      </w:r>
      <w:r w:rsidRPr="001F2586">
        <w:rPr>
          <w:rFonts w:eastAsia="Calibri" w:hint="eastAsia"/>
          <w:b/>
          <w:bCs/>
          <w:rtl/>
        </w:rPr>
        <w:t>ישראל</w:t>
      </w:r>
      <w:r w:rsidRPr="001F2586">
        <w:rPr>
          <w:rFonts w:eastAsia="Calibri"/>
          <w:b/>
          <w:bCs/>
          <w:rtl/>
        </w:rPr>
        <w:t xml:space="preserve"> </w:t>
      </w:r>
      <w:r w:rsidRPr="001F2586">
        <w:rPr>
          <w:rFonts w:eastAsia="Calibri" w:hint="eastAsia"/>
          <w:b/>
          <w:bCs/>
          <w:rtl/>
        </w:rPr>
        <w:t>בתלונת</w:t>
      </w:r>
      <w:r w:rsidRPr="001F2586">
        <w:rPr>
          <w:rFonts w:eastAsia="Calibri"/>
          <w:b/>
          <w:bCs/>
          <w:rtl/>
        </w:rPr>
        <w:t xml:space="preserve"> </w:t>
      </w:r>
      <w:r w:rsidRPr="001F2586">
        <w:rPr>
          <w:rFonts w:eastAsia="Calibri" w:hint="eastAsia"/>
          <w:b/>
          <w:bCs/>
          <w:rtl/>
        </w:rPr>
        <w:t>הלקוח</w:t>
      </w:r>
      <w:r w:rsidRPr="001F2586">
        <w:rPr>
          <w:rFonts w:eastAsia="Calibri"/>
          <w:b/>
          <w:bCs/>
          <w:rtl/>
        </w:rPr>
        <w:t>.</w:t>
      </w:r>
    </w:p>
    <w:bookmarkEnd w:id="82"/>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נתונים ומגמות בפניות הציבור בתחום הלוואות לדיור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נתונים אודות כלל התלונות והתלונות בתחום אשראי לדיור שהתקבלו בנציבויות הבנקים השונים בשנת 2024:</w:t>
      </w:r>
    </w:p>
    <w:p w:rsidR="001F2586" w:rsidRPr="001F2586" w:rsidP="001F2586">
      <w:pPr>
        <w:spacing w:line="269" w:lineRule="auto"/>
        <w:rPr>
          <w:rFonts w:eastAsia="Calibri"/>
          <w:rtl/>
        </w:rPr>
      </w:pPr>
    </w:p>
    <w:p w:rsidR="001F2586" w:rsidRPr="001F2586" w:rsidP="001F2586">
      <w:pPr>
        <w:spacing w:line="269" w:lineRule="auto"/>
        <w:jc w:val="center"/>
        <w:rPr>
          <w:rFonts w:eastAsia="Calibri"/>
          <w:b/>
          <w:bCs/>
          <w:rtl/>
        </w:rPr>
      </w:pPr>
      <w:r w:rsidRPr="001F2586">
        <w:rPr>
          <w:rFonts w:eastAsia="Calibri" w:hint="cs"/>
          <w:rtl/>
        </w:rPr>
        <w:t>לוח 8:</w:t>
      </w:r>
      <w:r w:rsidRPr="001F2586">
        <w:rPr>
          <w:rFonts w:eastAsia="Calibri" w:hint="cs"/>
          <w:b/>
          <w:bCs/>
          <w:rtl/>
        </w:rPr>
        <w:t xml:space="preserve"> נתונים אודות כלל התלונות והתלונות בתחום אשראי לדיור</w:t>
      </w:r>
    </w:p>
    <w:tbl>
      <w:tblPr>
        <w:tblStyle w:val="TableGrid"/>
        <w:bidiVisual/>
        <w:tblW w:w="0" w:type="auto"/>
        <w:jc w:val="center"/>
        <w:tblLook w:val="04A0"/>
      </w:tblPr>
      <w:tblGrid>
        <w:gridCol w:w="3821"/>
        <w:gridCol w:w="851"/>
        <w:gridCol w:w="789"/>
        <w:gridCol w:w="781"/>
        <w:gridCol w:w="887"/>
      </w:tblGrid>
      <w:tr w:rsidTr="001F2586">
        <w:tblPrEx>
          <w:tblW w:w="0" w:type="auto"/>
          <w:tblLook w:val="04A0"/>
        </w:tblPrEx>
        <w:tc>
          <w:tcPr>
            <w:tcW w:w="3821" w:type="dxa"/>
            <w:shd w:val="clear" w:color="auto" w:fill="D9D9D9"/>
          </w:tcPr>
          <w:p w:rsidR="001F2586" w:rsidRPr="001F2586" w:rsidP="001F2586">
            <w:pPr>
              <w:spacing w:line="269" w:lineRule="auto"/>
              <w:rPr>
                <w:rFonts w:eastAsia="Calibri"/>
                <w:b/>
                <w:bCs/>
                <w:rtl/>
              </w:rPr>
            </w:pPr>
          </w:p>
        </w:tc>
        <w:tc>
          <w:tcPr>
            <w:tcW w:w="851" w:type="dxa"/>
            <w:shd w:val="clear" w:color="auto" w:fill="D9D9D9"/>
          </w:tcPr>
          <w:p w:rsidR="001F2586" w:rsidRPr="001F2586" w:rsidP="001F2586">
            <w:pPr>
              <w:spacing w:line="269" w:lineRule="auto"/>
              <w:jc w:val="center"/>
              <w:rPr>
                <w:rFonts w:eastAsia="Calibri"/>
                <w:b/>
                <w:bCs/>
                <w:rtl/>
              </w:rPr>
            </w:pPr>
            <w:r w:rsidRPr="001F2586">
              <w:rPr>
                <w:rFonts w:eastAsia="Calibri" w:hint="cs"/>
                <w:b/>
                <w:bCs/>
                <w:rtl/>
              </w:rPr>
              <w:t>בנק א</w:t>
            </w:r>
          </w:p>
        </w:tc>
        <w:tc>
          <w:tcPr>
            <w:tcW w:w="789" w:type="dxa"/>
            <w:shd w:val="clear" w:color="auto" w:fill="D9D9D9"/>
          </w:tcPr>
          <w:p w:rsidR="001F2586" w:rsidRPr="001F2586" w:rsidP="001F2586">
            <w:pPr>
              <w:spacing w:line="269" w:lineRule="auto"/>
              <w:jc w:val="center"/>
              <w:rPr>
                <w:rFonts w:eastAsia="Calibri"/>
                <w:b/>
                <w:bCs/>
                <w:rtl/>
              </w:rPr>
            </w:pPr>
            <w:r w:rsidRPr="001F2586">
              <w:rPr>
                <w:rFonts w:eastAsia="Calibri" w:hint="cs"/>
                <w:b/>
                <w:bCs/>
                <w:rtl/>
              </w:rPr>
              <w:t>בנק ב</w:t>
            </w:r>
          </w:p>
        </w:tc>
        <w:tc>
          <w:tcPr>
            <w:tcW w:w="0" w:type="auto"/>
            <w:shd w:val="clear" w:color="auto" w:fill="D9D9D9"/>
          </w:tcPr>
          <w:p w:rsidR="001F2586" w:rsidRPr="001F2586" w:rsidP="001F2586">
            <w:pPr>
              <w:tabs>
                <w:tab w:val="right" w:pos="1837"/>
              </w:tabs>
              <w:spacing w:line="269" w:lineRule="auto"/>
              <w:jc w:val="center"/>
              <w:rPr>
                <w:rFonts w:eastAsia="Calibri"/>
                <w:b/>
                <w:bCs/>
                <w:rtl/>
              </w:rPr>
            </w:pPr>
            <w:r w:rsidRPr="001F2586">
              <w:rPr>
                <w:rFonts w:eastAsia="Calibri" w:hint="cs"/>
                <w:b/>
                <w:bCs/>
                <w:rtl/>
              </w:rPr>
              <w:t>בנק ג</w:t>
            </w:r>
          </w:p>
        </w:tc>
        <w:tc>
          <w:tcPr>
            <w:tcW w:w="0" w:type="auto"/>
            <w:shd w:val="clear" w:color="auto" w:fill="D9D9D9"/>
          </w:tcPr>
          <w:p w:rsidR="001F2586" w:rsidRPr="001F2586" w:rsidP="001F2586">
            <w:pPr>
              <w:tabs>
                <w:tab w:val="right" w:pos="1837"/>
              </w:tabs>
              <w:spacing w:line="269" w:lineRule="auto"/>
              <w:jc w:val="center"/>
              <w:rPr>
                <w:rFonts w:eastAsia="Calibri"/>
                <w:b/>
                <w:bCs/>
                <w:rtl/>
              </w:rPr>
            </w:pPr>
            <w:r w:rsidRPr="001F2586">
              <w:rPr>
                <w:rFonts w:eastAsia="Calibri" w:hint="cs"/>
                <w:b/>
                <w:bCs/>
                <w:rtl/>
              </w:rPr>
              <w:t>בנק ד</w:t>
            </w:r>
          </w:p>
        </w:tc>
      </w:tr>
      <w:tr w:rsidTr="00EB64F7">
        <w:tblPrEx>
          <w:tblW w:w="0" w:type="auto"/>
          <w:tblLook w:val="04A0"/>
        </w:tblPrEx>
        <w:tc>
          <w:tcPr>
            <w:tcW w:w="3821" w:type="dxa"/>
          </w:tcPr>
          <w:p w:rsidR="001F2586" w:rsidRPr="001F2586" w:rsidP="001F2586">
            <w:pPr>
              <w:spacing w:line="269" w:lineRule="auto"/>
              <w:rPr>
                <w:rFonts w:eastAsia="Calibri"/>
                <w:b/>
                <w:bCs/>
                <w:rtl/>
              </w:rPr>
            </w:pPr>
            <w:r w:rsidRPr="001F2586">
              <w:rPr>
                <w:rFonts w:eastAsia="Calibri" w:hint="cs"/>
                <w:b/>
                <w:bCs/>
                <w:rtl/>
              </w:rPr>
              <w:t>מספר תלונות בתחום אשראי לדיור</w:t>
            </w:r>
          </w:p>
        </w:tc>
        <w:tc>
          <w:tcPr>
            <w:tcW w:w="851" w:type="dxa"/>
          </w:tcPr>
          <w:p w:rsidR="001F2586" w:rsidRPr="001F2586" w:rsidP="001F2586">
            <w:pPr>
              <w:spacing w:line="269" w:lineRule="auto"/>
              <w:rPr>
                <w:rFonts w:eastAsia="Calibri"/>
                <w:rtl/>
              </w:rPr>
            </w:pPr>
            <w:r w:rsidRPr="001F2586">
              <w:rPr>
                <w:rFonts w:eastAsia="Calibri" w:hint="cs"/>
                <w:rtl/>
              </w:rPr>
              <w:t>761</w:t>
            </w:r>
          </w:p>
        </w:tc>
        <w:tc>
          <w:tcPr>
            <w:tcW w:w="789" w:type="dxa"/>
          </w:tcPr>
          <w:p w:rsidR="001F2586" w:rsidRPr="001F2586" w:rsidP="001F2586">
            <w:pPr>
              <w:spacing w:line="269" w:lineRule="auto"/>
              <w:rPr>
                <w:rFonts w:eastAsia="Calibri"/>
                <w:rtl/>
              </w:rPr>
            </w:pPr>
            <w:r w:rsidRPr="001F2586">
              <w:rPr>
                <w:rFonts w:eastAsia="Calibri" w:hint="cs"/>
                <w:rtl/>
              </w:rPr>
              <w:t>340</w:t>
            </w:r>
          </w:p>
        </w:tc>
        <w:tc>
          <w:tcPr>
            <w:tcW w:w="0" w:type="auto"/>
          </w:tcPr>
          <w:p w:rsidR="001F2586" w:rsidRPr="001F2586" w:rsidP="001F2586">
            <w:pPr>
              <w:spacing w:line="269" w:lineRule="auto"/>
              <w:rPr>
                <w:rFonts w:eastAsia="Calibri"/>
                <w:rtl/>
              </w:rPr>
            </w:pPr>
            <w:r w:rsidRPr="001F2586">
              <w:rPr>
                <w:rFonts w:eastAsia="Calibri" w:hint="cs"/>
                <w:rtl/>
              </w:rPr>
              <w:t>345</w:t>
            </w:r>
          </w:p>
        </w:tc>
        <w:tc>
          <w:tcPr>
            <w:tcW w:w="0" w:type="auto"/>
          </w:tcPr>
          <w:p w:rsidR="001F2586" w:rsidRPr="001F2586" w:rsidP="001F2586">
            <w:pPr>
              <w:spacing w:line="269" w:lineRule="auto"/>
              <w:rPr>
                <w:rFonts w:eastAsia="Calibri"/>
                <w:rtl/>
              </w:rPr>
            </w:pPr>
            <w:r w:rsidRPr="001F2586">
              <w:rPr>
                <w:rFonts w:eastAsia="Calibri" w:hint="cs"/>
                <w:rtl/>
              </w:rPr>
              <w:t>19</w:t>
            </w:r>
          </w:p>
        </w:tc>
      </w:tr>
      <w:tr w:rsidTr="001F2586">
        <w:tblPrEx>
          <w:tblW w:w="0" w:type="auto"/>
          <w:tblLook w:val="04A0"/>
        </w:tblPrEx>
        <w:tc>
          <w:tcPr>
            <w:tcW w:w="3821" w:type="dxa"/>
            <w:shd w:val="clear" w:color="auto" w:fill="F2F2F2"/>
          </w:tcPr>
          <w:p w:rsidR="001F2586" w:rsidRPr="001F2586" w:rsidP="001F2586">
            <w:pPr>
              <w:spacing w:line="269" w:lineRule="auto"/>
              <w:rPr>
                <w:rFonts w:eastAsia="Calibri"/>
                <w:b/>
                <w:bCs/>
                <w:rtl/>
              </w:rPr>
            </w:pPr>
            <w:r w:rsidRPr="001F2586">
              <w:rPr>
                <w:rFonts w:eastAsia="Calibri" w:hint="cs"/>
                <w:b/>
                <w:bCs/>
                <w:rtl/>
              </w:rPr>
              <w:t>שיעור תלונות בתחום אשראי לדיור מכלל התלונות שהתקבלו בבנק</w:t>
            </w:r>
          </w:p>
        </w:tc>
        <w:tc>
          <w:tcPr>
            <w:tcW w:w="851" w:type="dxa"/>
            <w:shd w:val="clear" w:color="auto" w:fill="F2F2F2"/>
            <w:vAlign w:val="center"/>
          </w:tcPr>
          <w:p w:rsidR="001F2586" w:rsidRPr="001F2586" w:rsidP="001F2586">
            <w:pPr>
              <w:spacing w:line="269" w:lineRule="auto"/>
              <w:jc w:val="left"/>
              <w:rPr>
                <w:rFonts w:eastAsia="Calibri"/>
                <w:rtl/>
              </w:rPr>
            </w:pPr>
            <w:r w:rsidRPr="001F2586">
              <w:rPr>
                <w:rFonts w:eastAsia="Calibri" w:hint="cs"/>
                <w:rtl/>
              </w:rPr>
              <w:t>22%</w:t>
            </w:r>
          </w:p>
        </w:tc>
        <w:tc>
          <w:tcPr>
            <w:tcW w:w="789" w:type="dxa"/>
            <w:shd w:val="clear" w:color="auto" w:fill="F2F2F2"/>
            <w:vAlign w:val="center"/>
          </w:tcPr>
          <w:p w:rsidR="001F2586" w:rsidRPr="001F2586" w:rsidP="001F2586">
            <w:pPr>
              <w:spacing w:line="269" w:lineRule="auto"/>
              <w:jc w:val="left"/>
              <w:rPr>
                <w:rFonts w:eastAsia="Calibri"/>
                <w:rtl/>
              </w:rPr>
            </w:pPr>
            <w:r w:rsidRPr="001F2586">
              <w:rPr>
                <w:rFonts w:eastAsia="Calibri" w:hint="cs"/>
                <w:rtl/>
              </w:rPr>
              <w:t>5%</w:t>
            </w:r>
          </w:p>
        </w:tc>
        <w:tc>
          <w:tcPr>
            <w:tcW w:w="0" w:type="auto"/>
            <w:shd w:val="clear" w:color="auto" w:fill="F2F2F2"/>
            <w:vAlign w:val="center"/>
          </w:tcPr>
          <w:p w:rsidR="001F2586" w:rsidRPr="001F2586" w:rsidP="001F2586">
            <w:pPr>
              <w:spacing w:line="269" w:lineRule="auto"/>
              <w:jc w:val="left"/>
              <w:rPr>
                <w:rFonts w:eastAsia="Calibri"/>
                <w:rtl/>
              </w:rPr>
            </w:pPr>
            <w:r w:rsidRPr="001F2586">
              <w:rPr>
                <w:rFonts w:eastAsia="Calibri" w:hint="cs"/>
                <w:rtl/>
              </w:rPr>
              <w:t>10.5%</w:t>
            </w:r>
          </w:p>
        </w:tc>
        <w:tc>
          <w:tcPr>
            <w:tcW w:w="0" w:type="auto"/>
            <w:shd w:val="clear" w:color="auto" w:fill="F2F2F2"/>
            <w:vAlign w:val="center"/>
          </w:tcPr>
          <w:p w:rsidR="001F2586" w:rsidRPr="001F2586" w:rsidP="001F2586">
            <w:pPr>
              <w:spacing w:line="269" w:lineRule="auto"/>
              <w:jc w:val="left"/>
              <w:rPr>
                <w:rFonts w:eastAsia="Calibri"/>
                <w:rtl/>
              </w:rPr>
            </w:pPr>
            <w:r w:rsidRPr="001F2586">
              <w:rPr>
                <w:rFonts w:eastAsia="Calibri" w:hint="cs"/>
                <w:rtl/>
              </w:rPr>
              <w:t>2.13%</w:t>
            </w:r>
          </w:p>
        </w:tc>
      </w:tr>
      <w:tr w:rsidTr="00EB64F7">
        <w:tblPrEx>
          <w:tblW w:w="0" w:type="auto"/>
          <w:tblLook w:val="04A0"/>
        </w:tblPrEx>
        <w:tc>
          <w:tcPr>
            <w:tcW w:w="3821" w:type="dxa"/>
          </w:tcPr>
          <w:p w:rsidR="001F2586" w:rsidRPr="001F2586" w:rsidP="001F2586">
            <w:pPr>
              <w:spacing w:line="269" w:lineRule="auto"/>
              <w:rPr>
                <w:rFonts w:eastAsia="Calibri"/>
                <w:b/>
                <w:bCs/>
                <w:rtl/>
              </w:rPr>
            </w:pPr>
            <w:r w:rsidRPr="001F2586">
              <w:rPr>
                <w:rFonts w:eastAsia="Calibri" w:hint="cs"/>
                <w:b/>
                <w:bCs/>
                <w:rtl/>
              </w:rPr>
              <w:t>שיעור התלונות שנמצאו מוצדקות (כללי)</w:t>
            </w:r>
          </w:p>
        </w:tc>
        <w:tc>
          <w:tcPr>
            <w:tcW w:w="851" w:type="dxa"/>
          </w:tcPr>
          <w:p w:rsidR="001F2586" w:rsidRPr="001F2586" w:rsidP="001F2586">
            <w:pPr>
              <w:spacing w:line="269" w:lineRule="auto"/>
              <w:rPr>
                <w:rFonts w:eastAsia="Calibri"/>
                <w:rtl/>
              </w:rPr>
            </w:pPr>
            <w:r w:rsidRPr="001F2586">
              <w:rPr>
                <w:rFonts w:eastAsia="Calibri" w:hint="cs"/>
                <w:rtl/>
              </w:rPr>
              <w:t>25.2%</w:t>
            </w:r>
          </w:p>
        </w:tc>
        <w:tc>
          <w:tcPr>
            <w:tcW w:w="789" w:type="dxa"/>
          </w:tcPr>
          <w:p w:rsidR="001F2586" w:rsidRPr="001F2586" w:rsidP="001F2586">
            <w:pPr>
              <w:spacing w:line="269" w:lineRule="auto"/>
              <w:rPr>
                <w:rFonts w:eastAsia="Calibri"/>
                <w:rtl/>
              </w:rPr>
            </w:pPr>
            <w:r w:rsidRPr="001F2586">
              <w:rPr>
                <w:rFonts w:eastAsia="Calibri" w:hint="cs"/>
                <w:rtl/>
              </w:rPr>
              <w:t>20%</w:t>
            </w:r>
          </w:p>
        </w:tc>
        <w:tc>
          <w:tcPr>
            <w:tcW w:w="0" w:type="auto"/>
          </w:tcPr>
          <w:p w:rsidR="001F2586" w:rsidRPr="001F2586" w:rsidP="001F2586">
            <w:pPr>
              <w:spacing w:line="269" w:lineRule="auto"/>
              <w:rPr>
                <w:rFonts w:eastAsia="Calibri"/>
                <w:rtl/>
              </w:rPr>
            </w:pPr>
            <w:r w:rsidRPr="001F2586">
              <w:rPr>
                <w:rFonts w:eastAsia="Calibri" w:hint="cs"/>
                <w:rtl/>
              </w:rPr>
              <w:t>15.6%</w:t>
            </w:r>
          </w:p>
        </w:tc>
        <w:tc>
          <w:tcPr>
            <w:tcW w:w="0" w:type="auto"/>
          </w:tcPr>
          <w:p w:rsidR="001F2586" w:rsidRPr="001F2586" w:rsidP="001F2586">
            <w:pPr>
              <w:spacing w:line="269" w:lineRule="auto"/>
              <w:rPr>
                <w:rFonts w:eastAsia="Calibri"/>
                <w:rtl/>
              </w:rPr>
            </w:pPr>
            <w:r w:rsidRPr="001F2586">
              <w:rPr>
                <w:rFonts w:eastAsia="Calibri" w:hint="cs"/>
                <w:rtl/>
              </w:rPr>
              <w:t>12.02%</w:t>
            </w:r>
          </w:p>
        </w:tc>
      </w:tr>
    </w:tbl>
    <w:p w:rsidR="001F2586" w:rsidRPr="001F2586" w:rsidP="001F2586">
      <w:pPr>
        <w:spacing w:line="269" w:lineRule="auto"/>
        <w:rPr>
          <w:rFonts w:eastAsia="Calibri"/>
          <w:szCs w:val="20"/>
          <w:rtl/>
        </w:rPr>
      </w:pPr>
      <w:r w:rsidRPr="001F2586">
        <w:rPr>
          <w:rFonts w:eastAsia="Calibri" w:hint="cs"/>
          <w:szCs w:val="20"/>
          <w:rtl/>
        </w:rPr>
        <w:t>על פי נתוני הבנקים בנושא תלונות שהתקבלו בבנקים השונים בנושא פניות ציבור,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מהלוח</w:t>
      </w:r>
      <w:r w:rsidRPr="001F2586">
        <w:rPr>
          <w:rFonts w:eastAsia="Calibri"/>
          <w:rtl/>
        </w:rPr>
        <w:t xml:space="preserve"> </w:t>
      </w:r>
      <w:r w:rsidRPr="001F2586">
        <w:rPr>
          <w:rFonts w:eastAsia="Calibri" w:hint="eastAsia"/>
          <w:rtl/>
        </w:rPr>
        <w:t>עולה</w:t>
      </w:r>
      <w:r w:rsidRPr="001F2586">
        <w:rPr>
          <w:rFonts w:eastAsia="Calibri"/>
          <w:rtl/>
        </w:rPr>
        <w:t xml:space="preserve"> </w:t>
      </w:r>
      <w:r w:rsidRPr="001F2586">
        <w:rPr>
          <w:rFonts w:eastAsia="Calibri" w:hint="eastAsia"/>
          <w:rtl/>
        </w:rPr>
        <w:t>כי</w:t>
      </w:r>
      <w:r w:rsidRPr="001F2586">
        <w:rPr>
          <w:rFonts w:eastAsia="Calibri"/>
          <w:rtl/>
        </w:rPr>
        <w:t xml:space="preserve"> </w:t>
      </w:r>
      <w:r w:rsidRPr="001F2586">
        <w:rPr>
          <w:rFonts w:eastAsia="Calibri" w:hint="eastAsia"/>
          <w:rtl/>
        </w:rPr>
        <w:t>שיעור</w:t>
      </w:r>
      <w:r w:rsidRPr="001F2586">
        <w:rPr>
          <w:rFonts w:eastAsia="Calibri"/>
          <w:rtl/>
        </w:rPr>
        <w:t xml:space="preserve"> </w:t>
      </w:r>
      <w:r w:rsidRPr="001F2586">
        <w:rPr>
          <w:rFonts w:eastAsia="Calibri" w:hint="eastAsia"/>
          <w:rtl/>
        </w:rPr>
        <w:t>התלונות</w:t>
      </w:r>
      <w:r w:rsidRPr="001F2586">
        <w:rPr>
          <w:rFonts w:eastAsia="Calibri"/>
          <w:rtl/>
        </w:rPr>
        <w:t xml:space="preserve"> </w:t>
      </w:r>
      <w:r w:rsidRPr="001F2586">
        <w:rPr>
          <w:rFonts w:eastAsia="Calibri" w:hint="eastAsia"/>
          <w:rtl/>
        </w:rPr>
        <w:t>בתחום</w:t>
      </w:r>
      <w:r w:rsidRPr="001F2586">
        <w:rPr>
          <w:rFonts w:eastAsia="Calibri"/>
          <w:rtl/>
        </w:rPr>
        <w:t xml:space="preserve"> </w:t>
      </w:r>
      <w:r w:rsidRPr="001F2586">
        <w:rPr>
          <w:rFonts w:eastAsia="Calibri" w:hint="eastAsia"/>
          <w:rtl/>
        </w:rPr>
        <w:t>האשראי</w:t>
      </w:r>
      <w:r w:rsidRPr="001F2586">
        <w:rPr>
          <w:rFonts w:eastAsia="Calibri"/>
          <w:rtl/>
        </w:rPr>
        <w:t xml:space="preserve"> </w:t>
      </w:r>
      <w:r w:rsidRPr="001F2586">
        <w:rPr>
          <w:rFonts w:eastAsia="Calibri" w:hint="eastAsia"/>
          <w:rtl/>
        </w:rPr>
        <w:t>לדיור</w:t>
      </w:r>
      <w:r w:rsidRPr="001F2586">
        <w:rPr>
          <w:rFonts w:eastAsia="Calibri"/>
          <w:rtl/>
        </w:rPr>
        <w:t xml:space="preserve"> </w:t>
      </w:r>
      <w:r w:rsidRPr="001F2586">
        <w:rPr>
          <w:rFonts w:eastAsia="Calibri" w:hint="eastAsia"/>
          <w:rtl/>
        </w:rPr>
        <w:t>בשני</w:t>
      </w:r>
      <w:r w:rsidRPr="001F2586">
        <w:rPr>
          <w:rFonts w:eastAsia="Calibri"/>
          <w:rtl/>
        </w:rPr>
        <w:t xml:space="preserve"> הבנקים שבהם תחום המשכנתאות הוא מהותי בפעילות העסקית (בנק </w:t>
      </w:r>
      <w:r w:rsidRPr="001F2586">
        <w:rPr>
          <w:rFonts w:eastAsia="Calibri" w:hint="cs"/>
          <w:rtl/>
        </w:rPr>
        <w:t>א</w:t>
      </w:r>
      <w:r w:rsidRPr="001F2586">
        <w:rPr>
          <w:rFonts w:eastAsia="Calibri"/>
          <w:rtl/>
        </w:rPr>
        <w:t xml:space="preserve"> </w:t>
      </w:r>
      <w:r w:rsidRPr="001F2586">
        <w:rPr>
          <w:rFonts w:eastAsia="Calibri" w:hint="eastAsia"/>
          <w:rtl/>
        </w:rPr>
        <w:t>ובנק</w:t>
      </w:r>
      <w:r w:rsidRPr="001F2586">
        <w:rPr>
          <w:rFonts w:eastAsia="Calibri"/>
          <w:rtl/>
        </w:rPr>
        <w:t xml:space="preserve"> </w:t>
      </w:r>
      <w:r w:rsidRPr="001F2586">
        <w:rPr>
          <w:rFonts w:eastAsia="Calibri" w:hint="cs"/>
          <w:rtl/>
        </w:rPr>
        <w:t>ג</w:t>
      </w:r>
      <w:r w:rsidRPr="001F2586">
        <w:rPr>
          <w:rFonts w:eastAsia="Calibri"/>
          <w:rtl/>
        </w:rPr>
        <w:t>) הינו בין 10.5% -22% מסך התלונות שהתקבלו</w:t>
      </w:r>
      <w:r w:rsidRPr="001F2586">
        <w:rPr>
          <w:rFonts w:eastAsia="Calibri" w:hint="cs"/>
          <w:rtl/>
        </w:rPr>
        <w:t xml:space="preserve"> בשנת 2024</w:t>
      </w:r>
      <w:r w:rsidRPr="001F2586">
        <w:rPr>
          <w:rFonts w:eastAsia="Calibri"/>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מדי שנתיים מפרסמת היחידה לפניות הציבור דוח לציבור בנושא סקירת פניות הציבור של הפיקוח על הבנקים וצעדים להגנת הצרכן. הדוח האחרון פורסם ביונ</w:t>
      </w:r>
      <w:r w:rsidRPr="001F2586">
        <w:rPr>
          <w:rFonts w:eastAsia="Calibri" w:hint="eastAsia"/>
          <w:rtl/>
        </w:rPr>
        <w:t>י</w:t>
      </w:r>
      <w:r w:rsidRPr="001F2586">
        <w:rPr>
          <w:rFonts w:eastAsia="Calibri" w:hint="cs"/>
          <w:rtl/>
        </w:rPr>
        <w:t xml:space="preserve"> 2024</w:t>
      </w:r>
      <w:r>
        <w:rPr>
          <w:rFonts w:eastAsia="Calibri"/>
          <w:vertAlign w:val="superscript"/>
          <w:rtl/>
        </w:rPr>
        <w:footnoteReference w:id="328"/>
      </w:r>
      <w:r w:rsidRPr="001F2586">
        <w:rPr>
          <w:rFonts w:eastAsia="Calibri" w:hint="cs"/>
          <w:rtl/>
        </w:rPr>
        <w:t xml:space="preserve"> אודות פניות הציבור לשנים 2022-2023. בדוח צוין כי הפיקוח על הבנקים רואה בתלונות הציבור את אחד מהכלים המרכזיים שעומדים לרשותו לצורך הגנה על הלקוחות ולקידום הציות להוראות הרגולציה והגברת רמת ההוגנות.</w:t>
      </w:r>
    </w:p>
    <w:p w:rsidR="00260379"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כך למשל, צוין בדוח כי במסגרת בירור תלונה שהתקבלה בפיקוח על הבנקים, עלה כי בנק ב גבה עמלה עבור אי מתן הודעה מוקדמת בגין פירעון מוקדם של הלוואה בעת מחזור משכנתא בבנק ב, וזאת חרף העובדה שבנסיבות אלה הבנק לא רשאי לגבות את העמלה. בירור המקרה העלה כי חיוב בעמלה זו התבצע בחשבונם של לקוחות נוספים, ובמסגרת תיקון הליקוי הבנק איתר כ-8,000 לקוחות שחויבו ביתר, וזיכה אותם בסך של כ-2.8 מיליון ש"ח. בנוסף הבנק תיקן את מערכותיו ונהליו באופן שימנע הישנות מקרים דומים בעתיד.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משרד מבקר המדינה בחן את המגמות בהיקפי כלל תלונות הציבור שהתקבלו ביחידה לתלונות ציבור בבנק ישראל ובבנקים </w:t>
      </w:r>
      <w:r w:rsidRPr="001F2586">
        <w:rPr>
          <w:rFonts w:eastAsia="Calibri" w:hint="eastAsia"/>
          <w:rtl/>
        </w:rPr>
        <w:t>המסחריים</w:t>
      </w:r>
      <w:r w:rsidRPr="001F2586">
        <w:rPr>
          <w:rFonts w:eastAsia="Calibri" w:hint="cs"/>
          <w:rtl/>
        </w:rPr>
        <w:t xml:space="preserve"> בין השנים 2020 - 2024, בהשוואה למגמות של התלונות בנושא אשראי לדיור בשנים האמורות. להלן הנתונים: </w:t>
      </w:r>
    </w:p>
    <w:p w:rsidR="001F2586" w:rsidRPr="001F2586" w:rsidP="001F2586">
      <w:pPr>
        <w:spacing w:line="269" w:lineRule="auto"/>
        <w:rPr>
          <w:rFonts w:eastAsia="Calibri"/>
          <w:rtl/>
        </w:rPr>
      </w:pPr>
    </w:p>
    <w:p w:rsidR="001F2586" w:rsidRPr="001F2586" w:rsidP="00085225">
      <w:pPr>
        <w:keepNext/>
        <w:keepLines/>
        <w:spacing w:line="269" w:lineRule="auto"/>
        <w:jc w:val="center"/>
        <w:rPr>
          <w:rFonts w:eastAsia="Calibri"/>
          <w:b/>
          <w:bCs/>
          <w:rtl/>
        </w:rPr>
      </w:pPr>
      <w:r w:rsidRPr="001F2586">
        <w:rPr>
          <w:rFonts w:eastAsia="Calibri" w:hint="cs"/>
          <w:rtl/>
        </w:rPr>
        <w:t>תרשים 42:</w:t>
      </w:r>
      <w:r w:rsidRPr="001F2586">
        <w:rPr>
          <w:rFonts w:eastAsia="Calibri" w:hint="cs"/>
          <w:b/>
          <w:bCs/>
          <w:rtl/>
        </w:rPr>
        <w:t xml:space="preserve"> פילוח תלונות שהתקבלו ביחידה לתלונות הציבור בשנים 2020</w:t>
      </w:r>
      <w:r w:rsidR="00085225">
        <w:rPr>
          <w:rFonts w:eastAsia="Calibri" w:hint="cs"/>
          <w:b/>
          <w:bCs/>
          <w:rtl/>
        </w:rPr>
        <w:t xml:space="preserve"> </w:t>
      </w:r>
      <w:r w:rsidRPr="001F2586">
        <w:rPr>
          <w:rFonts w:eastAsia="Calibri" w:hint="cs"/>
          <w:b/>
          <w:bCs/>
          <w:rtl/>
        </w:rPr>
        <w:t>-</w:t>
      </w:r>
      <w:r w:rsidR="00085225">
        <w:rPr>
          <w:rFonts w:eastAsia="Calibri" w:hint="cs"/>
          <w:b/>
          <w:bCs/>
          <w:rtl/>
        </w:rPr>
        <w:t xml:space="preserve"> </w:t>
      </w:r>
      <w:r w:rsidRPr="001F2586">
        <w:rPr>
          <w:rFonts w:eastAsia="Calibri" w:hint="cs"/>
          <w:b/>
          <w:bCs/>
          <w:rtl/>
        </w:rPr>
        <w:t>2024</w:t>
      </w:r>
    </w:p>
    <w:p w:rsidR="001F2586" w:rsidRPr="001F2586" w:rsidP="001F2586">
      <w:pPr>
        <w:spacing w:line="269" w:lineRule="auto"/>
        <w:jc w:val="center"/>
        <w:rPr>
          <w:rFonts w:eastAsia="Calibri"/>
          <w:rtl/>
        </w:rPr>
      </w:pPr>
      <w:r w:rsidRPr="001F2586">
        <w:rPr>
          <w:rFonts w:eastAsia="Calibri"/>
          <w:noProof/>
          <w:rtl/>
          <w:lang w:val="he-IL"/>
        </w:rPr>
        <w:drawing>
          <wp:inline distT="0" distB="0" distL="0" distR="0">
            <wp:extent cx="5220335" cy="3112135"/>
            <wp:effectExtent l="0" t="0" r="0" b="0"/>
            <wp:docPr id="89" name="תמונה 89" descr="מהתרשים האמור עולה כי נרשמה עלייה במספר התלונות משנת 2020 לשנת 2021, עם כמות תלונות בנושא אשראי לדיור של כ-180 תלונות בשנת 2021. החל משנת 2021 ועד לשנת 2024 ישנה מגמת ירידה עקבית בכמות התלונות בתחום האשראי לדיור. בשנת 2024 מספר התלונות ירד לכ-30 תלונות בלבד.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פילוח תלונות.PNG"/>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3112135"/>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המקור: עיבוד בנק ישראל בהתאם לבקשת משרד מבקר המדינה, יולי 2025.</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eastAsia"/>
          <w:b/>
          <w:bCs/>
          <w:rtl/>
        </w:rPr>
        <w:t>מהתרשים</w:t>
      </w:r>
      <w:r w:rsidRPr="001F2586">
        <w:rPr>
          <w:rFonts w:eastAsia="Calibri"/>
          <w:b/>
          <w:bCs/>
          <w:rtl/>
        </w:rPr>
        <w:t xml:space="preserve"> האמור עולה כי נרשמה עלייה במספר התלונות משנת 2020 ל</w:t>
      </w:r>
      <w:r w:rsidRPr="001F2586">
        <w:rPr>
          <w:rFonts w:eastAsia="Calibri" w:hint="eastAsia"/>
          <w:b/>
          <w:bCs/>
          <w:rtl/>
        </w:rPr>
        <w:t>שנת</w:t>
      </w:r>
      <w:r w:rsidRPr="001F2586">
        <w:rPr>
          <w:rFonts w:eastAsia="Calibri"/>
          <w:b/>
          <w:bCs/>
          <w:rtl/>
        </w:rPr>
        <w:t xml:space="preserve"> 2021, עם </w:t>
      </w:r>
      <w:r w:rsidRPr="001F2586">
        <w:rPr>
          <w:rFonts w:eastAsia="Calibri" w:hint="eastAsia"/>
          <w:b/>
          <w:bCs/>
          <w:rtl/>
        </w:rPr>
        <w:t>כמות</w:t>
      </w:r>
      <w:r w:rsidRPr="001F2586">
        <w:rPr>
          <w:rFonts w:eastAsia="Calibri"/>
          <w:b/>
          <w:bCs/>
          <w:rtl/>
        </w:rPr>
        <w:t xml:space="preserve"> </w:t>
      </w:r>
      <w:r w:rsidRPr="001F2586">
        <w:rPr>
          <w:rFonts w:eastAsia="Calibri" w:hint="eastAsia"/>
          <w:b/>
          <w:bCs/>
          <w:rtl/>
        </w:rPr>
        <w:t>תלונות</w:t>
      </w:r>
      <w:r w:rsidRPr="001F2586">
        <w:rPr>
          <w:rFonts w:eastAsia="Calibri"/>
          <w:b/>
          <w:bCs/>
          <w:rtl/>
        </w:rPr>
        <w:t xml:space="preserve"> </w:t>
      </w:r>
      <w:r w:rsidRPr="001F2586">
        <w:rPr>
          <w:rFonts w:eastAsia="Calibri" w:hint="eastAsia"/>
          <w:b/>
          <w:bCs/>
          <w:rtl/>
        </w:rPr>
        <w:t>בנושא</w:t>
      </w:r>
      <w:r w:rsidRPr="001F2586">
        <w:rPr>
          <w:rFonts w:eastAsia="Calibri"/>
          <w:b/>
          <w:bCs/>
          <w:rtl/>
        </w:rPr>
        <w:t xml:space="preserve"> </w:t>
      </w:r>
      <w:r w:rsidRPr="001F2586">
        <w:rPr>
          <w:rFonts w:eastAsia="Calibri" w:hint="eastAsia"/>
          <w:b/>
          <w:bCs/>
          <w:rtl/>
        </w:rPr>
        <w:t>אשראי</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של כ-180 תלונות בשנת 2021. החל מ</w:t>
      </w:r>
      <w:r w:rsidRPr="001F2586">
        <w:rPr>
          <w:rFonts w:eastAsia="Calibri" w:hint="eastAsia"/>
          <w:b/>
          <w:bCs/>
          <w:rtl/>
        </w:rPr>
        <w:t>שנת</w:t>
      </w:r>
      <w:r w:rsidRPr="001F2586">
        <w:rPr>
          <w:rFonts w:eastAsia="Calibri"/>
          <w:b/>
          <w:bCs/>
          <w:rtl/>
        </w:rPr>
        <w:t xml:space="preserve"> 2021 </w:t>
      </w:r>
      <w:r w:rsidRPr="001F2586">
        <w:rPr>
          <w:rFonts w:eastAsia="Calibri" w:hint="eastAsia"/>
          <w:b/>
          <w:bCs/>
          <w:rtl/>
        </w:rPr>
        <w:t>ועד</w:t>
      </w:r>
      <w:r w:rsidRPr="001F2586">
        <w:rPr>
          <w:rFonts w:eastAsia="Calibri"/>
          <w:b/>
          <w:bCs/>
          <w:rtl/>
        </w:rPr>
        <w:t xml:space="preserve"> </w:t>
      </w:r>
      <w:r w:rsidRPr="001F2586">
        <w:rPr>
          <w:rFonts w:eastAsia="Calibri" w:hint="eastAsia"/>
          <w:b/>
          <w:bCs/>
          <w:rtl/>
        </w:rPr>
        <w:t>לשנת</w:t>
      </w:r>
      <w:r w:rsidRPr="001F2586">
        <w:rPr>
          <w:rFonts w:eastAsia="Calibri"/>
          <w:b/>
          <w:bCs/>
          <w:rtl/>
        </w:rPr>
        <w:t xml:space="preserve"> 2024 ישנה מגמת ירידה עקבית </w:t>
      </w:r>
      <w:r w:rsidRPr="001F2586">
        <w:rPr>
          <w:rFonts w:eastAsia="Calibri" w:hint="eastAsia"/>
          <w:b/>
          <w:bCs/>
          <w:rtl/>
        </w:rPr>
        <w:t>בכמות</w:t>
      </w:r>
      <w:r w:rsidRPr="001F2586">
        <w:rPr>
          <w:rFonts w:eastAsia="Calibri"/>
          <w:b/>
          <w:bCs/>
          <w:rtl/>
        </w:rPr>
        <w:t xml:space="preserve"> </w:t>
      </w:r>
      <w:r w:rsidRPr="001F2586">
        <w:rPr>
          <w:rFonts w:eastAsia="Calibri" w:hint="eastAsia"/>
          <w:b/>
          <w:bCs/>
          <w:rtl/>
        </w:rPr>
        <w:t>התלונות</w:t>
      </w:r>
      <w:r w:rsidRPr="001F2586">
        <w:rPr>
          <w:rFonts w:eastAsia="Calibri"/>
          <w:b/>
          <w:bCs/>
          <w:rtl/>
        </w:rPr>
        <w:t xml:space="preserve"> </w:t>
      </w:r>
      <w:r w:rsidRPr="001F2586">
        <w:rPr>
          <w:rFonts w:eastAsia="Calibri" w:hint="eastAsia"/>
          <w:b/>
          <w:bCs/>
          <w:rtl/>
        </w:rPr>
        <w:t>בתחום</w:t>
      </w:r>
      <w:r w:rsidRPr="001F2586">
        <w:rPr>
          <w:rFonts w:eastAsia="Calibri"/>
          <w:b/>
          <w:bCs/>
          <w:rtl/>
        </w:rPr>
        <w:t xml:space="preserve"> </w:t>
      </w:r>
      <w:r w:rsidRPr="001F2586">
        <w:rPr>
          <w:rFonts w:eastAsia="Calibri" w:hint="eastAsia"/>
          <w:b/>
          <w:bCs/>
          <w:rtl/>
        </w:rPr>
        <w:t>האשראי</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בשנת 2024 מספר התלונות </w:t>
      </w:r>
      <w:r w:rsidRPr="001F2586">
        <w:rPr>
          <w:rFonts w:eastAsia="Calibri" w:hint="eastAsia"/>
          <w:b/>
          <w:bCs/>
          <w:rtl/>
        </w:rPr>
        <w:t>ירד</w:t>
      </w:r>
      <w:r w:rsidRPr="001F2586">
        <w:rPr>
          <w:rFonts w:eastAsia="Calibri"/>
          <w:b/>
          <w:bCs/>
          <w:rtl/>
        </w:rPr>
        <w:t xml:space="preserve"> </w:t>
      </w:r>
      <w:r w:rsidRPr="001F2586">
        <w:rPr>
          <w:rFonts w:eastAsia="Calibri" w:hint="eastAsia"/>
          <w:b/>
          <w:bCs/>
          <w:rtl/>
        </w:rPr>
        <w:t>לכ</w:t>
      </w:r>
      <w:r w:rsidRPr="001F2586">
        <w:rPr>
          <w:rFonts w:eastAsia="Calibri"/>
          <w:b/>
          <w:bCs/>
          <w:rtl/>
        </w:rPr>
        <w:t xml:space="preserve">-30 תלונות בלבד. </w:t>
      </w:r>
    </w:p>
    <w:p w:rsidR="001F2586" w:rsidRPr="001F2586" w:rsidP="001F2586">
      <w:pPr>
        <w:spacing w:line="269" w:lineRule="auto"/>
        <w:ind w:left="-567"/>
        <w:rPr>
          <w:rFonts w:eastAsia="Calibri"/>
          <w:noProof/>
          <w:szCs w:val="20"/>
          <w:rtl/>
          <w:lang w:val="he-IL"/>
        </w:rPr>
      </w:pPr>
    </w:p>
    <w:p w:rsidR="001F2586" w:rsidRPr="001F2586" w:rsidP="001F2586">
      <w:pPr>
        <w:keepNext/>
        <w:keepLines/>
        <w:spacing w:line="269" w:lineRule="auto"/>
        <w:jc w:val="center"/>
        <w:rPr>
          <w:rFonts w:eastAsia="Calibri"/>
          <w:b/>
          <w:bCs/>
          <w:rtl/>
        </w:rPr>
      </w:pPr>
      <w:bookmarkStart w:id="83" w:name="_Hlk233032733"/>
      <w:r w:rsidRPr="001F2586">
        <w:rPr>
          <w:rFonts w:eastAsia="Calibri" w:hint="cs"/>
          <w:rtl/>
        </w:rPr>
        <w:t>תרשים 43:</w:t>
      </w:r>
      <w:r w:rsidRPr="001F2586">
        <w:rPr>
          <w:rFonts w:eastAsia="Calibri" w:hint="cs"/>
          <w:b/>
          <w:bCs/>
          <w:rtl/>
        </w:rPr>
        <w:t xml:space="preserve"> פילוח תלונות הציבור בשנים 2020 - 2024 מתוך דיווחי הבנקים</w:t>
      </w:r>
    </w:p>
    <w:p w:rsidR="001F2586" w:rsidRPr="001F2586" w:rsidP="001F2586">
      <w:pPr>
        <w:spacing w:line="269" w:lineRule="auto"/>
        <w:ind w:left="-1" w:hanging="142"/>
        <w:jc w:val="center"/>
        <w:rPr>
          <w:rFonts w:eastAsia="Calibri"/>
          <w:rtl/>
        </w:rPr>
      </w:pPr>
      <w:r w:rsidRPr="001F2586">
        <w:rPr>
          <w:rFonts w:eastAsia="Calibri"/>
          <w:noProof/>
          <w:rtl/>
          <w:lang w:val="he-IL"/>
        </w:rPr>
        <w:drawing>
          <wp:inline distT="0" distB="0" distL="0" distR="0">
            <wp:extent cx="5220335" cy="2902585"/>
            <wp:effectExtent l="0" t="0" r="0" b="0"/>
            <wp:docPr id="90" name="תמונה 90" descr="בדומה לתרשים הקודם, גם על פי נתוני הבנקים שנת 2021 היא שנת השיא עם למעלה מ-4,000 תלונות (יצוין כי שנת 2021 הייתה שנה שבה היקף המשכנתאות עמד על 116 מיליארד ש&quot;ח, עלייה של כ-49% בהשוואה לשנת 2021). בין השנים 2021 ל-2023 חלה ירידה משמעותית ומספר התלונות עומד על כ- 2,000 תלונות. עם זאת, בשנת 2024 הירידה מתמתנת מאוד ונשארת יציבה יחסית סביב 1,800-1,900 תלונ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גרף נוסף.PNG"/>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902585"/>
                    </a:xfrm>
                    <a:prstGeom prst="rect">
                      <a:avLst/>
                    </a:prstGeom>
                  </pic:spPr>
                </pic:pic>
              </a:graphicData>
            </a:graphic>
          </wp:inline>
        </w:drawing>
      </w:r>
    </w:p>
    <w:bookmarkEnd w:id="83"/>
    <w:p w:rsidR="001F2586" w:rsidRPr="001F2586" w:rsidP="001F2586">
      <w:pPr>
        <w:spacing w:line="269" w:lineRule="auto"/>
        <w:rPr>
          <w:rFonts w:eastAsia="Calibri"/>
          <w:szCs w:val="20"/>
          <w:rtl/>
        </w:rPr>
      </w:pPr>
      <w:r w:rsidRPr="001F2586">
        <w:rPr>
          <w:rFonts w:eastAsia="Calibri" w:hint="cs"/>
          <w:szCs w:val="20"/>
          <w:rtl/>
        </w:rPr>
        <w:t>המקור: עיבוד בנק ישראל בהתאם לבקשת משרד מבקר המדינה, יולי 2025.</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b/>
          <w:bCs/>
          <w:rtl/>
        </w:rPr>
        <w:t xml:space="preserve">בדומה </w:t>
      </w:r>
      <w:r w:rsidRPr="001F2586">
        <w:rPr>
          <w:rFonts w:eastAsia="Calibri" w:hint="eastAsia"/>
          <w:b/>
          <w:bCs/>
          <w:rtl/>
        </w:rPr>
        <w:t>לתרשים</w:t>
      </w:r>
      <w:r w:rsidRPr="001F2586">
        <w:rPr>
          <w:rFonts w:eastAsia="Calibri"/>
          <w:b/>
          <w:bCs/>
          <w:rtl/>
        </w:rPr>
        <w:t xml:space="preserve"> הקודם, גם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פי</w:t>
      </w:r>
      <w:r w:rsidRPr="001F2586">
        <w:rPr>
          <w:rFonts w:eastAsia="Calibri"/>
          <w:b/>
          <w:bCs/>
          <w:rtl/>
        </w:rPr>
        <w:t xml:space="preserve"> </w:t>
      </w:r>
      <w:r w:rsidRPr="001F2586">
        <w:rPr>
          <w:rFonts w:eastAsia="Calibri" w:hint="eastAsia"/>
          <w:b/>
          <w:bCs/>
          <w:rtl/>
        </w:rPr>
        <w:t>נתוני</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שנת 2021 היא שנת השיא עם למעלה מ-4,000 תלונות (</w:t>
      </w:r>
      <w:r w:rsidRPr="001F2586">
        <w:rPr>
          <w:rFonts w:eastAsia="Calibri" w:hint="eastAsia"/>
          <w:b/>
          <w:bCs/>
          <w:rtl/>
        </w:rPr>
        <w:t>יצוין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שנת</w:t>
      </w:r>
      <w:r w:rsidRPr="001F2586">
        <w:rPr>
          <w:rFonts w:eastAsia="Calibri"/>
          <w:b/>
          <w:bCs/>
          <w:rtl/>
        </w:rPr>
        <w:t xml:space="preserve"> 2021 </w:t>
      </w:r>
      <w:r w:rsidRPr="001F2586">
        <w:rPr>
          <w:rFonts w:eastAsia="Calibri" w:hint="eastAsia"/>
          <w:b/>
          <w:bCs/>
          <w:rtl/>
        </w:rPr>
        <w:t>הייתה</w:t>
      </w:r>
      <w:r w:rsidRPr="001F2586">
        <w:rPr>
          <w:rFonts w:eastAsia="Calibri"/>
          <w:b/>
          <w:bCs/>
          <w:rtl/>
        </w:rPr>
        <w:t xml:space="preserve"> </w:t>
      </w:r>
      <w:r w:rsidRPr="001F2586">
        <w:rPr>
          <w:rFonts w:eastAsia="Calibri" w:hint="eastAsia"/>
          <w:b/>
          <w:bCs/>
          <w:rtl/>
        </w:rPr>
        <w:t>שנה</w:t>
      </w:r>
      <w:r w:rsidRPr="001F2586">
        <w:rPr>
          <w:rFonts w:eastAsia="Calibri"/>
          <w:b/>
          <w:bCs/>
          <w:rtl/>
        </w:rPr>
        <w:t xml:space="preserve"> </w:t>
      </w:r>
      <w:r w:rsidRPr="001F2586">
        <w:rPr>
          <w:rFonts w:eastAsia="Calibri" w:hint="eastAsia"/>
          <w:b/>
          <w:bCs/>
          <w:rtl/>
        </w:rPr>
        <w:t>שבה</w:t>
      </w:r>
      <w:r w:rsidRPr="001F2586">
        <w:rPr>
          <w:rFonts w:eastAsia="Calibri"/>
          <w:b/>
          <w:bCs/>
          <w:rtl/>
        </w:rPr>
        <w:t xml:space="preserve"> </w:t>
      </w:r>
      <w:r w:rsidRPr="001F2586">
        <w:rPr>
          <w:rFonts w:eastAsia="Calibri" w:hint="eastAsia"/>
          <w:b/>
          <w:bCs/>
          <w:rtl/>
        </w:rPr>
        <w:t>היקף</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w:t>
      </w:r>
      <w:r w:rsidRPr="001F2586">
        <w:rPr>
          <w:rFonts w:eastAsia="Calibri" w:hint="eastAsia"/>
          <w:b/>
          <w:bCs/>
          <w:rtl/>
        </w:rPr>
        <w:t>עמד</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116 </w:t>
      </w:r>
      <w:r w:rsidRPr="001F2586">
        <w:rPr>
          <w:rFonts w:eastAsia="Calibri" w:hint="eastAsia"/>
          <w:b/>
          <w:bCs/>
          <w:rtl/>
        </w:rPr>
        <w:t>מיליארד</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עלייה</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-49% </w:t>
      </w:r>
      <w:r w:rsidRPr="001F2586">
        <w:rPr>
          <w:rFonts w:eastAsia="Calibri" w:hint="eastAsia"/>
          <w:b/>
          <w:bCs/>
          <w:rtl/>
        </w:rPr>
        <w:t>בהשוואה</w:t>
      </w:r>
      <w:r w:rsidRPr="001F2586">
        <w:rPr>
          <w:rFonts w:eastAsia="Calibri"/>
          <w:b/>
          <w:bCs/>
          <w:rtl/>
        </w:rPr>
        <w:t xml:space="preserve"> </w:t>
      </w:r>
      <w:r w:rsidRPr="001F2586">
        <w:rPr>
          <w:rFonts w:eastAsia="Calibri" w:hint="eastAsia"/>
          <w:b/>
          <w:bCs/>
          <w:rtl/>
        </w:rPr>
        <w:t>לשנת</w:t>
      </w:r>
      <w:r w:rsidRPr="001F2586">
        <w:rPr>
          <w:rFonts w:eastAsia="Calibri"/>
          <w:b/>
          <w:bCs/>
          <w:rtl/>
        </w:rPr>
        <w:t xml:space="preserve"> 2021). בין </w:t>
      </w:r>
      <w:r w:rsidRPr="001F2586">
        <w:rPr>
          <w:rFonts w:eastAsia="Calibri" w:hint="eastAsia"/>
          <w:b/>
          <w:bCs/>
          <w:rtl/>
        </w:rPr>
        <w:t>השנים</w:t>
      </w:r>
      <w:r w:rsidRPr="001F2586">
        <w:rPr>
          <w:rFonts w:eastAsia="Calibri"/>
          <w:b/>
          <w:bCs/>
          <w:rtl/>
        </w:rPr>
        <w:t xml:space="preserve"> 2021 ל-2023 חלה ירידה </w:t>
      </w:r>
      <w:r w:rsidRPr="001F2586">
        <w:rPr>
          <w:rFonts w:eastAsia="Calibri" w:hint="eastAsia"/>
          <w:b/>
          <w:bCs/>
          <w:rtl/>
        </w:rPr>
        <w:t>משמעותית</w:t>
      </w:r>
      <w:r w:rsidRPr="001F2586">
        <w:rPr>
          <w:rFonts w:eastAsia="Calibri"/>
          <w:b/>
          <w:bCs/>
          <w:rtl/>
        </w:rPr>
        <w:t xml:space="preserve"> </w:t>
      </w:r>
      <w:r w:rsidRPr="001F2586">
        <w:rPr>
          <w:rFonts w:eastAsia="Calibri" w:hint="eastAsia"/>
          <w:b/>
          <w:bCs/>
          <w:rtl/>
        </w:rPr>
        <w:t>ומספר</w:t>
      </w:r>
      <w:r w:rsidRPr="001F2586">
        <w:rPr>
          <w:rFonts w:eastAsia="Calibri"/>
          <w:b/>
          <w:bCs/>
          <w:rtl/>
        </w:rPr>
        <w:t xml:space="preserve"> </w:t>
      </w:r>
      <w:r w:rsidRPr="001F2586">
        <w:rPr>
          <w:rFonts w:eastAsia="Calibri" w:hint="eastAsia"/>
          <w:b/>
          <w:bCs/>
          <w:rtl/>
        </w:rPr>
        <w:t>התלונות</w:t>
      </w:r>
      <w:r w:rsidRPr="001F2586">
        <w:rPr>
          <w:rFonts w:eastAsia="Calibri"/>
          <w:b/>
          <w:bCs/>
          <w:rtl/>
        </w:rPr>
        <w:t xml:space="preserve"> </w:t>
      </w:r>
      <w:r w:rsidRPr="001F2586">
        <w:rPr>
          <w:rFonts w:eastAsia="Calibri" w:hint="eastAsia"/>
          <w:b/>
          <w:bCs/>
          <w:rtl/>
        </w:rPr>
        <w:t>עומד</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w:t>
      </w:r>
      <w:r w:rsidRPr="001F2586">
        <w:rPr>
          <w:rFonts w:eastAsia="Calibri"/>
          <w:b/>
          <w:bCs/>
          <w:rtl/>
        </w:rPr>
        <w:t>2,000 תלונות. עם זאת, ב</w:t>
      </w:r>
      <w:r w:rsidRPr="001F2586">
        <w:rPr>
          <w:rFonts w:eastAsia="Calibri" w:hint="eastAsia"/>
          <w:b/>
          <w:bCs/>
          <w:rtl/>
        </w:rPr>
        <w:t>שנת</w:t>
      </w:r>
      <w:r w:rsidRPr="001F2586">
        <w:rPr>
          <w:rFonts w:eastAsia="Calibri"/>
          <w:b/>
          <w:bCs/>
          <w:rtl/>
        </w:rPr>
        <w:t xml:space="preserve"> 2024 הירידה מתמתנת מאוד ונשארת יציבה יחסית סביב 1,800</w:t>
      </w:r>
      <w:r w:rsidR="002454C3">
        <w:rPr>
          <w:rFonts w:eastAsia="Calibri" w:hint="cs"/>
          <w:b/>
          <w:bCs/>
          <w:rtl/>
        </w:rPr>
        <w:t xml:space="preserve"> </w:t>
      </w:r>
      <w:r w:rsidRPr="001F2586">
        <w:rPr>
          <w:rFonts w:eastAsia="Calibri"/>
          <w:b/>
          <w:bCs/>
          <w:rtl/>
        </w:rPr>
        <w:t>-</w:t>
      </w:r>
      <w:r w:rsidR="002454C3">
        <w:rPr>
          <w:rFonts w:eastAsia="Calibri" w:hint="cs"/>
          <w:b/>
          <w:bCs/>
          <w:rtl/>
        </w:rPr>
        <w:t xml:space="preserve"> </w:t>
      </w:r>
      <w:r w:rsidRPr="001F2586">
        <w:rPr>
          <w:rFonts w:eastAsia="Calibri"/>
          <w:b/>
          <w:bCs/>
          <w:rtl/>
        </w:rPr>
        <w:t xml:space="preserve">1,900 תלונות.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בהתאם לנתוני בנק ישראל, נושאי התלונות בתחום הדיור בשנים האמורות היו בתחומים הבאים: העמדת הלוואה, שיעורי ריבית, בטחונות להלוואה ופירעון מוקדם.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משני התרשימים האמורים עולה כי בשנ</w:t>
      </w:r>
      <w:r w:rsidRPr="001F2586">
        <w:rPr>
          <w:rFonts w:eastAsia="Calibri"/>
          <w:rtl/>
        </w:rPr>
        <w:t xml:space="preserve">ת 2021 </w:t>
      </w:r>
      <w:r w:rsidRPr="001F2586">
        <w:rPr>
          <w:rFonts w:eastAsia="Calibri" w:hint="cs"/>
          <w:rtl/>
        </w:rPr>
        <w:t>התקבלו בבנקים ובבנק ישראל כמות התלונות הגבוהה ביותר</w:t>
      </w:r>
      <w:r w:rsidRPr="001F2586">
        <w:rPr>
          <w:rFonts w:eastAsia="Calibri"/>
          <w:rtl/>
        </w:rPr>
        <w:t xml:space="preserve"> בתחום המשכנתאות. </w:t>
      </w:r>
      <w:r w:rsidRPr="001F2586">
        <w:rPr>
          <w:rFonts w:eastAsia="Calibri" w:hint="cs"/>
          <w:rtl/>
        </w:rPr>
        <w:t xml:space="preserve">משרד מבקר המדינה מציין כי </w:t>
      </w:r>
      <w:r w:rsidRPr="001F2586">
        <w:rPr>
          <w:rFonts w:eastAsia="Calibri"/>
          <w:rtl/>
        </w:rPr>
        <w:t>הדבר ככל הנראה נובע מסיבות חיצוניות (כמו גאות בשוק הנדל"ן באותה שנה</w:t>
      </w:r>
      <w:r w:rsidRPr="001F2586">
        <w:rPr>
          <w:rFonts w:eastAsia="Calibri" w:hint="cs"/>
          <w:rtl/>
        </w:rPr>
        <w:t xml:space="preserve"> - ראה פרק מבוא בנושא</w:t>
      </w:r>
      <w:r w:rsidRPr="001F2586">
        <w:rPr>
          <w:rFonts w:eastAsia="Calibri"/>
          <w:rtl/>
        </w:rPr>
        <w:t>, שינויי ריבית או עומסים תפעוליים על הבנקים</w:t>
      </w:r>
      <w:r w:rsidRPr="001F2586">
        <w:rPr>
          <w:rFonts w:eastAsia="Calibri" w:hint="cs"/>
          <w:rtl/>
        </w:rPr>
        <w:t xml:space="preserve"> בעקבות לקיחת משכנתאות בהיקפים נרחבים</w:t>
      </w:r>
      <w:r w:rsidRPr="001F2586">
        <w:rPr>
          <w:rFonts w:eastAsia="Calibri"/>
          <w:rtl/>
        </w:rPr>
        <w:t>).</w:t>
      </w:r>
      <w:r w:rsidRPr="001F2586">
        <w:rPr>
          <w:rFonts w:eastAsia="Calibri" w:hint="cs"/>
          <w:rtl/>
        </w:rPr>
        <w:t xml:space="preserve"> כמו כן, בינואר 2021 ביטל בנק ישראל את המגבלה על סכומי ההלוואות שניתן לקבל בבנקים בריבית הפריים. הסרת המגבלה גרמה ללקיחת משכנתאות ב</w:t>
      </w:r>
      <w:r w:rsidRPr="001F2586">
        <w:rPr>
          <w:rFonts w:eastAsia="Calibri" w:hint="eastAsia"/>
          <w:rtl/>
        </w:rPr>
        <w:t>היקף</w:t>
      </w:r>
      <w:r w:rsidRPr="001F2586">
        <w:rPr>
          <w:rFonts w:eastAsia="Calibri" w:hint="cs"/>
          <w:rtl/>
        </w:rPr>
        <w:t xml:space="preserve"> של 116 מיליארד ש"ח, דבר שיצר עומס על הבנקים, וגרר זמני עיכוב בבקשות המשכנתא.</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עוד</w:t>
      </w:r>
      <w:r w:rsidRPr="001F2586">
        <w:rPr>
          <w:rFonts w:eastAsia="Calibri"/>
          <w:rtl/>
        </w:rPr>
        <w:t xml:space="preserve"> </w:t>
      </w:r>
      <w:r w:rsidRPr="001F2586">
        <w:rPr>
          <w:rFonts w:eastAsia="Calibri" w:hint="eastAsia"/>
          <w:rtl/>
        </w:rPr>
        <w:t>מציין</w:t>
      </w:r>
      <w:r w:rsidRPr="001F2586">
        <w:rPr>
          <w:rFonts w:eastAsia="Calibri"/>
          <w:rtl/>
        </w:rPr>
        <w:t xml:space="preserve"> </w:t>
      </w:r>
      <w:r w:rsidRPr="001F2586">
        <w:rPr>
          <w:rFonts w:eastAsia="Calibri" w:hint="eastAsia"/>
          <w:rtl/>
        </w:rPr>
        <w:t>משרד</w:t>
      </w:r>
      <w:r w:rsidRPr="001F2586">
        <w:rPr>
          <w:rFonts w:eastAsia="Calibri"/>
          <w:rtl/>
        </w:rPr>
        <w:t xml:space="preserve"> </w:t>
      </w:r>
      <w:r w:rsidRPr="001F2586">
        <w:rPr>
          <w:rFonts w:eastAsia="Calibri" w:hint="eastAsia"/>
          <w:rtl/>
        </w:rPr>
        <w:t>מבקר</w:t>
      </w:r>
      <w:r w:rsidRPr="001F2586">
        <w:rPr>
          <w:rFonts w:eastAsia="Calibri"/>
          <w:rtl/>
        </w:rPr>
        <w:t xml:space="preserve"> </w:t>
      </w:r>
      <w:r w:rsidRPr="001F2586">
        <w:rPr>
          <w:rFonts w:eastAsia="Calibri" w:hint="eastAsia"/>
          <w:rtl/>
        </w:rPr>
        <w:t>המדינה</w:t>
      </w:r>
      <w:r w:rsidRPr="001F2586">
        <w:rPr>
          <w:rFonts w:eastAsia="Calibri"/>
          <w:rtl/>
        </w:rPr>
        <w:t xml:space="preserve"> </w:t>
      </w:r>
      <w:r w:rsidRPr="001F2586">
        <w:rPr>
          <w:rFonts w:eastAsia="Calibri" w:hint="eastAsia"/>
          <w:rtl/>
        </w:rPr>
        <w:t>כי</w:t>
      </w:r>
      <w:r w:rsidRPr="001F2586">
        <w:rPr>
          <w:rFonts w:eastAsia="Calibri" w:hint="cs"/>
          <w:rtl/>
        </w:rPr>
        <w:t xml:space="preserve"> </w:t>
      </w:r>
      <w:r w:rsidRPr="001F2586">
        <w:rPr>
          <w:rFonts w:eastAsia="Calibri"/>
          <w:rtl/>
        </w:rPr>
        <w:t>היקף התלונות בנושא משכנתאות נמצא במגמת ירידה עקבית מאז שנת 2022. ירידה זו מיוחסת, בין היתר, לרפורמת השקיפות שהחלה באותה שנה. מגמת הקיטון נמשכה גם בשנת 2024, חרף השפעות מלחמת 'חרבות ברזל'</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bookmarkStart w:id="84" w:name="_Hlk233032800"/>
      <w:r w:rsidRPr="001F2586">
        <w:rPr>
          <w:rFonts w:eastAsia="Calibri" w:hint="cs"/>
          <w:rtl/>
        </w:rPr>
        <w:t>משרד מבקר המדינה פנה לבנק ישראל על מנת לקבל את פילוח תלונות הציבור שהגיעו ליחידה לפיקוח על הבנקים בתחום הלוואות לדיור בין השנים 2020 עד 2024. במהלך השנים האמורות טופלו ביחידה כ-3,700 תיקים בנושא אשראי לדיור. להלן הנתונים:</w:t>
      </w:r>
    </w:p>
    <w:p w:rsidR="001F2586" w:rsidRPr="001F2586" w:rsidP="001F2586">
      <w:pPr>
        <w:spacing w:line="269" w:lineRule="auto"/>
        <w:rPr>
          <w:rFonts w:eastAsia="Calibri"/>
          <w:rtl/>
        </w:rPr>
      </w:pPr>
    </w:p>
    <w:p w:rsidR="001F2586" w:rsidRPr="001F2586" w:rsidP="001F2586">
      <w:pPr>
        <w:keepNext/>
        <w:keepLines/>
        <w:spacing w:line="269" w:lineRule="auto"/>
        <w:jc w:val="center"/>
        <w:rPr>
          <w:rFonts w:ascii="David" w:eastAsia="Calibri" w:hAnsi="David"/>
          <w:b/>
          <w:bCs/>
          <w:sz w:val="24"/>
          <w:rtl/>
        </w:rPr>
      </w:pPr>
      <w:r w:rsidRPr="001F2586">
        <w:rPr>
          <w:rFonts w:ascii="David" w:eastAsia="Calibri" w:hAnsi="David"/>
          <w:sz w:val="24"/>
          <w:rtl/>
        </w:rPr>
        <w:t xml:space="preserve">תרשים </w:t>
      </w:r>
      <w:r w:rsidRPr="001F2586">
        <w:rPr>
          <w:rFonts w:ascii="David" w:eastAsia="Calibri" w:hAnsi="David"/>
          <w:sz w:val="24"/>
        </w:rPr>
        <w:t>44</w:t>
      </w:r>
      <w:r w:rsidRPr="001F2586">
        <w:rPr>
          <w:rFonts w:ascii="David" w:eastAsia="Calibri" w:hAnsi="David"/>
          <w:sz w:val="24"/>
          <w:rtl/>
        </w:rPr>
        <w:t>:</w:t>
      </w:r>
      <w:r w:rsidRPr="001F2586">
        <w:rPr>
          <w:rFonts w:ascii="David" w:eastAsia="Calibri" w:hAnsi="David"/>
          <w:b/>
          <w:bCs/>
          <w:sz w:val="24"/>
          <w:rtl/>
        </w:rPr>
        <w:t xml:space="preserve"> מספר תלונות הציבור שהתקבלו ביחידה לפיקוח על הבנקים בשנים 2020</w:t>
      </w:r>
      <w:r w:rsidRPr="001F2586">
        <w:rPr>
          <w:rFonts w:ascii="David" w:eastAsia="Calibri" w:hAnsi="David" w:hint="cs"/>
          <w:b/>
          <w:bCs/>
          <w:sz w:val="24"/>
          <w:rtl/>
        </w:rPr>
        <w:t xml:space="preserve"> </w:t>
      </w:r>
      <w:r w:rsidRPr="001F2586">
        <w:rPr>
          <w:rFonts w:ascii="David" w:eastAsia="Calibri" w:hAnsi="David"/>
          <w:b/>
          <w:bCs/>
          <w:sz w:val="24"/>
          <w:rtl/>
        </w:rPr>
        <w:t>-</w:t>
      </w:r>
      <w:r w:rsidRPr="001F2586">
        <w:rPr>
          <w:rFonts w:ascii="David" w:eastAsia="Calibri" w:hAnsi="David" w:hint="cs"/>
          <w:b/>
          <w:bCs/>
          <w:sz w:val="24"/>
          <w:rtl/>
        </w:rPr>
        <w:t xml:space="preserve"> </w:t>
      </w:r>
      <w:r w:rsidRPr="001F2586">
        <w:rPr>
          <w:rFonts w:ascii="David" w:eastAsia="Calibri" w:hAnsi="David"/>
          <w:b/>
          <w:bCs/>
          <w:sz w:val="24"/>
          <w:rtl/>
        </w:rPr>
        <w:t>2024 וכמות התלונות המוצדקות מתוכן</w:t>
      </w:r>
    </w:p>
    <w:p w:rsidR="001F2586" w:rsidRPr="001F2586" w:rsidP="001F2586">
      <w:pPr>
        <w:spacing w:line="269" w:lineRule="auto"/>
        <w:jc w:val="center"/>
        <w:rPr>
          <w:rFonts w:ascii="David" w:eastAsia="Calibri" w:hAnsi="David"/>
          <w:b/>
          <w:bCs/>
          <w:sz w:val="24"/>
          <w:rtl/>
        </w:rPr>
      </w:pPr>
      <w:r w:rsidRPr="001F2586">
        <w:rPr>
          <w:rFonts w:ascii="David" w:eastAsia="Calibri" w:hAnsi="David"/>
          <w:b/>
          <w:bCs/>
          <w:noProof/>
          <w:sz w:val="24"/>
        </w:rPr>
        <w:drawing>
          <wp:inline distT="0" distB="0" distL="0" distR="0">
            <wp:extent cx="2548255" cy="2322830"/>
            <wp:effectExtent l="0" t="0" r="4445" b="1270"/>
            <wp:docPr id="77" name="תמונה 77" descr="מהתרשים עולה כי 585 תיקים מתוך 8,900 תיקי תלונה שנפתחו בבנק ישראל בין השנים 2020-2024, היו בתחום ההלוואות לדיור, כלומר כ-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8255" cy="2322830"/>
                    </a:xfrm>
                    <a:prstGeom prst="rect">
                      <a:avLst/>
                    </a:prstGeom>
                    <a:noFill/>
                  </pic:spPr>
                </pic:pic>
              </a:graphicData>
            </a:graphic>
          </wp:inline>
        </w:drawing>
      </w:r>
      <w:r w:rsidRPr="001F2586">
        <w:rPr>
          <w:rFonts w:ascii="David" w:eastAsia="Calibri" w:hAnsi="David"/>
          <w:b/>
          <w:bCs/>
          <w:noProof/>
          <w:sz w:val="24"/>
        </w:rPr>
        <w:drawing>
          <wp:inline distT="0" distB="0" distL="0" distR="0">
            <wp:extent cx="2548255" cy="2322830"/>
            <wp:effectExtent l="0" t="0" r="4445" b="1270"/>
            <wp:docPr id="78" name="תמונה 78" descr="סך התלונות שנמצאו צודקות בכלל הנושאים היה 627 תלונות, מתוכן 29 תלונות צודקות בִתחום הלוואות לדיור (כ- 4.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5"/>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8255" cy="2322830"/>
                    </a:xfrm>
                    <a:prstGeom prst="rect">
                      <a:avLst/>
                    </a:prstGeom>
                    <a:noFill/>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המקור: עיבוד בנק ישראל בהתאם לבקשת משרד מבקר המדינה, יולי 2025.</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מהתרשים עולה כי </w:t>
      </w:r>
      <w:r w:rsidRPr="001F2586">
        <w:rPr>
          <w:rFonts w:eastAsia="Calibri"/>
          <w:rtl/>
        </w:rPr>
        <w:t xml:space="preserve">585 </w:t>
      </w:r>
      <w:r w:rsidRPr="001F2586">
        <w:rPr>
          <w:rFonts w:eastAsia="Calibri" w:hint="eastAsia"/>
          <w:rtl/>
        </w:rPr>
        <w:t>תיקים</w:t>
      </w:r>
      <w:r w:rsidRPr="001F2586">
        <w:rPr>
          <w:rFonts w:eastAsia="Calibri" w:hint="cs"/>
          <w:rtl/>
        </w:rPr>
        <w:t xml:space="preserve"> מתוך 8,900 תיקי תלונה שנפתחו </w:t>
      </w:r>
      <w:r w:rsidRPr="001F2586">
        <w:rPr>
          <w:rFonts w:eastAsia="Calibri" w:hint="eastAsia"/>
          <w:rtl/>
        </w:rPr>
        <w:t>בבנק</w:t>
      </w:r>
      <w:r w:rsidRPr="001F2586">
        <w:rPr>
          <w:rFonts w:eastAsia="Calibri"/>
          <w:rtl/>
        </w:rPr>
        <w:t xml:space="preserve"> </w:t>
      </w:r>
      <w:r w:rsidRPr="001F2586">
        <w:rPr>
          <w:rFonts w:eastAsia="Calibri" w:hint="eastAsia"/>
          <w:rtl/>
        </w:rPr>
        <w:t>ישראל</w:t>
      </w:r>
      <w:r w:rsidRPr="001F2586">
        <w:rPr>
          <w:rFonts w:eastAsia="Calibri" w:hint="cs"/>
          <w:rtl/>
        </w:rPr>
        <w:t xml:space="preserve"> בין השנים 2020 -2024, היו בתחום ההלוואו</w:t>
      </w:r>
      <w:r w:rsidRPr="001F2586">
        <w:rPr>
          <w:rFonts w:eastAsia="Calibri" w:hint="eastAsia"/>
          <w:rtl/>
        </w:rPr>
        <w:t>ת</w:t>
      </w:r>
      <w:r w:rsidRPr="001F2586">
        <w:rPr>
          <w:rFonts w:eastAsia="Calibri"/>
          <w:rtl/>
        </w:rPr>
        <w:t xml:space="preserve"> לדיור, כלומר כ-6.6%. סך התלונות שנמצאו צודקות בכלל הנושאים היה 627 תלונות, מתוכן 29 תלונות צודקות בִתחום הלוואות לדיור (</w:t>
      </w:r>
      <w:r w:rsidRPr="001F2586">
        <w:rPr>
          <w:rFonts w:eastAsia="Calibri" w:hint="eastAsia"/>
          <w:rtl/>
        </w:rPr>
        <w:t>כ</w:t>
      </w:r>
      <w:r w:rsidRPr="001F2586">
        <w:rPr>
          <w:rFonts w:eastAsia="Calibri"/>
          <w:rtl/>
        </w:rPr>
        <w:t xml:space="preserve">-4.62%). </w:t>
      </w:r>
    </w:p>
    <w:p w:rsidR="001F2586" w:rsidRPr="001F2586" w:rsidP="001F2586">
      <w:pPr>
        <w:spacing w:line="269" w:lineRule="auto"/>
        <w:ind w:hanging="568"/>
        <w:jc w:val="left"/>
        <w:rPr>
          <w:rFonts w:eastAsia="Calibri"/>
          <w:rtl/>
        </w:rPr>
      </w:pPr>
    </w:p>
    <w:bookmarkEnd w:id="84"/>
    <w:p w:rsidR="001F2586" w:rsidRPr="001F2586" w:rsidP="001F2586">
      <w:pPr>
        <w:spacing w:line="269" w:lineRule="auto"/>
        <w:rPr>
          <w:rFonts w:eastAsia="Calibri"/>
          <w:b/>
          <w:bCs/>
          <w:rtl/>
        </w:rPr>
      </w:pPr>
      <w:r w:rsidRPr="001F2586">
        <w:rPr>
          <w:rFonts w:eastAsia="Calibri" w:hint="eastAsia"/>
          <w:b/>
          <w:bCs/>
          <w:rtl/>
        </w:rPr>
        <w:t>מ</w:t>
      </w:r>
      <w:r w:rsidRPr="001F2586">
        <w:rPr>
          <w:rFonts w:eastAsia="Calibri"/>
          <w:b/>
          <w:bCs/>
          <w:rtl/>
        </w:rPr>
        <w:t>הנתונים עולה כי תחום ההלוואות לדיור אינו מהווה מוקד מרכזי לחי</w:t>
      </w:r>
      <w:r w:rsidRPr="001F2586">
        <w:rPr>
          <w:rFonts w:eastAsia="Calibri" w:hint="eastAsia"/>
          <w:b/>
          <w:bCs/>
          <w:rtl/>
        </w:rPr>
        <w:t>כוך</w:t>
      </w:r>
      <w:r w:rsidRPr="001F2586">
        <w:rPr>
          <w:rFonts w:eastAsia="Calibri"/>
          <w:b/>
          <w:bCs/>
          <w:rtl/>
        </w:rPr>
        <w:t xml:space="preserve"> </w:t>
      </w:r>
      <w:r w:rsidRPr="001F2586">
        <w:rPr>
          <w:rFonts w:eastAsia="Calibri" w:hint="eastAsia"/>
          <w:b/>
          <w:bCs/>
          <w:rtl/>
        </w:rPr>
        <w:t>משמעותי</w:t>
      </w:r>
      <w:r w:rsidRPr="001F2586">
        <w:rPr>
          <w:rFonts w:eastAsia="Calibri"/>
          <w:b/>
          <w:bCs/>
          <w:rtl/>
        </w:rPr>
        <w:t xml:space="preserve"> </w:t>
      </w:r>
      <w:r w:rsidRPr="001F2586">
        <w:rPr>
          <w:rFonts w:eastAsia="Calibri" w:hint="eastAsia"/>
          <w:b/>
          <w:bCs/>
          <w:rtl/>
        </w:rPr>
        <w:t>עבור</w:t>
      </w:r>
      <w:r w:rsidRPr="001F2586">
        <w:rPr>
          <w:rFonts w:eastAsia="Calibri"/>
          <w:b/>
          <w:bCs/>
          <w:rtl/>
        </w:rPr>
        <w:t xml:space="preserve"> </w:t>
      </w:r>
      <w:r w:rsidRPr="001F2586">
        <w:rPr>
          <w:rFonts w:eastAsia="Calibri" w:hint="eastAsia"/>
          <w:b/>
          <w:bCs/>
          <w:rtl/>
        </w:rPr>
        <w:t>לקוחות</w:t>
      </w:r>
      <w:r w:rsidRPr="001F2586">
        <w:rPr>
          <w:rFonts w:eastAsia="Calibri"/>
          <w:b/>
          <w:bCs/>
          <w:rtl/>
        </w:rPr>
        <w:t xml:space="preserve"> </w:t>
      </w:r>
      <w:r w:rsidRPr="001F2586">
        <w:rPr>
          <w:rFonts w:eastAsia="Calibri" w:hint="eastAsia"/>
          <w:b/>
          <w:bCs/>
          <w:rtl/>
        </w:rPr>
        <w:t>הבנקאיים</w:t>
      </w:r>
      <w:r w:rsidRPr="001F2586">
        <w:rPr>
          <w:rFonts w:eastAsia="Calibri"/>
          <w:b/>
          <w:bCs/>
          <w:rtl/>
        </w:rPr>
        <w:t xml:space="preserve"> </w:t>
      </w:r>
      <w:r w:rsidRPr="001F2586">
        <w:rPr>
          <w:rFonts w:eastAsia="Calibri" w:hint="eastAsia"/>
          <w:b/>
          <w:bCs/>
          <w:rtl/>
        </w:rPr>
        <w:t>וזאת</w:t>
      </w:r>
      <w:r w:rsidRPr="001F2586">
        <w:rPr>
          <w:rFonts w:eastAsia="Calibri"/>
          <w:b/>
          <w:bCs/>
          <w:rtl/>
        </w:rPr>
        <w:t xml:space="preserve"> בהשוואה לתחומים בנקאיים אחרים. </w:t>
      </w:r>
      <w:r w:rsidRPr="001F2586">
        <w:rPr>
          <w:rFonts w:eastAsia="Calibri" w:hint="eastAsia"/>
          <w:b/>
          <w:bCs/>
          <w:rtl/>
        </w:rPr>
        <w:t>במהלך</w:t>
      </w:r>
      <w:r w:rsidRPr="001F2586">
        <w:rPr>
          <w:rFonts w:eastAsia="Calibri"/>
          <w:b/>
          <w:bCs/>
          <w:rtl/>
        </w:rPr>
        <w:t xml:space="preserve"> השנים 2024-2020 התחום </w:t>
      </w:r>
      <w:r w:rsidRPr="001F2586">
        <w:rPr>
          <w:rFonts w:eastAsia="Calibri" w:hint="eastAsia"/>
          <w:b/>
          <w:bCs/>
          <w:rtl/>
        </w:rPr>
        <w:t>הסתכם</w:t>
      </w:r>
      <w:r w:rsidRPr="001F2586">
        <w:rPr>
          <w:rFonts w:eastAsia="Calibri"/>
          <w:b/>
          <w:bCs/>
          <w:rtl/>
        </w:rPr>
        <w:t xml:space="preserve"> </w:t>
      </w:r>
      <w:r w:rsidRPr="001F2586">
        <w:rPr>
          <w:rFonts w:eastAsia="Calibri" w:hint="eastAsia"/>
          <w:b/>
          <w:bCs/>
          <w:rtl/>
        </w:rPr>
        <w:t>ב</w:t>
      </w:r>
      <w:r w:rsidRPr="001F2586">
        <w:rPr>
          <w:rFonts w:eastAsia="Calibri"/>
          <w:b/>
          <w:bCs/>
          <w:rtl/>
        </w:rPr>
        <w:t xml:space="preserve">כ-6.6% מנפח התלונות, </w:t>
      </w:r>
      <w:r w:rsidRPr="001F2586">
        <w:rPr>
          <w:rFonts w:eastAsia="Calibri" w:hint="eastAsia"/>
          <w:b/>
          <w:bCs/>
          <w:rtl/>
        </w:rPr>
        <w:t>ו</w:t>
      </w:r>
      <w:r w:rsidRPr="001F2586">
        <w:rPr>
          <w:rFonts w:eastAsia="Calibri"/>
          <w:b/>
          <w:bCs/>
          <w:rtl/>
        </w:rPr>
        <w:t xml:space="preserve">חלקו בתלונות המוצדקות </w:t>
      </w:r>
      <w:r w:rsidRPr="001F2586">
        <w:rPr>
          <w:rFonts w:eastAsia="Calibri" w:hint="eastAsia"/>
          <w:b/>
          <w:bCs/>
          <w:rtl/>
        </w:rPr>
        <w:t>היה</w:t>
      </w:r>
      <w:r w:rsidRPr="001F2586">
        <w:rPr>
          <w:rFonts w:eastAsia="Calibri"/>
          <w:b/>
          <w:bCs/>
          <w:rtl/>
        </w:rPr>
        <w:t xml:space="preserve"> אף נמוך יותר (4.62%).</w:t>
      </w:r>
    </w:p>
    <w:p w:rsidR="002454C3">
      <w:pPr>
        <w:bidi w:val="0"/>
        <w:spacing w:after="200" w:line="276" w:lineRule="auto"/>
        <w:rPr>
          <w:rFonts w:eastAsia="Calibri"/>
          <w:b/>
          <w:bCs/>
          <w:rtl/>
        </w:rPr>
      </w:pPr>
      <w:r>
        <w:rPr>
          <w:rFonts w:eastAsia="Calibri"/>
          <w:b/>
          <w:bCs/>
          <w:rtl/>
        </w:rPr>
        <w:br w:type="page"/>
      </w:r>
    </w:p>
    <w:p w:rsidR="001F2586" w:rsidRPr="001F2586" w:rsidP="002454C3">
      <w:pPr>
        <w:pStyle w:val="Heading2"/>
        <w:rPr>
          <w:rFonts w:eastAsia="Times New Roman"/>
          <w:rtl/>
        </w:rPr>
      </w:pPr>
      <w:r w:rsidRPr="001F2586">
        <w:rPr>
          <w:rFonts w:eastAsia="Times New Roman" w:hint="cs"/>
          <w:rtl/>
        </w:rPr>
        <w:t>שער שני - משכנתאות של אוכלוסיות שונות וסיוע במשכנתאות לזכאים ולנפגעי מלחמת חרבות ברזל</w:t>
      </w:r>
    </w:p>
    <w:p w:rsidR="001F2586" w:rsidRPr="001F2586" w:rsidP="001F2586">
      <w:pPr>
        <w:spacing w:line="269" w:lineRule="auto"/>
        <w:rPr>
          <w:rFonts w:eastAsia="Calibri"/>
          <w:rtl/>
        </w:rPr>
      </w:pPr>
    </w:p>
    <w:p w:rsidR="001F2586" w:rsidRPr="001F2586" w:rsidP="001F2586">
      <w:pPr>
        <w:keepNext/>
        <w:keepLines/>
        <w:spacing w:line="269" w:lineRule="auto"/>
        <w:outlineLvl w:val="2"/>
        <w:rPr>
          <w:rFonts w:eastAsia="Times New Roman"/>
          <w:bCs/>
          <w:szCs w:val="28"/>
          <w:u w:val="single"/>
          <w:rtl/>
        </w:rPr>
      </w:pPr>
      <w:bookmarkStart w:id="85" w:name="_Hlk219311763"/>
      <w:r w:rsidRPr="001F2586">
        <w:rPr>
          <w:rFonts w:eastAsia="Times New Roman" w:hint="eastAsia"/>
          <w:bCs/>
          <w:szCs w:val="28"/>
          <w:u w:val="single"/>
          <w:rtl/>
        </w:rPr>
        <w:t>משכנתאות</w:t>
      </w:r>
      <w:r w:rsidRPr="001F2586">
        <w:rPr>
          <w:rFonts w:eastAsia="Times New Roman"/>
          <w:bCs/>
          <w:szCs w:val="28"/>
          <w:u w:val="single"/>
          <w:rtl/>
        </w:rPr>
        <w:t xml:space="preserve"> לאוכלוסיות מגוונות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בהתאם לנתוני </w:t>
      </w:r>
      <w:r w:rsidRPr="001F2586">
        <w:rPr>
          <w:rFonts w:eastAsia="Calibri" w:hint="cs"/>
          <w:rtl/>
        </w:rPr>
        <w:t>הלמ"ס</w:t>
      </w:r>
      <w:r w:rsidRPr="001F2586">
        <w:rPr>
          <w:rFonts w:eastAsia="Calibri" w:hint="cs"/>
          <w:rtl/>
        </w:rPr>
        <w:t xml:space="preserve"> בסוף שנת 2024 מדינת ישראל מנתה כ-10.027 מיליונ</w:t>
      </w:r>
      <w:r w:rsidRPr="001F2586">
        <w:rPr>
          <w:rFonts w:eastAsia="Calibri" w:hint="eastAsia"/>
          <w:rtl/>
        </w:rPr>
        <w:t>י</w:t>
      </w:r>
      <w:r w:rsidRPr="001F2586">
        <w:rPr>
          <w:rFonts w:eastAsia="Calibri" w:hint="cs"/>
          <w:rtl/>
        </w:rPr>
        <w:t xml:space="preserve"> איש. 7.707 מיליון הם יהודים ואחרים</w:t>
      </w:r>
      <w:r>
        <w:rPr>
          <w:rFonts w:eastAsia="Calibri"/>
          <w:vertAlign w:val="superscript"/>
          <w:rtl/>
        </w:rPr>
        <w:footnoteReference w:id="329"/>
      </w:r>
      <w:r w:rsidRPr="001F2586">
        <w:rPr>
          <w:rFonts w:eastAsia="Calibri"/>
          <w:vertAlign w:val="superscript"/>
          <w:rtl/>
        </w:rPr>
        <w:t xml:space="preserve"> </w:t>
      </w:r>
      <w:r w:rsidRPr="001F2586">
        <w:rPr>
          <w:rFonts w:eastAsia="Calibri" w:hint="cs"/>
          <w:rtl/>
        </w:rPr>
        <w:t xml:space="preserve">(76.9% מכלל האוכלוסייה), 2.104 מיליון - ערבים (21%) ו-0.216 מיליון - זרים (2.1%). לפי אומדן </w:t>
      </w:r>
      <w:r w:rsidRPr="001F2586">
        <w:rPr>
          <w:rFonts w:eastAsia="Calibri" w:hint="cs"/>
          <w:rtl/>
        </w:rPr>
        <w:t>הלמ"ס</w:t>
      </w:r>
      <w:r w:rsidRPr="001F2586">
        <w:rPr>
          <w:rFonts w:eastAsia="Calibri" w:hint="cs"/>
          <w:rtl/>
        </w:rPr>
        <w:t>, האוכלוסיי</w:t>
      </w:r>
      <w:r w:rsidRPr="001F2586">
        <w:rPr>
          <w:rFonts w:eastAsia="Calibri" w:hint="eastAsia"/>
          <w:rtl/>
        </w:rPr>
        <w:t>ה</w:t>
      </w:r>
      <w:r w:rsidRPr="001F2586">
        <w:rPr>
          <w:rFonts w:eastAsia="Calibri" w:hint="cs"/>
          <w:rtl/>
        </w:rPr>
        <w:t xml:space="preserve"> החרדית מונה כ-1.26 מיליון איש שהם כ-12.5%</w:t>
      </w:r>
      <w:r w:rsidRPr="001F2586">
        <w:rPr>
          <w:rFonts w:eastAsia="Calibri" w:hint="cs"/>
        </w:rPr>
        <w:t xml:space="preserve"> </w:t>
      </w:r>
      <w:r w:rsidRPr="001F2586">
        <w:rPr>
          <w:rFonts w:eastAsia="Calibri" w:hint="cs"/>
          <w:rtl/>
        </w:rPr>
        <w:t xml:space="preserve">מכלל האוכלוסייה, וכ-15.6% מהאוכלוסייה היהודית בישראל.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לפי נתוני בנק ישראל בשנת 2024 נטל הציבור משכנתאות חדשות בסכום של כ-94 מיליארד ש"ח. סך החוב של משקי הבית לסוף שנת 2024 עומד על 845 מיליארד ש"ח כאשר החוב לדיור עמד על כ-602 מיליארד ש"ח</w:t>
      </w:r>
      <w:r>
        <w:rPr>
          <w:rFonts w:eastAsia="Calibri"/>
          <w:vertAlign w:val="superscript"/>
          <w:rtl/>
        </w:rPr>
        <w:footnoteReference w:id="330"/>
      </w:r>
      <w:r w:rsidRPr="001F2586">
        <w:rPr>
          <w:rFonts w:eastAsia="Calibri" w:hint="cs"/>
          <w:rtl/>
        </w:rPr>
        <w:t xml:space="preserve">. על פי סקר </w:t>
      </w:r>
      <w:r w:rsidRPr="001F2586">
        <w:rPr>
          <w:rFonts w:eastAsia="Calibri"/>
          <w:rtl/>
        </w:rPr>
        <w:t>הוצאות והכנסות למשקי בית לשנת 2023</w:t>
      </w:r>
      <w:r w:rsidRPr="001F2586">
        <w:rPr>
          <w:rFonts w:eastAsia="Calibri" w:hint="cs"/>
          <w:rtl/>
        </w:rPr>
        <w:t xml:space="preserve"> של </w:t>
      </w:r>
      <w:r w:rsidRPr="001F2586">
        <w:rPr>
          <w:rFonts w:eastAsia="Calibri" w:hint="cs"/>
          <w:rtl/>
        </w:rPr>
        <w:t>הלמ"ס</w:t>
      </w:r>
      <w:r w:rsidRPr="001F2586">
        <w:rPr>
          <w:rFonts w:eastAsia="Calibri" w:hint="cs"/>
          <w:rtl/>
        </w:rPr>
        <w:t xml:space="preserve"> (</w:t>
      </w:r>
      <w:r w:rsidRPr="001F2586">
        <w:rPr>
          <w:rFonts w:eastAsia="Calibri"/>
          <w:rtl/>
        </w:rPr>
        <w:t xml:space="preserve">להלן - סקר משקי הבית של </w:t>
      </w:r>
      <w:r w:rsidRPr="001F2586">
        <w:rPr>
          <w:rFonts w:eastAsia="Calibri"/>
          <w:rtl/>
        </w:rPr>
        <w:t>הלמ"ס</w:t>
      </w:r>
      <w:r w:rsidRPr="001F2586">
        <w:rPr>
          <w:rFonts w:eastAsia="Calibri" w:hint="cs"/>
          <w:rtl/>
        </w:rPr>
        <w:t xml:space="preserve">) </w:t>
      </w:r>
      <w:r w:rsidRPr="001F2586">
        <w:rPr>
          <w:rFonts w:eastAsia="Calibri"/>
          <w:rtl/>
        </w:rPr>
        <w:t xml:space="preserve">ההוצאה הכוללת לתצרוכת של משקי הבית, הכוללת את אומדן צריכת שירותי הדיור, הסתכמה </w:t>
      </w:r>
      <w:r w:rsidRPr="001F2586">
        <w:rPr>
          <w:rFonts w:eastAsia="Calibri" w:hint="cs"/>
          <w:rtl/>
        </w:rPr>
        <w:t xml:space="preserve">בשנת 2023 </w:t>
      </w:r>
      <w:r w:rsidRPr="001F2586">
        <w:rPr>
          <w:rFonts w:eastAsia="Calibri"/>
          <w:rtl/>
        </w:rPr>
        <w:t xml:space="preserve">ב־18,088 שקל לחודש, ירידה ריאלית של 1.4% לעומת 2022, זאת בעוד שההוצאה הכספית ללא דיור ירדה בשיעור חד יותר של 2.1% והסתכמה ב-14,823 שקל. סעיף הדיור נותר רכיב ההוצאה המרכזי </w:t>
      </w:r>
      <w:r w:rsidRPr="001F2586">
        <w:rPr>
          <w:rFonts w:eastAsia="Calibri" w:hint="cs"/>
          <w:rtl/>
        </w:rPr>
        <w:t xml:space="preserve">בכלל משקי הבית </w:t>
      </w:r>
      <w:r w:rsidRPr="001F2586">
        <w:rPr>
          <w:rFonts w:eastAsia="Calibri"/>
          <w:rtl/>
        </w:rPr>
        <w:t>(25.3% מ</w:t>
      </w:r>
      <w:r w:rsidRPr="001F2586">
        <w:rPr>
          <w:rFonts w:eastAsia="Calibri" w:hint="cs"/>
          <w:rtl/>
        </w:rPr>
        <w:t xml:space="preserve">סך </w:t>
      </w:r>
      <w:r w:rsidRPr="001F2586">
        <w:rPr>
          <w:rFonts w:eastAsia="Calibri"/>
          <w:rtl/>
        </w:rPr>
        <w:t>ההוצאה הכוללת)</w:t>
      </w:r>
      <w:r w:rsidRPr="001F2586">
        <w:rPr>
          <w:rFonts w:eastAsia="Calibri" w:hint="cs"/>
          <w:rtl/>
        </w:rPr>
        <w:t>. עוד עולה מהסקר כי כ-64.1%</w:t>
      </w:r>
      <w:r w:rsidRPr="001F2586">
        <w:rPr>
          <w:rFonts w:eastAsia="Calibri" w:hint="cs"/>
        </w:rPr>
        <w:t xml:space="preserve"> </w:t>
      </w:r>
      <w:r w:rsidRPr="001F2586">
        <w:rPr>
          <w:rFonts w:eastAsia="Calibri" w:hint="cs"/>
          <w:rtl/>
        </w:rPr>
        <w:t xml:space="preserve">ממשקי הבית גרים בדירות בבעלות. </w:t>
      </w:r>
      <w:r w:rsidRPr="001F2586">
        <w:rPr>
          <w:rFonts w:eastAsia="Calibri" w:hint="eastAsia"/>
          <w:rtl/>
        </w:rPr>
        <w:t>להלן</w:t>
      </w:r>
      <w:r w:rsidRPr="001F2586">
        <w:rPr>
          <w:rFonts w:eastAsia="Calibri"/>
          <w:rtl/>
        </w:rPr>
        <w:t xml:space="preserve"> נתוני אודות תנאי </w:t>
      </w:r>
      <w:r w:rsidRPr="001F2586">
        <w:rPr>
          <w:rFonts w:eastAsia="Calibri" w:hint="eastAsia"/>
          <w:rtl/>
        </w:rPr>
        <w:t>הדיור</w:t>
      </w:r>
      <w:r w:rsidRPr="001F2586">
        <w:rPr>
          <w:rFonts w:eastAsia="Calibri"/>
          <w:rtl/>
        </w:rPr>
        <w:t xml:space="preserve"> לגרים בדירות </w:t>
      </w:r>
      <w:r w:rsidRPr="001F2586">
        <w:rPr>
          <w:rFonts w:eastAsia="Calibri" w:hint="cs"/>
          <w:rtl/>
        </w:rPr>
        <w:t>שבבעלותם</w:t>
      </w:r>
      <w:r w:rsidRPr="001F2586">
        <w:rPr>
          <w:rFonts w:eastAsia="Calibri"/>
          <w:rtl/>
        </w:rPr>
        <w:t xml:space="preserve"> לפי עשירון הכנסה נטו:</w:t>
      </w:r>
    </w:p>
    <w:p w:rsidR="001F2586" w:rsidRPr="001F2586" w:rsidP="001F2586">
      <w:pPr>
        <w:spacing w:line="269" w:lineRule="auto"/>
        <w:rPr>
          <w:rFonts w:eastAsia="Calibri"/>
          <w:rtl/>
        </w:rPr>
      </w:pPr>
    </w:p>
    <w:p w:rsidR="001F2586" w:rsidRPr="001F2586" w:rsidP="001F2586">
      <w:pPr>
        <w:keepNext/>
        <w:keepLines/>
        <w:spacing w:line="269" w:lineRule="auto"/>
        <w:jc w:val="center"/>
        <w:rPr>
          <w:rFonts w:eastAsia="Calibri"/>
          <w:b/>
          <w:bCs/>
          <w:rtl/>
        </w:rPr>
      </w:pPr>
      <w:r w:rsidRPr="001F2586">
        <w:rPr>
          <w:rFonts w:eastAsia="Calibri" w:hint="eastAsia"/>
          <w:rtl/>
        </w:rPr>
        <w:t>לוח</w:t>
      </w:r>
      <w:r w:rsidRPr="001F2586">
        <w:rPr>
          <w:rFonts w:eastAsia="Calibri"/>
          <w:rtl/>
        </w:rPr>
        <w:t xml:space="preserve"> </w:t>
      </w:r>
      <w:r w:rsidRPr="001F2586">
        <w:rPr>
          <w:rFonts w:eastAsia="Calibri" w:hint="cs"/>
          <w:rtl/>
        </w:rPr>
        <w:t>9</w:t>
      </w:r>
      <w:r w:rsidRPr="001F2586">
        <w:rPr>
          <w:rFonts w:eastAsia="Calibri"/>
          <w:rtl/>
        </w:rPr>
        <w:t>:</w:t>
      </w:r>
      <w:r w:rsidRPr="001F2586">
        <w:rPr>
          <w:rFonts w:eastAsia="Calibri"/>
          <w:b/>
          <w:bCs/>
          <w:rtl/>
        </w:rPr>
        <w:t xml:space="preserve"> </w:t>
      </w:r>
      <w:r w:rsidRPr="001F2586">
        <w:rPr>
          <w:rFonts w:eastAsia="Calibri" w:hint="eastAsia"/>
          <w:b/>
          <w:bCs/>
          <w:rtl/>
        </w:rPr>
        <w:t>תנאי</w:t>
      </w:r>
      <w:r w:rsidRPr="001F2586">
        <w:rPr>
          <w:rFonts w:eastAsia="Calibri"/>
          <w:b/>
          <w:bCs/>
          <w:rtl/>
        </w:rPr>
        <w:t xml:space="preserve"> </w:t>
      </w:r>
      <w:r w:rsidRPr="001F2586">
        <w:rPr>
          <w:rFonts w:eastAsia="Calibri" w:hint="eastAsia"/>
          <w:b/>
          <w:bCs/>
          <w:rtl/>
        </w:rPr>
        <w:t>דיור</w:t>
      </w:r>
      <w:r w:rsidRPr="001F2586">
        <w:rPr>
          <w:rFonts w:eastAsia="Calibri"/>
          <w:b/>
          <w:bCs/>
          <w:rtl/>
        </w:rPr>
        <w:t xml:space="preserve"> </w:t>
      </w:r>
      <w:r w:rsidRPr="001F2586">
        <w:rPr>
          <w:rFonts w:eastAsia="Calibri" w:hint="eastAsia"/>
          <w:b/>
          <w:bCs/>
          <w:rtl/>
        </w:rPr>
        <w:t>לגרים</w:t>
      </w:r>
      <w:r w:rsidRPr="001F2586">
        <w:rPr>
          <w:rFonts w:eastAsia="Calibri"/>
          <w:b/>
          <w:bCs/>
          <w:rtl/>
        </w:rPr>
        <w:t xml:space="preserve"> </w:t>
      </w:r>
      <w:r w:rsidRPr="001F2586">
        <w:rPr>
          <w:rFonts w:eastAsia="Calibri" w:hint="eastAsia"/>
          <w:b/>
          <w:bCs/>
          <w:rtl/>
        </w:rPr>
        <w:t>בדירות</w:t>
      </w:r>
      <w:r w:rsidRPr="001F2586">
        <w:rPr>
          <w:rFonts w:eastAsia="Calibri"/>
          <w:b/>
          <w:bCs/>
          <w:rtl/>
        </w:rPr>
        <w:t xml:space="preserve"> </w:t>
      </w:r>
      <w:r w:rsidRPr="001F2586">
        <w:rPr>
          <w:rFonts w:eastAsia="Calibri" w:hint="eastAsia"/>
          <w:b/>
          <w:bCs/>
          <w:rtl/>
        </w:rPr>
        <w:t>שבבעלותם</w:t>
      </w:r>
      <w:r w:rsidRPr="001F2586">
        <w:rPr>
          <w:rFonts w:eastAsia="Calibri"/>
          <w:b/>
          <w:bCs/>
          <w:rtl/>
        </w:rPr>
        <w:t xml:space="preserve"> </w:t>
      </w:r>
      <w:r w:rsidRPr="001F2586">
        <w:rPr>
          <w:rFonts w:eastAsia="Calibri" w:hint="eastAsia"/>
          <w:b/>
          <w:bCs/>
          <w:rtl/>
        </w:rPr>
        <w:t>לפי</w:t>
      </w:r>
      <w:r w:rsidRPr="001F2586">
        <w:rPr>
          <w:rFonts w:eastAsia="Calibri"/>
          <w:b/>
          <w:bCs/>
          <w:rtl/>
        </w:rPr>
        <w:t xml:space="preserve"> </w:t>
      </w:r>
      <w:r w:rsidRPr="001F2586">
        <w:rPr>
          <w:rFonts w:eastAsia="Calibri" w:hint="eastAsia"/>
          <w:b/>
          <w:bCs/>
          <w:rtl/>
        </w:rPr>
        <w:t>עשירון</w:t>
      </w:r>
      <w:r w:rsidRPr="001F2586">
        <w:rPr>
          <w:rFonts w:eastAsia="Calibri"/>
          <w:b/>
          <w:bCs/>
          <w:rtl/>
        </w:rPr>
        <w:t xml:space="preserve"> </w:t>
      </w:r>
      <w:r w:rsidRPr="001F2586">
        <w:rPr>
          <w:rFonts w:eastAsia="Calibri" w:hint="eastAsia"/>
          <w:b/>
          <w:bCs/>
          <w:rtl/>
        </w:rPr>
        <w:t>הכנסה</w:t>
      </w:r>
      <w:r w:rsidRPr="001F2586">
        <w:rPr>
          <w:rFonts w:eastAsia="Calibri"/>
          <w:b/>
          <w:bCs/>
          <w:rtl/>
        </w:rPr>
        <w:t xml:space="preserve"> </w:t>
      </w:r>
      <w:r w:rsidRPr="001F2586">
        <w:rPr>
          <w:rFonts w:eastAsia="Calibri" w:hint="eastAsia"/>
          <w:b/>
          <w:bCs/>
          <w:rtl/>
        </w:rPr>
        <w:t>נטו</w:t>
      </w:r>
      <w:r w:rsidRPr="001F2586">
        <w:rPr>
          <w:rFonts w:eastAsia="Calibri"/>
          <w:b/>
          <w:bCs/>
          <w:rtl/>
        </w:rPr>
        <w:t xml:space="preserve"> </w:t>
      </w:r>
      <w:r w:rsidRPr="001F2586">
        <w:rPr>
          <w:rFonts w:eastAsia="Calibri" w:hint="eastAsia"/>
          <w:b/>
          <w:bCs/>
          <w:rtl/>
        </w:rPr>
        <w:t>לנפש</w:t>
      </w:r>
      <w:r w:rsidRPr="001F2586">
        <w:rPr>
          <w:rFonts w:eastAsia="Calibri"/>
          <w:b/>
          <w:bCs/>
          <w:rtl/>
        </w:rPr>
        <w:t>, 2023</w:t>
      </w:r>
    </w:p>
    <w:tbl>
      <w:tblPr>
        <w:tblStyle w:val="TableGrid"/>
        <w:bidiVisual/>
        <w:tblW w:w="0" w:type="auto"/>
        <w:tblLook w:val="04A0"/>
      </w:tblPr>
      <w:tblGrid>
        <w:gridCol w:w="2128"/>
        <w:gridCol w:w="1497"/>
        <w:gridCol w:w="1172"/>
        <w:gridCol w:w="1141"/>
        <w:gridCol w:w="1176"/>
        <w:gridCol w:w="1096"/>
      </w:tblGrid>
      <w:tr w:rsidTr="001F2586">
        <w:tblPrEx>
          <w:tblW w:w="0" w:type="auto"/>
          <w:tblLook w:val="04A0"/>
        </w:tblPrEx>
        <w:tc>
          <w:tcPr>
            <w:tcW w:w="0" w:type="auto"/>
            <w:shd w:val="clear" w:color="auto" w:fill="A6A6A6"/>
          </w:tcPr>
          <w:p w:rsidR="001F2586" w:rsidRPr="001F2586" w:rsidP="001F2586">
            <w:pPr>
              <w:spacing w:line="269" w:lineRule="auto"/>
              <w:jc w:val="center"/>
              <w:rPr>
                <w:rFonts w:eastAsia="Calibri"/>
                <w:bCs/>
                <w:sz w:val="22"/>
                <w:szCs w:val="22"/>
                <w:rtl/>
              </w:rPr>
            </w:pPr>
            <w:r w:rsidRPr="001F2586">
              <w:rPr>
                <w:rFonts w:eastAsia="Calibri" w:hint="eastAsia"/>
                <w:bCs/>
                <w:sz w:val="22"/>
                <w:szCs w:val="22"/>
                <w:rtl/>
              </w:rPr>
              <w:t>תנאי</w:t>
            </w:r>
            <w:r w:rsidRPr="001F2586">
              <w:rPr>
                <w:rFonts w:eastAsia="Calibri"/>
                <w:bCs/>
                <w:sz w:val="22"/>
                <w:szCs w:val="22"/>
                <w:rtl/>
              </w:rPr>
              <w:t xml:space="preserve"> </w:t>
            </w:r>
            <w:r w:rsidRPr="001F2586">
              <w:rPr>
                <w:rFonts w:eastAsia="Calibri" w:hint="cs"/>
                <w:bCs/>
                <w:sz w:val="22"/>
                <w:szCs w:val="22"/>
                <w:rtl/>
              </w:rPr>
              <w:t>ה</w:t>
            </w:r>
            <w:r w:rsidRPr="001F2586">
              <w:rPr>
                <w:rFonts w:eastAsia="Calibri" w:hint="eastAsia"/>
                <w:bCs/>
                <w:sz w:val="22"/>
                <w:szCs w:val="22"/>
                <w:rtl/>
              </w:rPr>
              <w:t>דיור</w:t>
            </w:r>
          </w:p>
        </w:tc>
        <w:tc>
          <w:tcPr>
            <w:tcW w:w="0" w:type="auto"/>
            <w:shd w:val="clear" w:color="auto" w:fill="A6A6A6"/>
          </w:tcPr>
          <w:p w:rsidR="001F2586" w:rsidRPr="001F2586" w:rsidP="001F2586">
            <w:pPr>
              <w:spacing w:line="269" w:lineRule="auto"/>
              <w:jc w:val="center"/>
              <w:rPr>
                <w:rFonts w:eastAsia="Calibri"/>
                <w:bCs/>
                <w:sz w:val="22"/>
                <w:szCs w:val="22"/>
                <w:rtl/>
              </w:rPr>
            </w:pPr>
            <w:r w:rsidRPr="001F2586">
              <w:rPr>
                <w:rFonts w:eastAsia="Calibri" w:hint="eastAsia"/>
                <w:bCs/>
                <w:sz w:val="22"/>
                <w:szCs w:val="22"/>
                <w:rtl/>
              </w:rPr>
              <w:t>סך</w:t>
            </w:r>
            <w:r w:rsidRPr="001F2586">
              <w:rPr>
                <w:rFonts w:eastAsia="Calibri"/>
                <w:bCs/>
                <w:sz w:val="22"/>
                <w:szCs w:val="22"/>
                <w:rtl/>
              </w:rPr>
              <w:t xml:space="preserve"> </w:t>
            </w:r>
            <w:r w:rsidRPr="001F2586">
              <w:rPr>
                <w:rFonts w:eastAsia="Calibri" w:hint="eastAsia"/>
                <w:bCs/>
                <w:sz w:val="22"/>
                <w:szCs w:val="22"/>
                <w:rtl/>
              </w:rPr>
              <w:t>הכול</w:t>
            </w:r>
            <w:r w:rsidRPr="001F2586">
              <w:rPr>
                <w:rFonts w:eastAsia="Calibri"/>
                <w:bCs/>
                <w:sz w:val="22"/>
                <w:szCs w:val="22"/>
                <w:rtl/>
              </w:rPr>
              <w:t xml:space="preserve"> </w:t>
            </w:r>
            <w:r w:rsidRPr="001F2586">
              <w:rPr>
                <w:rFonts w:eastAsia="Calibri" w:hint="eastAsia"/>
                <w:bCs/>
                <w:sz w:val="22"/>
                <w:szCs w:val="22"/>
                <w:rtl/>
              </w:rPr>
              <w:t>משקי</w:t>
            </w:r>
            <w:r w:rsidRPr="001F2586">
              <w:rPr>
                <w:rFonts w:eastAsia="Calibri"/>
                <w:bCs/>
                <w:sz w:val="22"/>
                <w:szCs w:val="22"/>
                <w:rtl/>
              </w:rPr>
              <w:t xml:space="preserve"> </w:t>
            </w:r>
            <w:r w:rsidRPr="001F2586">
              <w:rPr>
                <w:rFonts w:eastAsia="Calibri" w:hint="eastAsia"/>
                <w:bCs/>
                <w:sz w:val="22"/>
                <w:szCs w:val="22"/>
                <w:rtl/>
              </w:rPr>
              <w:t>בית</w:t>
            </w:r>
          </w:p>
        </w:tc>
        <w:tc>
          <w:tcPr>
            <w:tcW w:w="0" w:type="auto"/>
            <w:shd w:val="clear" w:color="auto" w:fill="A6A6A6"/>
          </w:tcPr>
          <w:p w:rsidR="001F2586" w:rsidRPr="001F2586" w:rsidP="001F2586">
            <w:pPr>
              <w:spacing w:line="269" w:lineRule="auto"/>
              <w:jc w:val="center"/>
              <w:rPr>
                <w:rFonts w:eastAsia="Calibri"/>
                <w:bCs/>
                <w:sz w:val="22"/>
                <w:szCs w:val="22"/>
                <w:rtl/>
              </w:rPr>
            </w:pPr>
            <w:r w:rsidRPr="001F2586">
              <w:rPr>
                <w:rFonts w:eastAsia="Calibri" w:hint="eastAsia"/>
                <w:bCs/>
                <w:sz w:val="22"/>
                <w:szCs w:val="22"/>
                <w:rtl/>
              </w:rPr>
              <w:t>עשירון</w:t>
            </w:r>
            <w:r w:rsidRPr="001F2586">
              <w:rPr>
                <w:rFonts w:eastAsia="Calibri"/>
                <w:bCs/>
                <w:sz w:val="22"/>
                <w:szCs w:val="22"/>
                <w:rtl/>
              </w:rPr>
              <w:t xml:space="preserve"> תחתון</w:t>
            </w:r>
          </w:p>
        </w:tc>
        <w:tc>
          <w:tcPr>
            <w:tcW w:w="0" w:type="auto"/>
            <w:shd w:val="clear" w:color="auto" w:fill="A6A6A6"/>
          </w:tcPr>
          <w:p w:rsidR="001F2586" w:rsidRPr="001F2586" w:rsidP="001F2586">
            <w:pPr>
              <w:spacing w:line="269" w:lineRule="auto"/>
              <w:jc w:val="center"/>
              <w:rPr>
                <w:rFonts w:eastAsia="Calibri"/>
                <w:bCs/>
                <w:sz w:val="22"/>
                <w:szCs w:val="22"/>
                <w:rtl/>
              </w:rPr>
            </w:pPr>
            <w:r w:rsidRPr="001F2586">
              <w:rPr>
                <w:rFonts w:eastAsia="Calibri" w:hint="eastAsia"/>
                <w:bCs/>
                <w:sz w:val="22"/>
                <w:szCs w:val="22"/>
                <w:rtl/>
              </w:rPr>
              <w:t>עשירון</w:t>
            </w:r>
            <w:r w:rsidRPr="001F2586">
              <w:rPr>
                <w:rFonts w:eastAsia="Calibri"/>
                <w:bCs/>
                <w:sz w:val="22"/>
                <w:szCs w:val="22"/>
                <w:rtl/>
              </w:rPr>
              <w:t xml:space="preserve"> רביעי</w:t>
            </w:r>
          </w:p>
        </w:tc>
        <w:tc>
          <w:tcPr>
            <w:tcW w:w="0" w:type="auto"/>
            <w:shd w:val="clear" w:color="auto" w:fill="A6A6A6"/>
          </w:tcPr>
          <w:p w:rsidR="001F2586" w:rsidRPr="001F2586" w:rsidP="001F2586">
            <w:pPr>
              <w:spacing w:line="269" w:lineRule="auto"/>
              <w:jc w:val="center"/>
              <w:rPr>
                <w:rFonts w:eastAsia="Calibri"/>
                <w:bCs/>
                <w:sz w:val="22"/>
                <w:szCs w:val="22"/>
                <w:rtl/>
              </w:rPr>
            </w:pPr>
            <w:r w:rsidRPr="001F2586">
              <w:rPr>
                <w:rFonts w:eastAsia="Calibri" w:hint="eastAsia"/>
                <w:bCs/>
                <w:sz w:val="22"/>
                <w:szCs w:val="22"/>
                <w:rtl/>
              </w:rPr>
              <w:t>עשירון</w:t>
            </w:r>
            <w:r w:rsidRPr="001F2586">
              <w:rPr>
                <w:rFonts w:eastAsia="Calibri"/>
                <w:bCs/>
                <w:sz w:val="22"/>
                <w:szCs w:val="22"/>
                <w:rtl/>
              </w:rPr>
              <w:t xml:space="preserve"> </w:t>
            </w:r>
            <w:r w:rsidRPr="001F2586">
              <w:rPr>
                <w:rFonts w:eastAsia="Calibri" w:hint="eastAsia"/>
                <w:bCs/>
                <w:sz w:val="22"/>
                <w:szCs w:val="22"/>
                <w:rtl/>
              </w:rPr>
              <w:t>שביעי</w:t>
            </w:r>
          </w:p>
        </w:tc>
        <w:tc>
          <w:tcPr>
            <w:tcW w:w="0" w:type="auto"/>
            <w:shd w:val="clear" w:color="auto" w:fill="A6A6A6"/>
          </w:tcPr>
          <w:p w:rsidR="001F2586" w:rsidRPr="001F2586" w:rsidP="001F2586">
            <w:pPr>
              <w:spacing w:line="269" w:lineRule="auto"/>
              <w:jc w:val="center"/>
              <w:rPr>
                <w:rFonts w:eastAsia="Calibri"/>
                <w:bCs/>
                <w:sz w:val="22"/>
                <w:szCs w:val="22"/>
                <w:rtl/>
              </w:rPr>
            </w:pPr>
            <w:r w:rsidRPr="001F2586">
              <w:rPr>
                <w:rFonts w:eastAsia="Calibri" w:hint="eastAsia"/>
                <w:bCs/>
                <w:sz w:val="22"/>
                <w:szCs w:val="22"/>
                <w:rtl/>
              </w:rPr>
              <w:t>עשירון</w:t>
            </w:r>
            <w:r w:rsidRPr="001F2586">
              <w:rPr>
                <w:rFonts w:eastAsia="Calibri"/>
                <w:bCs/>
                <w:sz w:val="22"/>
                <w:szCs w:val="22"/>
                <w:rtl/>
              </w:rPr>
              <w:t xml:space="preserve"> עליון</w:t>
            </w:r>
          </w:p>
        </w:tc>
      </w:tr>
      <w:tr w:rsidTr="00EB64F7">
        <w:tblPrEx>
          <w:tblW w:w="0" w:type="auto"/>
          <w:tblLook w:val="04A0"/>
        </w:tblPrEx>
        <w:tc>
          <w:tcPr>
            <w:tcW w:w="0" w:type="auto"/>
          </w:tcPr>
          <w:p w:rsidR="001F2586" w:rsidRPr="001F2586" w:rsidP="001F2586">
            <w:pPr>
              <w:spacing w:line="269" w:lineRule="auto"/>
              <w:jc w:val="left"/>
              <w:rPr>
                <w:rFonts w:eastAsia="Calibri"/>
                <w:b/>
                <w:sz w:val="22"/>
                <w:szCs w:val="22"/>
                <w:rtl/>
              </w:rPr>
            </w:pPr>
            <w:r w:rsidRPr="001F2586">
              <w:rPr>
                <w:rFonts w:eastAsia="Calibri" w:hint="eastAsia"/>
                <w:b/>
                <w:sz w:val="22"/>
                <w:szCs w:val="22"/>
                <w:rtl/>
              </w:rPr>
              <w:t>אחוז</w:t>
            </w:r>
            <w:r w:rsidRPr="001F2586">
              <w:rPr>
                <w:rFonts w:eastAsia="Calibri"/>
                <w:b/>
                <w:sz w:val="22"/>
                <w:szCs w:val="22"/>
                <w:rtl/>
              </w:rPr>
              <w:t xml:space="preserve"> הגרים בדירות בבעלותם</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64.1%</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37.6%</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53.9%</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77.4%</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85.9%</w:t>
            </w:r>
          </w:p>
        </w:tc>
      </w:tr>
      <w:tr w:rsidTr="00EB64F7">
        <w:tblPrEx>
          <w:tblW w:w="0" w:type="auto"/>
          <w:tblLook w:val="04A0"/>
        </w:tblPrEx>
        <w:tc>
          <w:tcPr>
            <w:tcW w:w="0" w:type="auto"/>
          </w:tcPr>
          <w:p w:rsidR="001F2586" w:rsidRPr="001F2586" w:rsidP="001F2586">
            <w:pPr>
              <w:spacing w:line="269" w:lineRule="auto"/>
              <w:jc w:val="left"/>
              <w:rPr>
                <w:rFonts w:eastAsia="Calibri"/>
                <w:b/>
                <w:sz w:val="22"/>
                <w:szCs w:val="22"/>
                <w:rtl/>
              </w:rPr>
            </w:pPr>
            <w:r w:rsidRPr="001F2586">
              <w:rPr>
                <w:rFonts w:eastAsia="Calibri" w:hint="eastAsia"/>
                <w:b/>
                <w:sz w:val="22"/>
                <w:szCs w:val="22"/>
                <w:rtl/>
              </w:rPr>
              <w:t>מספר</w:t>
            </w:r>
            <w:r w:rsidRPr="001F2586">
              <w:rPr>
                <w:rFonts w:eastAsia="Calibri"/>
                <w:b/>
                <w:sz w:val="22"/>
                <w:szCs w:val="22"/>
                <w:rtl/>
              </w:rPr>
              <w:t xml:space="preserve"> חדרים למגורים בדירה </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4.3</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3.7</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3.9</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4.3</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4.9</w:t>
            </w:r>
          </w:p>
        </w:tc>
      </w:tr>
      <w:tr w:rsidTr="00EB64F7">
        <w:tblPrEx>
          <w:tblW w:w="0" w:type="auto"/>
          <w:tblLook w:val="04A0"/>
        </w:tblPrEx>
        <w:tc>
          <w:tcPr>
            <w:tcW w:w="0" w:type="auto"/>
          </w:tcPr>
          <w:p w:rsidR="001F2586" w:rsidRPr="001F2586" w:rsidP="001F2586">
            <w:pPr>
              <w:spacing w:line="269" w:lineRule="auto"/>
              <w:jc w:val="left"/>
              <w:rPr>
                <w:rFonts w:eastAsia="Calibri"/>
                <w:b/>
                <w:sz w:val="22"/>
                <w:szCs w:val="22"/>
                <w:rtl/>
              </w:rPr>
            </w:pPr>
            <w:r w:rsidRPr="001F2586">
              <w:rPr>
                <w:rFonts w:eastAsia="Calibri" w:hint="eastAsia"/>
                <w:b/>
                <w:sz w:val="22"/>
                <w:szCs w:val="22"/>
                <w:rtl/>
              </w:rPr>
              <w:t>ממוצע</w:t>
            </w:r>
            <w:r w:rsidRPr="001F2586">
              <w:rPr>
                <w:rFonts w:eastAsia="Calibri"/>
                <w:b/>
                <w:sz w:val="22"/>
                <w:szCs w:val="22"/>
                <w:rtl/>
              </w:rPr>
              <w:t xml:space="preserve"> </w:t>
            </w:r>
            <w:r w:rsidRPr="001F2586">
              <w:rPr>
                <w:rFonts w:eastAsia="Calibri" w:hint="eastAsia"/>
                <w:b/>
                <w:sz w:val="22"/>
                <w:szCs w:val="22"/>
                <w:rtl/>
              </w:rPr>
              <w:t>נפשות</w:t>
            </w:r>
            <w:r w:rsidRPr="001F2586">
              <w:rPr>
                <w:rFonts w:eastAsia="Calibri"/>
                <w:b/>
                <w:sz w:val="22"/>
                <w:szCs w:val="22"/>
                <w:rtl/>
              </w:rPr>
              <w:t xml:space="preserve"> </w:t>
            </w:r>
            <w:r w:rsidRPr="001F2586">
              <w:rPr>
                <w:rFonts w:eastAsia="Calibri" w:hint="eastAsia"/>
                <w:b/>
                <w:sz w:val="22"/>
                <w:szCs w:val="22"/>
                <w:rtl/>
              </w:rPr>
              <w:t>במשק</w:t>
            </w:r>
            <w:r w:rsidRPr="001F2586">
              <w:rPr>
                <w:rFonts w:eastAsia="Calibri"/>
                <w:b/>
                <w:sz w:val="22"/>
                <w:szCs w:val="22"/>
                <w:rtl/>
              </w:rPr>
              <w:t xml:space="preserve"> </w:t>
            </w:r>
            <w:r w:rsidRPr="001F2586">
              <w:rPr>
                <w:rFonts w:eastAsia="Calibri" w:hint="eastAsia"/>
                <w:b/>
                <w:sz w:val="22"/>
                <w:szCs w:val="22"/>
                <w:rtl/>
              </w:rPr>
              <w:t>בית</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3.4</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5.6</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3.5</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3.1</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2.5</w:t>
            </w:r>
          </w:p>
        </w:tc>
      </w:tr>
      <w:tr w:rsidTr="00EB64F7">
        <w:tblPrEx>
          <w:tblW w:w="0" w:type="auto"/>
          <w:tblLook w:val="04A0"/>
        </w:tblPrEx>
        <w:tc>
          <w:tcPr>
            <w:tcW w:w="0" w:type="auto"/>
          </w:tcPr>
          <w:p w:rsidR="001F2586" w:rsidRPr="001F2586" w:rsidP="001F2586">
            <w:pPr>
              <w:spacing w:line="269" w:lineRule="auto"/>
              <w:jc w:val="left"/>
              <w:rPr>
                <w:rFonts w:eastAsia="Calibri"/>
                <w:b/>
                <w:sz w:val="22"/>
                <w:szCs w:val="22"/>
                <w:rtl/>
              </w:rPr>
            </w:pPr>
            <w:r w:rsidRPr="001F2586">
              <w:rPr>
                <w:rFonts w:eastAsia="Calibri" w:hint="eastAsia"/>
                <w:b/>
                <w:sz w:val="22"/>
                <w:szCs w:val="22"/>
                <w:rtl/>
              </w:rPr>
              <w:t>צפיפות</w:t>
            </w:r>
            <w:r w:rsidRPr="001F2586">
              <w:rPr>
                <w:rFonts w:eastAsia="Calibri"/>
                <w:b/>
                <w:sz w:val="22"/>
                <w:szCs w:val="22"/>
                <w:rtl/>
              </w:rPr>
              <w:t xml:space="preserve"> </w:t>
            </w:r>
            <w:r w:rsidRPr="001F2586">
              <w:rPr>
                <w:rFonts w:eastAsia="Calibri" w:hint="eastAsia"/>
                <w:b/>
                <w:sz w:val="22"/>
                <w:szCs w:val="22"/>
                <w:rtl/>
              </w:rPr>
              <w:t>דיור</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0.8</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1.5</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0.9</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0.7</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0.5</w:t>
            </w:r>
          </w:p>
        </w:tc>
      </w:tr>
      <w:tr w:rsidTr="00EB64F7">
        <w:tblPrEx>
          <w:tblW w:w="0" w:type="auto"/>
          <w:tblLook w:val="04A0"/>
        </w:tblPrEx>
        <w:tc>
          <w:tcPr>
            <w:tcW w:w="0" w:type="auto"/>
          </w:tcPr>
          <w:p w:rsidR="001F2586" w:rsidRPr="001F2586" w:rsidP="001F2586">
            <w:pPr>
              <w:spacing w:line="269" w:lineRule="auto"/>
              <w:jc w:val="left"/>
              <w:rPr>
                <w:rFonts w:eastAsia="Calibri"/>
                <w:b/>
                <w:sz w:val="22"/>
                <w:szCs w:val="22"/>
                <w:rtl/>
              </w:rPr>
            </w:pPr>
            <w:r w:rsidRPr="001F2586">
              <w:rPr>
                <w:rFonts w:eastAsia="Calibri" w:hint="eastAsia"/>
                <w:b/>
                <w:sz w:val="22"/>
                <w:szCs w:val="22"/>
                <w:rtl/>
              </w:rPr>
              <w:t>ערך</w:t>
            </w:r>
            <w:r w:rsidRPr="001F2586">
              <w:rPr>
                <w:rFonts w:eastAsia="Calibri"/>
                <w:b/>
                <w:sz w:val="22"/>
                <w:szCs w:val="22"/>
                <w:rtl/>
              </w:rPr>
              <w:t xml:space="preserve"> </w:t>
            </w:r>
            <w:r w:rsidRPr="001F2586">
              <w:rPr>
                <w:rFonts w:eastAsia="Calibri" w:hint="eastAsia"/>
                <w:b/>
                <w:sz w:val="22"/>
                <w:szCs w:val="22"/>
                <w:rtl/>
              </w:rPr>
              <w:t>דירה</w:t>
            </w:r>
            <w:r w:rsidRPr="001F2586">
              <w:rPr>
                <w:rFonts w:eastAsia="Calibri"/>
                <w:b/>
                <w:sz w:val="22"/>
                <w:szCs w:val="22"/>
                <w:rtl/>
              </w:rPr>
              <w:t xml:space="preserve"> </w:t>
            </w:r>
            <w:r w:rsidRPr="001F2586">
              <w:rPr>
                <w:rFonts w:eastAsia="Calibri" w:hint="eastAsia"/>
                <w:b/>
                <w:sz w:val="22"/>
                <w:szCs w:val="22"/>
                <w:rtl/>
              </w:rPr>
              <w:t>בבעלות</w:t>
            </w:r>
            <w:r w:rsidRPr="001F2586">
              <w:rPr>
                <w:rFonts w:eastAsia="Calibri"/>
                <w:b/>
                <w:sz w:val="22"/>
                <w:szCs w:val="22"/>
                <w:rtl/>
              </w:rPr>
              <w:t xml:space="preserve"> </w:t>
            </w:r>
            <w:r w:rsidRPr="001F2586">
              <w:rPr>
                <w:rFonts w:eastAsia="Calibri" w:hint="eastAsia"/>
                <w:b/>
                <w:sz w:val="22"/>
                <w:szCs w:val="22"/>
                <w:rtl/>
              </w:rPr>
              <w:t>באלפי</w:t>
            </w:r>
            <w:r w:rsidRPr="001F2586">
              <w:rPr>
                <w:rFonts w:eastAsia="Calibri"/>
                <w:b/>
                <w:sz w:val="22"/>
                <w:szCs w:val="22"/>
                <w:rtl/>
              </w:rPr>
              <w:t xml:space="preserve"> </w:t>
            </w:r>
            <w:r w:rsidRPr="001F2586">
              <w:rPr>
                <w:rFonts w:eastAsia="Calibri" w:hint="cs"/>
                <w:b/>
                <w:sz w:val="22"/>
                <w:szCs w:val="22"/>
                <w:rtl/>
              </w:rPr>
              <w:t>ש"ח</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2,527</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1,515</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1,876</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2,557</w:t>
            </w:r>
          </w:p>
        </w:tc>
        <w:tc>
          <w:tcPr>
            <w:tcW w:w="0" w:type="auto"/>
          </w:tcPr>
          <w:p w:rsidR="001F2586" w:rsidRPr="001F2586" w:rsidP="001F2586">
            <w:pPr>
              <w:spacing w:line="269" w:lineRule="auto"/>
              <w:jc w:val="left"/>
              <w:rPr>
                <w:rFonts w:eastAsia="Calibri"/>
                <w:sz w:val="22"/>
                <w:szCs w:val="22"/>
                <w:rtl/>
              </w:rPr>
            </w:pPr>
            <w:r w:rsidRPr="001F2586">
              <w:rPr>
                <w:rFonts w:eastAsia="Calibri"/>
                <w:sz w:val="22"/>
                <w:szCs w:val="22"/>
                <w:rtl/>
              </w:rPr>
              <w:t>3,960</w:t>
            </w:r>
          </w:p>
        </w:tc>
      </w:tr>
    </w:tbl>
    <w:p w:rsidR="001F2586" w:rsidRPr="001F2586" w:rsidP="001F2586">
      <w:pPr>
        <w:spacing w:line="269" w:lineRule="auto"/>
        <w:jc w:val="left"/>
        <w:rPr>
          <w:rFonts w:eastAsia="Calibri"/>
          <w:szCs w:val="20"/>
          <w:rtl/>
        </w:rPr>
      </w:pPr>
      <w:r w:rsidRPr="001F2586">
        <w:rPr>
          <w:rFonts w:eastAsia="Calibri" w:hint="cs"/>
          <w:szCs w:val="20"/>
          <w:rtl/>
        </w:rPr>
        <w:t xml:space="preserve"> על פי נתוני </w:t>
      </w:r>
      <w:r w:rsidRPr="001F2586">
        <w:rPr>
          <w:rFonts w:eastAsia="Calibri" w:hint="cs"/>
          <w:szCs w:val="20"/>
          <w:rtl/>
        </w:rPr>
        <w:t>הלמ"ס</w:t>
      </w:r>
      <w:r w:rsidRPr="001F2586">
        <w:rPr>
          <w:rFonts w:eastAsia="Calibri" w:hint="cs"/>
          <w:szCs w:val="20"/>
          <w:rtl/>
        </w:rPr>
        <w:t>, ממצאים מסקר הוצאות משקי הבית לשנת 2023,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b/>
          <w:bCs/>
          <w:rtl/>
        </w:rPr>
        <w:t>מהלוח</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85.9%</w:t>
      </w:r>
      <w:r w:rsidRPr="001F2586">
        <w:rPr>
          <w:rFonts w:eastAsia="Calibri"/>
          <w:b/>
          <w:bCs/>
        </w:rPr>
        <w:t xml:space="preserve"> </w:t>
      </w:r>
      <w:r w:rsidRPr="001F2586">
        <w:rPr>
          <w:rFonts w:eastAsia="Calibri" w:hint="eastAsia"/>
          <w:b/>
          <w:bCs/>
          <w:rtl/>
        </w:rPr>
        <w:t>מהעשירון</w:t>
      </w:r>
      <w:r w:rsidRPr="001F2586">
        <w:rPr>
          <w:rFonts w:eastAsia="Calibri"/>
          <w:b/>
          <w:bCs/>
          <w:rtl/>
        </w:rPr>
        <w:t xml:space="preserve"> </w:t>
      </w:r>
      <w:r w:rsidRPr="001F2586">
        <w:rPr>
          <w:rFonts w:eastAsia="Calibri" w:hint="eastAsia"/>
          <w:b/>
          <w:bCs/>
          <w:rtl/>
        </w:rPr>
        <w:t>העליון</w:t>
      </w:r>
      <w:r w:rsidRPr="001F2586">
        <w:rPr>
          <w:rFonts w:eastAsia="Calibri"/>
          <w:b/>
          <w:bCs/>
          <w:rtl/>
        </w:rPr>
        <w:t xml:space="preserve"> </w:t>
      </w:r>
      <w:r w:rsidRPr="001F2586">
        <w:rPr>
          <w:rFonts w:eastAsia="Calibri" w:hint="eastAsia"/>
          <w:b/>
          <w:bCs/>
          <w:rtl/>
        </w:rPr>
        <w:t>גר</w:t>
      </w:r>
      <w:r w:rsidRPr="001F2586">
        <w:rPr>
          <w:rFonts w:eastAsia="Calibri" w:hint="cs"/>
          <w:b/>
          <w:bCs/>
          <w:rtl/>
        </w:rPr>
        <w:t>ים</w:t>
      </w:r>
      <w:r w:rsidRPr="001F2586">
        <w:rPr>
          <w:rFonts w:eastAsia="Calibri"/>
          <w:b/>
          <w:bCs/>
          <w:rtl/>
        </w:rPr>
        <w:t xml:space="preserve"> </w:t>
      </w:r>
      <w:r w:rsidRPr="001F2586">
        <w:rPr>
          <w:rFonts w:eastAsia="Calibri" w:hint="eastAsia"/>
          <w:b/>
          <w:bCs/>
          <w:rtl/>
        </w:rPr>
        <w:t>בדירה</w:t>
      </w:r>
      <w:r w:rsidRPr="001F2586">
        <w:rPr>
          <w:rFonts w:eastAsia="Calibri"/>
          <w:b/>
          <w:bCs/>
          <w:rtl/>
        </w:rPr>
        <w:t xml:space="preserve"> </w:t>
      </w:r>
      <w:r w:rsidRPr="001F2586">
        <w:rPr>
          <w:rFonts w:eastAsia="Calibri" w:hint="eastAsia"/>
          <w:b/>
          <w:bCs/>
          <w:rtl/>
        </w:rPr>
        <w:t>בבעלותם</w:t>
      </w:r>
      <w:r w:rsidRPr="001F2586">
        <w:rPr>
          <w:rFonts w:eastAsia="Calibri"/>
          <w:b/>
          <w:bCs/>
          <w:rtl/>
        </w:rPr>
        <w:t xml:space="preserve"> </w:t>
      </w:r>
      <w:r w:rsidRPr="001F2586">
        <w:rPr>
          <w:rFonts w:eastAsia="Calibri" w:hint="eastAsia"/>
          <w:b/>
          <w:bCs/>
          <w:rtl/>
        </w:rPr>
        <w:t>ורק</w:t>
      </w:r>
      <w:r w:rsidRPr="001F2586">
        <w:rPr>
          <w:rFonts w:eastAsia="Calibri"/>
          <w:b/>
          <w:bCs/>
          <w:rtl/>
        </w:rPr>
        <w:t xml:space="preserve"> 37.6% </w:t>
      </w:r>
      <w:r w:rsidRPr="001F2586">
        <w:rPr>
          <w:rFonts w:eastAsia="Calibri" w:hint="eastAsia"/>
          <w:b/>
          <w:bCs/>
          <w:rtl/>
        </w:rPr>
        <w:t>מהעשירון</w:t>
      </w:r>
      <w:r w:rsidRPr="001F2586">
        <w:rPr>
          <w:rFonts w:eastAsia="Calibri"/>
          <w:b/>
          <w:bCs/>
          <w:rtl/>
        </w:rPr>
        <w:t xml:space="preserve"> </w:t>
      </w:r>
      <w:r w:rsidRPr="001F2586">
        <w:rPr>
          <w:rFonts w:eastAsia="Calibri" w:hint="eastAsia"/>
          <w:b/>
          <w:bCs/>
          <w:rtl/>
        </w:rPr>
        <w:t>התחתון</w:t>
      </w:r>
      <w:r w:rsidRPr="001F2586">
        <w:rPr>
          <w:rFonts w:eastAsia="Calibri"/>
          <w:b/>
          <w:bCs/>
          <w:rtl/>
        </w:rPr>
        <w:t xml:space="preserve">. </w:t>
      </w:r>
      <w:r w:rsidRPr="001F2586">
        <w:rPr>
          <w:rFonts w:eastAsia="Calibri" w:hint="eastAsia"/>
          <w:b/>
          <w:bCs/>
          <w:rtl/>
        </w:rPr>
        <w:t>ערך</w:t>
      </w:r>
      <w:r w:rsidRPr="001F2586">
        <w:rPr>
          <w:rFonts w:eastAsia="Calibri"/>
          <w:b/>
          <w:bCs/>
          <w:rtl/>
        </w:rPr>
        <w:t xml:space="preserve"> </w:t>
      </w:r>
      <w:r w:rsidRPr="001F2586">
        <w:rPr>
          <w:rFonts w:eastAsia="Calibri" w:hint="eastAsia"/>
          <w:b/>
          <w:bCs/>
          <w:rtl/>
        </w:rPr>
        <w:t>דירה</w:t>
      </w:r>
      <w:r w:rsidRPr="001F2586">
        <w:rPr>
          <w:rFonts w:eastAsia="Calibri"/>
          <w:b/>
          <w:bCs/>
          <w:rtl/>
        </w:rPr>
        <w:t xml:space="preserve"> </w:t>
      </w:r>
      <w:r w:rsidRPr="001F2586">
        <w:rPr>
          <w:rFonts w:eastAsia="Calibri" w:hint="eastAsia"/>
          <w:b/>
          <w:bCs/>
          <w:rtl/>
        </w:rPr>
        <w:t>ממוצעת</w:t>
      </w:r>
      <w:r w:rsidRPr="001F2586">
        <w:rPr>
          <w:rFonts w:eastAsia="Calibri"/>
          <w:b/>
          <w:bCs/>
          <w:rtl/>
        </w:rPr>
        <w:t xml:space="preserve"> </w:t>
      </w:r>
      <w:r w:rsidRPr="001F2586">
        <w:rPr>
          <w:rFonts w:eastAsia="Calibri" w:hint="eastAsia"/>
          <w:b/>
          <w:bCs/>
          <w:rtl/>
        </w:rPr>
        <w:t>בעשירון</w:t>
      </w:r>
      <w:r w:rsidRPr="001F2586">
        <w:rPr>
          <w:rFonts w:eastAsia="Calibri"/>
          <w:b/>
          <w:bCs/>
          <w:rtl/>
        </w:rPr>
        <w:t xml:space="preserve"> </w:t>
      </w:r>
      <w:r w:rsidRPr="001F2586">
        <w:rPr>
          <w:rFonts w:eastAsia="Calibri" w:hint="eastAsia"/>
          <w:b/>
          <w:bCs/>
          <w:rtl/>
        </w:rPr>
        <w:t>העליון</w:t>
      </w:r>
      <w:r w:rsidRPr="001F2586">
        <w:rPr>
          <w:rFonts w:eastAsia="Calibri"/>
          <w:b/>
          <w:bCs/>
          <w:rtl/>
        </w:rPr>
        <w:t xml:space="preserve"> </w:t>
      </w:r>
      <w:r w:rsidRPr="001F2586">
        <w:rPr>
          <w:rFonts w:eastAsia="Calibri" w:hint="eastAsia"/>
          <w:b/>
          <w:bCs/>
          <w:rtl/>
        </w:rPr>
        <w:t>היה</w:t>
      </w:r>
      <w:r w:rsidRPr="001F2586">
        <w:rPr>
          <w:rFonts w:eastAsia="Calibri"/>
          <w:b/>
          <w:bCs/>
          <w:rtl/>
        </w:rPr>
        <w:t xml:space="preserve"> </w:t>
      </w:r>
      <w:r w:rsidRPr="001F2586">
        <w:rPr>
          <w:rFonts w:eastAsia="Calibri" w:hint="eastAsia"/>
          <w:b/>
          <w:bCs/>
          <w:rtl/>
        </w:rPr>
        <w:t>כ</w:t>
      </w:r>
      <w:r w:rsidRPr="001F2586">
        <w:rPr>
          <w:rFonts w:eastAsia="Calibri"/>
          <w:b/>
          <w:bCs/>
          <w:rtl/>
        </w:rPr>
        <w:t xml:space="preserve">-3.96 </w:t>
      </w:r>
      <w:r w:rsidRPr="001F2586">
        <w:rPr>
          <w:rFonts w:eastAsia="Calibri" w:hint="eastAsia"/>
          <w:b/>
          <w:bCs/>
          <w:rtl/>
        </w:rPr>
        <w:t>מיליון</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כלומר</w:t>
      </w:r>
      <w:r w:rsidRPr="001F2586">
        <w:rPr>
          <w:rFonts w:eastAsia="Calibri"/>
          <w:b/>
          <w:bCs/>
          <w:rtl/>
        </w:rPr>
        <w:t xml:space="preserve"> </w:t>
      </w:r>
      <w:r w:rsidRPr="001F2586">
        <w:rPr>
          <w:rFonts w:eastAsia="Calibri" w:hint="eastAsia"/>
          <w:b/>
          <w:bCs/>
          <w:rtl/>
        </w:rPr>
        <w:t>גבוה</w:t>
      </w:r>
      <w:r w:rsidRPr="001F2586">
        <w:rPr>
          <w:rFonts w:eastAsia="Calibri"/>
          <w:b/>
          <w:bCs/>
          <w:rtl/>
        </w:rPr>
        <w:t xml:space="preserve"> </w:t>
      </w:r>
      <w:r w:rsidRPr="001F2586">
        <w:rPr>
          <w:rFonts w:eastAsia="Calibri" w:hint="eastAsia"/>
          <w:b/>
          <w:bCs/>
          <w:rtl/>
        </w:rPr>
        <w:t>פי</w:t>
      </w:r>
      <w:r w:rsidRPr="001F2586">
        <w:rPr>
          <w:rFonts w:eastAsia="Calibri"/>
          <w:b/>
          <w:bCs/>
          <w:rtl/>
        </w:rPr>
        <w:t xml:space="preserve"> 2.6 </w:t>
      </w:r>
      <w:r w:rsidRPr="001F2586">
        <w:rPr>
          <w:rFonts w:eastAsia="Calibri" w:hint="eastAsia"/>
          <w:b/>
          <w:bCs/>
          <w:rtl/>
        </w:rPr>
        <w:t>מערך</w:t>
      </w:r>
      <w:r w:rsidRPr="001F2586">
        <w:rPr>
          <w:rFonts w:eastAsia="Calibri"/>
          <w:b/>
          <w:bCs/>
          <w:rtl/>
        </w:rPr>
        <w:t xml:space="preserve"> </w:t>
      </w:r>
      <w:r w:rsidRPr="001F2586">
        <w:rPr>
          <w:rFonts w:eastAsia="Calibri" w:hint="eastAsia"/>
          <w:b/>
          <w:bCs/>
          <w:rtl/>
        </w:rPr>
        <w:t>דירה</w:t>
      </w:r>
      <w:r w:rsidRPr="001F2586">
        <w:rPr>
          <w:rFonts w:eastAsia="Calibri"/>
          <w:b/>
          <w:bCs/>
          <w:rtl/>
        </w:rPr>
        <w:t xml:space="preserve"> </w:t>
      </w:r>
      <w:r w:rsidRPr="001F2586">
        <w:rPr>
          <w:rFonts w:eastAsia="Calibri" w:hint="eastAsia"/>
          <w:b/>
          <w:bCs/>
          <w:rtl/>
        </w:rPr>
        <w:t>בעשירון</w:t>
      </w:r>
      <w:r w:rsidRPr="001F2586">
        <w:rPr>
          <w:rFonts w:eastAsia="Calibri"/>
          <w:b/>
          <w:bCs/>
          <w:rtl/>
        </w:rPr>
        <w:t xml:space="preserve"> </w:t>
      </w:r>
      <w:r w:rsidRPr="001F2586">
        <w:rPr>
          <w:rFonts w:eastAsia="Calibri" w:hint="eastAsia"/>
          <w:b/>
          <w:bCs/>
          <w:rtl/>
        </w:rPr>
        <w:t>התחתון</w:t>
      </w:r>
      <w:r w:rsidRPr="001F2586">
        <w:rPr>
          <w:rFonts w:eastAsia="Calibri"/>
          <w:b/>
          <w:bCs/>
          <w:rtl/>
        </w:rPr>
        <w:t xml:space="preserve"> (כ-1.51 </w:t>
      </w:r>
      <w:r w:rsidRPr="001F2586">
        <w:rPr>
          <w:rFonts w:eastAsia="Calibri" w:hint="eastAsia"/>
          <w:b/>
          <w:bCs/>
          <w:rtl/>
        </w:rPr>
        <w:t>מיליון</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נתונים אודות משקי הבית הערביים והחרדיים בהשוואה לכלל המגזר</w:t>
      </w:r>
      <w:r w:rsidRPr="001F2586">
        <w:rPr>
          <w:rFonts w:eastAsia="Calibri"/>
          <w:rtl/>
        </w:rPr>
        <w:t xml:space="preserve"> </w:t>
      </w:r>
      <w:r w:rsidRPr="001F2586">
        <w:rPr>
          <w:rFonts w:eastAsia="Calibri" w:hint="cs"/>
          <w:rtl/>
        </w:rPr>
        <w:t>שהשתתפו ב</w:t>
      </w:r>
      <w:r w:rsidRPr="001F2586">
        <w:rPr>
          <w:rFonts w:eastAsia="Calibri"/>
          <w:rtl/>
        </w:rPr>
        <w:t xml:space="preserve">סקר משקי הבית של </w:t>
      </w:r>
      <w:r w:rsidRPr="001F2586">
        <w:rPr>
          <w:rFonts w:eastAsia="Calibri"/>
          <w:rtl/>
        </w:rPr>
        <w:t>הלמ"ס</w:t>
      </w:r>
      <w:r w:rsidRPr="001F2586">
        <w:rPr>
          <w:rFonts w:eastAsia="Calibri" w:hint="cs"/>
          <w:rtl/>
        </w:rPr>
        <w:t xml:space="preserve"> לשנת 2022:</w:t>
      </w:r>
    </w:p>
    <w:p w:rsidR="001F2586" w:rsidRPr="001F2586" w:rsidP="001F2586">
      <w:pPr>
        <w:spacing w:line="269" w:lineRule="auto"/>
        <w:rPr>
          <w:rFonts w:eastAsia="Calibri"/>
          <w:rtl/>
        </w:rPr>
      </w:pPr>
    </w:p>
    <w:p w:rsidR="001F2586" w:rsidRPr="001F2586" w:rsidP="002454C3">
      <w:pPr>
        <w:keepNext/>
        <w:keepLines/>
        <w:spacing w:line="269" w:lineRule="auto"/>
        <w:jc w:val="center"/>
        <w:rPr>
          <w:rFonts w:eastAsia="Calibri"/>
          <w:b/>
          <w:bCs/>
          <w:rtl/>
        </w:rPr>
      </w:pPr>
      <w:r w:rsidRPr="001F2586">
        <w:rPr>
          <w:rFonts w:eastAsia="Calibri" w:hint="cs"/>
          <w:rtl/>
        </w:rPr>
        <w:t>תרשים 45:</w:t>
      </w:r>
      <w:r w:rsidRPr="001F2586">
        <w:rPr>
          <w:rFonts w:eastAsia="Calibri" w:hint="cs"/>
          <w:b/>
          <w:bCs/>
          <w:rtl/>
        </w:rPr>
        <w:t xml:space="preserve"> שיעור בעלי הדירות לפי מגזר, נכון לשנת 2022</w:t>
      </w:r>
    </w:p>
    <w:p w:rsidR="001F2586" w:rsidRPr="001F2586" w:rsidP="001F2586">
      <w:pPr>
        <w:spacing w:line="269" w:lineRule="auto"/>
        <w:rPr>
          <w:rFonts w:eastAsia="Calibri"/>
          <w:szCs w:val="20"/>
          <w:rtl/>
        </w:rPr>
      </w:pPr>
      <w:r w:rsidRPr="001F2586">
        <w:rPr>
          <w:rFonts w:eastAsia="Calibri"/>
          <w:noProof/>
        </w:rPr>
        <w:drawing>
          <wp:inline distT="0" distB="0" distL="0" distR="0">
            <wp:extent cx="5220335" cy="2784674"/>
            <wp:effectExtent l="0" t="0" r="0" b="0"/>
            <wp:docPr id="13" name="תמונה 13" descr=" מהתרשים עולה כי כ-76% בקרב האוכלוסייה הערבית הינם בעלי דירות (בעיקר בשל בנייה עצמית בקרקעות קיימות). זאת לעומת כ-65% מהאוכלוסייה החרדית וכ- 61% בקרב יהודים שאינם חרדים, קרי, שיעור התושבים המתגוררים בדירה שבבעלותם גבוה משמעותית בחברה הערבית, בהשוואה לחברה היהודית, וזאת בשל העובדה שמרבית האוכלוסייה הערבית מתגוררת בדירות שבבעלות המשפחה המורחב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784674"/>
                    </a:xfrm>
                    <a:prstGeom prst="rect">
                      <a:avLst/>
                    </a:prstGeom>
                    <a:noFill/>
                    <a:ln>
                      <a:noFill/>
                    </a:ln>
                  </pic:spPr>
                </pic:pic>
              </a:graphicData>
            </a:graphic>
          </wp:inline>
        </w:drawing>
      </w:r>
    </w:p>
    <w:p w:rsidR="00260379" w:rsidP="001F2586">
      <w:pPr>
        <w:spacing w:line="269" w:lineRule="auto"/>
        <w:rPr>
          <w:rFonts w:eastAsia="Calibri"/>
          <w:szCs w:val="20"/>
          <w:rtl/>
        </w:rPr>
      </w:pPr>
      <w:r w:rsidRPr="001F2586">
        <w:rPr>
          <w:rFonts w:eastAsia="Calibri" w:hint="cs"/>
          <w:szCs w:val="20"/>
          <w:rtl/>
        </w:rPr>
        <w:t>על פי נתוני סקר הוצאות משק הבית 2022, בעיבוד משרד מבקר המדינה.</w:t>
      </w:r>
    </w:p>
    <w:p w:rsidR="00260379" w:rsidP="001F2586">
      <w:pPr>
        <w:spacing w:line="269" w:lineRule="auto"/>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מהתרשים עולה כי כ-76% בקרב האוכלוסיי</w:t>
      </w:r>
      <w:r w:rsidRPr="001F2586">
        <w:rPr>
          <w:rFonts w:eastAsia="Calibri" w:hint="eastAsia"/>
          <w:b/>
          <w:bCs/>
          <w:rtl/>
        </w:rPr>
        <w:t>ה</w:t>
      </w:r>
      <w:r w:rsidRPr="001F2586">
        <w:rPr>
          <w:rFonts w:eastAsia="Calibri" w:hint="cs"/>
          <w:b/>
          <w:bCs/>
          <w:rtl/>
        </w:rPr>
        <w:t xml:space="preserve"> הערבית הינם בעלי דירות (בעיקר בשל בנייה עצמית בקרקעות קיימות). זאת לעומת כ-65% מהאוכלוסיי</w:t>
      </w:r>
      <w:r w:rsidRPr="001F2586">
        <w:rPr>
          <w:rFonts w:eastAsia="Calibri" w:hint="eastAsia"/>
          <w:b/>
          <w:bCs/>
          <w:rtl/>
        </w:rPr>
        <w:t>ה</w:t>
      </w:r>
      <w:r w:rsidRPr="001F2586">
        <w:rPr>
          <w:rFonts w:eastAsia="Calibri" w:hint="cs"/>
          <w:b/>
          <w:bCs/>
          <w:rtl/>
        </w:rPr>
        <w:t xml:space="preserve"> החרדית וכ-61% בקרב יהודים שאינם חרדים, </w:t>
      </w:r>
      <w:r w:rsidRPr="001F2586">
        <w:rPr>
          <w:rFonts w:eastAsia="Calibri"/>
          <w:b/>
          <w:bCs/>
          <w:rtl/>
        </w:rPr>
        <w:t xml:space="preserve">קרי, שיעור התושבים המתגוררים בדירה </w:t>
      </w:r>
      <w:r w:rsidRPr="001F2586">
        <w:rPr>
          <w:rFonts w:eastAsia="Calibri" w:hint="cs"/>
          <w:b/>
          <w:bCs/>
          <w:rtl/>
        </w:rPr>
        <w:t>ש</w:t>
      </w:r>
      <w:r w:rsidRPr="001F2586">
        <w:rPr>
          <w:rFonts w:eastAsia="Calibri"/>
          <w:b/>
          <w:bCs/>
          <w:rtl/>
        </w:rPr>
        <w:t>בבעלותם גבוה משמעותית בחברה הערבית, בהשוואה לחברה היהודית</w:t>
      </w:r>
      <w:r w:rsidRPr="001F2586">
        <w:rPr>
          <w:rFonts w:eastAsia="Calibri" w:hint="cs"/>
          <w:b/>
          <w:bCs/>
          <w:rtl/>
        </w:rPr>
        <w:t>, וזאת בשל העובדה שמרבית האוכלוסיי</w:t>
      </w:r>
      <w:r w:rsidRPr="001F2586">
        <w:rPr>
          <w:rFonts w:eastAsia="Calibri" w:hint="eastAsia"/>
          <w:b/>
          <w:bCs/>
          <w:rtl/>
        </w:rPr>
        <w:t>ה</w:t>
      </w:r>
      <w:r w:rsidRPr="001F2586">
        <w:rPr>
          <w:rFonts w:eastAsia="Calibri" w:hint="cs"/>
          <w:b/>
          <w:bCs/>
          <w:rtl/>
        </w:rPr>
        <w:t xml:space="preserve"> הערבית מתגוררת בדירות שבבעלות המשפחה המורחבת.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בבחינת</w:t>
      </w:r>
      <w:r w:rsidRPr="001F2586">
        <w:rPr>
          <w:rFonts w:eastAsia="Calibri"/>
          <w:rtl/>
        </w:rPr>
        <w:t xml:space="preserve"> </w:t>
      </w:r>
      <w:r w:rsidRPr="001F2586">
        <w:rPr>
          <w:rFonts w:eastAsia="Calibri" w:hint="cs"/>
          <w:rtl/>
        </w:rPr>
        <w:t xml:space="preserve">נתוני </w:t>
      </w:r>
      <w:r w:rsidRPr="001F2586">
        <w:rPr>
          <w:rFonts w:eastAsia="Calibri"/>
          <w:rtl/>
        </w:rPr>
        <w:t>שוק הדיור בישראל, המגזר החרדי והמגזר הערבי מציגים דפוסי רכישה ייחודיים המובחנים מהותית מ</w:t>
      </w:r>
      <w:r w:rsidRPr="001F2586">
        <w:rPr>
          <w:rFonts w:eastAsia="Calibri" w:hint="cs"/>
          <w:rtl/>
        </w:rPr>
        <w:t>הדיור היהודי</w:t>
      </w:r>
      <w:r w:rsidRPr="001F2586">
        <w:rPr>
          <w:rFonts w:eastAsia="Calibri"/>
          <w:rtl/>
        </w:rPr>
        <w:t xml:space="preserve"> הישראלי. הבדלים אלו אינם נובעים רק משיקולים כלכליים, אלא משילוב מורכב של מאפיינים תרבותיים, דמוגרפיים וגיאוגרפיים. שני המגזרים מתמודדים עם חסמים משמעותיים בגישה לאשראי בנקאי מסורתי </w:t>
      </w:r>
      <w:r w:rsidRPr="001F2586">
        <w:rPr>
          <w:rFonts w:eastAsia="Calibri" w:hint="cs"/>
          <w:rtl/>
        </w:rPr>
        <w:t>-</w:t>
      </w:r>
      <w:r w:rsidRPr="001F2586">
        <w:rPr>
          <w:rFonts w:eastAsia="Calibri"/>
          <w:rtl/>
        </w:rPr>
        <w:t xml:space="preserve"> בין בשל היעדר רישום קרקעות מוסדר ביישובים ערביים</w:t>
      </w:r>
      <w:r w:rsidRPr="001F2586">
        <w:rPr>
          <w:rFonts w:eastAsia="Calibri" w:hint="cs"/>
          <w:rtl/>
        </w:rPr>
        <w:t>,</w:t>
      </w:r>
      <w:r w:rsidRPr="001F2586">
        <w:rPr>
          <w:rFonts w:eastAsia="Calibri"/>
          <w:rtl/>
        </w:rPr>
        <w:t xml:space="preserve"> ובין בשל רמות השתכרות נמוכ</w:t>
      </w:r>
      <w:r w:rsidRPr="001F2586">
        <w:rPr>
          <w:rFonts w:eastAsia="Calibri" w:hint="cs"/>
          <w:rtl/>
        </w:rPr>
        <w:t>ות בהשוואה למגזר הכללי או הכנסות שאינן מוכרות על ידי רשויות המס, כפי שיפורט בהמשך.</w:t>
      </w:r>
      <w:r w:rsidRPr="001F2586">
        <w:rPr>
          <w:rFonts w:eastAsia="Calibri"/>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w:t>
      </w:r>
      <w:r w:rsidRPr="001F2586">
        <w:rPr>
          <w:rFonts w:eastAsia="Calibri"/>
          <w:rtl/>
        </w:rPr>
        <w:t xml:space="preserve">סקר משקי הבית של </w:t>
      </w:r>
      <w:r w:rsidRPr="001F2586">
        <w:rPr>
          <w:rFonts w:eastAsia="Calibri"/>
          <w:rtl/>
        </w:rPr>
        <w:t>הלמ"ס</w:t>
      </w:r>
      <w:r w:rsidRPr="001F2586">
        <w:rPr>
          <w:rFonts w:eastAsia="Calibri" w:hint="cs"/>
          <w:rtl/>
        </w:rPr>
        <w:t xml:space="preserve"> לשנת 2013</w:t>
      </w:r>
      <w:r w:rsidRPr="001F2586">
        <w:rPr>
          <w:rFonts w:eastAsia="Calibri" w:hint="cs"/>
          <w:rtl/>
        </w:rPr>
        <w:t xml:space="preserve"> </w:t>
      </w:r>
      <w:r w:rsidRPr="001F2586">
        <w:rPr>
          <w:rFonts w:eastAsia="Calibri" w:hint="cs"/>
          <w:rtl/>
        </w:rPr>
        <w:t>עולה כי לכ-33%</w:t>
      </w:r>
      <w:r w:rsidRPr="001F2586">
        <w:rPr>
          <w:rFonts w:eastAsia="Calibri" w:hint="cs"/>
        </w:rPr>
        <w:t xml:space="preserve"> </w:t>
      </w:r>
      <w:r w:rsidRPr="001F2586">
        <w:rPr>
          <w:rFonts w:eastAsia="Calibri" w:hint="cs"/>
          <w:rtl/>
        </w:rPr>
        <w:t>ממשקי בית היהודיים הייתה משכנתא, לעומת 7%</w:t>
      </w:r>
      <w:r w:rsidRPr="001F2586">
        <w:rPr>
          <w:rFonts w:eastAsia="Calibri" w:hint="cs"/>
        </w:rPr>
        <w:t xml:space="preserve"> </w:t>
      </w:r>
      <w:r w:rsidRPr="001F2586">
        <w:rPr>
          <w:rFonts w:eastAsia="Calibri" w:hint="cs"/>
          <w:rtl/>
        </w:rPr>
        <w:t>ממשקי הבית הערביים</w:t>
      </w:r>
      <w:r>
        <w:rPr>
          <w:rFonts w:eastAsia="Calibri"/>
          <w:vertAlign w:val="superscript"/>
          <w:rtl/>
        </w:rPr>
        <w:footnoteReference w:id="331"/>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rtl/>
        </w:rPr>
        <w:t>בנק ישראל ציין במסמך משנת 2022</w:t>
      </w:r>
      <w:r w:rsidRPr="001F2586">
        <w:rPr>
          <w:rFonts w:eastAsia="Calibri"/>
          <w:rtl/>
        </w:rPr>
        <w:t xml:space="preserve"> </w:t>
      </w:r>
      <w:r w:rsidRPr="001F2586">
        <w:rPr>
          <w:rFonts w:eastAsia="Calibri" w:hint="cs"/>
          <w:rtl/>
        </w:rPr>
        <w:t xml:space="preserve">כי </w:t>
      </w:r>
      <w:r w:rsidRPr="001F2586">
        <w:rPr>
          <w:rFonts w:eastAsia="Calibri"/>
          <w:rtl/>
        </w:rPr>
        <w:t>קיים פער מהותי בדפוסי האשראי בין המגזרים: בעוד שבחברה היהודית השימוש בהלוואות לדיור גבוה ובהלוואות צרכניות נמוך, בחברה הערבית המגמה הפוכה. מחסור בבטוחות איכותיות וקשיים ברישום שעבודים ביישובי החברה הערבית מאלצים את התושבים להשתמש באשראי צרכני כתחליף להלוואות לדיור.</w:t>
      </w:r>
      <w:r w:rsidRPr="001F2586">
        <w:rPr>
          <w:rFonts w:eastAsia="Calibri" w:hint="cs"/>
          <w:rtl/>
        </w:rPr>
        <w:t xml:space="preserve"> בנק ישראל מצא כי קיימים פערים בולטים ברמת האוריינות הפיננסית</w:t>
      </w:r>
      <w:r>
        <w:rPr>
          <w:rFonts w:eastAsia="Calibri"/>
          <w:vertAlign w:val="superscript"/>
          <w:rtl/>
        </w:rPr>
        <w:footnoteReference w:id="332"/>
      </w:r>
      <w:r w:rsidRPr="001F2586">
        <w:rPr>
          <w:rFonts w:eastAsia="Calibri" w:hint="cs"/>
          <w:rtl/>
        </w:rPr>
        <w:t xml:space="preserve"> בישראל לפי קבוצות אוכלוסייה שונות. בקרב היהודים הלא חרדים האוריינות גבוהה יותר, בעוד שבחברה הערבית רמת האוריינות הפיננסית נמוכה יותר</w:t>
      </w:r>
      <w:r>
        <w:rPr>
          <w:rFonts w:eastAsia="Calibri"/>
          <w:vertAlign w:val="superscript"/>
          <w:rtl/>
        </w:rPr>
        <w:footnoteReference w:id="333"/>
      </w:r>
      <w:r w:rsidRPr="001F2586">
        <w:rPr>
          <w:rFonts w:eastAsia="Calibri" w:hint="cs"/>
          <w:rtl/>
        </w:rPr>
        <w:t xml:space="preserve">. אוריינות פיננסית מספקת מהווה מרכיב חשוב לצורך קבלת החלטות כלכליות מושכלות, בין היתר, בנוגע לדרכים ולנתונים הדרושים לצורך קבלת משכנתאות ומידע </w:t>
      </w:r>
      <w:r w:rsidRPr="001F2586">
        <w:rPr>
          <w:rFonts w:eastAsia="Calibri" w:hint="cs"/>
          <w:rtl/>
        </w:rPr>
        <w:t xml:space="preserve">פיננסי משלים, הבנה של תהליכי עבודה במערכת הבנקאית, מידע על מוצרי המימון השונים והיכולת להשוות ביניהם ועוד.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מחקר של </w:t>
      </w:r>
      <w:r w:rsidRPr="001F2586">
        <w:rPr>
          <w:rFonts w:eastAsia="Calibri" w:hint="cs"/>
          <w:rtl/>
        </w:rPr>
        <w:t>הלמ"ס</w:t>
      </w:r>
      <w:r>
        <w:rPr>
          <w:rFonts w:eastAsia="Calibri"/>
          <w:vertAlign w:val="superscript"/>
          <w:rtl/>
        </w:rPr>
        <w:footnoteReference w:id="334"/>
      </w:r>
      <w:r w:rsidRPr="001F2586">
        <w:rPr>
          <w:rFonts w:eastAsia="Calibri" w:hint="cs"/>
          <w:rtl/>
        </w:rPr>
        <w:t xml:space="preserve"> משנת 2014 הצביע על </w:t>
      </w:r>
      <w:r w:rsidRPr="001F2586">
        <w:rPr>
          <w:rFonts w:eastAsia="Calibri"/>
          <w:rtl/>
        </w:rPr>
        <w:t xml:space="preserve">מיוחדות </w:t>
      </w:r>
      <w:r w:rsidRPr="001F2586">
        <w:rPr>
          <w:rFonts w:eastAsia="Calibri" w:hint="cs"/>
          <w:rtl/>
        </w:rPr>
        <w:t xml:space="preserve">מאפייני </w:t>
      </w:r>
      <w:r w:rsidRPr="001F2586">
        <w:rPr>
          <w:rFonts w:eastAsia="Calibri"/>
          <w:rtl/>
        </w:rPr>
        <w:t xml:space="preserve">שוק הדיור במגזר הערבי שאינם קיימים </w:t>
      </w:r>
      <w:r w:rsidRPr="001F2586">
        <w:rPr>
          <w:rFonts w:eastAsia="Calibri" w:hint="cs"/>
          <w:rtl/>
        </w:rPr>
        <w:t xml:space="preserve">כמעט במגזר </w:t>
      </w:r>
      <w:r w:rsidRPr="001F2586">
        <w:rPr>
          <w:rFonts w:eastAsia="Calibri"/>
          <w:rtl/>
        </w:rPr>
        <w:t>היהודי</w:t>
      </w:r>
      <w:r w:rsidRPr="001F2586">
        <w:rPr>
          <w:rFonts w:eastAsia="Calibri" w:hint="cs"/>
          <w:rtl/>
        </w:rPr>
        <w:t>. ה</w:t>
      </w:r>
      <w:r w:rsidRPr="001F2586">
        <w:rPr>
          <w:rFonts w:eastAsia="Calibri"/>
          <w:rtl/>
        </w:rPr>
        <w:t>אוכלוסייה הערבית בישראל היא מסורתית, בעלת זיקה חזקה למשפחה מורחבת</w:t>
      </w:r>
      <w:r w:rsidRPr="001F2586">
        <w:rPr>
          <w:rFonts w:eastAsia="Calibri" w:hint="cs"/>
          <w:rtl/>
        </w:rPr>
        <w:t>.</w:t>
      </w:r>
      <w:r w:rsidRPr="001F2586">
        <w:rPr>
          <w:rFonts w:eastAsia="Calibri"/>
          <w:rtl/>
        </w:rPr>
        <w:t xml:space="preserve"> בניגוד למקובל בקרב תושבים</w:t>
      </w:r>
      <w:r w:rsidRPr="001F2586">
        <w:rPr>
          <w:rFonts w:eastAsia="Calibri" w:hint="cs"/>
          <w:rtl/>
        </w:rPr>
        <w:t xml:space="preserve"> </w:t>
      </w:r>
      <w:r w:rsidRPr="001F2586">
        <w:rPr>
          <w:rFonts w:eastAsia="Calibri"/>
          <w:rtl/>
        </w:rPr>
        <w:t>יהודים, משק בית ערבי מאופיין בהיעדר ניידות מגורים בשלבים שונים של מחזור החיים. ניידות המגורים</w:t>
      </w:r>
      <w:r w:rsidRPr="001F2586">
        <w:rPr>
          <w:rFonts w:eastAsia="Calibri" w:hint="cs"/>
          <w:rtl/>
        </w:rPr>
        <w:t xml:space="preserve"> </w:t>
      </w:r>
      <w:r w:rsidRPr="001F2586">
        <w:rPr>
          <w:rFonts w:eastAsia="Calibri"/>
          <w:rtl/>
        </w:rPr>
        <w:t>בישוב הערבי מוגבלת לבניית בית, שלרוב היא תופעה חד-פעמית. השיקולים העיקריים שמנחים את משק</w:t>
      </w:r>
      <w:r w:rsidRPr="001F2586">
        <w:rPr>
          <w:rFonts w:eastAsia="Calibri" w:hint="cs"/>
          <w:rtl/>
        </w:rPr>
        <w:t xml:space="preserve"> </w:t>
      </w:r>
      <w:r w:rsidRPr="001F2586">
        <w:rPr>
          <w:rFonts w:eastAsia="Calibri"/>
          <w:rtl/>
        </w:rPr>
        <w:t>הבית הערבי בקביעת מיקומו של המבנה הם בעיקר שיקולי בעלות על הקרקע, התואמת ברובה את המבנה</w:t>
      </w:r>
      <w:r w:rsidRPr="001F2586">
        <w:rPr>
          <w:rFonts w:eastAsia="Calibri" w:hint="cs"/>
          <w:rtl/>
        </w:rPr>
        <w:t xml:space="preserve"> </w:t>
      </w:r>
      <w:r w:rsidRPr="001F2586">
        <w:rPr>
          <w:rFonts w:eastAsia="Calibri"/>
          <w:rtl/>
        </w:rPr>
        <w:t xml:space="preserve">החברתי המבוסס על השייכות </w:t>
      </w:r>
      <w:r w:rsidRPr="001F2586">
        <w:rPr>
          <w:rFonts w:eastAsia="Calibri" w:hint="cs"/>
          <w:rtl/>
        </w:rPr>
        <w:t>המשפחתית</w:t>
      </w:r>
      <w:r w:rsidRPr="001F2586">
        <w:rPr>
          <w:rFonts w:eastAsia="Calibri"/>
          <w:rtl/>
        </w:rPr>
        <w:t xml:space="preserve">. </w:t>
      </w:r>
      <w:r w:rsidRPr="001F2586">
        <w:rPr>
          <w:rFonts w:eastAsia="Calibri" w:hint="cs"/>
          <w:rtl/>
        </w:rPr>
        <w:t xml:space="preserve">בחברה הערבית נהוג כי </w:t>
      </w:r>
      <w:r w:rsidRPr="001F2586">
        <w:rPr>
          <w:rFonts w:eastAsia="Calibri"/>
          <w:rtl/>
        </w:rPr>
        <w:t xml:space="preserve">ההורים </w:t>
      </w:r>
      <w:r w:rsidRPr="001F2586">
        <w:rPr>
          <w:rFonts w:eastAsia="Calibri" w:hint="cs"/>
          <w:rtl/>
        </w:rPr>
        <w:t xml:space="preserve">בונים </w:t>
      </w:r>
      <w:r w:rsidRPr="001F2586">
        <w:rPr>
          <w:rFonts w:eastAsia="Calibri"/>
          <w:rtl/>
        </w:rPr>
        <w:t>מבנה של מספר</w:t>
      </w:r>
      <w:r w:rsidRPr="001F2586">
        <w:rPr>
          <w:rFonts w:eastAsia="Calibri" w:hint="cs"/>
          <w:rtl/>
        </w:rPr>
        <w:t xml:space="preserve"> </w:t>
      </w:r>
      <w:r w:rsidRPr="001F2586">
        <w:rPr>
          <w:rFonts w:eastAsia="Calibri"/>
          <w:rtl/>
        </w:rPr>
        <w:t xml:space="preserve">קומות, כאשר מספר יחידות </w:t>
      </w:r>
      <w:r w:rsidRPr="001F2586">
        <w:rPr>
          <w:rFonts w:eastAsia="Calibri" w:hint="cs"/>
          <w:rtl/>
        </w:rPr>
        <w:t>ה</w:t>
      </w:r>
      <w:r w:rsidRPr="001F2586">
        <w:rPr>
          <w:rFonts w:eastAsia="Calibri"/>
          <w:rtl/>
        </w:rPr>
        <w:t xml:space="preserve">דיור הנמצאות בו תואם את מספר הבנים </w:t>
      </w:r>
      <w:r w:rsidRPr="001F2586">
        <w:rPr>
          <w:rFonts w:eastAsia="Calibri" w:hint="cs"/>
          <w:rtl/>
        </w:rPr>
        <w:t>במשפחה. כתוצאה מכך</w:t>
      </w:r>
      <w:r w:rsidRPr="001F2586">
        <w:rPr>
          <w:rFonts w:eastAsia="Calibri"/>
          <w:rtl/>
        </w:rPr>
        <w:t xml:space="preserve"> המבנה החמולתי של המגורים בישובים </w:t>
      </w:r>
      <w:r w:rsidRPr="001F2586">
        <w:rPr>
          <w:rFonts w:eastAsia="Calibri" w:hint="cs"/>
          <w:rtl/>
        </w:rPr>
        <w:t>ה</w:t>
      </w:r>
      <w:r w:rsidRPr="001F2586">
        <w:rPr>
          <w:rFonts w:eastAsia="Calibri"/>
          <w:rtl/>
        </w:rPr>
        <w:t>ערביים גורם לכך שברוב המקרים הנכסים</w:t>
      </w:r>
      <w:r w:rsidRPr="001F2586">
        <w:rPr>
          <w:rFonts w:eastAsia="Calibri" w:hint="cs"/>
          <w:rtl/>
        </w:rPr>
        <w:t xml:space="preserve"> </w:t>
      </w:r>
      <w:r w:rsidRPr="001F2586">
        <w:rPr>
          <w:rFonts w:eastAsia="Calibri"/>
          <w:rtl/>
        </w:rPr>
        <w:t>למגורים, קרקעות ובתים, אינם נחשבים כרכוש פרטי ולא ברי המרה כספית. דהיינו, לא נהוג למכור בית</w:t>
      </w:r>
      <w:r w:rsidRPr="001F2586">
        <w:rPr>
          <w:rFonts w:eastAsia="Calibri" w:hint="cs"/>
          <w:rtl/>
        </w:rPr>
        <w:t xml:space="preserve"> </w:t>
      </w:r>
      <w:r w:rsidRPr="001F2586">
        <w:rPr>
          <w:rFonts w:eastAsia="Calibri"/>
          <w:rtl/>
        </w:rPr>
        <w:t xml:space="preserve">שבבעלות המשפחה, שכן הוא נחשב למעין נכס העובר בירושה </w:t>
      </w:r>
      <w:r w:rsidRPr="001F2586">
        <w:rPr>
          <w:rFonts w:eastAsia="Calibri" w:hint="cs"/>
          <w:rtl/>
        </w:rPr>
        <w:t>מאב לבן, ומכאן רוב התושבים במגזר הערבי מתגוררים במקרקעין שבבעלותם. נוהג זה מספק את ההסבר לכך ששיעור הבעלות במגזר הערבי על דירות גבוה מיתר המגזרים.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להלן נתונים בדבר החזר סכום המשכנתא החודשי הממוצע, בהתאם לאוכלוסייה שהשתתפה בסקר משקי הבית של </w:t>
      </w:r>
      <w:r w:rsidRPr="001F2586">
        <w:rPr>
          <w:rFonts w:eastAsia="Calibri" w:hint="cs"/>
          <w:rtl/>
        </w:rPr>
        <w:t>הלמ"ס</w:t>
      </w:r>
      <w:r w:rsidRPr="001F2586">
        <w:rPr>
          <w:rFonts w:eastAsia="Calibri" w:hint="cs"/>
          <w:rtl/>
        </w:rPr>
        <w:t xml:space="preserve"> לשנת 2022 </w:t>
      </w:r>
      <w:r>
        <w:rPr>
          <w:rFonts w:eastAsia="Calibri"/>
          <w:vertAlign w:val="superscript"/>
          <w:rtl/>
        </w:rPr>
        <w:footnoteReference w:id="335"/>
      </w:r>
      <w:r w:rsidRPr="001F2586">
        <w:rPr>
          <w:rFonts w:eastAsia="Calibri" w:hint="cs"/>
          <w:rtl/>
        </w:rPr>
        <w:t xml:space="preserve">: </w:t>
      </w:r>
    </w:p>
    <w:p w:rsidR="001F2586" w:rsidRPr="001F2586" w:rsidP="001F2586">
      <w:pPr>
        <w:spacing w:line="269" w:lineRule="auto"/>
        <w:rPr>
          <w:rFonts w:eastAsia="Calibri"/>
          <w:rtl/>
        </w:rPr>
      </w:pPr>
    </w:p>
    <w:p w:rsidR="001F2586" w:rsidRPr="001F2586" w:rsidP="001F2586">
      <w:pPr>
        <w:keepNext/>
        <w:keepLines/>
        <w:spacing w:line="269" w:lineRule="auto"/>
        <w:jc w:val="center"/>
        <w:rPr>
          <w:rFonts w:eastAsia="Calibri"/>
          <w:b/>
          <w:bCs/>
          <w:rtl/>
        </w:rPr>
      </w:pPr>
      <w:r w:rsidRPr="001F2586">
        <w:rPr>
          <w:rFonts w:eastAsia="Calibri" w:hint="cs"/>
          <w:rtl/>
        </w:rPr>
        <w:t>תרשים 46:</w:t>
      </w:r>
      <w:r w:rsidRPr="001F2586">
        <w:rPr>
          <w:rFonts w:eastAsia="Calibri" w:hint="cs"/>
          <w:b/>
          <w:bCs/>
          <w:rtl/>
        </w:rPr>
        <w:t xml:space="preserve"> החזר המשכנתא החודשית הממוצעת לשנת 2022 (בש"ח) </w:t>
      </w:r>
    </w:p>
    <w:p w:rsidR="001F2586" w:rsidRPr="001F2586" w:rsidP="001F2586">
      <w:pPr>
        <w:spacing w:line="269" w:lineRule="auto"/>
        <w:jc w:val="center"/>
        <w:rPr>
          <w:rFonts w:eastAsia="Calibri"/>
          <w:szCs w:val="20"/>
          <w:rtl/>
        </w:rPr>
      </w:pPr>
      <w:r w:rsidRPr="001F2586">
        <w:rPr>
          <w:rFonts w:eastAsia="Calibri"/>
          <w:noProof/>
        </w:rPr>
        <w:drawing>
          <wp:inline distT="0" distB="0" distL="0" distR="0">
            <wp:extent cx="5220335" cy="2745110"/>
            <wp:effectExtent l="0" t="0" r="0" b="0"/>
            <wp:docPr id="14" name="תמונה 14" descr="כפי שעולה מהתרשים, החזר המשכנתא החודשית הממוצעת של האוכלוסייה החרדית עמד בשנת 2022 על כ-3,836 ש&quot;ח בחודש, של האוכלוסייה הערבית נמוך משמעותית ועמד על כ-2,259 ש&quot;ח לחודש, ואילו החזר המשכנתא הממוצעת של האוכלוסייה היהודית שאינה חרדית עמד על כ-5,130 ש&quot;ח לחוד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745110"/>
                    </a:xfrm>
                    <a:prstGeom prst="rect">
                      <a:avLst/>
                    </a:prstGeom>
                    <a:noFill/>
                    <a:ln>
                      <a:noFill/>
                    </a:ln>
                  </pic:spPr>
                </pic:pic>
              </a:graphicData>
            </a:graphic>
          </wp:inline>
        </w:drawing>
      </w:r>
    </w:p>
    <w:p w:rsidR="00260379" w:rsidP="001F2586">
      <w:pPr>
        <w:spacing w:line="269" w:lineRule="auto"/>
        <w:rPr>
          <w:rFonts w:eastAsia="Calibri"/>
          <w:szCs w:val="20"/>
          <w:rtl/>
        </w:rPr>
      </w:pPr>
      <w:r w:rsidRPr="001F2586">
        <w:rPr>
          <w:rFonts w:eastAsia="Calibri" w:hint="cs"/>
          <w:szCs w:val="20"/>
          <w:rtl/>
        </w:rPr>
        <w:t>על פי נתוני סקר הוצאות משק הבית 2022, בעיבוד משרד מבקר המדינה.</w:t>
      </w:r>
    </w:p>
    <w:p w:rsidR="001F2586" w:rsidRPr="001F2586" w:rsidP="001F2586">
      <w:pPr>
        <w:spacing w:line="269" w:lineRule="auto"/>
        <w:rPr>
          <w:rFonts w:eastAsia="Calibri"/>
          <w:szCs w:val="20"/>
          <w:rtl/>
        </w:rPr>
      </w:pP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כפי שעולה מהתרשים, החזר המשכנתא החודשית הממוצעת של האוכלוסיי</w:t>
      </w:r>
      <w:r w:rsidRPr="001F2586">
        <w:rPr>
          <w:rFonts w:eastAsia="Calibri" w:hint="eastAsia"/>
          <w:b/>
          <w:bCs/>
          <w:rtl/>
        </w:rPr>
        <w:t>ה</w:t>
      </w:r>
      <w:r w:rsidRPr="001F2586">
        <w:rPr>
          <w:rFonts w:eastAsia="Calibri" w:hint="cs"/>
          <w:b/>
          <w:bCs/>
          <w:rtl/>
        </w:rPr>
        <w:t xml:space="preserve"> החרדית עמד בשנת 2022 על כ-3,836 ש"ח בחודש, של האוכלוסיי</w:t>
      </w:r>
      <w:r w:rsidRPr="001F2586">
        <w:rPr>
          <w:rFonts w:eastAsia="Calibri" w:hint="eastAsia"/>
          <w:b/>
          <w:bCs/>
          <w:rtl/>
        </w:rPr>
        <w:t>ה</w:t>
      </w:r>
      <w:r w:rsidRPr="001F2586">
        <w:rPr>
          <w:rFonts w:eastAsia="Calibri" w:hint="cs"/>
          <w:b/>
          <w:bCs/>
          <w:rtl/>
        </w:rPr>
        <w:t xml:space="preserve"> הערבית נמוך משמעותית ועמד על כ-2,259 ש"ח לחודש, ואילו החזר המשכנתא הממוצעת של האוכלוסיי</w:t>
      </w:r>
      <w:r w:rsidRPr="001F2586">
        <w:rPr>
          <w:rFonts w:eastAsia="Calibri" w:hint="eastAsia"/>
          <w:b/>
          <w:bCs/>
          <w:rtl/>
        </w:rPr>
        <w:t>ה</w:t>
      </w:r>
      <w:r w:rsidRPr="001F2586">
        <w:rPr>
          <w:rFonts w:eastAsia="Calibri" w:hint="cs"/>
          <w:b/>
          <w:bCs/>
          <w:rtl/>
        </w:rPr>
        <w:t xml:space="preserve"> היהודית שאינה חרדית עמד על כ-5,130 ש"ח לחודש.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בין הסיבות המשפיעות על </w:t>
      </w:r>
      <w:r w:rsidRPr="001F2586">
        <w:rPr>
          <w:rFonts w:eastAsia="Calibri"/>
          <w:rtl/>
        </w:rPr>
        <w:t>הביקושים</w:t>
      </w:r>
      <w:r w:rsidRPr="001F2586">
        <w:rPr>
          <w:rFonts w:eastAsia="Calibri"/>
          <w:rtl/>
        </w:rPr>
        <w:t xml:space="preserve"> למשכנתאות, ניתן למנות את העובדה שהשקעה בנדל"ן כנדל"ן מניב רווחת פחות בחברה הערבית בהשוואה למקובל בחברה היהודית. כמו כן, מספר הנפשות למשפחה בחברה הערבית גדול יותר, בממוצע, בהשוואה לחברה היהודית</w:t>
      </w:r>
      <w:r w:rsidRPr="001F2586">
        <w:rPr>
          <w:rFonts w:eastAsia="Calibri" w:hint="cs"/>
          <w:rtl/>
        </w:rPr>
        <w:t xml:space="preserve"> הלא חרדית</w:t>
      </w:r>
      <w:r w:rsidRPr="001F2586">
        <w:rPr>
          <w:rFonts w:eastAsia="Calibri"/>
          <w:rtl/>
        </w:rPr>
        <w:t xml:space="preserve">, </w:t>
      </w:r>
      <w:r w:rsidRPr="001F2586">
        <w:rPr>
          <w:rFonts w:eastAsia="Calibri"/>
          <w:rtl/>
        </w:rPr>
        <w:t>זאת אומרת שעבור אותו היקף אוכלוסייה, קיימים פחות משקי בית</w:t>
      </w:r>
      <w:r>
        <w:rPr>
          <w:rFonts w:eastAsia="Calibri"/>
          <w:vertAlign w:val="superscript"/>
          <w:rtl/>
        </w:rPr>
        <w:footnoteReference w:id="336"/>
      </w:r>
      <w:r w:rsidRPr="001F2586">
        <w:rPr>
          <w:rFonts w:eastAsia="Calibri"/>
          <w:rtl/>
        </w:rPr>
        <w:t xml:space="preserve">. עוד יצוין כי כפועל יוצא מהזיקה </w:t>
      </w:r>
      <w:r w:rsidRPr="001F2586">
        <w:rPr>
          <w:rFonts w:eastAsia="Calibri" w:hint="eastAsia"/>
          <w:rtl/>
        </w:rPr>
        <w:t>החמ</w:t>
      </w:r>
      <w:r w:rsidRPr="001F2586">
        <w:rPr>
          <w:rFonts w:eastAsia="Calibri" w:hint="cs"/>
          <w:rtl/>
        </w:rPr>
        <w:t>ו</w:t>
      </w:r>
      <w:r w:rsidRPr="001F2586">
        <w:rPr>
          <w:rFonts w:eastAsia="Calibri" w:hint="eastAsia"/>
          <w:rtl/>
        </w:rPr>
        <w:t>לתית</w:t>
      </w:r>
      <w:r w:rsidRPr="001F2586">
        <w:rPr>
          <w:rFonts w:eastAsia="Calibri"/>
          <w:rtl/>
        </w:rPr>
        <w:t xml:space="preserve"> </w:t>
      </w:r>
      <w:r w:rsidRPr="001F2586">
        <w:rPr>
          <w:rFonts w:eastAsia="Calibri" w:hint="eastAsia"/>
          <w:rtl/>
        </w:rPr>
        <w:t>הכוללת</w:t>
      </w:r>
      <w:r w:rsidRPr="001F2586">
        <w:rPr>
          <w:rFonts w:eastAsia="Calibri"/>
          <w:rtl/>
        </w:rPr>
        <w:t xml:space="preserve"> </w:t>
      </w:r>
      <w:r w:rsidRPr="001F2586">
        <w:rPr>
          <w:rFonts w:eastAsia="Calibri" w:hint="eastAsia"/>
          <w:rtl/>
        </w:rPr>
        <w:t>בין</w:t>
      </w:r>
      <w:r w:rsidRPr="001F2586">
        <w:rPr>
          <w:rFonts w:eastAsia="Calibri"/>
          <w:rtl/>
        </w:rPr>
        <w:t xml:space="preserve"> </w:t>
      </w:r>
      <w:r w:rsidRPr="001F2586">
        <w:rPr>
          <w:rFonts w:eastAsia="Calibri" w:hint="eastAsia"/>
          <w:rtl/>
        </w:rPr>
        <w:t>היתר</w:t>
      </w:r>
      <w:r w:rsidRPr="001F2586">
        <w:rPr>
          <w:rFonts w:eastAsia="Calibri"/>
          <w:rtl/>
        </w:rPr>
        <w:t xml:space="preserve"> </w:t>
      </w:r>
      <w:r w:rsidRPr="001F2586">
        <w:rPr>
          <w:rFonts w:eastAsia="Calibri" w:hint="eastAsia"/>
          <w:rtl/>
        </w:rPr>
        <w:t>את</w:t>
      </w:r>
      <w:r w:rsidRPr="001F2586">
        <w:rPr>
          <w:rFonts w:eastAsia="Calibri"/>
          <w:rtl/>
        </w:rPr>
        <w:t xml:space="preserve"> </w:t>
      </w:r>
      <w:r w:rsidRPr="001F2586">
        <w:rPr>
          <w:rFonts w:eastAsia="Calibri" w:hint="eastAsia"/>
          <w:rtl/>
        </w:rPr>
        <w:t>הסיוע</w:t>
      </w:r>
      <w:r w:rsidRPr="001F2586">
        <w:rPr>
          <w:rFonts w:eastAsia="Calibri"/>
          <w:rtl/>
        </w:rPr>
        <w:t xml:space="preserve"> </w:t>
      </w:r>
      <w:r w:rsidRPr="001F2586">
        <w:rPr>
          <w:rFonts w:eastAsia="Calibri" w:hint="eastAsia"/>
          <w:rtl/>
        </w:rPr>
        <w:t>הכספי</w:t>
      </w:r>
      <w:r w:rsidRPr="001F2586">
        <w:rPr>
          <w:rFonts w:eastAsia="Calibri"/>
          <w:rtl/>
        </w:rPr>
        <w:t xml:space="preserve"> </w:t>
      </w:r>
      <w:r w:rsidRPr="001F2586">
        <w:rPr>
          <w:rFonts w:eastAsia="Calibri" w:hint="eastAsia"/>
          <w:rtl/>
        </w:rPr>
        <w:t>לצרכי</w:t>
      </w:r>
      <w:r w:rsidRPr="001F2586">
        <w:rPr>
          <w:rFonts w:eastAsia="Calibri"/>
          <w:rtl/>
        </w:rPr>
        <w:t xml:space="preserve"> </w:t>
      </w:r>
      <w:r w:rsidRPr="001F2586">
        <w:rPr>
          <w:rFonts w:eastAsia="Calibri" w:hint="eastAsia"/>
          <w:rtl/>
        </w:rPr>
        <w:t>בנייה</w:t>
      </w:r>
      <w:r w:rsidRPr="001F2586">
        <w:rPr>
          <w:rFonts w:eastAsia="Calibri"/>
          <w:rtl/>
        </w:rPr>
        <w:t xml:space="preserve">, </w:t>
      </w:r>
      <w:r w:rsidRPr="001F2586">
        <w:rPr>
          <w:rFonts w:eastAsia="Calibri" w:hint="eastAsia"/>
          <w:rtl/>
        </w:rPr>
        <w:t>הסתמכות</w:t>
      </w:r>
      <w:r w:rsidRPr="001F2586">
        <w:rPr>
          <w:rFonts w:eastAsia="Calibri"/>
          <w:rtl/>
        </w:rPr>
        <w:t xml:space="preserve"> </w:t>
      </w:r>
      <w:r w:rsidRPr="001F2586">
        <w:rPr>
          <w:rFonts w:eastAsia="Calibri" w:hint="eastAsia"/>
          <w:rtl/>
        </w:rPr>
        <w:t>המשפחות</w:t>
      </w:r>
      <w:r w:rsidRPr="001F2586">
        <w:rPr>
          <w:rFonts w:eastAsia="Calibri"/>
          <w:rtl/>
        </w:rPr>
        <w:t xml:space="preserve"> </w:t>
      </w:r>
      <w:r w:rsidRPr="001F2586">
        <w:rPr>
          <w:rFonts w:eastAsia="Calibri" w:hint="eastAsia"/>
          <w:rtl/>
        </w:rPr>
        <w:t>הערביות</w:t>
      </w:r>
      <w:r w:rsidRPr="001F2586">
        <w:rPr>
          <w:rFonts w:eastAsia="Calibri"/>
          <w:rtl/>
        </w:rPr>
        <w:t xml:space="preserve"> </w:t>
      </w:r>
      <w:r w:rsidRPr="001F2586">
        <w:rPr>
          <w:rFonts w:eastAsia="Calibri" w:hint="eastAsia"/>
          <w:rtl/>
        </w:rPr>
        <w:t>על</w:t>
      </w:r>
      <w:r w:rsidRPr="001F2586">
        <w:rPr>
          <w:rFonts w:eastAsia="Calibri"/>
          <w:rtl/>
        </w:rPr>
        <w:t xml:space="preserve"> </w:t>
      </w:r>
      <w:r w:rsidRPr="001F2586">
        <w:rPr>
          <w:rFonts w:eastAsia="Calibri" w:hint="eastAsia"/>
          <w:rtl/>
        </w:rPr>
        <w:t>משכנתאות</w:t>
      </w:r>
      <w:r w:rsidRPr="001F2586">
        <w:rPr>
          <w:rFonts w:eastAsia="Calibri"/>
          <w:rtl/>
        </w:rPr>
        <w:t xml:space="preserve"> </w:t>
      </w:r>
      <w:r w:rsidRPr="001F2586">
        <w:rPr>
          <w:rFonts w:eastAsia="Calibri" w:hint="eastAsia"/>
          <w:rtl/>
        </w:rPr>
        <w:t>נמוכה</w:t>
      </w:r>
      <w:r w:rsidRPr="001F2586">
        <w:rPr>
          <w:rFonts w:eastAsia="Calibri"/>
          <w:rtl/>
        </w:rPr>
        <w:t xml:space="preserve"> </w:t>
      </w:r>
      <w:r w:rsidRPr="001F2586">
        <w:rPr>
          <w:rFonts w:eastAsia="Calibri" w:hint="eastAsia"/>
          <w:rtl/>
        </w:rPr>
        <w:t>מאוד</w:t>
      </w:r>
      <w:r w:rsidRPr="001F2586">
        <w:rPr>
          <w:rFonts w:eastAsia="Calibri"/>
          <w:rtl/>
        </w:rPr>
        <w:t>.</w:t>
      </w:r>
      <w:r w:rsidRPr="001F2586">
        <w:rPr>
          <w:rFonts w:eastAsia="Calibri" w:hint="cs"/>
          <w:rtl/>
        </w:rPr>
        <w:t xml:space="preserve"> כמו כן, האוכלוסייה הערבית נתקלת בקשיים בלקיחת משכנתאות בנקאיות בשל בעיית רישום המקרקעין ולפיכך לעיתים פונים ללקיחת משכנתאות חוץ בנקאיות.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משרד מבקר המדינה פנה לבנק ישראל בדצמבר 2025 וביקש לקבל נתונים נבחרים הקשורים למשכנתאות שנלקחו בשנים 2024 - 2016 </w:t>
      </w:r>
      <w:r w:rsidRPr="001F2586">
        <w:rPr>
          <w:rFonts w:eastAsia="Calibri"/>
          <w:rtl/>
        </w:rPr>
        <w:t>עבור ארבע קבוצות אוכלוסייה</w:t>
      </w:r>
      <w:r w:rsidRPr="001F2586">
        <w:rPr>
          <w:rFonts w:eastAsia="Calibri" w:hint="cs"/>
          <w:rtl/>
        </w:rPr>
        <w:t xml:space="preserve"> שונות</w:t>
      </w:r>
      <w:r w:rsidRPr="001F2586">
        <w:rPr>
          <w:rFonts w:eastAsia="Calibri"/>
          <w:rtl/>
        </w:rPr>
        <w:t xml:space="preserve">: יישובי החברה הערבית, </w:t>
      </w:r>
      <w:r w:rsidRPr="001F2586">
        <w:rPr>
          <w:rFonts w:eastAsia="Calibri" w:hint="cs"/>
          <w:rtl/>
        </w:rPr>
        <w:t>יישובי החברה היהודית</w:t>
      </w:r>
      <w:r w:rsidRPr="001F2586">
        <w:rPr>
          <w:rFonts w:eastAsia="Calibri"/>
          <w:rtl/>
        </w:rPr>
        <w:t xml:space="preserve">, </w:t>
      </w:r>
      <w:r w:rsidRPr="001F2586">
        <w:rPr>
          <w:rFonts w:eastAsia="Calibri" w:hint="cs"/>
          <w:rtl/>
        </w:rPr>
        <w:t>ישובים מעורבים ויישובי החברה והחרדית</w:t>
      </w:r>
      <w:r w:rsidRPr="001F2586">
        <w:rPr>
          <w:rFonts w:eastAsia="Calibri"/>
          <w:rtl/>
        </w:rPr>
        <w:t xml:space="preserve">. </w:t>
      </w:r>
      <w:r w:rsidRPr="001F2586">
        <w:rPr>
          <w:rFonts w:eastAsia="Calibri" w:hint="cs"/>
          <w:rtl/>
        </w:rPr>
        <w:t>להלן העיבודים שערך משרד מבקר המדינה בנתונים האמורים:</w:t>
      </w:r>
    </w:p>
    <w:p w:rsidR="001F2586" w:rsidRPr="001F2586" w:rsidP="001F2586">
      <w:pPr>
        <w:spacing w:line="269" w:lineRule="auto"/>
        <w:ind w:left="-567"/>
        <w:rPr>
          <w:rFonts w:eastAsia="Calibri"/>
          <w:szCs w:val="20"/>
          <w:rtl/>
        </w:rPr>
      </w:pP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b/>
          <w:bCs/>
          <w:rtl/>
        </w:rPr>
      </w:pPr>
      <w:r w:rsidRPr="001F2586">
        <w:rPr>
          <w:rFonts w:eastAsia="Calibri" w:hint="eastAsia"/>
          <w:rtl/>
        </w:rPr>
        <w:t>תרשים</w:t>
      </w:r>
      <w:r w:rsidRPr="001F2586">
        <w:rPr>
          <w:rFonts w:eastAsia="Calibri"/>
          <w:rtl/>
        </w:rPr>
        <w:t xml:space="preserve"> </w:t>
      </w:r>
      <w:r w:rsidRPr="001F2586">
        <w:rPr>
          <w:rFonts w:eastAsia="Calibri" w:hint="cs"/>
          <w:rtl/>
        </w:rPr>
        <w:t>47</w:t>
      </w:r>
      <w:r w:rsidRPr="001F2586">
        <w:rPr>
          <w:rFonts w:eastAsia="Calibri"/>
          <w:rtl/>
        </w:rPr>
        <w:t>:</w:t>
      </w:r>
      <w:r w:rsidRPr="001F2586">
        <w:rPr>
          <w:rFonts w:eastAsia="Calibri"/>
          <w:b/>
          <w:bCs/>
          <w:rtl/>
        </w:rPr>
        <w:t xml:space="preserve"> מספר העסקאות לשנים 2016</w:t>
      </w:r>
      <w:r w:rsidRPr="001F2586">
        <w:rPr>
          <w:rFonts w:eastAsia="Calibri" w:hint="cs"/>
          <w:b/>
          <w:bCs/>
          <w:rtl/>
        </w:rPr>
        <w:t xml:space="preserve"> - </w:t>
      </w:r>
      <w:r w:rsidRPr="001F2586">
        <w:rPr>
          <w:rFonts w:eastAsia="Calibri"/>
          <w:b/>
          <w:bCs/>
          <w:rtl/>
        </w:rPr>
        <w:t>2023</w:t>
      </w:r>
      <w:r w:rsidRPr="001F2586">
        <w:rPr>
          <w:rFonts w:eastAsia="Calibri" w:hint="cs"/>
          <w:b/>
          <w:bCs/>
          <w:rtl/>
        </w:rPr>
        <w:t>,</w:t>
      </w:r>
      <w:r w:rsidRPr="001F2586">
        <w:rPr>
          <w:rFonts w:eastAsia="Calibri"/>
          <w:b/>
          <w:bCs/>
          <w:rtl/>
        </w:rPr>
        <w:t xml:space="preserve"> בפילוח לפי המגזרים השונים</w:t>
      </w:r>
    </w:p>
    <w:p w:rsidR="001F2586" w:rsidRPr="001F2586" w:rsidP="001F2586">
      <w:pPr>
        <w:spacing w:line="269" w:lineRule="auto"/>
        <w:rPr>
          <w:rFonts w:eastAsia="Calibri"/>
          <w:szCs w:val="20"/>
          <w:rtl/>
        </w:rPr>
      </w:pPr>
      <w:r w:rsidRPr="001F2586">
        <w:rPr>
          <w:rFonts w:eastAsia="Calibri"/>
          <w:noProof/>
        </w:rPr>
        <w:drawing>
          <wp:inline distT="0" distB="0" distL="0" distR="0">
            <wp:extent cx="5219667" cy="2871037"/>
            <wp:effectExtent l="0" t="0" r="635" b="5715"/>
            <wp:docPr id="76" name="תמונה 76" descr="מהתרשים עולה כי קיימת עלייה בהיקף העסקאות משנת 2016 ועד שנת 2021 כאשר שנת השיא הינה בשנת 2021 שבה היו 91,567 עסקאות בישובים היהודים שאינם חרדים, 18,623 עסקאות בישובים המעורבים, 5,351 עסקאות בישובים החרדים ו-1,416 עסקאות בישובים בחברה הערבית. כפי שניתן לראות מהתרשים מספר העסקאות ביישובי החברה הערבית הוא הקטן מבין כול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t="5728"/>
                    <a:stretch>
                      <a:fillRect/>
                    </a:stretch>
                  </pic:blipFill>
                  <pic:spPr bwMode="auto">
                    <a:xfrm>
                      <a:off x="0" y="0"/>
                      <a:ext cx="5220335" cy="28714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 xml:space="preserve">על פי </w:t>
      </w:r>
      <w:r w:rsidRPr="001F2586">
        <w:rPr>
          <w:rFonts w:eastAsia="Calibri" w:hint="eastAsia"/>
          <w:szCs w:val="20"/>
          <w:rtl/>
        </w:rPr>
        <w:t>נתוני</w:t>
      </w:r>
      <w:r w:rsidRPr="001F2586">
        <w:rPr>
          <w:rFonts w:eastAsia="Calibri"/>
          <w:szCs w:val="20"/>
          <w:rtl/>
        </w:rPr>
        <w:t xml:space="preserve"> בנק ישראל</w:t>
      </w:r>
      <w:r w:rsidRPr="001F2586">
        <w:rPr>
          <w:rFonts w:eastAsia="Calibri" w:hint="cs"/>
          <w:szCs w:val="20"/>
          <w:rtl/>
        </w:rPr>
        <w:t>,</w:t>
      </w:r>
      <w:r w:rsidRPr="001F2586">
        <w:rPr>
          <w:rFonts w:eastAsia="Calibri"/>
          <w:szCs w:val="20"/>
          <w:rtl/>
        </w:rPr>
        <w:t xml:space="preserve"> בעיבוד משרד מבקר המדינה</w:t>
      </w:r>
      <w:r w:rsidRPr="001F2586">
        <w:rPr>
          <w:rFonts w:eastAsia="Calibri" w:hint="cs"/>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מהתרשים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כי </w:t>
      </w:r>
      <w:r w:rsidRPr="001F2586">
        <w:rPr>
          <w:rFonts w:eastAsia="Calibri" w:hint="eastAsia"/>
          <w:b/>
          <w:bCs/>
          <w:rtl/>
        </w:rPr>
        <w:t>קיימת</w:t>
      </w:r>
      <w:r w:rsidRPr="001F2586">
        <w:rPr>
          <w:rFonts w:eastAsia="Calibri"/>
          <w:b/>
          <w:bCs/>
          <w:rtl/>
        </w:rPr>
        <w:t xml:space="preserve"> </w:t>
      </w:r>
      <w:r w:rsidRPr="001F2586">
        <w:rPr>
          <w:rFonts w:eastAsia="Calibri" w:hint="eastAsia"/>
          <w:b/>
          <w:bCs/>
          <w:rtl/>
        </w:rPr>
        <w:t>עלייה</w:t>
      </w:r>
      <w:r w:rsidRPr="001F2586">
        <w:rPr>
          <w:rFonts w:eastAsia="Calibri"/>
          <w:b/>
          <w:bCs/>
          <w:rtl/>
        </w:rPr>
        <w:t xml:space="preserve"> </w:t>
      </w:r>
      <w:r w:rsidRPr="001F2586">
        <w:rPr>
          <w:rFonts w:eastAsia="Calibri" w:hint="eastAsia"/>
          <w:b/>
          <w:bCs/>
          <w:rtl/>
        </w:rPr>
        <w:t>בהיקף</w:t>
      </w:r>
      <w:r w:rsidRPr="001F2586">
        <w:rPr>
          <w:rFonts w:eastAsia="Calibri"/>
          <w:b/>
          <w:bCs/>
          <w:rtl/>
        </w:rPr>
        <w:t xml:space="preserve"> </w:t>
      </w:r>
      <w:r w:rsidRPr="001F2586">
        <w:rPr>
          <w:rFonts w:eastAsia="Calibri" w:hint="eastAsia"/>
          <w:b/>
          <w:bCs/>
          <w:rtl/>
        </w:rPr>
        <w:t>העסקאות</w:t>
      </w:r>
      <w:r w:rsidRPr="001F2586">
        <w:rPr>
          <w:rFonts w:eastAsia="Calibri"/>
          <w:b/>
          <w:bCs/>
          <w:rtl/>
        </w:rPr>
        <w:t xml:space="preserve"> </w:t>
      </w:r>
      <w:r w:rsidRPr="001F2586">
        <w:rPr>
          <w:rFonts w:eastAsia="Calibri" w:hint="eastAsia"/>
          <w:b/>
          <w:bCs/>
          <w:rtl/>
        </w:rPr>
        <w:t>משנת</w:t>
      </w:r>
      <w:r w:rsidRPr="001F2586">
        <w:rPr>
          <w:rFonts w:eastAsia="Calibri"/>
          <w:b/>
          <w:bCs/>
          <w:rtl/>
        </w:rPr>
        <w:t xml:space="preserve"> 2016 </w:t>
      </w:r>
      <w:r w:rsidRPr="001F2586">
        <w:rPr>
          <w:rFonts w:eastAsia="Calibri" w:hint="eastAsia"/>
          <w:b/>
          <w:bCs/>
          <w:rtl/>
        </w:rPr>
        <w:t>ועד</w:t>
      </w:r>
      <w:r w:rsidRPr="001F2586">
        <w:rPr>
          <w:rFonts w:eastAsia="Calibri"/>
          <w:b/>
          <w:bCs/>
          <w:rtl/>
        </w:rPr>
        <w:t xml:space="preserve"> </w:t>
      </w:r>
      <w:r w:rsidRPr="001F2586">
        <w:rPr>
          <w:rFonts w:eastAsia="Calibri" w:hint="eastAsia"/>
          <w:b/>
          <w:bCs/>
          <w:rtl/>
        </w:rPr>
        <w:t>שנת</w:t>
      </w:r>
      <w:r w:rsidRPr="001F2586">
        <w:rPr>
          <w:rFonts w:eastAsia="Calibri"/>
          <w:b/>
          <w:bCs/>
          <w:rtl/>
        </w:rPr>
        <w:t xml:space="preserve"> 2021 </w:t>
      </w:r>
      <w:r w:rsidRPr="001F2586">
        <w:rPr>
          <w:rFonts w:eastAsia="Calibri" w:hint="eastAsia"/>
          <w:b/>
          <w:bCs/>
          <w:rtl/>
        </w:rPr>
        <w:t>כאשר</w:t>
      </w:r>
      <w:r w:rsidRPr="001F2586">
        <w:rPr>
          <w:rFonts w:eastAsia="Calibri"/>
          <w:b/>
          <w:bCs/>
          <w:rtl/>
        </w:rPr>
        <w:t xml:space="preserve"> </w:t>
      </w:r>
      <w:r w:rsidRPr="001F2586">
        <w:rPr>
          <w:rFonts w:eastAsia="Calibri" w:hint="cs"/>
          <w:b/>
          <w:bCs/>
          <w:rtl/>
        </w:rPr>
        <w:t>שנת השיא</w:t>
      </w:r>
      <w:r w:rsidRPr="001F2586">
        <w:rPr>
          <w:rFonts w:eastAsia="Calibri"/>
          <w:b/>
          <w:bCs/>
          <w:rtl/>
        </w:rPr>
        <w:t xml:space="preserve"> </w:t>
      </w:r>
      <w:r w:rsidRPr="001F2586">
        <w:rPr>
          <w:rFonts w:eastAsia="Calibri" w:hint="cs"/>
          <w:b/>
          <w:bCs/>
          <w:rtl/>
        </w:rPr>
        <w:t>הינה</w:t>
      </w:r>
      <w:r w:rsidRPr="001F2586">
        <w:rPr>
          <w:rFonts w:eastAsia="Calibri"/>
          <w:b/>
          <w:bCs/>
          <w:rtl/>
        </w:rPr>
        <w:t xml:space="preserve"> </w:t>
      </w:r>
      <w:r w:rsidRPr="001F2586">
        <w:rPr>
          <w:rFonts w:eastAsia="Calibri" w:hint="eastAsia"/>
          <w:b/>
          <w:bCs/>
          <w:rtl/>
        </w:rPr>
        <w:t>בשנת</w:t>
      </w:r>
      <w:r w:rsidRPr="001F2586">
        <w:rPr>
          <w:rFonts w:eastAsia="Calibri"/>
          <w:b/>
          <w:bCs/>
          <w:rtl/>
        </w:rPr>
        <w:t xml:space="preserve"> 2021 </w:t>
      </w:r>
      <w:r w:rsidRPr="001F2586">
        <w:rPr>
          <w:rFonts w:eastAsia="Calibri" w:hint="cs"/>
          <w:b/>
          <w:bCs/>
          <w:rtl/>
        </w:rPr>
        <w:t>שבה היו 91,567 עסקאות בישובים היהודים שאינם חרדים, 18,623 עסקאות בישובים המעורבים, 5,351 עסקאות בישובים החרדים ו-1,416 עסקאות בישובים בחברה הערבית.</w:t>
      </w:r>
      <w:r w:rsidRPr="001F2586">
        <w:rPr>
          <w:rFonts w:eastAsia="Calibri"/>
          <w:b/>
          <w:bCs/>
          <w:rtl/>
        </w:rPr>
        <w:t xml:space="preserve"> </w:t>
      </w:r>
      <w:r w:rsidRPr="001F2586">
        <w:rPr>
          <w:rFonts w:eastAsia="Calibri" w:hint="cs"/>
          <w:b/>
          <w:bCs/>
          <w:rtl/>
        </w:rPr>
        <w:t xml:space="preserve">כפי שניתן לראות מהתרשים מספר העסקאות ביישובי החברה הערבית הוא הקטן מבין כולם.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להלן</w:t>
      </w:r>
      <w:r w:rsidRPr="001F2586">
        <w:rPr>
          <w:rFonts w:eastAsia="Calibri"/>
          <w:rtl/>
        </w:rPr>
        <w:t xml:space="preserve"> נתונים אודות </w:t>
      </w:r>
      <w:r w:rsidRPr="001F2586">
        <w:rPr>
          <w:rFonts w:eastAsia="Calibri" w:hint="eastAsia"/>
          <w:rtl/>
        </w:rPr>
        <w:t>שיעורי</w:t>
      </w:r>
      <w:r w:rsidRPr="001F2586">
        <w:rPr>
          <w:rFonts w:eastAsia="Calibri"/>
          <w:rtl/>
        </w:rPr>
        <w:t xml:space="preserve"> הריבית </w:t>
      </w:r>
      <w:r w:rsidRPr="001F2586">
        <w:rPr>
          <w:rFonts w:eastAsia="Calibri" w:hint="eastAsia"/>
          <w:rtl/>
        </w:rPr>
        <w:t>משנת</w:t>
      </w:r>
      <w:r w:rsidRPr="001F2586">
        <w:rPr>
          <w:rFonts w:eastAsia="Calibri"/>
          <w:rtl/>
        </w:rPr>
        <w:t xml:space="preserve"> 2016 </w:t>
      </w:r>
      <w:r w:rsidRPr="001F2586">
        <w:rPr>
          <w:rFonts w:eastAsia="Calibri" w:hint="eastAsia"/>
          <w:rtl/>
        </w:rPr>
        <w:t>ועד</w:t>
      </w:r>
      <w:r w:rsidRPr="001F2586">
        <w:rPr>
          <w:rFonts w:eastAsia="Calibri"/>
          <w:rtl/>
        </w:rPr>
        <w:t xml:space="preserve"> </w:t>
      </w:r>
      <w:r w:rsidRPr="001F2586">
        <w:rPr>
          <w:rFonts w:eastAsia="Calibri" w:hint="eastAsia"/>
          <w:rtl/>
        </w:rPr>
        <w:t>הרבעון</w:t>
      </w:r>
      <w:r w:rsidRPr="001F2586">
        <w:rPr>
          <w:rFonts w:eastAsia="Calibri"/>
          <w:rtl/>
        </w:rPr>
        <w:t xml:space="preserve"> </w:t>
      </w:r>
      <w:r w:rsidRPr="001F2586">
        <w:rPr>
          <w:rFonts w:eastAsia="Calibri" w:hint="eastAsia"/>
          <w:rtl/>
        </w:rPr>
        <w:t>הראשון</w:t>
      </w:r>
      <w:r w:rsidRPr="001F2586">
        <w:rPr>
          <w:rFonts w:eastAsia="Calibri"/>
          <w:rtl/>
        </w:rPr>
        <w:t xml:space="preserve"> </w:t>
      </w:r>
      <w:r w:rsidRPr="001F2586">
        <w:rPr>
          <w:rFonts w:eastAsia="Calibri" w:hint="eastAsia"/>
          <w:rtl/>
        </w:rPr>
        <w:t>לשנת</w:t>
      </w:r>
      <w:r w:rsidRPr="001F2586">
        <w:rPr>
          <w:rFonts w:eastAsia="Calibri"/>
          <w:rtl/>
        </w:rPr>
        <w:t xml:space="preserve"> 2024 </w:t>
      </w:r>
      <w:r w:rsidRPr="001F2586">
        <w:rPr>
          <w:rFonts w:eastAsia="Calibri" w:hint="eastAsia"/>
          <w:rtl/>
        </w:rPr>
        <w:t>בחלוקה</w:t>
      </w:r>
      <w:r w:rsidRPr="001F2586">
        <w:rPr>
          <w:rFonts w:eastAsia="Calibri"/>
          <w:rtl/>
        </w:rPr>
        <w:t xml:space="preserve"> </w:t>
      </w:r>
      <w:r w:rsidRPr="001F2586">
        <w:rPr>
          <w:rFonts w:eastAsia="Calibri" w:hint="eastAsia"/>
          <w:rtl/>
        </w:rPr>
        <w:t>לפי</w:t>
      </w:r>
      <w:r w:rsidRPr="001F2586">
        <w:rPr>
          <w:rFonts w:eastAsia="Calibri"/>
          <w:rtl/>
        </w:rPr>
        <w:t xml:space="preserve"> </w:t>
      </w:r>
      <w:r w:rsidRPr="001F2586">
        <w:rPr>
          <w:rFonts w:eastAsia="Calibri" w:hint="eastAsia"/>
          <w:rtl/>
        </w:rPr>
        <w:t>מגזרים</w:t>
      </w:r>
      <w:r w:rsidRPr="001F2586">
        <w:rPr>
          <w:rFonts w:eastAsia="Calibri"/>
          <w:rtl/>
        </w:rPr>
        <w:t xml:space="preserve"> </w:t>
      </w:r>
      <w:r w:rsidRPr="001F2586">
        <w:rPr>
          <w:rFonts w:eastAsia="Calibri" w:hint="eastAsia"/>
          <w:rtl/>
        </w:rPr>
        <w:t>וסוגי</w:t>
      </w:r>
      <w:r w:rsidRPr="001F2586">
        <w:rPr>
          <w:rFonts w:eastAsia="Calibri"/>
          <w:rtl/>
        </w:rPr>
        <w:t xml:space="preserve"> </w:t>
      </w:r>
      <w:r w:rsidRPr="001F2586">
        <w:rPr>
          <w:rFonts w:eastAsia="Calibri" w:hint="cs"/>
          <w:rtl/>
        </w:rPr>
        <w:t xml:space="preserve">המסלולים השונים </w:t>
      </w:r>
      <w:r w:rsidRPr="001F2586">
        <w:rPr>
          <w:rFonts w:eastAsia="Calibri"/>
          <w:rtl/>
        </w:rPr>
        <w:t xml:space="preserve">- </w:t>
      </w:r>
      <w:r w:rsidRPr="001F2586">
        <w:rPr>
          <w:rFonts w:eastAsia="Calibri" w:hint="eastAsia"/>
          <w:rtl/>
        </w:rPr>
        <w:t>ריבית</w:t>
      </w:r>
      <w:r w:rsidRPr="001F2586">
        <w:rPr>
          <w:rFonts w:eastAsia="Calibri"/>
          <w:rtl/>
        </w:rPr>
        <w:t xml:space="preserve"> </w:t>
      </w:r>
      <w:r w:rsidRPr="001F2586">
        <w:rPr>
          <w:rFonts w:eastAsia="Calibri" w:hint="eastAsia"/>
          <w:rtl/>
        </w:rPr>
        <w:t>קבועה</w:t>
      </w:r>
      <w:r w:rsidRPr="001F2586">
        <w:rPr>
          <w:rFonts w:eastAsia="Calibri"/>
          <w:rtl/>
        </w:rPr>
        <w:t xml:space="preserve"> </w:t>
      </w:r>
      <w:r w:rsidRPr="001F2586">
        <w:rPr>
          <w:rFonts w:eastAsia="Calibri" w:hint="eastAsia"/>
          <w:rtl/>
        </w:rPr>
        <w:t>צמודה</w:t>
      </w:r>
      <w:r w:rsidRPr="001F2586">
        <w:rPr>
          <w:rFonts w:eastAsia="Calibri"/>
          <w:rtl/>
        </w:rPr>
        <w:t xml:space="preserve">, </w:t>
      </w:r>
      <w:r w:rsidRPr="001F2586">
        <w:rPr>
          <w:rFonts w:eastAsia="Calibri" w:hint="eastAsia"/>
          <w:rtl/>
        </w:rPr>
        <w:t>ריבית</w:t>
      </w:r>
      <w:r w:rsidRPr="001F2586">
        <w:rPr>
          <w:rFonts w:eastAsia="Calibri"/>
          <w:rtl/>
        </w:rPr>
        <w:t xml:space="preserve"> </w:t>
      </w:r>
      <w:r w:rsidRPr="001F2586">
        <w:rPr>
          <w:rFonts w:eastAsia="Calibri" w:hint="eastAsia"/>
          <w:rtl/>
        </w:rPr>
        <w:t>משתנה</w:t>
      </w:r>
      <w:r w:rsidRPr="001F2586">
        <w:rPr>
          <w:rFonts w:eastAsia="Calibri"/>
          <w:rtl/>
        </w:rPr>
        <w:t xml:space="preserve"> </w:t>
      </w:r>
      <w:r w:rsidRPr="001F2586">
        <w:rPr>
          <w:rFonts w:eastAsia="Calibri" w:hint="eastAsia"/>
          <w:rtl/>
        </w:rPr>
        <w:t>צמודה</w:t>
      </w:r>
      <w:r w:rsidRPr="001F2586">
        <w:rPr>
          <w:rFonts w:eastAsia="Calibri"/>
          <w:rtl/>
        </w:rPr>
        <w:t xml:space="preserve">, </w:t>
      </w:r>
      <w:r w:rsidRPr="001F2586">
        <w:rPr>
          <w:rFonts w:eastAsia="Calibri" w:hint="eastAsia"/>
          <w:rtl/>
        </w:rPr>
        <w:t>ריבית</w:t>
      </w:r>
      <w:r w:rsidRPr="001F2586">
        <w:rPr>
          <w:rFonts w:eastAsia="Calibri"/>
          <w:rtl/>
        </w:rPr>
        <w:t xml:space="preserve"> </w:t>
      </w:r>
      <w:r w:rsidRPr="001F2586">
        <w:rPr>
          <w:rFonts w:eastAsia="Calibri" w:hint="eastAsia"/>
          <w:rtl/>
        </w:rPr>
        <w:t>קבו</w:t>
      </w:r>
      <w:r w:rsidRPr="001F2586">
        <w:rPr>
          <w:rFonts w:eastAsia="Calibri" w:hint="cs"/>
          <w:rtl/>
        </w:rPr>
        <w:t>ע</w:t>
      </w:r>
      <w:r w:rsidRPr="001F2586">
        <w:rPr>
          <w:rFonts w:eastAsia="Calibri" w:hint="eastAsia"/>
          <w:rtl/>
        </w:rPr>
        <w:t>ה</w:t>
      </w:r>
      <w:r w:rsidRPr="001F2586">
        <w:rPr>
          <w:rFonts w:eastAsia="Calibri"/>
          <w:rtl/>
        </w:rPr>
        <w:t xml:space="preserve"> </w:t>
      </w:r>
      <w:r w:rsidRPr="001F2586">
        <w:rPr>
          <w:rFonts w:eastAsia="Calibri" w:hint="eastAsia"/>
          <w:rtl/>
        </w:rPr>
        <w:t>לא</w:t>
      </w:r>
      <w:r w:rsidRPr="001F2586">
        <w:rPr>
          <w:rFonts w:eastAsia="Calibri"/>
          <w:rtl/>
        </w:rPr>
        <w:t xml:space="preserve"> </w:t>
      </w:r>
      <w:r w:rsidRPr="001F2586">
        <w:rPr>
          <w:rFonts w:eastAsia="Calibri" w:hint="eastAsia"/>
          <w:rtl/>
        </w:rPr>
        <w:t>צמודה</w:t>
      </w:r>
      <w:r w:rsidRPr="001F2586">
        <w:rPr>
          <w:rFonts w:eastAsia="Calibri"/>
          <w:rtl/>
        </w:rPr>
        <w:t xml:space="preserve">, </w:t>
      </w:r>
      <w:r w:rsidRPr="001F2586">
        <w:rPr>
          <w:rFonts w:eastAsia="Calibri" w:hint="eastAsia"/>
          <w:rtl/>
        </w:rPr>
        <w:t>ריבית</w:t>
      </w:r>
      <w:r w:rsidRPr="001F2586">
        <w:rPr>
          <w:rFonts w:eastAsia="Calibri"/>
          <w:rtl/>
        </w:rPr>
        <w:t xml:space="preserve"> </w:t>
      </w:r>
      <w:r w:rsidRPr="001F2586">
        <w:rPr>
          <w:rFonts w:eastAsia="Calibri" w:hint="eastAsia"/>
          <w:rtl/>
        </w:rPr>
        <w:t>משתנה</w:t>
      </w:r>
      <w:r w:rsidRPr="001F2586">
        <w:rPr>
          <w:rFonts w:eastAsia="Calibri"/>
          <w:rtl/>
        </w:rPr>
        <w:t xml:space="preserve"> </w:t>
      </w:r>
      <w:r w:rsidRPr="001F2586">
        <w:rPr>
          <w:rFonts w:eastAsia="Calibri" w:hint="eastAsia"/>
          <w:rtl/>
        </w:rPr>
        <w:t>לא</w:t>
      </w:r>
      <w:r w:rsidRPr="001F2586">
        <w:rPr>
          <w:rFonts w:eastAsia="Calibri"/>
          <w:rtl/>
        </w:rPr>
        <w:t xml:space="preserve"> </w:t>
      </w:r>
      <w:r w:rsidRPr="001F2586">
        <w:rPr>
          <w:rFonts w:eastAsia="Calibri" w:hint="eastAsia"/>
          <w:rtl/>
        </w:rPr>
        <w:t>צמודה</w:t>
      </w:r>
      <w:r w:rsidRPr="001F2586">
        <w:rPr>
          <w:rFonts w:eastAsia="Calibri"/>
          <w:rtl/>
        </w:rPr>
        <w:t xml:space="preserve"> </w:t>
      </w:r>
      <w:r w:rsidRPr="001F2586">
        <w:rPr>
          <w:rFonts w:eastAsia="Calibri" w:hint="eastAsia"/>
          <w:rtl/>
        </w:rPr>
        <w:t>וריבית</w:t>
      </w:r>
      <w:r w:rsidRPr="001F2586">
        <w:rPr>
          <w:rFonts w:eastAsia="Calibri"/>
          <w:rtl/>
        </w:rPr>
        <w:t xml:space="preserve"> </w:t>
      </w:r>
      <w:r w:rsidRPr="001F2586">
        <w:rPr>
          <w:rFonts w:eastAsia="Calibri" w:hint="eastAsia"/>
          <w:rtl/>
        </w:rPr>
        <w:t>פריים</w:t>
      </w:r>
      <w:r w:rsidRPr="001F2586">
        <w:rPr>
          <w:rFonts w:eastAsia="Calibri"/>
          <w:rtl/>
        </w:rPr>
        <w:t xml:space="preserve">. </w:t>
      </w:r>
      <w:r w:rsidRPr="001F2586">
        <w:rPr>
          <w:rFonts w:eastAsia="Calibri" w:hint="eastAsia"/>
          <w:rtl/>
        </w:rPr>
        <w:t>להלן</w:t>
      </w:r>
      <w:r w:rsidRPr="001F2586">
        <w:rPr>
          <w:rFonts w:eastAsia="Calibri"/>
          <w:rtl/>
        </w:rPr>
        <w:t xml:space="preserve"> </w:t>
      </w:r>
      <w:r w:rsidRPr="001F2586">
        <w:rPr>
          <w:rFonts w:eastAsia="Calibri" w:hint="eastAsia"/>
          <w:rtl/>
        </w:rPr>
        <w:t>הנתונים</w:t>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b/>
          <w:bCs/>
        </w:rPr>
      </w:pPr>
      <w:r w:rsidRPr="001F2586">
        <w:rPr>
          <w:rFonts w:eastAsia="Calibri" w:hint="cs"/>
          <w:rtl/>
        </w:rPr>
        <w:t>תרשים 48:</w:t>
      </w:r>
      <w:r w:rsidRPr="001F2586">
        <w:rPr>
          <w:rFonts w:eastAsia="Calibri" w:hint="cs"/>
          <w:b/>
          <w:bCs/>
          <w:rtl/>
        </w:rPr>
        <w:t xml:space="preserve"> שיעורי הריביות (ריבית קבועה צמודה, ריבית משתנה צמודה, ריבית קבועה לא צמודה וריבית משתנה לא צמודה וריבית פריים) משנת 2016 ועד רבעון ראשון לשנת 2024 בחלוקה למגזרים</w:t>
      </w:r>
    </w:p>
    <w:p w:rsidR="001F2586" w:rsidRPr="001F2586" w:rsidP="001F2586">
      <w:pPr>
        <w:spacing w:line="269" w:lineRule="auto"/>
        <w:jc w:val="center"/>
        <w:rPr>
          <w:rFonts w:eastAsia="Calibri"/>
          <w:rtl/>
        </w:rPr>
      </w:pPr>
      <w:r w:rsidRPr="001F2586">
        <w:rPr>
          <w:rFonts w:eastAsia="Calibri"/>
          <w:noProof/>
        </w:rPr>
        <w:drawing>
          <wp:inline distT="0" distB="0" distL="0" distR="0">
            <wp:extent cx="5143500" cy="6819900"/>
            <wp:effectExtent l="0" t="0" r="0" b="0"/>
            <wp:docPr id="75" name="תמונה 75" descr="בתרשים מתוארים שיעורי הריבית לפי סוג המסלול (ריבית קבועה צמודה, ריבית קבועה לא צמודה, ריבית משתנה לא צמודה, ריבית משתנה צמודה וריבית פריים) לפי מגזרים- ערבי, חרדי, יהודי ומעור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xmlns:r="http://schemas.openxmlformats.org/officeDocument/2006/relationships" r:embed="rId62"/>
                    <a:srcRect b="3763"/>
                    <a:stretch>
                      <a:fillRect/>
                    </a:stretch>
                  </pic:blipFill>
                  <pic:spPr bwMode="auto">
                    <a:xfrm>
                      <a:off x="0" y="0"/>
                      <a:ext cx="5143500" cy="68199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על פי נתוני בנק ישראל, בעיבוד משרד מבקר המדינה.</w:t>
      </w:r>
    </w:p>
    <w:p w:rsidR="001F2586" w:rsidRPr="001F2586" w:rsidP="001F2586">
      <w:pPr>
        <w:spacing w:line="269" w:lineRule="auto"/>
        <w:rPr>
          <w:rFonts w:eastAsia="Calibri"/>
          <w:szCs w:val="20"/>
          <w:rtl/>
        </w:rPr>
      </w:pPr>
      <w:r w:rsidRPr="001F2586">
        <w:rPr>
          <w:rFonts w:eastAsia="Calibri" w:hint="cs"/>
          <w:szCs w:val="20"/>
          <w:rtl/>
        </w:rPr>
        <w:t xml:space="preserve">* ק"צ - ריבית קבועה צמודה; </w:t>
      </w:r>
      <w:r w:rsidRPr="001F2586">
        <w:rPr>
          <w:rFonts w:eastAsia="Calibri" w:hint="cs"/>
          <w:szCs w:val="20"/>
          <w:rtl/>
        </w:rPr>
        <w:t>קל"צ</w:t>
      </w:r>
      <w:r w:rsidRPr="001F2586">
        <w:rPr>
          <w:rFonts w:eastAsia="Calibri" w:hint="cs"/>
          <w:szCs w:val="20"/>
          <w:rtl/>
        </w:rPr>
        <w:t xml:space="preserve"> - ריבית קבועה לא צמודה; מ"צ - ריבית משתנה צמודה; </w:t>
      </w:r>
      <w:r w:rsidRPr="001F2586">
        <w:rPr>
          <w:rFonts w:eastAsia="Calibri" w:hint="cs"/>
          <w:szCs w:val="20"/>
          <w:rtl/>
        </w:rPr>
        <w:t>מל"צ</w:t>
      </w:r>
      <w:r w:rsidRPr="001F2586">
        <w:rPr>
          <w:rFonts w:eastAsia="Calibri" w:hint="cs"/>
          <w:szCs w:val="20"/>
          <w:rtl/>
        </w:rPr>
        <w:t xml:space="preserve"> - ריבית משתנה לא צמודה; פריים - ריבית פריים.</w:t>
      </w:r>
    </w:p>
    <w:p w:rsidR="001F2586" w:rsidP="001F2586">
      <w:pPr>
        <w:spacing w:line="269" w:lineRule="auto"/>
        <w:ind w:left="-567"/>
        <w:rPr>
          <w:rFonts w:eastAsia="Calibri"/>
          <w:szCs w:val="20"/>
          <w:rtl/>
        </w:rPr>
      </w:pPr>
    </w:p>
    <w:p w:rsidR="00D54DD2" w:rsidP="0070405E">
      <w:pPr>
        <w:pStyle w:val="a"/>
        <w:spacing w:line="269" w:lineRule="auto"/>
        <w:ind w:left="0"/>
        <w:rPr>
          <w:rtl/>
        </w:rPr>
      </w:pPr>
      <w:r w:rsidRPr="00CB0B5C">
        <w:rPr>
          <w:rFonts w:eastAsiaTheme="majorEastAsia" w:hint="eastAsia"/>
          <w:bCs/>
          <w:szCs w:val="26"/>
          <w:rtl/>
        </w:rPr>
        <w:t>מהתרשים</w:t>
      </w:r>
      <w:r w:rsidRPr="00CB0B5C">
        <w:rPr>
          <w:rFonts w:eastAsiaTheme="majorEastAsia"/>
          <w:bCs/>
          <w:szCs w:val="26"/>
          <w:rtl/>
        </w:rPr>
        <w:t xml:space="preserve"> </w:t>
      </w:r>
      <w:r w:rsidRPr="00CB0B5C">
        <w:rPr>
          <w:rFonts w:eastAsiaTheme="majorEastAsia" w:hint="eastAsia"/>
          <w:bCs/>
          <w:szCs w:val="26"/>
          <w:rtl/>
        </w:rPr>
        <w:t>עולה</w:t>
      </w:r>
      <w:r w:rsidRPr="00CB0B5C">
        <w:rPr>
          <w:rFonts w:eastAsiaTheme="majorEastAsia"/>
          <w:bCs/>
          <w:szCs w:val="26"/>
          <w:rtl/>
        </w:rPr>
        <w:t xml:space="preserve"> </w:t>
      </w:r>
      <w:r w:rsidRPr="00CB0B5C">
        <w:rPr>
          <w:rFonts w:eastAsiaTheme="majorEastAsia" w:hint="eastAsia"/>
          <w:bCs/>
          <w:szCs w:val="26"/>
          <w:rtl/>
        </w:rPr>
        <w:t>כי</w:t>
      </w:r>
      <w:r w:rsidRPr="00CB0B5C">
        <w:rPr>
          <w:rFonts w:eastAsiaTheme="majorEastAsia"/>
          <w:bCs/>
          <w:szCs w:val="26"/>
          <w:rtl/>
        </w:rPr>
        <w:t xml:space="preserve"> </w:t>
      </w:r>
      <w:r w:rsidRPr="00CB0B5C">
        <w:rPr>
          <w:rFonts w:eastAsiaTheme="majorEastAsia" w:hint="eastAsia"/>
          <w:bCs/>
          <w:szCs w:val="26"/>
          <w:rtl/>
        </w:rPr>
        <w:t>קיימת</w:t>
      </w:r>
      <w:r w:rsidRPr="00CB0B5C">
        <w:rPr>
          <w:rFonts w:eastAsiaTheme="majorEastAsia"/>
          <w:bCs/>
          <w:szCs w:val="26"/>
          <w:rtl/>
        </w:rPr>
        <w:t xml:space="preserve"> </w:t>
      </w:r>
      <w:r w:rsidRPr="00CB0B5C">
        <w:rPr>
          <w:rFonts w:eastAsiaTheme="majorEastAsia" w:hint="eastAsia"/>
          <w:bCs/>
          <w:szCs w:val="26"/>
          <w:rtl/>
        </w:rPr>
        <w:t>עלייה</w:t>
      </w:r>
      <w:r w:rsidRPr="00CB0B5C">
        <w:rPr>
          <w:rFonts w:eastAsiaTheme="majorEastAsia"/>
          <w:bCs/>
          <w:szCs w:val="26"/>
          <w:rtl/>
        </w:rPr>
        <w:t xml:space="preserve"> </w:t>
      </w:r>
      <w:r w:rsidRPr="00CB0B5C">
        <w:rPr>
          <w:rFonts w:eastAsiaTheme="majorEastAsia" w:hint="eastAsia"/>
          <w:bCs/>
          <w:szCs w:val="26"/>
          <w:rtl/>
        </w:rPr>
        <w:t>חדה</w:t>
      </w:r>
      <w:r w:rsidRPr="00CB0B5C">
        <w:rPr>
          <w:rFonts w:eastAsiaTheme="majorEastAsia"/>
          <w:bCs/>
          <w:szCs w:val="26"/>
          <w:rtl/>
        </w:rPr>
        <w:t xml:space="preserve"> </w:t>
      </w:r>
      <w:r w:rsidRPr="00CB0B5C">
        <w:rPr>
          <w:rFonts w:eastAsiaTheme="majorEastAsia" w:hint="eastAsia"/>
          <w:bCs/>
          <w:szCs w:val="26"/>
          <w:rtl/>
        </w:rPr>
        <w:t>בריביות</w:t>
      </w:r>
      <w:r w:rsidRPr="00CB0B5C">
        <w:rPr>
          <w:rFonts w:eastAsiaTheme="majorEastAsia"/>
          <w:bCs/>
          <w:szCs w:val="26"/>
          <w:rtl/>
        </w:rPr>
        <w:t xml:space="preserve"> </w:t>
      </w:r>
      <w:r w:rsidRPr="00CB0B5C">
        <w:rPr>
          <w:rFonts w:eastAsiaTheme="majorEastAsia" w:hint="eastAsia"/>
          <w:bCs/>
          <w:szCs w:val="26"/>
          <w:rtl/>
        </w:rPr>
        <w:t>החל</w:t>
      </w:r>
      <w:r w:rsidRPr="00CB0B5C">
        <w:rPr>
          <w:rFonts w:eastAsiaTheme="majorEastAsia"/>
          <w:bCs/>
          <w:szCs w:val="26"/>
          <w:rtl/>
        </w:rPr>
        <w:t xml:space="preserve"> </w:t>
      </w:r>
      <w:r w:rsidRPr="00CB0B5C">
        <w:rPr>
          <w:rFonts w:eastAsiaTheme="majorEastAsia" w:hint="eastAsia"/>
          <w:bCs/>
          <w:szCs w:val="26"/>
          <w:rtl/>
        </w:rPr>
        <w:t>משנת</w:t>
      </w:r>
      <w:r w:rsidRPr="00CB0B5C">
        <w:rPr>
          <w:rFonts w:eastAsiaTheme="majorEastAsia"/>
          <w:bCs/>
          <w:szCs w:val="26"/>
          <w:rtl/>
        </w:rPr>
        <w:t xml:space="preserve"> 2022 </w:t>
      </w:r>
      <w:r w:rsidRPr="00CB0B5C">
        <w:rPr>
          <w:rFonts w:eastAsiaTheme="majorEastAsia" w:hint="eastAsia"/>
          <w:bCs/>
          <w:szCs w:val="26"/>
          <w:rtl/>
        </w:rPr>
        <w:t>בכל</w:t>
      </w:r>
      <w:r w:rsidRPr="00CB0B5C">
        <w:rPr>
          <w:rFonts w:eastAsiaTheme="majorEastAsia"/>
          <w:bCs/>
          <w:szCs w:val="26"/>
          <w:rtl/>
        </w:rPr>
        <w:t xml:space="preserve"> </w:t>
      </w:r>
      <w:r w:rsidRPr="00CB0B5C">
        <w:rPr>
          <w:rFonts w:eastAsiaTheme="majorEastAsia" w:hint="eastAsia"/>
          <w:bCs/>
          <w:szCs w:val="26"/>
          <w:rtl/>
        </w:rPr>
        <w:t>המגזרים</w:t>
      </w:r>
      <w:r w:rsidRPr="00CB0B5C">
        <w:rPr>
          <w:rFonts w:eastAsiaTheme="majorEastAsia"/>
          <w:bCs/>
          <w:szCs w:val="26"/>
          <w:rtl/>
        </w:rPr>
        <w:t xml:space="preserve"> </w:t>
      </w:r>
      <w:r w:rsidRPr="00CB0B5C">
        <w:rPr>
          <w:rFonts w:eastAsiaTheme="majorEastAsia" w:hint="eastAsia"/>
          <w:bCs/>
          <w:szCs w:val="26"/>
          <w:rtl/>
        </w:rPr>
        <w:t>השונים</w:t>
      </w:r>
      <w:r>
        <w:rPr>
          <w:rFonts w:eastAsiaTheme="majorEastAsia" w:hint="cs"/>
          <w:bCs/>
          <w:szCs w:val="26"/>
          <w:rtl/>
        </w:rPr>
        <w:t>,</w:t>
      </w:r>
      <w:r w:rsidRPr="00CB0B5C">
        <w:rPr>
          <w:rFonts w:eastAsiaTheme="majorEastAsia"/>
          <w:bCs/>
          <w:szCs w:val="26"/>
          <w:rtl/>
        </w:rPr>
        <w:t xml:space="preserve"> </w:t>
      </w:r>
      <w:r w:rsidRPr="00CB0B5C">
        <w:rPr>
          <w:rFonts w:eastAsiaTheme="majorEastAsia" w:hint="eastAsia"/>
          <w:bCs/>
          <w:szCs w:val="26"/>
          <w:rtl/>
        </w:rPr>
        <w:t>וזאת</w:t>
      </w:r>
      <w:r w:rsidRPr="00CB0B5C">
        <w:rPr>
          <w:rFonts w:eastAsiaTheme="majorEastAsia"/>
          <w:bCs/>
          <w:szCs w:val="26"/>
          <w:rtl/>
        </w:rPr>
        <w:t xml:space="preserve"> </w:t>
      </w:r>
      <w:r w:rsidRPr="00CB0B5C">
        <w:rPr>
          <w:rFonts w:eastAsiaTheme="majorEastAsia" w:hint="eastAsia"/>
          <w:bCs/>
          <w:szCs w:val="26"/>
          <w:rtl/>
        </w:rPr>
        <w:t>בשל</w:t>
      </w:r>
      <w:r w:rsidRPr="00CB0B5C">
        <w:rPr>
          <w:rFonts w:eastAsiaTheme="majorEastAsia"/>
          <w:bCs/>
          <w:szCs w:val="26"/>
          <w:rtl/>
        </w:rPr>
        <w:t xml:space="preserve"> </w:t>
      </w:r>
      <w:r w:rsidRPr="00CB0B5C">
        <w:rPr>
          <w:rFonts w:eastAsiaTheme="majorEastAsia" w:hint="eastAsia"/>
          <w:bCs/>
          <w:szCs w:val="26"/>
          <w:rtl/>
        </w:rPr>
        <w:t>עליית</w:t>
      </w:r>
      <w:r w:rsidRPr="00CB0B5C">
        <w:rPr>
          <w:rFonts w:eastAsiaTheme="majorEastAsia"/>
          <w:bCs/>
          <w:szCs w:val="26"/>
          <w:rtl/>
        </w:rPr>
        <w:t xml:space="preserve"> </w:t>
      </w:r>
      <w:r w:rsidRPr="00CB0B5C">
        <w:rPr>
          <w:rFonts w:eastAsiaTheme="majorEastAsia" w:hint="eastAsia"/>
          <w:bCs/>
          <w:szCs w:val="26"/>
          <w:rtl/>
        </w:rPr>
        <w:t>ריבית</w:t>
      </w:r>
      <w:r w:rsidRPr="00CB0B5C">
        <w:rPr>
          <w:rFonts w:eastAsiaTheme="majorEastAsia"/>
          <w:bCs/>
          <w:szCs w:val="26"/>
          <w:rtl/>
        </w:rPr>
        <w:t xml:space="preserve"> </w:t>
      </w:r>
      <w:r w:rsidRPr="00CB0B5C">
        <w:rPr>
          <w:rFonts w:eastAsiaTheme="majorEastAsia" w:hint="eastAsia"/>
          <w:bCs/>
          <w:szCs w:val="26"/>
          <w:rtl/>
        </w:rPr>
        <w:t>בנק</w:t>
      </w:r>
      <w:r w:rsidRPr="00CB0B5C">
        <w:rPr>
          <w:rFonts w:eastAsiaTheme="majorEastAsia"/>
          <w:bCs/>
          <w:szCs w:val="26"/>
          <w:rtl/>
        </w:rPr>
        <w:t xml:space="preserve"> </w:t>
      </w:r>
      <w:r w:rsidRPr="00CB0B5C">
        <w:rPr>
          <w:rFonts w:eastAsiaTheme="majorEastAsia" w:hint="eastAsia"/>
          <w:bCs/>
          <w:szCs w:val="26"/>
          <w:rtl/>
        </w:rPr>
        <w:t>ישראל</w:t>
      </w:r>
      <w:r>
        <w:rPr>
          <w:rFonts w:eastAsiaTheme="majorEastAsia"/>
          <w:bCs/>
          <w:szCs w:val="26"/>
          <w:rtl/>
        </w:rPr>
        <w:t xml:space="preserve"> </w:t>
      </w:r>
      <w:r w:rsidRPr="00CB0B5C">
        <w:rPr>
          <w:rFonts w:eastAsiaTheme="majorEastAsia" w:hint="eastAsia"/>
          <w:bCs/>
          <w:szCs w:val="26"/>
          <w:rtl/>
        </w:rPr>
        <w:t>החל</w:t>
      </w:r>
      <w:r w:rsidRPr="00CB0B5C">
        <w:rPr>
          <w:rFonts w:eastAsiaTheme="majorEastAsia"/>
          <w:bCs/>
          <w:szCs w:val="26"/>
          <w:rtl/>
        </w:rPr>
        <w:t xml:space="preserve"> </w:t>
      </w:r>
      <w:r w:rsidRPr="00CB0B5C">
        <w:rPr>
          <w:rFonts w:eastAsiaTheme="majorEastAsia" w:hint="eastAsia"/>
          <w:bCs/>
          <w:szCs w:val="26"/>
          <w:rtl/>
        </w:rPr>
        <w:t>מאפריל</w:t>
      </w:r>
      <w:r w:rsidRPr="00CB0B5C">
        <w:rPr>
          <w:rFonts w:eastAsiaTheme="majorEastAsia"/>
          <w:bCs/>
          <w:szCs w:val="26"/>
          <w:rtl/>
        </w:rPr>
        <w:t xml:space="preserve"> 2022</w:t>
      </w:r>
      <w:r w:rsidRPr="00CB0B5C">
        <w:rPr>
          <w:rFonts w:eastAsiaTheme="majorEastAsia" w:hint="cs"/>
          <w:bCs/>
          <w:szCs w:val="26"/>
          <w:rtl/>
        </w:rPr>
        <w:t>, ובשל עליית מדד המחירים לצרכן</w:t>
      </w:r>
      <w:r w:rsidRPr="00CB0B5C">
        <w:rPr>
          <w:rFonts w:eastAsiaTheme="majorEastAsia"/>
          <w:bCs/>
          <w:szCs w:val="26"/>
          <w:rtl/>
        </w:rPr>
        <w:t xml:space="preserve">. </w:t>
      </w:r>
      <w:r w:rsidRPr="00CB0B5C">
        <w:rPr>
          <w:rFonts w:eastAsiaTheme="majorEastAsia" w:hint="eastAsia"/>
          <w:bCs/>
          <w:szCs w:val="26"/>
          <w:rtl/>
        </w:rPr>
        <w:t>כמו</w:t>
      </w:r>
      <w:r w:rsidRPr="00CB0B5C">
        <w:rPr>
          <w:rFonts w:eastAsiaTheme="majorEastAsia"/>
          <w:bCs/>
          <w:szCs w:val="26"/>
          <w:rtl/>
        </w:rPr>
        <w:t xml:space="preserve"> </w:t>
      </w:r>
      <w:r w:rsidRPr="00CB0B5C">
        <w:rPr>
          <w:rFonts w:eastAsiaTheme="majorEastAsia" w:hint="eastAsia"/>
          <w:bCs/>
          <w:szCs w:val="26"/>
          <w:rtl/>
        </w:rPr>
        <w:t>כן</w:t>
      </w:r>
      <w:r w:rsidRPr="00CB0B5C">
        <w:rPr>
          <w:rFonts w:eastAsiaTheme="majorEastAsia"/>
          <w:bCs/>
          <w:szCs w:val="26"/>
          <w:rtl/>
        </w:rPr>
        <w:t xml:space="preserve">, </w:t>
      </w:r>
      <w:r w:rsidRPr="00CB0B5C">
        <w:rPr>
          <w:rFonts w:eastAsiaTheme="majorEastAsia" w:hint="eastAsia"/>
          <w:bCs/>
          <w:szCs w:val="26"/>
          <w:rtl/>
        </w:rPr>
        <w:t>קיימים</w:t>
      </w:r>
      <w:r w:rsidRPr="00CB0B5C">
        <w:rPr>
          <w:rFonts w:eastAsiaTheme="majorEastAsia"/>
          <w:bCs/>
          <w:szCs w:val="26"/>
          <w:rtl/>
        </w:rPr>
        <w:t xml:space="preserve"> </w:t>
      </w:r>
      <w:r w:rsidRPr="00CB0B5C">
        <w:rPr>
          <w:rFonts w:eastAsiaTheme="majorEastAsia" w:hint="eastAsia"/>
          <w:bCs/>
          <w:szCs w:val="26"/>
          <w:rtl/>
        </w:rPr>
        <w:t>פערים</w:t>
      </w:r>
      <w:r w:rsidRPr="00CB0B5C">
        <w:rPr>
          <w:rFonts w:eastAsiaTheme="majorEastAsia"/>
          <w:bCs/>
          <w:szCs w:val="26"/>
          <w:rtl/>
        </w:rPr>
        <w:t xml:space="preserve"> </w:t>
      </w:r>
      <w:r w:rsidRPr="00CB0B5C">
        <w:rPr>
          <w:rFonts w:eastAsiaTheme="majorEastAsia" w:hint="eastAsia"/>
          <w:bCs/>
          <w:szCs w:val="26"/>
          <w:rtl/>
        </w:rPr>
        <w:t>בין</w:t>
      </w:r>
      <w:r w:rsidRPr="00CB0B5C">
        <w:rPr>
          <w:rFonts w:eastAsiaTheme="majorEastAsia"/>
          <w:bCs/>
          <w:szCs w:val="26"/>
          <w:rtl/>
        </w:rPr>
        <w:t xml:space="preserve"> </w:t>
      </w:r>
      <w:r w:rsidRPr="00CB0B5C">
        <w:rPr>
          <w:rFonts w:eastAsiaTheme="majorEastAsia" w:hint="eastAsia"/>
          <w:bCs/>
          <w:szCs w:val="26"/>
          <w:rtl/>
        </w:rPr>
        <w:t>המגזרים</w:t>
      </w:r>
      <w:r w:rsidRPr="00CB0B5C">
        <w:rPr>
          <w:rFonts w:eastAsiaTheme="majorEastAsia"/>
          <w:bCs/>
          <w:szCs w:val="26"/>
          <w:rtl/>
        </w:rPr>
        <w:t xml:space="preserve"> </w:t>
      </w:r>
      <w:r w:rsidRPr="00CB0B5C">
        <w:rPr>
          <w:rFonts w:eastAsiaTheme="majorEastAsia" w:hint="eastAsia"/>
          <w:bCs/>
          <w:szCs w:val="26"/>
          <w:rtl/>
        </w:rPr>
        <w:t>השונים</w:t>
      </w:r>
      <w:r w:rsidRPr="00CB0B5C">
        <w:rPr>
          <w:rFonts w:eastAsiaTheme="majorEastAsia"/>
          <w:bCs/>
          <w:szCs w:val="26"/>
          <w:rtl/>
        </w:rPr>
        <w:t xml:space="preserve"> - </w:t>
      </w:r>
      <w:r w:rsidRPr="00CB0B5C">
        <w:rPr>
          <w:rFonts w:eastAsiaTheme="majorEastAsia" w:hint="eastAsia"/>
          <w:bCs/>
          <w:szCs w:val="26"/>
          <w:rtl/>
        </w:rPr>
        <w:t>ביישובי</w:t>
      </w:r>
      <w:r w:rsidRPr="00CB0B5C">
        <w:rPr>
          <w:rFonts w:eastAsiaTheme="majorEastAsia"/>
          <w:bCs/>
          <w:szCs w:val="26"/>
          <w:rtl/>
        </w:rPr>
        <w:t xml:space="preserve"> </w:t>
      </w:r>
      <w:r w:rsidRPr="00CB0B5C">
        <w:rPr>
          <w:rFonts w:eastAsiaTheme="majorEastAsia" w:hint="eastAsia"/>
          <w:bCs/>
          <w:szCs w:val="26"/>
          <w:rtl/>
        </w:rPr>
        <w:t>החברה</w:t>
      </w:r>
      <w:r w:rsidRPr="00CB0B5C">
        <w:rPr>
          <w:rFonts w:eastAsiaTheme="majorEastAsia"/>
          <w:bCs/>
          <w:szCs w:val="26"/>
          <w:rtl/>
        </w:rPr>
        <w:t xml:space="preserve"> </w:t>
      </w:r>
      <w:r w:rsidRPr="00CB0B5C">
        <w:rPr>
          <w:rFonts w:eastAsiaTheme="majorEastAsia" w:hint="eastAsia"/>
          <w:bCs/>
          <w:szCs w:val="26"/>
          <w:rtl/>
        </w:rPr>
        <w:t>הערבית</w:t>
      </w:r>
      <w:r w:rsidRPr="00CB0B5C">
        <w:rPr>
          <w:rFonts w:eastAsiaTheme="majorEastAsia"/>
          <w:bCs/>
          <w:szCs w:val="26"/>
          <w:rtl/>
        </w:rPr>
        <w:t xml:space="preserve"> </w:t>
      </w:r>
      <w:r w:rsidRPr="00CB0B5C">
        <w:rPr>
          <w:rFonts w:eastAsiaTheme="majorEastAsia" w:hint="eastAsia"/>
          <w:bCs/>
          <w:szCs w:val="26"/>
          <w:rtl/>
        </w:rPr>
        <w:t>הריביות</w:t>
      </w:r>
      <w:r w:rsidRPr="00CB0B5C">
        <w:rPr>
          <w:rFonts w:eastAsiaTheme="majorEastAsia"/>
          <w:bCs/>
          <w:szCs w:val="26"/>
          <w:rtl/>
        </w:rPr>
        <w:t xml:space="preserve"> </w:t>
      </w:r>
      <w:r w:rsidRPr="00CB0B5C">
        <w:rPr>
          <w:rFonts w:eastAsiaTheme="majorEastAsia" w:hint="eastAsia"/>
          <w:bCs/>
          <w:szCs w:val="26"/>
          <w:rtl/>
        </w:rPr>
        <w:t>גבוהות</w:t>
      </w:r>
      <w:r w:rsidRPr="00CB0B5C">
        <w:rPr>
          <w:rFonts w:eastAsiaTheme="majorEastAsia"/>
          <w:bCs/>
          <w:szCs w:val="26"/>
          <w:rtl/>
        </w:rPr>
        <w:t xml:space="preserve"> </w:t>
      </w:r>
      <w:r w:rsidRPr="00CB0B5C">
        <w:rPr>
          <w:rFonts w:eastAsiaTheme="majorEastAsia" w:hint="eastAsia"/>
          <w:bCs/>
          <w:szCs w:val="26"/>
          <w:rtl/>
        </w:rPr>
        <w:t>יותר</w:t>
      </w:r>
      <w:r w:rsidRPr="00CB0B5C">
        <w:rPr>
          <w:rFonts w:eastAsiaTheme="majorEastAsia"/>
          <w:bCs/>
          <w:szCs w:val="26"/>
          <w:rtl/>
        </w:rPr>
        <w:t xml:space="preserve"> </w:t>
      </w:r>
      <w:r w:rsidRPr="00CB0B5C">
        <w:rPr>
          <w:rFonts w:eastAsiaTheme="majorEastAsia" w:hint="eastAsia"/>
          <w:bCs/>
          <w:szCs w:val="26"/>
          <w:rtl/>
        </w:rPr>
        <w:t>במסלולים</w:t>
      </w:r>
      <w:r w:rsidRPr="00CB0B5C">
        <w:rPr>
          <w:rFonts w:eastAsiaTheme="majorEastAsia"/>
          <w:bCs/>
          <w:szCs w:val="26"/>
          <w:rtl/>
        </w:rPr>
        <w:t xml:space="preserve"> </w:t>
      </w:r>
      <w:r w:rsidRPr="00CB0B5C">
        <w:rPr>
          <w:rFonts w:eastAsiaTheme="majorEastAsia" w:hint="eastAsia"/>
          <w:bCs/>
          <w:szCs w:val="26"/>
          <w:rtl/>
        </w:rPr>
        <w:t>הלא</w:t>
      </w:r>
      <w:r w:rsidRPr="00CB0B5C">
        <w:rPr>
          <w:rFonts w:eastAsiaTheme="majorEastAsia"/>
          <w:bCs/>
          <w:szCs w:val="26"/>
          <w:rtl/>
        </w:rPr>
        <w:t xml:space="preserve"> </w:t>
      </w:r>
      <w:r w:rsidRPr="00CB0B5C">
        <w:rPr>
          <w:rFonts w:eastAsiaTheme="majorEastAsia" w:hint="eastAsia"/>
          <w:bCs/>
          <w:szCs w:val="26"/>
          <w:rtl/>
        </w:rPr>
        <w:t>צמודים</w:t>
      </w:r>
      <w:r w:rsidRPr="00CB0B5C">
        <w:rPr>
          <w:rFonts w:eastAsiaTheme="majorEastAsia"/>
          <w:bCs/>
          <w:szCs w:val="26"/>
          <w:rtl/>
        </w:rPr>
        <w:t xml:space="preserve"> (</w:t>
      </w:r>
      <w:r>
        <w:rPr>
          <w:rFonts w:eastAsiaTheme="majorEastAsia" w:hint="cs"/>
          <w:bCs/>
          <w:szCs w:val="26"/>
          <w:rtl/>
        </w:rPr>
        <w:t>בריבית קבועה לא צמודה ובריבית משתנה לא צמודה</w:t>
      </w:r>
      <w:r w:rsidRPr="00CB0B5C">
        <w:rPr>
          <w:rFonts w:eastAsiaTheme="majorEastAsia"/>
          <w:bCs/>
          <w:szCs w:val="26"/>
          <w:rtl/>
        </w:rPr>
        <w:t xml:space="preserve">), </w:t>
      </w:r>
      <w:r w:rsidRPr="00CB0B5C">
        <w:rPr>
          <w:rFonts w:eastAsiaTheme="majorEastAsia" w:hint="eastAsia"/>
          <w:bCs/>
          <w:szCs w:val="26"/>
          <w:rtl/>
        </w:rPr>
        <w:t>ב</w:t>
      </w:r>
      <w:r w:rsidRPr="00CB0B5C">
        <w:rPr>
          <w:rFonts w:eastAsiaTheme="majorEastAsia" w:hint="cs"/>
          <w:bCs/>
          <w:szCs w:val="26"/>
          <w:rtl/>
        </w:rPr>
        <w:t>י</w:t>
      </w:r>
      <w:r w:rsidRPr="00CB0B5C">
        <w:rPr>
          <w:rFonts w:eastAsiaTheme="majorEastAsia" w:hint="eastAsia"/>
          <w:bCs/>
          <w:szCs w:val="26"/>
          <w:rtl/>
        </w:rPr>
        <w:t>ישובי</w:t>
      </w:r>
      <w:r w:rsidRPr="00CB0B5C">
        <w:rPr>
          <w:rFonts w:eastAsiaTheme="majorEastAsia"/>
          <w:bCs/>
          <w:szCs w:val="26"/>
          <w:rtl/>
        </w:rPr>
        <w:t xml:space="preserve"> </w:t>
      </w:r>
      <w:r w:rsidRPr="00CB0B5C">
        <w:rPr>
          <w:rFonts w:eastAsiaTheme="majorEastAsia" w:hint="eastAsia"/>
          <w:bCs/>
          <w:szCs w:val="26"/>
          <w:rtl/>
        </w:rPr>
        <w:t>החברה</w:t>
      </w:r>
      <w:r w:rsidRPr="00CB0B5C">
        <w:rPr>
          <w:rFonts w:eastAsiaTheme="majorEastAsia"/>
          <w:bCs/>
          <w:szCs w:val="26"/>
          <w:rtl/>
        </w:rPr>
        <w:t xml:space="preserve"> </w:t>
      </w:r>
      <w:r w:rsidRPr="00CB0B5C">
        <w:rPr>
          <w:rFonts w:eastAsiaTheme="majorEastAsia" w:hint="eastAsia"/>
          <w:bCs/>
          <w:szCs w:val="26"/>
          <w:rtl/>
        </w:rPr>
        <w:t>היהודית</w:t>
      </w:r>
      <w:r w:rsidRPr="00CB0B5C">
        <w:rPr>
          <w:rFonts w:eastAsiaTheme="majorEastAsia"/>
          <w:bCs/>
          <w:szCs w:val="26"/>
          <w:rtl/>
        </w:rPr>
        <w:t xml:space="preserve"> </w:t>
      </w:r>
      <w:r w:rsidRPr="00CB0B5C">
        <w:rPr>
          <w:rFonts w:eastAsiaTheme="majorEastAsia" w:hint="eastAsia"/>
          <w:bCs/>
          <w:szCs w:val="26"/>
          <w:rtl/>
        </w:rPr>
        <w:t>הריביות</w:t>
      </w:r>
      <w:r w:rsidRPr="00CB0B5C">
        <w:rPr>
          <w:rFonts w:eastAsiaTheme="majorEastAsia"/>
          <w:bCs/>
          <w:szCs w:val="26"/>
          <w:rtl/>
        </w:rPr>
        <w:t xml:space="preserve"> </w:t>
      </w:r>
      <w:r w:rsidRPr="00CB0B5C">
        <w:rPr>
          <w:rFonts w:eastAsiaTheme="majorEastAsia" w:hint="eastAsia"/>
          <w:bCs/>
          <w:szCs w:val="26"/>
          <w:rtl/>
        </w:rPr>
        <w:t>הנמוכות</w:t>
      </w:r>
      <w:r w:rsidRPr="00CB0B5C">
        <w:rPr>
          <w:rFonts w:eastAsiaTheme="majorEastAsia"/>
          <w:bCs/>
          <w:szCs w:val="26"/>
          <w:rtl/>
        </w:rPr>
        <w:t xml:space="preserve"> </w:t>
      </w:r>
      <w:r w:rsidRPr="00CB0B5C">
        <w:rPr>
          <w:rFonts w:eastAsiaTheme="majorEastAsia" w:hint="eastAsia"/>
          <w:bCs/>
          <w:szCs w:val="26"/>
          <w:rtl/>
        </w:rPr>
        <w:t>ביותר</w:t>
      </w:r>
      <w:r>
        <w:rPr>
          <w:rFonts w:eastAsiaTheme="majorEastAsia" w:hint="cs"/>
          <w:bCs/>
          <w:szCs w:val="26"/>
          <w:rtl/>
        </w:rPr>
        <w:t>,</w:t>
      </w:r>
      <w:r w:rsidRPr="00CB0B5C">
        <w:rPr>
          <w:rFonts w:eastAsiaTheme="majorEastAsia"/>
          <w:bCs/>
          <w:szCs w:val="26"/>
          <w:rtl/>
        </w:rPr>
        <w:t xml:space="preserve"> </w:t>
      </w:r>
      <w:r w:rsidRPr="00CB0B5C">
        <w:rPr>
          <w:rFonts w:eastAsiaTheme="majorEastAsia" w:hint="eastAsia"/>
          <w:bCs/>
          <w:szCs w:val="26"/>
          <w:rtl/>
        </w:rPr>
        <w:t>והמגזר</w:t>
      </w:r>
      <w:r w:rsidRPr="00CB0B5C">
        <w:rPr>
          <w:rFonts w:eastAsiaTheme="majorEastAsia"/>
          <w:bCs/>
          <w:szCs w:val="26"/>
          <w:rtl/>
        </w:rPr>
        <w:t xml:space="preserve"> </w:t>
      </w:r>
      <w:r w:rsidRPr="00CB0B5C">
        <w:rPr>
          <w:rFonts w:eastAsiaTheme="majorEastAsia" w:hint="eastAsia"/>
          <w:bCs/>
          <w:szCs w:val="26"/>
          <w:rtl/>
        </w:rPr>
        <w:t>החרדי</w:t>
      </w:r>
      <w:r w:rsidRPr="00CB0B5C">
        <w:rPr>
          <w:rFonts w:eastAsiaTheme="majorEastAsia"/>
          <w:bCs/>
          <w:szCs w:val="26"/>
          <w:rtl/>
        </w:rPr>
        <w:t xml:space="preserve"> </w:t>
      </w:r>
      <w:r w:rsidRPr="00CB0B5C">
        <w:rPr>
          <w:rFonts w:eastAsiaTheme="majorEastAsia" w:hint="eastAsia"/>
          <w:bCs/>
          <w:szCs w:val="26"/>
          <w:rtl/>
        </w:rPr>
        <w:t>נמצא</w:t>
      </w:r>
      <w:r w:rsidRPr="00CB0B5C">
        <w:rPr>
          <w:rFonts w:eastAsiaTheme="majorEastAsia"/>
          <w:bCs/>
          <w:szCs w:val="26"/>
          <w:rtl/>
        </w:rPr>
        <w:t xml:space="preserve"> </w:t>
      </w:r>
      <w:r w:rsidRPr="00CB0B5C">
        <w:rPr>
          <w:rFonts w:eastAsiaTheme="majorEastAsia" w:hint="eastAsia"/>
          <w:bCs/>
          <w:szCs w:val="26"/>
          <w:rtl/>
        </w:rPr>
        <w:t>בתווך</w:t>
      </w:r>
      <w:r w:rsidRPr="00CB0B5C">
        <w:rPr>
          <w:rFonts w:eastAsiaTheme="majorEastAsia"/>
          <w:bCs/>
          <w:szCs w:val="26"/>
          <w:rtl/>
        </w:rPr>
        <w:t xml:space="preserve"> </w:t>
      </w:r>
      <w:r w:rsidRPr="00CB0B5C">
        <w:rPr>
          <w:rFonts w:eastAsiaTheme="majorEastAsia" w:hint="eastAsia"/>
          <w:bCs/>
          <w:szCs w:val="26"/>
          <w:rtl/>
        </w:rPr>
        <w:t>האמצעי</w:t>
      </w:r>
      <w:r w:rsidRPr="00CB0B5C">
        <w:rPr>
          <w:rFonts w:eastAsiaTheme="majorEastAsia"/>
          <w:bCs/>
          <w:szCs w:val="26"/>
          <w:rtl/>
        </w:rPr>
        <w:t xml:space="preserve"> </w:t>
      </w:r>
      <w:r w:rsidRPr="00CB0B5C">
        <w:rPr>
          <w:rFonts w:eastAsiaTheme="majorEastAsia" w:hint="eastAsia"/>
          <w:bCs/>
          <w:szCs w:val="26"/>
          <w:rtl/>
        </w:rPr>
        <w:t>ביניהם</w:t>
      </w:r>
      <w:r w:rsidRPr="00CB0B5C">
        <w:rPr>
          <w:rFonts w:eastAsiaTheme="majorEastAsia"/>
          <w:bCs/>
          <w:szCs w:val="26"/>
          <w:rtl/>
        </w:rPr>
        <w:t>.</w:t>
      </w:r>
      <w:r w:rsidRPr="00CB0B5C">
        <w:rPr>
          <w:rFonts w:eastAsiaTheme="majorEastAsia" w:hint="cs"/>
          <w:bCs/>
          <w:szCs w:val="26"/>
          <w:rtl/>
        </w:rPr>
        <w:t xml:space="preserve"> כך למשל, במסלול הפריים בשנת 2023 משלם המגזר הערבי ריבית פריים של 6.05% ואילו המגזר היהודי משלם 5.80%. </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Pr>
      </w:pPr>
      <w:r w:rsidRPr="001F2586">
        <w:rPr>
          <w:rFonts w:eastAsia="Times New Roman" w:hint="cs"/>
          <w:bCs/>
          <w:szCs w:val="26"/>
          <w:rtl/>
        </w:rPr>
        <w:t xml:space="preserve">משכנתאות בחברה הערבית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להלן</w:t>
      </w:r>
      <w:r w:rsidRPr="001F2586">
        <w:rPr>
          <w:rFonts w:eastAsia="Calibri"/>
          <w:rtl/>
        </w:rPr>
        <w:t xml:space="preserve"> </w:t>
      </w:r>
      <w:r w:rsidRPr="001F2586">
        <w:rPr>
          <w:rFonts w:eastAsia="Calibri" w:hint="eastAsia"/>
          <w:rtl/>
        </w:rPr>
        <w:t>נתונים</w:t>
      </w:r>
      <w:r w:rsidRPr="001F2586">
        <w:rPr>
          <w:rFonts w:eastAsia="Calibri" w:hint="cs"/>
          <w:rtl/>
        </w:rPr>
        <w:t xml:space="preserve"> נבחרים אודות משכנתאות באוכלוסייה הערבית בישראל נכון לשנת 2024:</w:t>
      </w:r>
    </w:p>
    <w:p w:rsidR="001F2586" w:rsidRPr="001F2586" w:rsidP="001F2586">
      <w:pPr>
        <w:spacing w:line="269" w:lineRule="auto"/>
        <w:rPr>
          <w:rFonts w:eastAsia="Calibri"/>
          <w:rtl/>
        </w:rPr>
      </w:pPr>
    </w:p>
    <w:p w:rsidR="001F2586" w:rsidRPr="001F2586" w:rsidP="001F2586">
      <w:pPr>
        <w:spacing w:line="269" w:lineRule="auto"/>
        <w:ind w:left="312"/>
        <w:contextualSpacing/>
        <w:jc w:val="center"/>
        <w:rPr>
          <w:rFonts w:eastAsia="Calibri"/>
          <w:b/>
          <w:bCs/>
          <w:rtl/>
        </w:rPr>
      </w:pPr>
      <w:r w:rsidRPr="001F2586">
        <w:rPr>
          <w:rFonts w:eastAsia="Calibri" w:hint="cs"/>
          <w:rtl/>
        </w:rPr>
        <w:t>תרשים 49:</w:t>
      </w:r>
      <w:r w:rsidRPr="001F2586">
        <w:rPr>
          <w:rFonts w:eastAsia="Calibri" w:hint="cs"/>
          <w:b/>
          <w:bCs/>
          <w:rtl/>
        </w:rPr>
        <w:t xml:space="preserve"> </w:t>
      </w:r>
      <w:r w:rsidRPr="001F2586">
        <w:rPr>
          <w:rFonts w:eastAsia="Calibri" w:hint="eastAsia"/>
          <w:b/>
          <w:bCs/>
          <w:rtl/>
        </w:rPr>
        <w:t>תמהיל</w:t>
      </w:r>
      <w:r w:rsidRPr="001F2586">
        <w:rPr>
          <w:rFonts w:eastAsia="Calibri"/>
          <w:b/>
          <w:bCs/>
          <w:rtl/>
        </w:rPr>
        <w:t xml:space="preserve"> </w:t>
      </w:r>
      <w:r w:rsidRPr="001F2586">
        <w:rPr>
          <w:rFonts w:eastAsia="Calibri" w:hint="eastAsia"/>
          <w:b/>
          <w:bCs/>
          <w:rtl/>
        </w:rPr>
        <w:t>המשכנתא</w:t>
      </w:r>
      <w:r w:rsidRPr="001F2586">
        <w:rPr>
          <w:rFonts w:eastAsia="Calibri"/>
          <w:b/>
          <w:bCs/>
          <w:rtl/>
        </w:rPr>
        <w:t xml:space="preserve"> </w:t>
      </w:r>
      <w:r w:rsidRPr="001F2586">
        <w:rPr>
          <w:rFonts w:eastAsia="Calibri" w:hint="eastAsia"/>
          <w:b/>
          <w:bCs/>
          <w:rtl/>
        </w:rPr>
        <w:t>בשנת</w:t>
      </w:r>
      <w:r w:rsidRPr="001F2586">
        <w:rPr>
          <w:rFonts w:eastAsia="Calibri"/>
          <w:b/>
          <w:bCs/>
          <w:rtl/>
        </w:rPr>
        <w:t xml:space="preserve"> 2024 </w:t>
      </w:r>
      <w:r w:rsidRPr="001F2586">
        <w:rPr>
          <w:rFonts w:eastAsia="Calibri" w:hint="eastAsia"/>
          <w:b/>
          <w:bCs/>
          <w:rtl/>
        </w:rPr>
        <w:t>בהתאם</w:t>
      </w:r>
      <w:r w:rsidRPr="001F2586">
        <w:rPr>
          <w:rFonts w:eastAsia="Calibri"/>
          <w:b/>
          <w:bCs/>
          <w:rtl/>
        </w:rPr>
        <w:t xml:space="preserve"> </w:t>
      </w:r>
      <w:r w:rsidRPr="001F2586">
        <w:rPr>
          <w:rFonts w:eastAsia="Calibri" w:hint="eastAsia"/>
          <w:b/>
          <w:bCs/>
          <w:rtl/>
        </w:rPr>
        <w:t>למגזרים</w:t>
      </w:r>
      <w:r w:rsidRPr="001F2586">
        <w:rPr>
          <w:rFonts w:eastAsia="Calibri"/>
          <w:b/>
          <w:bCs/>
          <w:rtl/>
        </w:rPr>
        <w:t xml:space="preserve"> </w:t>
      </w:r>
      <w:r w:rsidRPr="001F2586">
        <w:rPr>
          <w:rFonts w:eastAsia="Calibri" w:hint="eastAsia"/>
          <w:b/>
          <w:bCs/>
          <w:rtl/>
        </w:rPr>
        <w:t>השונים</w:t>
      </w:r>
    </w:p>
    <w:p w:rsidR="001F2586" w:rsidRPr="001F2586" w:rsidP="001F2586">
      <w:pPr>
        <w:spacing w:line="269" w:lineRule="auto"/>
        <w:jc w:val="center"/>
        <w:rPr>
          <w:rFonts w:eastAsia="Calibri"/>
          <w:rtl/>
        </w:rPr>
      </w:pPr>
      <w:r w:rsidRPr="001F2586">
        <w:rPr>
          <w:rFonts w:eastAsia="Calibri"/>
          <w:noProof/>
        </w:rPr>
        <w:drawing>
          <wp:inline distT="0" distB="0" distL="0" distR="0">
            <wp:extent cx="5220335" cy="3182918"/>
            <wp:effectExtent l="0" t="0" r="0" b="0"/>
            <wp:docPr id="20" name="תמונה 20" descr="להלן תמהילי המשכנתא לפי מגזרים:&#10;ערבי- 29% קבועה צמודה, 36% משתנה צמודה, 14% קבועה צמודה, 13% משתנה לא פריים ו-7% פריים &#10;יהודי שאינו חרדי- 16% קבועה צמודה, 10% משתנה צמודה, 32% קבועה צמודה, 34% משתנה לא פריים ו-7% פריים &#10;מעורב- 15% קבועה צמודה, 10% משתנה צמודה, 33% קבועה צמודה, 1336 משתנה לא פריים ו-6% פריים&#10; &#10;חרדי- 13% קבועה צמודה, 8% משתנה צמודה, 32% קבועה צמודה, 43% משתנה לא פריים ו-3% פרי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3182918"/>
                    </a:xfrm>
                    <a:prstGeom prst="rect">
                      <a:avLst/>
                    </a:prstGeom>
                    <a:noFill/>
                    <a:ln>
                      <a:noFill/>
                    </a:ln>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על פי</w:t>
      </w:r>
      <w:r w:rsidRPr="001F2586">
        <w:rPr>
          <w:rFonts w:eastAsia="Calibri"/>
          <w:szCs w:val="20"/>
          <w:rtl/>
        </w:rPr>
        <w:t xml:space="preserve"> נתוני בנק ישראל</w:t>
      </w:r>
      <w:r w:rsidRPr="001F2586">
        <w:rPr>
          <w:rFonts w:eastAsia="Calibri" w:hint="cs"/>
          <w:szCs w:val="20"/>
          <w:rtl/>
        </w:rPr>
        <w:t>,</w:t>
      </w:r>
      <w:r w:rsidRPr="001F2586">
        <w:rPr>
          <w:rFonts w:eastAsia="Calibri"/>
          <w:szCs w:val="20"/>
          <w:rtl/>
        </w:rPr>
        <w:t xml:space="preserve"> בעיבוד משרד מבקר המדינה</w:t>
      </w:r>
      <w:r w:rsidRPr="001F2586">
        <w:rPr>
          <w:rFonts w:eastAsia="Calibri" w:hint="cs"/>
          <w:szCs w:val="20"/>
          <w:rtl/>
        </w:rPr>
        <w:t>.</w:t>
      </w:r>
    </w:p>
    <w:p w:rsidR="001F2586" w:rsidRPr="001F2586" w:rsidP="001F2586">
      <w:pPr>
        <w:spacing w:line="269" w:lineRule="auto"/>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מהנתונים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תמהיל</w:t>
      </w:r>
      <w:r w:rsidRPr="001F2586">
        <w:rPr>
          <w:rFonts w:eastAsia="Calibri"/>
          <w:b/>
          <w:bCs/>
          <w:rtl/>
        </w:rPr>
        <w:t xml:space="preserve"> </w:t>
      </w:r>
      <w:r w:rsidRPr="001F2586">
        <w:rPr>
          <w:rFonts w:eastAsia="Calibri" w:hint="eastAsia"/>
          <w:b/>
          <w:bCs/>
          <w:rtl/>
        </w:rPr>
        <w:t>המשכנתא</w:t>
      </w:r>
      <w:r w:rsidRPr="001F2586">
        <w:rPr>
          <w:rFonts w:eastAsia="Calibri"/>
          <w:b/>
          <w:bCs/>
          <w:rtl/>
        </w:rPr>
        <w:t xml:space="preserve"> </w:t>
      </w:r>
      <w:r w:rsidRPr="001F2586">
        <w:rPr>
          <w:rFonts w:eastAsia="Calibri" w:hint="eastAsia"/>
          <w:b/>
          <w:bCs/>
          <w:rtl/>
        </w:rPr>
        <w:t>הניתנת</w:t>
      </w:r>
      <w:r w:rsidRPr="001F2586">
        <w:rPr>
          <w:rFonts w:eastAsia="Calibri"/>
          <w:b/>
          <w:bCs/>
          <w:rtl/>
        </w:rPr>
        <w:t xml:space="preserve"> </w:t>
      </w:r>
      <w:r w:rsidRPr="001F2586">
        <w:rPr>
          <w:rFonts w:eastAsia="Calibri" w:hint="eastAsia"/>
          <w:b/>
          <w:bCs/>
          <w:rtl/>
        </w:rPr>
        <w:t>עבור</w:t>
      </w:r>
      <w:r w:rsidRPr="001F2586">
        <w:rPr>
          <w:rFonts w:eastAsia="Calibri"/>
          <w:b/>
          <w:bCs/>
          <w:rtl/>
        </w:rPr>
        <w:t xml:space="preserve"> </w:t>
      </w:r>
      <w:r w:rsidRPr="001F2586">
        <w:rPr>
          <w:rFonts w:eastAsia="Calibri" w:hint="eastAsia"/>
          <w:b/>
          <w:bCs/>
          <w:rtl/>
        </w:rPr>
        <w:t>נכסים</w:t>
      </w:r>
      <w:r w:rsidRPr="001F2586">
        <w:rPr>
          <w:rFonts w:eastAsia="Calibri"/>
          <w:b/>
          <w:bCs/>
          <w:rtl/>
        </w:rPr>
        <w:t xml:space="preserve"> </w:t>
      </w:r>
      <w:r w:rsidRPr="001F2586">
        <w:rPr>
          <w:rFonts w:eastAsia="Calibri" w:hint="eastAsia"/>
          <w:b/>
          <w:bCs/>
          <w:rtl/>
        </w:rPr>
        <w:t>ביישובי</w:t>
      </w:r>
      <w:r w:rsidRPr="001F2586">
        <w:rPr>
          <w:rFonts w:eastAsia="Calibri"/>
          <w:b/>
          <w:bCs/>
          <w:rtl/>
        </w:rPr>
        <w:t xml:space="preserve"> </w:t>
      </w:r>
      <w:r w:rsidRPr="001F2586">
        <w:rPr>
          <w:rFonts w:eastAsia="Calibri" w:hint="eastAsia"/>
          <w:b/>
          <w:bCs/>
          <w:rtl/>
        </w:rPr>
        <w:t>החברה</w:t>
      </w:r>
      <w:r w:rsidRPr="001F2586">
        <w:rPr>
          <w:rFonts w:eastAsia="Calibri"/>
          <w:b/>
          <w:bCs/>
          <w:rtl/>
        </w:rPr>
        <w:t xml:space="preserve"> </w:t>
      </w:r>
      <w:r w:rsidRPr="001F2586">
        <w:rPr>
          <w:rFonts w:eastAsia="Calibri" w:hint="eastAsia"/>
          <w:b/>
          <w:bCs/>
          <w:rtl/>
        </w:rPr>
        <w:t>הערבית</w:t>
      </w:r>
      <w:r w:rsidRPr="001F2586">
        <w:rPr>
          <w:rFonts w:eastAsia="Calibri"/>
          <w:b/>
          <w:bCs/>
          <w:rtl/>
        </w:rPr>
        <w:t xml:space="preserve"> </w:t>
      </w:r>
      <w:r w:rsidRPr="001F2586">
        <w:rPr>
          <w:rFonts w:eastAsia="Calibri" w:hint="eastAsia"/>
          <w:b/>
          <w:bCs/>
          <w:rtl/>
        </w:rPr>
        <w:t>שונה</w:t>
      </w:r>
      <w:r w:rsidRPr="001F2586">
        <w:rPr>
          <w:rFonts w:eastAsia="Calibri"/>
          <w:b/>
          <w:bCs/>
          <w:rtl/>
        </w:rPr>
        <w:t xml:space="preserve"> </w:t>
      </w:r>
      <w:r w:rsidRPr="001F2586">
        <w:rPr>
          <w:rFonts w:eastAsia="Calibri" w:hint="eastAsia"/>
          <w:b/>
          <w:bCs/>
          <w:rtl/>
        </w:rPr>
        <w:t>מתמהיל</w:t>
      </w:r>
      <w:r w:rsidRPr="001F2586">
        <w:rPr>
          <w:rFonts w:eastAsia="Calibri"/>
          <w:b/>
          <w:bCs/>
          <w:rtl/>
        </w:rPr>
        <w:t xml:space="preserve"> </w:t>
      </w:r>
      <w:r w:rsidRPr="001F2586">
        <w:rPr>
          <w:rFonts w:eastAsia="Calibri" w:hint="eastAsia"/>
          <w:b/>
          <w:bCs/>
          <w:rtl/>
        </w:rPr>
        <w:t>במגזרים</w:t>
      </w:r>
      <w:r w:rsidRPr="001F2586">
        <w:rPr>
          <w:rFonts w:eastAsia="Calibri"/>
          <w:b/>
          <w:bCs/>
          <w:rtl/>
        </w:rPr>
        <w:t xml:space="preserve"> </w:t>
      </w:r>
      <w:r w:rsidRPr="001F2586">
        <w:rPr>
          <w:rFonts w:eastAsia="Calibri" w:hint="eastAsia"/>
          <w:b/>
          <w:bCs/>
          <w:rtl/>
        </w:rPr>
        <w:t>האחרים</w:t>
      </w:r>
      <w:r w:rsidRPr="001F2586">
        <w:rPr>
          <w:rFonts w:eastAsia="Calibri"/>
          <w:b/>
          <w:bCs/>
          <w:rtl/>
        </w:rPr>
        <w:t xml:space="preserve"> </w:t>
      </w:r>
      <w:r w:rsidRPr="001F2586">
        <w:rPr>
          <w:rFonts w:eastAsia="Calibri" w:hint="eastAsia"/>
          <w:b/>
          <w:bCs/>
          <w:rtl/>
        </w:rPr>
        <w:t>עם</w:t>
      </w:r>
      <w:r w:rsidRPr="001F2586">
        <w:rPr>
          <w:rFonts w:eastAsia="Calibri"/>
          <w:b/>
          <w:bCs/>
          <w:rtl/>
        </w:rPr>
        <w:t xml:space="preserve">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גבוה</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מסלולים</w:t>
      </w:r>
      <w:r w:rsidRPr="001F2586">
        <w:rPr>
          <w:rFonts w:eastAsia="Calibri"/>
          <w:b/>
          <w:bCs/>
          <w:rtl/>
        </w:rPr>
        <w:t xml:space="preserve"> </w:t>
      </w:r>
      <w:r w:rsidRPr="001F2586">
        <w:rPr>
          <w:rFonts w:eastAsia="Calibri" w:hint="eastAsia"/>
          <w:b/>
          <w:bCs/>
          <w:rtl/>
        </w:rPr>
        <w:t>בריבית</w:t>
      </w:r>
      <w:r w:rsidRPr="001F2586">
        <w:rPr>
          <w:rFonts w:eastAsia="Calibri"/>
          <w:b/>
          <w:bCs/>
          <w:rtl/>
        </w:rPr>
        <w:t xml:space="preserve"> </w:t>
      </w:r>
      <w:r w:rsidRPr="001F2586">
        <w:rPr>
          <w:rFonts w:eastAsia="Calibri" w:hint="eastAsia"/>
          <w:b/>
          <w:bCs/>
          <w:rtl/>
        </w:rPr>
        <w:t>צמודה</w:t>
      </w:r>
      <w:r w:rsidRPr="001F2586">
        <w:rPr>
          <w:rFonts w:eastAsia="Calibri"/>
          <w:b/>
          <w:bCs/>
          <w:rtl/>
        </w:rPr>
        <w:t xml:space="preserve"> (</w:t>
      </w:r>
      <w:r w:rsidRPr="001F2586">
        <w:rPr>
          <w:rFonts w:eastAsia="Calibri" w:hint="cs"/>
          <w:b/>
          <w:bCs/>
          <w:rtl/>
        </w:rPr>
        <w:t>קבועה</w:t>
      </w:r>
      <w:r w:rsidRPr="001F2586">
        <w:rPr>
          <w:rFonts w:eastAsia="Calibri"/>
          <w:b/>
          <w:bCs/>
          <w:rtl/>
        </w:rPr>
        <w:t xml:space="preserve"> </w:t>
      </w:r>
      <w:r w:rsidRPr="001F2586">
        <w:rPr>
          <w:rFonts w:eastAsia="Calibri" w:hint="eastAsia"/>
          <w:b/>
          <w:bCs/>
          <w:rtl/>
        </w:rPr>
        <w:t>או</w:t>
      </w:r>
      <w:r w:rsidRPr="001F2586">
        <w:rPr>
          <w:rFonts w:eastAsia="Calibri"/>
          <w:b/>
          <w:bCs/>
          <w:rtl/>
        </w:rPr>
        <w:t xml:space="preserve"> </w:t>
      </w:r>
      <w:r w:rsidRPr="001F2586">
        <w:rPr>
          <w:rFonts w:eastAsia="Calibri" w:hint="eastAsia"/>
          <w:b/>
          <w:bCs/>
          <w:rtl/>
        </w:rPr>
        <w:t>משתנה</w:t>
      </w:r>
      <w:r w:rsidRPr="001F2586">
        <w:rPr>
          <w:rFonts w:eastAsia="Calibri"/>
          <w:b/>
          <w:bCs/>
          <w:rtl/>
        </w:rPr>
        <w:t xml:space="preserve">). </w:t>
      </w:r>
      <w:r w:rsidRPr="001F2586">
        <w:rPr>
          <w:rFonts w:eastAsia="Calibri" w:hint="eastAsia"/>
          <w:b/>
          <w:bCs/>
          <w:rtl/>
        </w:rPr>
        <w:t>יצוין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תמהילים</w:t>
      </w:r>
      <w:r w:rsidRPr="001F2586">
        <w:rPr>
          <w:rFonts w:eastAsia="Calibri"/>
          <w:b/>
          <w:bCs/>
          <w:rtl/>
        </w:rPr>
        <w:t xml:space="preserve"> </w:t>
      </w:r>
      <w:r w:rsidRPr="001F2586">
        <w:rPr>
          <w:rFonts w:eastAsia="Calibri" w:hint="eastAsia"/>
          <w:b/>
          <w:bCs/>
          <w:rtl/>
        </w:rPr>
        <w:t>מסוג</w:t>
      </w:r>
      <w:r w:rsidRPr="001F2586">
        <w:rPr>
          <w:rFonts w:eastAsia="Calibri"/>
          <w:b/>
          <w:bCs/>
          <w:rtl/>
        </w:rPr>
        <w:t xml:space="preserve"> </w:t>
      </w:r>
      <w:r w:rsidRPr="001F2586">
        <w:rPr>
          <w:rFonts w:eastAsia="Calibri" w:hint="eastAsia"/>
          <w:b/>
          <w:bCs/>
          <w:rtl/>
        </w:rPr>
        <w:t>זה</w:t>
      </w:r>
      <w:r w:rsidRPr="001F2586">
        <w:rPr>
          <w:rFonts w:eastAsia="Calibri"/>
          <w:b/>
          <w:bCs/>
          <w:rtl/>
        </w:rPr>
        <w:t xml:space="preserve"> </w:t>
      </w:r>
      <w:r w:rsidRPr="001F2586">
        <w:rPr>
          <w:rFonts w:eastAsia="Calibri" w:hint="eastAsia"/>
          <w:b/>
          <w:bCs/>
          <w:rtl/>
        </w:rPr>
        <w:t>חשופים</w:t>
      </w:r>
      <w:r w:rsidRPr="001F2586">
        <w:rPr>
          <w:rFonts w:eastAsia="Calibri"/>
          <w:b/>
          <w:bCs/>
          <w:rtl/>
        </w:rPr>
        <w:t xml:space="preserve"> </w:t>
      </w:r>
      <w:r w:rsidRPr="001F2586">
        <w:rPr>
          <w:rFonts w:eastAsia="Calibri" w:hint="eastAsia"/>
          <w:b/>
          <w:bCs/>
          <w:rtl/>
        </w:rPr>
        <w:t>לשינויים</w:t>
      </w:r>
      <w:r w:rsidRPr="001F2586">
        <w:rPr>
          <w:rFonts w:eastAsia="Calibri"/>
          <w:b/>
          <w:bCs/>
          <w:rtl/>
        </w:rPr>
        <w:t xml:space="preserve"> </w:t>
      </w:r>
      <w:r w:rsidRPr="001F2586">
        <w:rPr>
          <w:rFonts w:eastAsia="Calibri" w:hint="eastAsia"/>
          <w:b/>
          <w:bCs/>
          <w:rtl/>
        </w:rPr>
        <w:t>בשיעור</w:t>
      </w:r>
      <w:r w:rsidRPr="001F2586">
        <w:rPr>
          <w:rFonts w:eastAsia="Calibri"/>
          <w:b/>
          <w:bCs/>
          <w:rtl/>
        </w:rPr>
        <w:t xml:space="preserve"> </w:t>
      </w:r>
      <w:r w:rsidRPr="001F2586">
        <w:rPr>
          <w:rFonts w:eastAsia="Calibri" w:hint="eastAsia"/>
          <w:b/>
          <w:bCs/>
          <w:rtl/>
        </w:rPr>
        <w:t>עליית</w:t>
      </w:r>
      <w:r w:rsidRPr="001F2586">
        <w:rPr>
          <w:rFonts w:eastAsia="Calibri"/>
          <w:b/>
          <w:bCs/>
          <w:rtl/>
        </w:rPr>
        <w:t xml:space="preserve"> </w:t>
      </w:r>
      <w:r w:rsidRPr="001F2586">
        <w:rPr>
          <w:rFonts w:eastAsia="Calibri" w:hint="eastAsia"/>
          <w:b/>
          <w:bCs/>
          <w:rtl/>
        </w:rPr>
        <w:t>מ</w:t>
      </w:r>
      <w:r w:rsidRPr="001F2586">
        <w:rPr>
          <w:rFonts w:eastAsia="Calibri" w:hint="cs"/>
          <w:b/>
          <w:bCs/>
          <w:rtl/>
        </w:rPr>
        <w:t>ד</w:t>
      </w:r>
      <w:r w:rsidRPr="001F2586">
        <w:rPr>
          <w:rFonts w:eastAsia="Calibri" w:hint="eastAsia"/>
          <w:b/>
          <w:bCs/>
          <w:rtl/>
        </w:rPr>
        <w:t>ד</w:t>
      </w:r>
      <w:r w:rsidRPr="001F2586">
        <w:rPr>
          <w:rFonts w:eastAsia="Calibri"/>
          <w:b/>
          <w:bCs/>
          <w:rtl/>
        </w:rPr>
        <w:t xml:space="preserve"> </w:t>
      </w:r>
      <w:r w:rsidRPr="001F2586">
        <w:rPr>
          <w:rFonts w:eastAsia="Calibri" w:hint="eastAsia"/>
          <w:b/>
          <w:bCs/>
          <w:rtl/>
        </w:rPr>
        <w:t>המחירים</w:t>
      </w:r>
      <w:r w:rsidRPr="001F2586">
        <w:rPr>
          <w:rFonts w:eastAsia="Calibri"/>
          <w:b/>
          <w:bCs/>
          <w:rtl/>
        </w:rPr>
        <w:t xml:space="preserve"> </w:t>
      </w:r>
      <w:r w:rsidRPr="001F2586">
        <w:rPr>
          <w:rFonts w:eastAsia="Calibri" w:hint="eastAsia"/>
          <w:b/>
          <w:bCs/>
          <w:rtl/>
        </w:rPr>
        <w:t>לצרכן</w:t>
      </w:r>
      <w:r w:rsidRPr="001F2586">
        <w:rPr>
          <w:rFonts w:eastAsia="Calibri"/>
          <w:b/>
          <w:bCs/>
          <w:rtl/>
        </w:rPr>
        <w:t>.</w:t>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בשנת 2017 ניתח הפיקוח על הבנקים לראשונה את המגמות בשוק המשכנתאות בחברה הערבית בהתבסס על מאגר ייעודי של כלל המשכנתאות במשק. הפיקוח מצא כי </w:t>
      </w:r>
      <w:r w:rsidRPr="001F2586">
        <w:rPr>
          <w:rFonts w:eastAsia="Calibri" w:hint="eastAsia"/>
          <w:rtl/>
        </w:rPr>
        <w:t>שיעור</w:t>
      </w:r>
      <w:r w:rsidRPr="001F2586">
        <w:rPr>
          <w:rFonts w:eastAsia="Calibri"/>
          <w:rtl/>
        </w:rPr>
        <w:t xml:space="preserve"> המשכנתאות שניתנו ללקוחות המגזר הערבי עמד על </w:t>
      </w:r>
      <w:r w:rsidRPr="001F2586">
        <w:rPr>
          <w:rFonts w:eastAsia="Calibri" w:hint="eastAsia"/>
          <w:rtl/>
        </w:rPr>
        <w:t>כ</w:t>
      </w:r>
      <w:r w:rsidRPr="001F2586">
        <w:rPr>
          <w:rFonts w:eastAsia="Calibri" w:hint="cs"/>
          <w:rtl/>
        </w:rPr>
        <w:t>-2%</w:t>
      </w:r>
      <w:r w:rsidRPr="001F2586">
        <w:rPr>
          <w:rFonts w:eastAsia="Calibri"/>
          <w:rtl/>
        </w:rPr>
        <w:t xml:space="preserve"> מתוך </w:t>
      </w:r>
      <w:r w:rsidRPr="001F2586">
        <w:rPr>
          <w:rFonts w:eastAsia="Calibri" w:hint="cs"/>
          <w:rtl/>
        </w:rPr>
        <w:t xml:space="preserve">כלל </w:t>
      </w:r>
      <w:r w:rsidRPr="001F2586">
        <w:rPr>
          <w:rFonts w:eastAsia="Calibri"/>
          <w:rtl/>
        </w:rPr>
        <w:t>המשכנתאות שהועמדו בשנים 2010</w:t>
      </w:r>
      <w:r w:rsidRPr="001F2586">
        <w:rPr>
          <w:rFonts w:eastAsia="Calibri" w:hint="cs"/>
          <w:rtl/>
        </w:rPr>
        <w:t xml:space="preserve"> - </w:t>
      </w:r>
      <w:r w:rsidRPr="001F2586">
        <w:rPr>
          <w:rFonts w:eastAsia="Calibri"/>
          <w:rtl/>
        </w:rPr>
        <w:t xml:space="preserve">2014, שיעור הנמוך באופן </w:t>
      </w:r>
      <w:r w:rsidRPr="001F2586">
        <w:rPr>
          <w:rFonts w:eastAsia="Calibri" w:hint="eastAsia"/>
          <w:rtl/>
        </w:rPr>
        <w:t>משמעותי</w:t>
      </w:r>
      <w:r w:rsidRPr="001F2586">
        <w:rPr>
          <w:rFonts w:eastAsia="Calibri"/>
          <w:rtl/>
        </w:rPr>
        <w:t xml:space="preserve"> </w:t>
      </w:r>
      <w:r w:rsidRPr="001F2586">
        <w:rPr>
          <w:rFonts w:eastAsia="Calibri" w:hint="cs"/>
          <w:rtl/>
        </w:rPr>
        <w:t>בהשוואה ל</w:t>
      </w:r>
      <w:r w:rsidRPr="001F2586">
        <w:rPr>
          <w:rFonts w:eastAsia="Calibri"/>
          <w:rtl/>
        </w:rPr>
        <w:t>שיעורם ב</w:t>
      </w:r>
      <w:r w:rsidRPr="001F2586">
        <w:rPr>
          <w:rFonts w:eastAsia="Calibri" w:hint="cs"/>
          <w:rtl/>
        </w:rPr>
        <w:t>כלל ה</w:t>
      </w:r>
      <w:r w:rsidRPr="001F2586">
        <w:rPr>
          <w:rFonts w:eastAsia="Calibri"/>
          <w:rtl/>
        </w:rPr>
        <w:t>אוכלוסייה (כ-21.4%)</w:t>
      </w:r>
      <w:r>
        <w:rPr>
          <w:rFonts w:eastAsia="Calibri"/>
          <w:vertAlign w:val="superscript"/>
          <w:rtl/>
        </w:rPr>
        <w:footnoteReference w:id="337"/>
      </w:r>
      <w:r w:rsidRPr="001F2586">
        <w:rPr>
          <w:rFonts w:eastAsia="Calibri"/>
          <w:rtl/>
        </w:rPr>
        <w:t xml:space="preserve">. </w:t>
      </w:r>
      <w:r w:rsidRPr="001F2586">
        <w:rPr>
          <w:rFonts w:eastAsia="Calibri" w:hint="cs"/>
          <w:rtl/>
        </w:rPr>
        <w:t xml:space="preserve">בקרב האוכלוסייה הערבית </w:t>
      </w:r>
      <w:r w:rsidRPr="001F2586">
        <w:rPr>
          <w:rFonts w:eastAsia="Calibri"/>
          <w:rtl/>
        </w:rPr>
        <w:t xml:space="preserve">ביישובים ערביים </w:t>
      </w:r>
      <w:r w:rsidRPr="001F2586">
        <w:rPr>
          <w:rFonts w:eastAsia="Calibri" w:hint="eastAsia"/>
          <w:rtl/>
        </w:rPr>
        <w:t>שיעור</w:t>
      </w:r>
      <w:r w:rsidRPr="001F2586">
        <w:rPr>
          <w:rFonts w:eastAsia="Calibri"/>
          <w:rtl/>
        </w:rPr>
        <w:t xml:space="preserve"> </w:t>
      </w:r>
      <w:r w:rsidRPr="001F2586">
        <w:rPr>
          <w:rFonts w:eastAsia="Calibri" w:hint="eastAsia"/>
          <w:rtl/>
        </w:rPr>
        <w:t>לוקחי</w:t>
      </w:r>
      <w:r w:rsidRPr="001F2586">
        <w:rPr>
          <w:rFonts w:eastAsia="Calibri"/>
          <w:rtl/>
        </w:rPr>
        <w:t xml:space="preserve"> המשכנתא היה כ-1.2%</w:t>
      </w:r>
      <w:r w:rsidRPr="001F2586">
        <w:rPr>
          <w:rFonts w:eastAsia="Calibri" w:hint="cs"/>
          <w:rtl/>
        </w:rPr>
        <w:t>,</w:t>
      </w:r>
      <w:r w:rsidRPr="001F2586">
        <w:rPr>
          <w:rFonts w:eastAsia="Calibri"/>
          <w:rtl/>
        </w:rPr>
        <w:t xml:space="preserve"> </w:t>
      </w:r>
      <w:r w:rsidRPr="001F2586">
        <w:rPr>
          <w:rFonts w:eastAsia="Calibri" w:hint="eastAsia"/>
          <w:rtl/>
        </w:rPr>
        <w:t>ואצל</w:t>
      </w:r>
      <w:r w:rsidRPr="001F2586">
        <w:rPr>
          <w:rFonts w:eastAsia="Calibri" w:hint="cs"/>
          <w:rtl/>
        </w:rPr>
        <w:t xml:space="preserve"> </w:t>
      </w:r>
      <w:r w:rsidRPr="001F2586">
        <w:rPr>
          <w:rFonts w:eastAsia="Calibri"/>
          <w:rtl/>
        </w:rPr>
        <w:t xml:space="preserve">ערבים ביישובים מעורבים </w:t>
      </w:r>
      <w:r w:rsidRPr="001F2586">
        <w:rPr>
          <w:rFonts w:eastAsia="Calibri" w:hint="cs"/>
          <w:rtl/>
        </w:rPr>
        <w:t xml:space="preserve">השיעור עמד על </w:t>
      </w:r>
      <w:r w:rsidRPr="001F2586">
        <w:rPr>
          <w:rFonts w:eastAsia="Calibri"/>
          <w:rtl/>
        </w:rPr>
        <w:t xml:space="preserve">4.3% (לעומת חלקם </w:t>
      </w:r>
      <w:r w:rsidRPr="001F2586">
        <w:rPr>
          <w:rFonts w:eastAsia="Calibri" w:hint="eastAsia"/>
          <w:rtl/>
        </w:rPr>
        <w:t>היחסי</w:t>
      </w:r>
      <w:r w:rsidRPr="001F2586">
        <w:rPr>
          <w:rFonts w:eastAsia="Calibri"/>
          <w:rtl/>
        </w:rPr>
        <w:t xml:space="preserve"> בישובים אלה העומד על כ-24%).</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בחינה מעודכנת שביצע הפיקוח על הבנקים בשנת 2022</w:t>
      </w:r>
      <w:r>
        <w:rPr>
          <w:rFonts w:eastAsia="Calibri"/>
          <w:vertAlign w:val="superscript"/>
          <w:rtl/>
        </w:rPr>
        <w:footnoteReference w:id="338"/>
      </w:r>
      <w:r w:rsidRPr="001F2586">
        <w:rPr>
          <w:rFonts w:eastAsia="Calibri" w:hint="cs"/>
          <w:rtl/>
        </w:rPr>
        <w:t xml:space="preserve"> של הנתונים ממאגר זה לשנת 2019 העלתה כי שיעור משקי הבית עם משכנתא במגזר הערבי עמד על כ-8%, לעומת 27%</w:t>
      </w:r>
      <w:r w:rsidRPr="001F2586">
        <w:rPr>
          <w:rFonts w:eastAsia="Calibri" w:hint="cs"/>
        </w:rPr>
        <w:t xml:space="preserve"> </w:t>
      </w:r>
      <w:r w:rsidRPr="001F2586">
        <w:rPr>
          <w:rFonts w:eastAsia="Calibri" w:hint="cs"/>
          <w:rtl/>
        </w:rPr>
        <w:t xml:space="preserve">באוכלוסייה הכללית, ו-42% במגזר החרדי. עוד נמצא כי למרות שכמות ההלוואות החדשות לדיור שניתנו בחברה הערבית גדלה בשנים 2020-2018 ב-42%, ההלוואות לדיור שהועמדו בכל אחת מהשנים </w:t>
      </w:r>
      <w:r w:rsidRPr="001F2586">
        <w:rPr>
          <w:rFonts w:eastAsia="Calibri" w:hint="cs"/>
          <w:rtl/>
        </w:rPr>
        <w:t>2018 - 2020 ביחס לכמות הדירות שנרכשו או שנבנו ביישובי החברה הערבית נמוך עדיין בהשוואה לחברות היהודית. להלן הנתונים:</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b/>
          <w:bCs/>
          <w:rtl/>
        </w:rPr>
      </w:pPr>
      <w:r w:rsidRPr="001F2586">
        <w:rPr>
          <w:rFonts w:eastAsia="Calibri" w:hint="cs"/>
          <w:rtl/>
        </w:rPr>
        <w:t>תרשים 50:</w:t>
      </w:r>
      <w:r w:rsidRPr="001F2586">
        <w:rPr>
          <w:rFonts w:eastAsia="Calibri" w:hint="cs"/>
          <w:b/>
          <w:bCs/>
          <w:rtl/>
        </w:rPr>
        <w:t xml:space="preserve"> מספר הלוואות לדיור ודירות שנרכשו או נבנו בישובים יהודיים ויישובים ערביים בשנים 2018 - 2020 </w:t>
      </w:r>
    </w:p>
    <w:p w:rsidR="001F2586" w:rsidRPr="001F2586" w:rsidP="001F2586">
      <w:pPr>
        <w:spacing w:line="269" w:lineRule="auto"/>
        <w:jc w:val="center"/>
        <w:rPr>
          <w:rFonts w:eastAsia="Calibri"/>
          <w:b/>
          <w:bCs/>
          <w:rtl/>
        </w:rPr>
      </w:pPr>
      <w:r w:rsidRPr="001F2586">
        <w:rPr>
          <w:rFonts w:eastAsia="Calibri"/>
          <w:b/>
          <w:bCs/>
          <w:noProof/>
          <w:rtl/>
          <w:lang w:val="he-IL"/>
        </w:rPr>
        <w:drawing>
          <wp:inline distT="0" distB="0" distL="0" distR="0">
            <wp:extent cx="5220335" cy="3145155"/>
            <wp:effectExtent l="0" t="0" r="0" b="0"/>
            <wp:docPr id="42" name="תמונה 42" descr="בשנת 2018- &#10;מספר ההלוואות למטרת מגורים בישובים היהודים -62,018   הלוואות &#10;כמות הדירות שנרכשו או נבנו בישובים היהודים -59,065   הלוואות &#10;מספר ההלוואות למטרת מגורים בישובים הערבים -769   הלוואות &#10;כמות הדירות שנרכשו או נבנו בישובים היהודים -4,529   הלוואות &#10;בשנת 2019- &#10;מספר ההלוואות למטרת מגורים בישובים היהודים -67,896   הלוואות &#10;כמות הדירות שנרכשו או נבנו בישובים היהודים -70,917   הלוואות &#10;מספר ההלוואות למטרת מגורים בישובים הערבים -992   הלוואות &#10;כמות הדירות שנרכשו או נבנו בישובים היהודים -4,205   הלוואות &#10;בשנת 2020- &#10;מספר ההלוואות למטרת מגורים בישובים היהודים -71,409   הלוואות &#10;כמות הדירות שנרכשו או נבנו בישובים היהודים -73,950   הלוואות &#10;מספר ההלוואות למטרת מגורים בישובים הערבים -1,090   הלוואות &#10;כמות הדירות שנרכשו או נבנו בישובים היהודים -3,284   הלווא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רשים 50.GIF"/>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tretch>
                      <a:fillRect/>
                    </a:stretch>
                  </pic:blipFill>
                  <pic:spPr>
                    <a:xfrm>
                      <a:off x="0" y="0"/>
                      <a:ext cx="5220335" cy="3145155"/>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 xml:space="preserve">על פי נתוני בנק ישראל </w:t>
      </w:r>
      <w:r w:rsidRPr="001F2586">
        <w:rPr>
          <w:rFonts w:eastAsia="Calibri" w:hint="eastAsia"/>
          <w:szCs w:val="20"/>
          <w:rtl/>
        </w:rPr>
        <w:t>במסגרת</w:t>
      </w:r>
      <w:r w:rsidRPr="001F2586">
        <w:rPr>
          <w:rFonts w:eastAsia="Calibri"/>
          <w:szCs w:val="20"/>
          <w:rtl/>
        </w:rPr>
        <w:t xml:space="preserve"> </w:t>
      </w:r>
      <w:r w:rsidRPr="001F2586">
        <w:rPr>
          <w:rFonts w:eastAsia="Calibri" w:hint="eastAsia"/>
          <w:szCs w:val="20"/>
          <w:rtl/>
        </w:rPr>
        <w:t>דוח</w:t>
      </w:r>
      <w:r w:rsidRPr="001F2586">
        <w:rPr>
          <w:rFonts w:eastAsia="Calibri"/>
          <w:szCs w:val="20"/>
          <w:rtl/>
        </w:rPr>
        <w:t xml:space="preserve"> </w:t>
      </w:r>
      <w:r w:rsidRPr="001F2586">
        <w:rPr>
          <w:rFonts w:eastAsia="Calibri" w:hint="eastAsia"/>
          <w:szCs w:val="20"/>
          <w:rtl/>
        </w:rPr>
        <w:t>הצוות</w:t>
      </w:r>
      <w:r w:rsidRPr="001F2586">
        <w:rPr>
          <w:rFonts w:eastAsia="Calibri"/>
          <w:szCs w:val="20"/>
          <w:rtl/>
        </w:rPr>
        <w:t xml:space="preserve"> </w:t>
      </w:r>
      <w:r w:rsidRPr="001F2586">
        <w:rPr>
          <w:rFonts w:eastAsia="Calibri" w:hint="eastAsia"/>
          <w:szCs w:val="20"/>
          <w:rtl/>
        </w:rPr>
        <w:t>הבין</w:t>
      </w:r>
      <w:r w:rsidRPr="001F2586">
        <w:rPr>
          <w:rFonts w:eastAsia="Calibri"/>
          <w:szCs w:val="20"/>
          <w:rtl/>
        </w:rPr>
        <w:t>-</w:t>
      </w:r>
      <w:r w:rsidRPr="001F2586">
        <w:rPr>
          <w:rFonts w:eastAsia="Calibri" w:hint="eastAsia"/>
          <w:szCs w:val="20"/>
          <w:rtl/>
        </w:rPr>
        <w:t>משרדי</w:t>
      </w:r>
      <w:r w:rsidRPr="001F2586">
        <w:rPr>
          <w:rFonts w:eastAsia="Calibri"/>
          <w:szCs w:val="20"/>
          <w:rtl/>
        </w:rPr>
        <w:t xml:space="preserve"> </w:t>
      </w:r>
      <w:r w:rsidRPr="001F2586">
        <w:rPr>
          <w:rFonts w:eastAsia="Calibri" w:hint="eastAsia"/>
          <w:szCs w:val="20"/>
          <w:rtl/>
        </w:rPr>
        <w:t>לגיבוש</w:t>
      </w:r>
      <w:r w:rsidRPr="001F2586">
        <w:rPr>
          <w:rFonts w:eastAsia="Calibri"/>
          <w:szCs w:val="20"/>
          <w:rtl/>
        </w:rPr>
        <w:t xml:space="preserve"> </w:t>
      </w:r>
      <w:r w:rsidRPr="001F2586">
        <w:rPr>
          <w:rFonts w:eastAsia="Calibri" w:hint="eastAsia"/>
          <w:szCs w:val="20"/>
          <w:rtl/>
        </w:rPr>
        <w:t>תכנית</w:t>
      </w:r>
      <w:r w:rsidRPr="001F2586">
        <w:rPr>
          <w:rFonts w:eastAsia="Calibri"/>
          <w:szCs w:val="20"/>
          <w:rtl/>
        </w:rPr>
        <w:t xml:space="preserve"> </w:t>
      </w:r>
      <w:r w:rsidRPr="001F2586">
        <w:rPr>
          <w:rFonts w:eastAsia="Calibri" w:hint="eastAsia"/>
          <w:szCs w:val="20"/>
          <w:rtl/>
        </w:rPr>
        <w:t>לאומית</w:t>
      </w:r>
      <w:r w:rsidRPr="001F2586">
        <w:rPr>
          <w:rFonts w:eastAsia="Calibri"/>
          <w:szCs w:val="20"/>
          <w:rtl/>
        </w:rPr>
        <w:t xml:space="preserve"> </w:t>
      </w:r>
      <w:r w:rsidRPr="001F2586">
        <w:rPr>
          <w:rFonts w:eastAsia="Calibri" w:hint="eastAsia"/>
          <w:szCs w:val="20"/>
          <w:rtl/>
        </w:rPr>
        <w:t>להגברת</w:t>
      </w:r>
      <w:r w:rsidRPr="001F2586">
        <w:rPr>
          <w:rFonts w:eastAsia="Calibri"/>
          <w:szCs w:val="20"/>
          <w:rtl/>
        </w:rPr>
        <w:t xml:space="preserve"> </w:t>
      </w:r>
      <w:r w:rsidRPr="001F2586">
        <w:rPr>
          <w:rFonts w:eastAsia="Calibri" w:hint="eastAsia"/>
          <w:szCs w:val="20"/>
          <w:rtl/>
        </w:rPr>
        <w:t>ההכלה</w:t>
      </w:r>
      <w:r w:rsidRPr="001F2586">
        <w:rPr>
          <w:rFonts w:eastAsia="Calibri"/>
          <w:szCs w:val="20"/>
          <w:rtl/>
        </w:rPr>
        <w:t xml:space="preserve"> </w:t>
      </w:r>
      <w:r w:rsidRPr="001F2586">
        <w:rPr>
          <w:rFonts w:eastAsia="Calibri" w:hint="eastAsia"/>
          <w:szCs w:val="20"/>
          <w:rtl/>
        </w:rPr>
        <w:t>הפיננסית</w:t>
      </w:r>
      <w:r w:rsidRPr="001F2586">
        <w:rPr>
          <w:rFonts w:eastAsia="Calibri" w:hint="cs"/>
          <w:szCs w:val="20"/>
          <w:rtl/>
        </w:rPr>
        <w:t>,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מנתונים אלו עולה כי קיימים פערים משמעותיים בין ההלוואות לדיור בישובים היהודיים לבין ישובים ערביים וזאת בהשוואה לכמות הדירות שנבנו בישובים אלה בהתאם (כך למשל בישובים הערביים בשנת 2018 - 16%, בשנת 2019 - 24% ובשנת 2020 - 33%). </w:t>
      </w:r>
      <w:r w:rsidRPr="001F2586">
        <w:rPr>
          <w:rFonts w:eastAsia="Calibri"/>
          <w:b/>
          <w:bCs/>
          <w:rtl/>
        </w:rPr>
        <w:t>למרות שכמות ההלוואות לדיור החדשות בחברה הערבית גדלה בשנתיים האחרונות</w:t>
      </w:r>
      <w:r w:rsidRPr="001F2586">
        <w:rPr>
          <w:rFonts w:eastAsia="Calibri" w:hint="cs"/>
          <w:b/>
          <w:bCs/>
          <w:rtl/>
        </w:rPr>
        <w:t xml:space="preserve"> (גדלה בכ-29%), </w:t>
      </w:r>
      <w:r w:rsidRPr="001F2586">
        <w:rPr>
          <w:rFonts w:eastAsia="Calibri"/>
          <w:b/>
          <w:bCs/>
          <w:rtl/>
        </w:rPr>
        <w:t>ההלוואות לדיור ביחס לכמות הדירות שנרכשו או שנבנו ביישובי החברה הערבית נמוך עדיין מאוד בהשוואה</w:t>
      </w:r>
      <w:r w:rsidRPr="001F2586">
        <w:rPr>
          <w:rFonts w:eastAsia="Calibri" w:hint="cs"/>
          <w:b/>
          <w:bCs/>
          <w:rtl/>
        </w:rPr>
        <w:t xml:space="preserve"> </w:t>
      </w:r>
      <w:r w:rsidRPr="001F2586">
        <w:rPr>
          <w:rFonts w:eastAsia="Calibri"/>
          <w:b/>
          <w:bCs/>
          <w:rtl/>
        </w:rPr>
        <w:t>לחברות היהודיות</w:t>
      </w:r>
      <w:r w:rsidRPr="001F2586">
        <w:rPr>
          <w:rFonts w:eastAsia="Calibri" w:hint="cs"/>
          <w:b/>
          <w:bCs/>
          <w:rtl/>
        </w:rPr>
        <w:t xml:space="preserve"> (33% אל מול 96%).</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חטיבת המחקר בבנק ישראל </w:t>
      </w:r>
      <w:r w:rsidRPr="001F2586">
        <w:rPr>
          <w:rFonts w:eastAsia="Calibri"/>
          <w:rtl/>
        </w:rPr>
        <w:t>מלווה את הפעילות המקצועית בבנק בתחום המדיניות המוניטרית, בייעוץ הכלכלי לממשלה ובתחום הפיננסי. פעילות החטיבה מסייעת לנגיד בגיבוש המלצות מדיניות ובהערכת המדיניות של הממשלה תוך מעקב אחר התהליכים במשק וניתוחם ויצירת תשתית מחקרית להחלטות מדיניות מושכלות.</w:t>
      </w:r>
      <w:r w:rsidRPr="001F2586">
        <w:rPr>
          <w:rFonts w:eastAsia="Calibri" w:hint="cs"/>
          <w:rtl/>
        </w:rPr>
        <w:t xml:space="preserve"> </w:t>
      </w:r>
      <w:r w:rsidRPr="001F2586">
        <w:rPr>
          <w:rFonts w:eastAsia="Calibri"/>
          <w:rtl/>
        </w:rPr>
        <w:t>תוצאות הניתוח השוטף, המחקר וההערכות מובאות בפני מקבלי ההחלטות בבנק ישראל ובכללם הוועדה המוניטרית, במשרדי הממשלה, בגופים רגולטוריים בתחום הפיננסי, בוועדות הכנסת ובפני הציבור הרחב. הן מסייעות בהבנת התהליכים הכלכליים, בזיהוי מגמות וסיכונים, בבחינה מקצועית של הצעות מדיניות, בגיבוש המדיניות במשרד האוצר ובמשרדי הממשלה האחרים, ובכלל זה בבניית תקציב המדינה</w:t>
      </w:r>
      <w:r>
        <w:rPr>
          <w:rFonts w:eastAsia="Calibri"/>
          <w:vertAlign w:val="superscript"/>
          <w:rtl/>
        </w:rPr>
        <w:footnoteReference w:id="339"/>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נמצא</w:t>
      </w:r>
      <w:r w:rsidRPr="001F2586">
        <w:rPr>
          <w:rFonts w:eastAsia="Calibri"/>
          <w:b/>
          <w:bCs/>
          <w:rtl/>
        </w:rPr>
        <w:t xml:space="preserve"> כי </w:t>
      </w:r>
      <w:r w:rsidRPr="001F2586">
        <w:rPr>
          <w:rFonts w:eastAsia="Calibri" w:hint="cs"/>
          <w:b/>
          <w:bCs/>
          <w:rtl/>
        </w:rPr>
        <w:t>ממועד פרסום הדוח האחרון של הפיקוח על הבנקים בשנת 2022 (לגבי נתוני שנת 2020)</w:t>
      </w:r>
      <w:r w:rsidRPr="001F2586">
        <w:rPr>
          <w:rFonts w:eastAsia="Calibri"/>
          <w:b/>
          <w:bCs/>
          <w:rtl/>
        </w:rPr>
        <w:t xml:space="preserve">, לא פורסם מחקר </w:t>
      </w:r>
      <w:r w:rsidRPr="001F2586">
        <w:rPr>
          <w:rFonts w:eastAsia="Calibri" w:hint="eastAsia"/>
          <w:b/>
          <w:bCs/>
          <w:rtl/>
        </w:rPr>
        <w:t>עדכני</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cs"/>
          <w:b/>
          <w:bCs/>
          <w:rtl/>
        </w:rPr>
        <w:t xml:space="preserve">הפיקוח על הבנקים או חטיבת המחקר של </w:t>
      </w:r>
      <w:r w:rsidRPr="001F2586">
        <w:rPr>
          <w:rFonts w:eastAsia="Calibri" w:hint="eastAsia"/>
          <w:b/>
          <w:bCs/>
          <w:rtl/>
        </w:rPr>
        <w:t>בנק</w:t>
      </w:r>
      <w:r w:rsidRPr="001F2586">
        <w:rPr>
          <w:rFonts w:eastAsia="Calibri"/>
          <w:b/>
          <w:bCs/>
          <w:rtl/>
        </w:rPr>
        <w:t xml:space="preserve"> </w:t>
      </w:r>
      <w:r w:rsidRPr="001F2586">
        <w:rPr>
          <w:rFonts w:eastAsia="Calibri" w:hint="eastAsia"/>
          <w:b/>
          <w:bCs/>
          <w:rtl/>
        </w:rPr>
        <w:t>ישראל</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cs"/>
          <w:b/>
          <w:bCs/>
          <w:rtl/>
        </w:rPr>
        <w:t>שיעור המשכנתאות שניתנות</w:t>
      </w:r>
      <w:r w:rsidRPr="001F2586">
        <w:rPr>
          <w:rFonts w:eastAsia="Calibri"/>
          <w:b/>
          <w:bCs/>
          <w:rtl/>
        </w:rPr>
        <w:t xml:space="preserve"> </w:t>
      </w:r>
      <w:r w:rsidRPr="001F2586">
        <w:rPr>
          <w:rFonts w:eastAsia="Calibri" w:hint="cs"/>
          <w:b/>
          <w:bCs/>
          <w:rtl/>
        </w:rPr>
        <w:t>למגזר</w:t>
      </w:r>
      <w:r w:rsidRPr="001F2586">
        <w:rPr>
          <w:rFonts w:eastAsia="Calibri"/>
          <w:b/>
          <w:bCs/>
          <w:rtl/>
        </w:rPr>
        <w:t xml:space="preserve"> הערבי </w:t>
      </w:r>
      <w:r w:rsidRPr="001F2586">
        <w:rPr>
          <w:rFonts w:eastAsia="Calibri" w:hint="cs"/>
          <w:b/>
          <w:bCs/>
          <w:rtl/>
        </w:rPr>
        <w:t xml:space="preserve">מכלל </w:t>
      </w:r>
      <w:r w:rsidRPr="001F2586">
        <w:rPr>
          <w:rFonts w:eastAsia="Calibri"/>
          <w:b/>
          <w:bCs/>
          <w:rtl/>
        </w:rPr>
        <w:t>המשכנתאות</w:t>
      </w:r>
      <w:r w:rsidRPr="001F2586">
        <w:rPr>
          <w:rFonts w:eastAsia="Calibri" w:hint="cs"/>
          <w:b/>
          <w:bCs/>
          <w:rtl/>
        </w:rPr>
        <w:t xml:space="preserve"> וזאת למרות החשיבות הקיימת בהצגת נתונים האמורים לצורך גיבוש המלצות מדיניות הקשורות למגזר הערבי</w:t>
      </w:r>
      <w:r>
        <w:rPr>
          <w:rFonts w:eastAsia="Calibri"/>
          <w:b/>
          <w:bCs/>
          <w:vertAlign w:val="superscript"/>
          <w:rtl/>
        </w:rPr>
        <w:footnoteReference w:id="340"/>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מומלץ</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בנק ישראל </w:t>
      </w:r>
      <w:r w:rsidRPr="001F2586">
        <w:rPr>
          <w:rFonts w:eastAsia="Calibri" w:hint="cs"/>
          <w:b/>
          <w:bCs/>
          <w:rtl/>
        </w:rPr>
        <w:t>יבחן את הצורך</w:t>
      </w:r>
      <w:r w:rsidRPr="001F2586">
        <w:rPr>
          <w:rFonts w:eastAsia="Calibri"/>
          <w:b/>
          <w:bCs/>
          <w:rtl/>
        </w:rPr>
        <w:t xml:space="preserve"> </w:t>
      </w:r>
      <w:r w:rsidRPr="001F2586">
        <w:rPr>
          <w:rFonts w:eastAsia="Calibri" w:hint="cs"/>
          <w:b/>
          <w:bCs/>
          <w:rtl/>
        </w:rPr>
        <w:t>לבצע</w:t>
      </w:r>
      <w:r w:rsidRPr="001F2586">
        <w:rPr>
          <w:rFonts w:eastAsia="Calibri"/>
          <w:b/>
          <w:bCs/>
          <w:rtl/>
        </w:rPr>
        <w:t xml:space="preserve"> מחקר עתי בדבר אופן לקיחת המשכנתאות על ידי האוכלוסייה הערבית </w:t>
      </w:r>
      <w:r w:rsidRPr="001F2586">
        <w:rPr>
          <w:rFonts w:eastAsia="Calibri" w:hint="cs"/>
          <w:b/>
          <w:bCs/>
          <w:rtl/>
        </w:rPr>
        <w:t>ויבחן את הצורך לבצע</w:t>
      </w:r>
      <w:r w:rsidRPr="001F2586">
        <w:rPr>
          <w:rFonts w:eastAsia="Calibri"/>
          <w:b/>
          <w:bCs/>
          <w:rtl/>
        </w:rPr>
        <w:t xml:space="preserve"> בדיקת אפקטיביות של הצעדים שננקטו על ידי המדינה במהלך השנים להפחתת חסמים כאלה או אחרים.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בדיון</w:t>
      </w:r>
      <w:r w:rsidRPr="001F2586">
        <w:rPr>
          <w:rFonts w:eastAsia="Calibri"/>
          <w:rtl/>
        </w:rPr>
        <w:t xml:space="preserve"> בוועדת הכלכלה </w:t>
      </w:r>
      <w:r w:rsidRPr="001F2586">
        <w:rPr>
          <w:rFonts w:eastAsia="Calibri" w:hint="cs"/>
          <w:rtl/>
        </w:rPr>
        <w:t xml:space="preserve">של הכנסת </w:t>
      </w:r>
      <w:r w:rsidRPr="001F2586">
        <w:rPr>
          <w:rFonts w:eastAsia="Calibri" w:hint="eastAsia"/>
          <w:rtl/>
        </w:rPr>
        <w:t>ב</w:t>
      </w:r>
      <w:r w:rsidRPr="001F2586">
        <w:rPr>
          <w:rFonts w:eastAsia="Calibri" w:hint="cs"/>
          <w:rtl/>
        </w:rPr>
        <w:t>מרץ 2022 הציג המפקח על הבנקים דאז נתונים נבחרים בדבר בנקאות במשקי הבית בחברה הערבית. נתונים מעודכנים הועברו למבקר המדינה לבקשתו בינואר 2026. להלן עיקר הנתונים שהועברו למבקר המדינה בדבר האשראי לדיור בחברה הערבית:</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b/>
          <w:bCs/>
          <w:rtl/>
        </w:rPr>
      </w:pPr>
      <w:r w:rsidRPr="001F2586">
        <w:rPr>
          <w:rFonts w:eastAsia="Calibri" w:hint="cs"/>
          <w:rtl/>
        </w:rPr>
        <w:t>תרשים 51:</w:t>
      </w:r>
      <w:r w:rsidRPr="001F2586">
        <w:rPr>
          <w:rFonts w:eastAsia="Calibri" w:hint="cs"/>
          <w:b/>
          <w:bCs/>
          <w:rtl/>
        </w:rPr>
        <w:t xml:space="preserve"> הכנסה נטו של משק בית בעל הלוואה לדיור </w:t>
      </w:r>
      <w:r w:rsidRPr="001F2586">
        <w:rPr>
          <w:rFonts w:eastAsia="Calibri"/>
          <w:b/>
          <w:bCs/>
          <w:rtl/>
        </w:rPr>
        <w:t>לשנים 2016</w:t>
      </w:r>
      <w:r w:rsidRPr="001F2586">
        <w:rPr>
          <w:rFonts w:eastAsia="Calibri" w:hint="cs"/>
          <w:b/>
          <w:bCs/>
          <w:rtl/>
        </w:rPr>
        <w:t xml:space="preserve"> -</w:t>
      </w:r>
      <w:r w:rsidRPr="001F2586">
        <w:rPr>
          <w:rFonts w:eastAsia="Calibri"/>
          <w:b/>
          <w:bCs/>
          <w:rtl/>
        </w:rPr>
        <w:t xml:space="preserve"> 2024</w:t>
      </w:r>
      <w:r w:rsidRPr="001F2586">
        <w:rPr>
          <w:rFonts w:eastAsia="Calibri" w:hint="cs"/>
          <w:b/>
          <w:bCs/>
          <w:rtl/>
        </w:rPr>
        <w:t xml:space="preserve"> </w:t>
      </w:r>
      <w:r w:rsidRPr="001F2586">
        <w:rPr>
          <w:rFonts w:eastAsia="Calibri"/>
          <w:b/>
          <w:bCs/>
          <w:rtl/>
        </w:rPr>
        <w:t xml:space="preserve">(רבעון </w:t>
      </w:r>
      <w:r w:rsidRPr="001F2586">
        <w:rPr>
          <w:rFonts w:eastAsia="Calibri" w:hint="eastAsia"/>
          <w:b/>
          <w:bCs/>
          <w:rtl/>
        </w:rPr>
        <w:t>ראשון</w:t>
      </w:r>
      <w:r w:rsidRPr="001F2586">
        <w:rPr>
          <w:rFonts w:eastAsia="Calibri"/>
          <w:b/>
          <w:bCs/>
          <w:rtl/>
        </w:rPr>
        <w:t>) בפילוח לפי המגזרים השונים</w:t>
      </w:r>
    </w:p>
    <w:p w:rsidR="001F2586" w:rsidRPr="001F2586" w:rsidP="001F2586">
      <w:pPr>
        <w:spacing w:line="269" w:lineRule="auto"/>
        <w:jc w:val="center"/>
        <w:rPr>
          <w:rFonts w:eastAsia="Calibri"/>
          <w:b/>
          <w:bCs/>
          <w:rtl/>
        </w:rPr>
      </w:pPr>
      <w:r w:rsidRPr="001F2586">
        <w:rPr>
          <w:rFonts w:eastAsia="Calibri"/>
          <w:noProof/>
        </w:rPr>
        <w:drawing>
          <wp:inline distT="0" distB="0" distL="0" distR="0">
            <wp:extent cx="5042258" cy="3028950"/>
            <wp:effectExtent l="0" t="0" r="6350" b="0"/>
            <wp:docPr id="9" name="תמונה 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5044508" cy="3030302"/>
                    </a:xfrm>
                    <a:prstGeom prst="rect">
                      <a:avLst/>
                    </a:prstGeom>
                    <a:noFill/>
                    <a:ln>
                      <a:noFill/>
                    </a:ln>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 xml:space="preserve">על פי </w:t>
      </w:r>
      <w:r w:rsidRPr="001F2586">
        <w:rPr>
          <w:rFonts w:eastAsia="Calibri" w:hint="eastAsia"/>
          <w:szCs w:val="20"/>
          <w:rtl/>
        </w:rPr>
        <w:t>נתוני</w:t>
      </w:r>
      <w:r w:rsidRPr="001F2586">
        <w:rPr>
          <w:rFonts w:eastAsia="Calibri"/>
          <w:szCs w:val="20"/>
          <w:rtl/>
        </w:rPr>
        <w:t xml:space="preserve"> </w:t>
      </w:r>
      <w:r w:rsidRPr="001F2586">
        <w:rPr>
          <w:rFonts w:eastAsia="Calibri" w:hint="eastAsia"/>
          <w:szCs w:val="20"/>
          <w:rtl/>
        </w:rPr>
        <w:t>בנק</w:t>
      </w:r>
      <w:r w:rsidRPr="001F2586">
        <w:rPr>
          <w:rFonts w:eastAsia="Calibri"/>
          <w:szCs w:val="20"/>
          <w:rtl/>
        </w:rPr>
        <w:t xml:space="preserve"> </w:t>
      </w:r>
      <w:r w:rsidRPr="001F2586">
        <w:rPr>
          <w:rFonts w:eastAsia="Calibri" w:hint="eastAsia"/>
          <w:szCs w:val="20"/>
          <w:rtl/>
        </w:rPr>
        <w:t>ישראל</w:t>
      </w:r>
      <w:r w:rsidRPr="001F2586">
        <w:rPr>
          <w:rFonts w:eastAsia="Calibri" w:hint="cs"/>
          <w:szCs w:val="20"/>
          <w:rtl/>
        </w:rPr>
        <w:t>,</w:t>
      </w:r>
      <w:r w:rsidRPr="001F2586">
        <w:rPr>
          <w:rFonts w:eastAsia="Calibri"/>
          <w:szCs w:val="20"/>
          <w:rtl/>
        </w:rPr>
        <w:t xml:space="preserve"> </w:t>
      </w:r>
      <w:r w:rsidRPr="001F2586">
        <w:rPr>
          <w:rFonts w:eastAsia="Calibri" w:hint="cs"/>
          <w:szCs w:val="20"/>
          <w:rtl/>
        </w:rPr>
        <w:t>בעיבוד משרד מבקר המדינה.</w:t>
      </w:r>
    </w:p>
    <w:p w:rsidR="001F2586" w:rsidRPr="001F2586" w:rsidP="001F2586">
      <w:pPr>
        <w:spacing w:line="269" w:lineRule="auto"/>
        <w:rPr>
          <w:rFonts w:eastAsia="Calibri"/>
          <w:rtl/>
        </w:rPr>
      </w:pPr>
    </w:p>
    <w:p w:rsidR="001F2586" w:rsidRPr="001F2586" w:rsidP="001F2586">
      <w:pPr>
        <w:keepNext/>
        <w:keepLines/>
        <w:spacing w:line="269" w:lineRule="auto"/>
        <w:jc w:val="center"/>
        <w:rPr>
          <w:rFonts w:eastAsia="Calibri"/>
          <w:b/>
          <w:bCs/>
          <w:rtl/>
        </w:rPr>
      </w:pPr>
      <w:r w:rsidRPr="001F2586">
        <w:rPr>
          <w:rFonts w:eastAsia="Calibri" w:hint="cs"/>
          <w:rtl/>
        </w:rPr>
        <w:t>תרשים 52:</w:t>
      </w:r>
      <w:r w:rsidRPr="001F2586">
        <w:rPr>
          <w:rFonts w:eastAsia="Calibri" w:hint="cs"/>
          <w:b/>
          <w:bCs/>
          <w:rtl/>
        </w:rPr>
        <w:t xml:space="preserve"> שיעור ההחזר הממוצע מהכנסה (באחוזים) </w:t>
      </w:r>
      <w:r w:rsidRPr="001F2586">
        <w:rPr>
          <w:rFonts w:eastAsia="Calibri"/>
          <w:b/>
          <w:bCs/>
          <w:rtl/>
        </w:rPr>
        <w:t>לשנים 2016</w:t>
      </w:r>
      <w:r w:rsidRPr="001F2586">
        <w:rPr>
          <w:rFonts w:eastAsia="Calibri" w:hint="cs"/>
          <w:b/>
          <w:bCs/>
          <w:rtl/>
        </w:rPr>
        <w:t xml:space="preserve"> -</w:t>
      </w:r>
      <w:r w:rsidRPr="001F2586">
        <w:rPr>
          <w:rFonts w:eastAsia="Calibri"/>
          <w:b/>
          <w:bCs/>
          <w:rtl/>
        </w:rPr>
        <w:t xml:space="preserve"> 2024</w:t>
      </w:r>
      <w:r w:rsidRPr="001F2586">
        <w:rPr>
          <w:rFonts w:eastAsia="Calibri" w:hint="cs"/>
          <w:b/>
          <w:bCs/>
          <w:rtl/>
        </w:rPr>
        <w:t xml:space="preserve"> </w:t>
      </w:r>
      <w:r w:rsidRPr="001F2586">
        <w:rPr>
          <w:rFonts w:eastAsia="Calibri"/>
          <w:b/>
          <w:bCs/>
          <w:rtl/>
        </w:rPr>
        <w:t xml:space="preserve">(רבעון </w:t>
      </w:r>
      <w:r w:rsidRPr="001F2586">
        <w:rPr>
          <w:rFonts w:eastAsia="Calibri" w:hint="eastAsia"/>
          <w:b/>
          <w:bCs/>
          <w:rtl/>
        </w:rPr>
        <w:t>ראשון</w:t>
      </w:r>
      <w:r w:rsidRPr="001F2586">
        <w:rPr>
          <w:rFonts w:eastAsia="Calibri"/>
          <w:b/>
          <w:bCs/>
          <w:rtl/>
        </w:rPr>
        <w:t>)</w:t>
      </w:r>
      <w:r w:rsidRPr="001F2586">
        <w:rPr>
          <w:rFonts w:eastAsia="Calibri" w:hint="cs"/>
          <w:b/>
          <w:bCs/>
          <w:rtl/>
        </w:rPr>
        <w:t>,</w:t>
      </w:r>
      <w:r w:rsidRPr="001F2586">
        <w:rPr>
          <w:rFonts w:eastAsia="Calibri"/>
          <w:b/>
          <w:bCs/>
          <w:rtl/>
        </w:rPr>
        <w:t xml:space="preserve"> בפילוח לפי המגזרים השונים</w:t>
      </w:r>
    </w:p>
    <w:p w:rsidR="001F2586" w:rsidRPr="001F2586" w:rsidP="001F2586">
      <w:pPr>
        <w:spacing w:line="269" w:lineRule="auto"/>
        <w:rPr>
          <w:rFonts w:eastAsia="Calibri"/>
          <w:rtl/>
        </w:rPr>
      </w:pPr>
      <w:r w:rsidRPr="001F2586">
        <w:rPr>
          <w:rFonts w:eastAsia="Calibri"/>
          <w:noProof/>
          <w:rtl/>
          <w:lang w:val="he-IL"/>
        </w:rPr>
        <w:drawing>
          <wp:inline distT="0" distB="0" distL="0" distR="0">
            <wp:extent cx="5045220" cy="3000375"/>
            <wp:effectExtent l="0" t="0" r="3175" b="0"/>
            <wp:docPr id="23" name="תמונה 23" descr="בגרף ניתן לראות כי שיעור ההחזר הממוצע מההכנסה ביישובי החברה הערבית גבוה במעט בהשוואה למגזרים האחרים (מגזר יהודי ומגזר מעורב). שיעור ההחזר הממוצע מההכנסה במגזר היהודי והמעורב ברבעון הראשון של שנת 2024 עמד על כ-26.5% ואילו במגזר הערבי על כ-2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רשים 52.GIF"/>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tretch>
                      <a:fillRect/>
                    </a:stretch>
                  </pic:blipFill>
                  <pic:spPr>
                    <a:xfrm>
                      <a:off x="0" y="0"/>
                      <a:ext cx="5046574" cy="3001180"/>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 xml:space="preserve">על פי </w:t>
      </w:r>
      <w:r w:rsidRPr="001F2586">
        <w:rPr>
          <w:rFonts w:eastAsia="Calibri" w:hint="eastAsia"/>
          <w:szCs w:val="20"/>
          <w:rtl/>
        </w:rPr>
        <w:t>נתוני</w:t>
      </w:r>
      <w:r w:rsidRPr="001F2586">
        <w:rPr>
          <w:rFonts w:eastAsia="Calibri"/>
          <w:szCs w:val="20"/>
          <w:rtl/>
        </w:rPr>
        <w:t xml:space="preserve"> </w:t>
      </w:r>
      <w:r w:rsidRPr="001F2586">
        <w:rPr>
          <w:rFonts w:eastAsia="Calibri" w:hint="eastAsia"/>
          <w:szCs w:val="20"/>
          <w:rtl/>
        </w:rPr>
        <w:t>בנק</w:t>
      </w:r>
      <w:r w:rsidRPr="001F2586">
        <w:rPr>
          <w:rFonts w:eastAsia="Calibri"/>
          <w:szCs w:val="20"/>
          <w:rtl/>
        </w:rPr>
        <w:t xml:space="preserve"> </w:t>
      </w:r>
      <w:r w:rsidRPr="001F2586">
        <w:rPr>
          <w:rFonts w:eastAsia="Calibri" w:hint="eastAsia"/>
          <w:szCs w:val="20"/>
          <w:rtl/>
        </w:rPr>
        <w:t>ישראל</w:t>
      </w:r>
      <w:r w:rsidRPr="001F2586">
        <w:rPr>
          <w:rFonts w:eastAsia="Calibri" w:hint="cs"/>
          <w:szCs w:val="20"/>
          <w:rtl/>
        </w:rPr>
        <w:t>,</w:t>
      </w:r>
      <w:r w:rsidRPr="001F2586">
        <w:rPr>
          <w:rFonts w:eastAsia="Calibri"/>
          <w:szCs w:val="20"/>
          <w:rtl/>
        </w:rPr>
        <w:t xml:space="preserve"> </w:t>
      </w:r>
      <w:r w:rsidRPr="001F2586">
        <w:rPr>
          <w:rFonts w:eastAsia="Calibri" w:hint="cs"/>
          <w:szCs w:val="20"/>
          <w:rtl/>
        </w:rPr>
        <w:t>בעיבוד משרד מבקר המדינה.</w:t>
      </w:r>
    </w:p>
    <w:p w:rsidR="001F2586" w:rsidRPr="001F2586" w:rsidP="001F2586">
      <w:pPr>
        <w:spacing w:line="269" w:lineRule="auto"/>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מהתרשימים</w:t>
      </w:r>
      <w:r w:rsidRPr="001F2586">
        <w:rPr>
          <w:rFonts w:eastAsia="Calibri"/>
          <w:b/>
          <w:bCs/>
          <w:rtl/>
        </w:rPr>
        <w:t xml:space="preserve"> </w:t>
      </w:r>
      <w:r w:rsidRPr="001F2586">
        <w:rPr>
          <w:rFonts w:eastAsia="Calibri" w:hint="eastAsia"/>
          <w:b/>
          <w:bCs/>
          <w:rtl/>
        </w:rPr>
        <w:t>האמורים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ההחזר</w:t>
      </w:r>
      <w:r w:rsidRPr="001F2586">
        <w:rPr>
          <w:rFonts w:eastAsia="Calibri"/>
          <w:b/>
          <w:bCs/>
          <w:rtl/>
        </w:rPr>
        <w:t xml:space="preserve"> </w:t>
      </w:r>
      <w:r w:rsidRPr="001F2586">
        <w:rPr>
          <w:rFonts w:eastAsia="Calibri" w:hint="eastAsia"/>
          <w:b/>
          <w:bCs/>
          <w:rtl/>
        </w:rPr>
        <w:t>הממוצע</w:t>
      </w:r>
      <w:r w:rsidRPr="001F2586">
        <w:rPr>
          <w:rFonts w:eastAsia="Calibri"/>
          <w:b/>
          <w:bCs/>
          <w:rtl/>
        </w:rPr>
        <w:t xml:space="preserve"> </w:t>
      </w:r>
      <w:r w:rsidRPr="001F2586">
        <w:rPr>
          <w:rFonts w:eastAsia="Calibri" w:hint="eastAsia"/>
          <w:b/>
          <w:bCs/>
          <w:rtl/>
        </w:rPr>
        <w:t>מההכנסה</w:t>
      </w:r>
      <w:r w:rsidRPr="001F2586">
        <w:rPr>
          <w:rFonts w:eastAsia="Calibri"/>
          <w:b/>
          <w:bCs/>
          <w:rtl/>
        </w:rPr>
        <w:t xml:space="preserve"> </w:t>
      </w:r>
      <w:r w:rsidRPr="001F2586">
        <w:rPr>
          <w:rFonts w:eastAsia="Calibri" w:hint="eastAsia"/>
          <w:b/>
          <w:bCs/>
          <w:rtl/>
        </w:rPr>
        <w:t>ביישובי</w:t>
      </w:r>
      <w:r w:rsidRPr="001F2586">
        <w:rPr>
          <w:rFonts w:eastAsia="Calibri"/>
          <w:b/>
          <w:bCs/>
          <w:rtl/>
        </w:rPr>
        <w:t xml:space="preserve"> </w:t>
      </w:r>
      <w:r w:rsidRPr="001F2586">
        <w:rPr>
          <w:rFonts w:eastAsia="Calibri" w:hint="eastAsia"/>
          <w:b/>
          <w:bCs/>
          <w:rtl/>
        </w:rPr>
        <w:t>החברה</w:t>
      </w:r>
      <w:r w:rsidRPr="001F2586">
        <w:rPr>
          <w:rFonts w:eastAsia="Calibri"/>
          <w:b/>
          <w:bCs/>
          <w:rtl/>
        </w:rPr>
        <w:t xml:space="preserve"> </w:t>
      </w:r>
      <w:r w:rsidRPr="001F2586">
        <w:rPr>
          <w:rFonts w:eastAsia="Calibri" w:hint="eastAsia"/>
          <w:b/>
          <w:bCs/>
          <w:rtl/>
        </w:rPr>
        <w:t>הערבית</w:t>
      </w:r>
      <w:r w:rsidRPr="001F2586">
        <w:rPr>
          <w:rFonts w:eastAsia="Calibri"/>
          <w:b/>
          <w:bCs/>
          <w:rtl/>
        </w:rPr>
        <w:t xml:space="preserve"> </w:t>
      </w:r>
      <w:r w:rsidRPr="001F2586">
        <w:rPr>
          <w:rFonts w:eastAsia="Calibri" w:hint="eastAsia"/>
          <w:b/>
          <w:bCs/>
          <w:rtl/>
        </w:rPr>
        <w:t>גבוה</w:t>
      </w:r>
      <w:r w:rsidRPr="001F2586">
        <w:rPr>
          <w:rFonts w:eastAsia="Calibri"/>
          <w:b/>
          <w:bCs/>
          <w:rtl/>
        </w:rPr>
        <w:t xml:space="preserve"> </w:t>
      </w:r>
      <w:r w:rsidRPr="001F2586">
        <w:rPr>
          <w:rFonts w:eastAsia="Calibri" w:hint="eastAsia"/>
          <w:b/>
          <w:bCs/>
          <w:rtl/>
        </w:rPr>
        <w:t>במעט</w:t>
      </w:r>
      <w:r w:rsidRPr="001F2586">
        <w:rPr>
          <w:rFonts w:eastAsia="Calibri"/>
          <w:b/>
          <w:bCs/>
          <w:rtl/>
        </w:rPr>
        <w:t xml:space="preserve"> </w:t>
      </w:r>
      <w:r w:rsidRPr="001F2586">
        <w:rPr>
          <w:rFonts w:eastAsia="Calibri" w:hint="eastAsia"/>
          <w:b/>
          <w:bCs/>
          <w:rtl/>
        </w:rPr>
        <w:t>בהשוואה</w:t>
      </w:r>
      <w:r w:rsidRPr="001F2586">
        <w:rPr>
          <w:rFonts w:eastAsia="Calibri"/>
          <w:b/>
          <w:bCs/>
          <w:rtl/>
        </w:rPr>
        <w:t xml:space="preserve"> </w:t>
      </w:r>
      <w:r w:rsidRPr="001F2586">
        <w:rPr>
          <w:rFonts w:eastAsia="Calibri" w:hint="eastAsia"/>
          <w:b/>
          <w:bCs/>
          <w:rtl/>
        </w:rPr>
        <w:t>למגזרים</w:t>
      </w:r>
      <w:r w:rsidRPr="001F2586">
        <w:rPr>
          <w:rFonts w:eastAsia="Calibri"/>
          <w:b/>
          <w:bCs/>
          <w:rtl/>
        </w:rPr>
        <w:t xml:space="preserve"> </w:t>
      </w:r>
      <w:r w:rsidRPr="001F2586">
        <w:rPr>
          <w:rFonts w:eastAsia="Calibri" w:hint="eastAsia"/>
          <w:b/>
          <w:bCs/>
          <w:rtl/>
        </w:rPr>
        <w:t>האחרים</w:t>
      </w:r>
      <w:r w:rsidRPr="001F2586">
        <w:rPr>
          <w:rFonts w:eastAsia="Calibri"/>
          <w:b/>
          <w:bCs/>
          <w:rtl/>
        </w:rPr>
        <w:t xml:space="preserve"> (מגזר </w:t>
      </w:r>
      <w:r w:rsidRPr="001F2586">
        <w:rPr>
          <w:rFonts w:eastAsia="Calibri" w:hint="eastAsia"/>
          <w:b/>
          <w:bCs/>
          <w:rtl/>
        </w:rPr>
        <w:t>יהודי</w:t>
      </w:r>
      <w:r w:rsidRPr="001F2586">
        <w:rPr>
          <w:rFonts w:eastAsia="Calibri"/>
          <w:b/>
          <w:bCs/>
          <w:rtl/>
        </w:rPr>
        <w:t xml:space="preserve"> </w:t>
      </w:r>
      <w:r w:rsidRPr="001F2586">
        <w:rPr>
          <w:rFonts w:eastAsia="Calibri" w:hint="eastAsia"/>
          <w:b/>
          <w:bCs/>
          <w:rtl/>
        </w:rPr>
        <w:t>ומגזר</w:t>
      </w:r>
      <w:r w:rsidRPr="001F2586">
        <w:rPr>
          <w:rFonts w:eastAsia="Calibri"/>
          <w:b/>
          <w:bCs/>
          <w:rtl/>
        </w:rPr>
        <w:t xml:space="preserve"> </w:t>
      </w:r>
      <w:r w:rsidRPr="001F2586">
        <w:rPr>
          <w:rFonts w:eastAsia="Calibri" w:hint="eastAsia"/>
          <w:b/>
          <w:bCs/>
          <w:rtl/>
        </w:rPr>
        <w:t>מעורב</w:t>
      </w:r>
      <w:r w:rsidRPr="001F2586">
        <w:rPr>
          <w:rFonts w:eastAsia="Calibri"/>
          <w:b/>
          <w:bCs/>
          <w:rtl/>
        </w:rPr>
        <w:t>)</w:t>
      </w:r>
      <w:r w:rsidRPr="001F2586">
        <w:rPr>
          <w:rFonts w:eastAsia="Calibri" w:hint="cs"/>
          <w:b/>
          <w:bCs/>
          <w:rtl/>
        </w:rPr>
        <w:t>. שיעור ההחזר הממוצע מההכנסה במגזר היהודי והמעורב ברבעון הראשון של שנת 2024 עמד על כ-26.5%</w:t>
      </w:r>
      <w:r w:rsidRPr="001F2586">
        <w:rPr>
          <w:rFonts w:eastAsia="Calibri" w:hint="cs"/>
          <w:b/>
          <w:bCs/>
        </w:rPr>
        <w:t xml:space="preserve"> </w:t>
      </w:r>
      <w:r w:rsidRPr="001F2586">
        <w:rPr>
          <w:rFonts w:eastAsia="Calibri" w:hint="cs"/>
          <w:b/>
          <w:bCs/>
          <w:rtl/>
        </w:rPr>
        <w:t>ואילו במגזר הערבי על כ-27.7%</w:t>
      </w:r>
      <w:r w:rsidRPr="001F2586">
        <w:rPr>
          <w:rFonts w:eastAsia="Calibri"/>
          <w:b/>
          <w:bCs/>
          <w:rtl/>
        </w:rPr>
        <w:t xml:space="preserve">. </w:t>
      </w:r>
      <w:r w:rsidRPr="001F2586">
        <w:rPr>
          <w:rFonts w:eastAsia="Calibri" w:hint="eastAsia"/>
          <w:b/>
          <w:bCs/>
          <w:rtl/>
        </w:rPr>
        <w:t>כמו</w:t>
      </w:r>
      <w:r w:rsidRPr="001F2586">
        <w:rPr>
          <w:rFonts w:eastAsia="Calibri"/>
          <w:b/>
          <w:bCs/>
          <w:rtl/>
        </w:rPr>
        <w:t xml:space="preserve"> </w:t>
      </w:r>
      <w:r w:rsidRPr="001F2586">
        <w:rPr>
          <w:rFonts w:eastAsia="Calibri" w:hint="eastAsia"/>
          <w:b/>
          <w:bCs/>
          <w:rtl/>
        </w:rPr>
        <w:t>כן</w:t>
      </w:r>
      <w:r w:rsidRPr="001F2586">
        <w:rPr>
          <w:rFonts w:eastAsia="Calibri"/>
          <w:b/>
          <w:bCs/>
          <w:rtl/>
        </w:rPr>
        <w:t xml:space="preserve">, </w:t>
      </w:r>
      <w:r w:rsidRPr="001F2586">
        <w:rPr>
          <w:rFonts w:eastAsia="Calibri" w:hint="eastAsia"/>
          <w:b/>
          <w:bCs/>
          <w:rtl/>
        </w:rPr>
        <w:t>ההכנסה</w:t>
      </w:r>
      <w:r w:rsidRPr="001F2586">
        <w:rPr>
          <w:rFonts w:eastAsia="Calibri"/>
          <w:b/>
          <w:bCs/>
          <w:rtl/>
        </w:rPr>
        <w:t xml:space="preserve"> </w:t>
      </w:r>
      <w:r w:rsidRPr="001F2586">
        <w:rPr>
          <w:rFonts w:eastAsia="Calibri" w:hint="eastAsia"/>
          <w:b/>
          <w:bCs/>
          <w:rtl/>
        </w:rPr>
        <w:t>נטו</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משקי</w:t>
      </w:r>
      <w:r w:rsidRPr="001F2586">
        <w:rPr>
          <w:rFonts w:eastAsia="Calibri"/>
          <w:b/>
          <w:bCs/>
          <w:rtl/>
        </w:rPr>
        <w:t xml:space="preserve"> </w:t>
      </w:r>
      <w:r w:rsidRPr="001F2586">
        <w:rPr>
          <w:rFonts w:eastAsia="Calibri" w:hint="eastAsia"/>
          <w:b/>
          <w:bCs/>
          <w:rtl/>
        </w:rPr>
        <w:t>הבית</w:t>
      </w:r>
      <w:r w:rsidRPr="001F2586">
        <w:rPr>
          <w:rFonts w:eastAsia="Calibri"/>
          <w:b/>
          <w:bCs/>
          <w:rtl/>
        </w:rPr>
        <w:t xml:space="preserve"> </w:t>
      </w:r>
      <w:r w:rsidRPr="001F2586">
        <w:rPr>
          <w:rFonts w:eastAsia="Calibri" w:hint="cs"/>
          <w:b/>
          <w:bCs/>
          <w:rtl/>
        </w:rPr>
        <w:t xml:space="preserve">ברבעון הראשון של שנת 2024 </w:t>
      </w:r>
      <w:r w:rsidRPr="001F2586">
        <w:rPr>
          <w:rFonts w:eastAsia="Calibri" w:hint="eastAsia"/>
          <w:b/>
          <w:bCs/>
          <w:rtl/>
        </w:rPr>
        <w:t>ביישובי</w:t>
      </w:r>
      <w:r w:rsidRPr="001F2586">
        <w:rPr>
          <w:rFonts w:eastAsia="Calibri"/>
          <w:b/>
          <w:bCs/>
          <w:rtl/>
        </w:rPr>
        <w:t xml:space="preserve"> </w:t>
      </w:r>
      <w:r w:rsidRPr="001F2586">
        <w:rPr>
          <w:rFonts w:eastAsia="Calibri" w:hint="eastAsia"/>
          <w:b/>
          <w:bCs/>
          <w:rtl/>
        </w:rPr>
        <w:t>החברה</w:t>
      </w:r>
      <w:r w:rsidRPr="001F2586">
        <w:rPr>
          <w:rFonts w:eastAsia="Calibri"/>
          <w:b/>
          <w:bCs/>
          <w:rtl/>
        </w:rPr>
        <w:t xml:space="preserve"> </w:t>
      </w:r>
      <w:r w:rsidRPr="001F2586">
        <w:rPr>
          <w:rFonts w:eastAsia="Calibri" w:hint="eastAsia"/>
          <w:b/>
          <w:bCs/>
          <w:rtl/>
        </w:rPr>
        <w:t>הערבית</w:t>
      </w:r>
      <w:r w:rsidRPr="001F2586">
        <w:rPr>
          <w:rFonts w:eastAsia="Calibri"/>
          <w:b/>
          <w:bCs/>
          <w:rtl/>
        </w:rPr>
        <w:t xml:space="preserve"> </w:t>
      </w:r>
      <w:r w:rsidRPr="001F2586">
        <w:rPr>
          <w:rFonts w:eastAsia="Calibri" w:hint="eastAsia"/>
          <w:b/>
          <w:bCs/>
          <w:rtl/>
        </w:rPr>
        <w:t>שלקחו</w:t>
      </w:r>
      <w:r w:rsidRPr="001F2586">
        <w:rPr>
          <w:rFonts w:eastAsia="Calibri"/>
          <w:b/>
          <w:bCs/>
          <w:rtl/>
        </w:rPr>
        <w:t xml:space="preserve"> </w:t>
      </w:r>
      <w:r w:rsidRPr="001F2586">
        <w:rPr>
          <w:rFonts w:eastAsia="Calibri" w:hint="eastAsia"/>
          <w:b/>
          <w:bCs/>
          <w:rtl/>
        </w:rPr>
        <w:t>הלוואה</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w:t>
      </w:r>
      <w:r w:rsidRPr="001F2586">
        <w:rPr>
          <w:rFonts w:eastAsia="Calibri" w:hint="eastAsia"/>
          <w:b/>
          <w:bCs/>
          <w:rtl/>
        </w:rPr>
        <w:t>נמוכה</w:t>
      </w:r>
      <w:r w:rsidRPr="001F2586">
        <w:rPr>
          <w:rFonts w:eastAsia="Calibri"/>
          <w:b/>
          <w:bCs/>
          <w:rtl/>
        </w:rPr>
        <w:t xml:space="preserve"> </w:t>
      </w:r>
      <w:r w:rsidRPr="001F2586">
        <w:rPr>
          <w:rFonts w:eastAsia="Calibri" w:hint="eastAsia"/>
          <w:b/>
          <w:bCs/>
          <w:rtl/>
        </w:rPr>
        <w:t>יותר</w:t>
      </w:r>
      <w:r w:rsidRPr="001F2586">
        <w:rPr>
          <w:rFonts w:eastAsia="Calibri"/>
          <w:b/>
          <w:bCs/>
          <w:rtl/>
        </w:rPr>
        <w:t xml:space="preserve"> </w:t>
      </w:r>
      <w:r w:rsidRPr="001F2586">
        <w:rPr>
          <w:rFonts w:eastAsia="Calibri" w:hint="cs"/>
          <w:b/>
          <w:bCs/>
          <w:rtl/>
        </w:rPr>
        <w:t xml:space="preserve">בצורה משמעותית </w:t>
      </w:r>
      <w:r w:rsidRPr="001F2586">
        <w:rPr>
          <w:rFonts w:eastAsia="Calibri" w:hint="eastAsia"/>
          <w:b/>
          <w:bCs/>
          <w:rtl/>
        </w:rPr>
        <w:t>בהשוואה</w:t>
      </w:r>
      <w:r w:rsidRPr="001F2586">
        <w:rPr>
          <w:rFonts w:eastAsia="Calibri"/>
          <w:b/>
          <w:bCs/>
          <w:rtl/>
        </w:rPr>
        <w:t xml:space="preserve"> </w:t>
      </w:r>
      <w:r w:rsidRPr="001F2586">
        <w:rPr>
          <w:rFonts w:eastAsia="Calibri" w:hint="eastAsia"/>
          <w:b/>
          <w:bCs/>
          <w:rtl/>
        </w:rPr>
        <w:t>למגזרים</w:t>
      </w:r>
      <w:r w:rsidRPr="001F2586">
        <w:rPr>
          <w:rFonts w:eastAsia="Calibri"/>
          <w:b/>
          <w:bCs/>
          <w:rtl/>
        </w:rPr>
        <w:t xml:space="preserve"> </w:t>
      </w:r>
      <w:r w:rsidRPr="001F2586">
        <w:rPr>
          <w:rFonts w:eastAsia="Calibri" w:hint="eastAsia"/>
          <w:b/>
          <w:bCs/>
          <w:rtl/>
        </w:rPr>
        <w:t>אחרים</w:t>
      </w:r>
      <w:r w:rsidRPr="001F2586">
        <w:rPr>
          <w:rFonts w:eastAsia="Calibri" w:hint="cs"/>
          <w:b/>
          <w:bCs/>
          <w:rtl/>
        </w:rPr>
        <w:t xml:space="preserve"> - ההכנסה נטו במגזר הערבי למשק בית עומדת על כ-19 אלף ש"ח ובמגזר היהודי עומדת על כ-25 אלף ש"ח וביישובים שמתגוררים בהם מגזרים שונים (להלן - המגזר המעורב) על כ-35 ש"ח אלף ש"ח.</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b/>
          <w:bCs/>
          <w:rtl/>
        </w:rPr>
      </w:pPr>
      <w:r w:rsidRPr="001F2586">
        <w:rPr>
          <w:rFonts w:eastAsia="Calibri" w:hint="eastAsia"/>
          <w:rtl/>
        </w:rPr>
        <w:t>תרשים</w:t>
      </w:r>
      <w:r w:rsidRPr="001F2586">
        <w:rPr>
          <w:rFonts w:eastAsia="Calibri"/>
          <w:rtl/>
        </w:rPr>
        <w:t xml:space="preserve"> </w:t>
      </w:r>
      <w:r w:rsidRPr="001F2586">
        <w:rPr>
          <w:rFonts w:eastAsia="Calibri" w:hint="cs"/>
          <w:rtl/>
        </w:rPr>
        <w:t>53</w:t>
      </w:r>
      <w:r w:rsidRPr="001F2586">
        <w:rPr>
          <w:rFonts w:eastAsia="Calibri"/>
          <w:rtl/>
        </w:rPr>
        <w:t>:</w:t>
      </w:r>
      <w:r w:rsidRPr="001F2586">
        <w:rPr>
          <w:rFonts w:eastAsia="Calibri"/>
          <w:b/>
          <w:bCs/>
          <w:rtl/>
        </w:rPr>
        <w:t xml:space="preserve"> סכום ההלוואה הממוצעת לשנים 2016</w:t>
      </w:r>
      <w:r w:rsidRPr="001F2586">
        <w:rPr>
          <w:rFonts w:eastAsia="Calibri" w:hint="cs"/>
          <w:b/>
          <w:bCs/>
          <w:rtl/>
        </w:rPr>
        <w:t xml:space="preserve"> </w:t>
      </w:r>
      <w:r w:rsidRPr="001F2586">
        <w:rPr>
          <w:rFonts w:eastAsia="Calibri"/>
          <w:b/>
          <w:bCs/>
          <w:rtl/>
        </w:rPr>
        <w:t>-</w:t>
      </w:r>
      <w:r w:rsidRPr="001F2586">
        <w:rPr>
          <w:rFonts w:eastAsia="Calibri" w:hint="cs"/>
          <w:b/>
          <w:bCs/>
          <w:rtl/>
        </w:rPr>
        <w:t xml:space="preserve"> </w:t>
      </w:r>
      <w:r w:rsidRPr="001F2586">
        <w:rPr>
          <w:rFonts w:eastAsia="Calibri"/>
          <w:b/>
          <w:bCs/>
          <w:rtl/>
        </w:rPr>
        <w:t>2024</w:t>
      </w:r>
      <w:r w:rsidRPr="001F2586">
        <w:rPr>
          <w:rFonts w:eastAsia="Calibri" w:hint="cs"/>
          <w:b/>
          <w:bCs/>
          <w:rtl/>
        </w:rPr>
        <w:t xml:space="preserve"> </w:t>
      </w:r>
      <w:r w:rsidRPr="001F2586">
        <w:rPr>
          <w:rFonts w:eastAsia="Calibri"/>
          <w:b/>
          <w:bCs/>
          <w:rtl/>
        </w:rPr>
        <w:t xml:space="preserve">(רבעון </w:t>
      </w:r>
      <w:r w:rsidRPr="001F2586">
        <w:rPr>
          <w:rFonts w:eastAsia="Calibri" w:hint="eastAsia"/>
          <w:b/>
          <w:bCs/>
          <w:rtl/>
        </w:rPr>
        <w:t>ראשון</w:t>
      </w:r>
      <w:r w:rsidRPr="001F2586">
        <w:rPr>
          <w:rFonts w:eastAsia="Calibri"/>
          <w:b/>
          <w:bCs/>
          <w:rtl/>
        </w:rPr>
        <w:t>) בפילוח לפי המגזרים השונים</w:t>
      </w:r>
    </w:p>
    <w:p w:rsidR="001F2586" w:rsidRPr="001F2586" w:rsidP="001F2586">
      <w:pPr>
        <w:spacing w:line="269" w:lineRule="auto"/>
        <w:jc w:val="center"/>
        <w:rPr>
          <w:rFonts w:eastAsia="Calibri"/>
          <w:b/>
          <w:bCs/>
          <w:rtl/>
        </w:rPr>
      </w:pPr>
      <w:r w:rsidRPr="001F2586">
        <w:rPr>
          <w:rFonts w:eastAsia="Calibri"/>
          <w:b/>
          <w:bCs/>
          <w:noProof/>
          <w:rtl/>
          <w:lang w:val="he-IL"/>
        </w:rPr>
        <w:drawing>
          <wp:inline distT="0" distB="0" distL="0" distR="0">
            <wp:extent cx="4862195" cy="2865508"/>
            <wp:effectExtent l="0" t="0" r="0" b="0"/>
            <wp:docPr id="25" name="תמונה 25" descr="סכום ההלוואה הממוצעת בשנת 2016 עמד על 432,397 ביישובי החברה הערבית, 594,763 ביישובי החברה החרדית, 704,500 ש&quot;ח ביישובים היהודיים שאינם חרדים ו-761,071 בישובים מעורבים. &#10;סכום ההלוואה הממוצעת בשנת 2024 עמד על 593,890 ביישובי החברה הערבית, 891,038 ביישובי החברה החרדית, 947,377 ש&quot;ח ביישובים היהודיים שאינם חרדים ו-1,107,578 בישובים מעורב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רשים 53.GIF"/>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4866996" cy="2868337"/>
                    </a:xfrm>
                    <a:prstGeom prst="rect">
                      <a:avLst/>
                    </a:prstGeom>
                  </pic:spPr>
                </pic:pic>
              </a:graphicData>
            </a:graphic>
          </wp:inline>
        </w:drawing>
      </w:r>
    </w:p>
    <w:p w:rsidR="00260379" w:rsidP="001F2586">
      <w:pPr>
        <w:spacing w:line="269" w:lineRule="auto"/>
        <w:rPr>
          <w:rFonts w:eastAsia="Calibri"/>
          <w:szCs w:val="20"/>
          <w:rtl/>
        </w:rPr>
      </w:pPr>
      <w:r w:rsidRPr="001F2586">
        <w:rPr>
          <w:rFonts w:eastAsia="Calibri" w:hint="eastAsia"/>
          <w:szCs w:val="20"/>
          <w:rtl/>
        </w:rPr>
        <w:t>נתוני</w:t>
      </w:r>
      <w:r w:rsidRPr="001F2586">
        <w:rPr>
          <w:rFonts w:eastAsia="Calibri"/>
          <w:szCs w:val="20"/>
          <w:rtl/>
        </w:rPr>
        <w:t xml:space="preserve"> בנק ישראל בעיבוד משרד מבקר המדינה</w:t>
      </w:r>
      <w:r w:rsidRPr="001F2586">
        <w:rPr>
          <w:rFonts w:eastAsia="Calibri" w:hint="cs"/>
          <w:szCs w:val="20"/>
          <w:rtl/>
        </w:rPr>
        <w:t>.</w:t>
      </w:r>
    </w:p>
    <w:p w:rsidR="001F2586" w:rsidRPr="001F2586" w:rsidP="001F2586">
      <w:pPr>
        <w:spacing w:line="269" w:lineRule="auto"/>
        <w:rPr>
          <w:rFonts w:eastAsia="Calibri"/>
          <w:szCs w:val="20"/>
          <w:rtl/>
        </w:rPr>
      </w:pPr>
    </w:p>
    <w:p w:rsidR="001F2586" w:rsidRPr="001F2586" w:rsidP="001F2586">
      <w:pPr>
        <w:spacing w:line="269" w:lineRule="auto"/>
        <w:ind w:left="-567"/>
        <w:rPr>
          <w:rFonts w:eastAsia="Calibri"/>
          <w:szCs w:val="20"/>
          <w:rtl/>
        </w:rPr>
      </w:pPr>
    </w:p>
    <w:p w:rsidR="001F2586" w:rsidRPr="001F2586" w:rsidP="00194C04">
      <w:pPr>
        <w:keepNext/>
        <w:keepLines/>
        <w:spacing w:line="269" w:lineRule="auto"/>
        <w:jc w:val="center"/>
        <w:rPr>
          <w:rFonts w:eastAsia="Calibri"/>
          <w:b/>
          <w:bCs/>
          <w:rtl/>
        </w:rPr>
      </w:pPr>
      <w:r w:rsidRPr="001F2586">
        <w:rPr>
          <w:rFonts w:eastAsia="Calibri" w:hint="eastAsia"/>
          <w:rtl/>
        </w:rPr>
        <w:t>תרשים</w:t>
      </w:r>
      <w:r w:rsidRPr="001F2586">
        <w:rPr>
          <w:rFonts w:eastAsia="Calibri"/>
          <w:rtl/>
        </w:rPr>
        <w:t xml:space="preserve"> </w:t>
      </w:r>
      <w:r w:rsidRPr="001F2586">
        <w:rPr>
          <w:rFonts w:eastAsia="Calibri" w:hint="cs"/>
          <w:rtl/>
        </w:rPr>
        <w:t>54</w:t>
      </w:r>
      <w:r w:rsidRPr="001F2586">
        <w:rPr>
          <w:rFonts w:eastAsia="Calibri"/>
          <w:rtl/>
        </w:rPr>
        <w:t>:</w:t>
      </w:r>
      <w:r w:rsidRPr="001F2586">
        <w:rPr>
          <w:rFonts w:eastAsia="Calibri"/>
          <w:b/>
          <w:bCs/>
          <w:rtl/>
        </w:rPr>
        <w:t xml:space="preserve"> </w:t>
      </w:r>
      <w:r w:rsidRPr="001F2586">
        <w:rPr>
          <w:rFonts w:eastAsia="Calibri" w:hint="cs"/>
          <w:b/>
          <w:bCs/>
          <w:rtl/>
        </w:rPr>
        <w:t xml:space="preserve">שיעור המימון הממוצע (באחוזים) </w:t>
      </w:r>
      <w:r w:rsidRPr="001F2586">
        <w:rPr>
          <w:rFonts w:eastAsia="Calibri"/>
          <w:b/>
          <w:bCs/>
          <w:rtl/>
        </w:rPr>
        <w:t>לשנים 2016</w:t>
      </w:r>
      <w:r w:rsidRPr="001F2586">
        <w:rPr>
          <w:rFonts w:eastAsia="Calibri" w:hint="cs"/>
          <w:b/>
          <w:bCs/>
          <w:rtl/>
        </w:rPr>
        <w:t xml:space="preserve"> -</w:t>
      </w:r>
      <w:r w:rsidRPr="001F2586">
        <w:rPr>
          <w:rFonts w:eastAsia="Calibri"/>
          <w:b/>
          <w:bCs/>
          <w:rtl/>
        </w:rPr>
        <w:t xml:space="preserve"> 2024</w:t>
      </w:r>
      <w:r w:rsidRPr="001F2586">
        <w:rPr>
          <w:rFonts w:eastAsia="Calibri" w:hint="cs"/>
          <w:b/>
          <w:bCs/>
          <w:rtl/>
        </w:rPr>
        <w:t xml:space="preserve"> </w:t>
      </w:r>
      <w:r w:rsidRPr="001F2586">
        <w:rPr>
          <w:rFonts w:eastAsia="Calibri"/>
          <w:b/>
          <w:bCs/>
          <w:rtl/>
        </w:rPr>
        <w:t xml:space="preserve">(רבעון </w:t>
      </w:r>
      <w:r w:rsidRPr="001F2586">
        <w:rPr>
          <w:rFonts w:eastAsia="Calibri" w:hint="eastAsia"/>
          <w:b/>
          <w:bCs/>
          <w:rtl/>
        </w:rPr>
        <w:t>ראשון</w:t>
      </w:r>
      <w:r w:rsidRPr="001F2586">
        <w:rPr>
          <w:rFonts w:eastAsia="Calibri"/>
          <w:b/>
          <w:bCs/>
          <w:rtl/>
        </w:rPr>
        <w:t>)</w:t>
      </w:r>
      <w:r w:rsidRPr="001F2586">
        <w:rPr>
          <w:rFonts w:eastAsia="Calibri" w:hint="cs"/>
          <w:b/>
          <w:bCs/>
          <w:rtl/>
        </w:rPr>
        <w:t>,</w:t>
      </w:r>
      <w:r w:rsidRPr="001F2586">
        <w:rPr>
          <w:rFonts w:eastAsia="Calibri"/>
          <w:b/>
          <w:bCs/>
          <w:rtl/>
        </w:rPr>
        <w:t xml:space="preserve"> בפילוח לפי המגזרים השונים</w:t>
      </w:r>
    </w:p>
    <w:p w:rsidR="001F2586" w:rsidRPr="001F2586" w:rsidP="006F0DF8">
      <w:pPr>
        <w:spacing w:line="269" w:lineRule="auto"/>
        <w:jc w:val="center"/>
        <w:rPr>
          <w:rFonts w:eastAsia="Calibri"/>
          <w:b/>
          <w:bCs/>
          <w:rtl/>
        </w:rPr>
      </w:pPr>
      <w:r w:rsidRPr="001F2586">
        <w:rPr>
          <w:rFonts w:eastAsia="Calibri"/>
          <w:b/>
          <w:bCs/>
          <w:noProof/>
          <w:rtl/>
          <w:lang w:val="he-IL"/>
        </w:rPr>
        <w:drawing>
          <wp:inline distT="0" distB="0" distL="0" distR="0">
            <wp:extent cx="4785567" cy="2914650"/>
            <wp:effectExtent l="0" t="0" r="0" b="0"/>
            <wp:docPr id="26" name="תמונה 26" descr="שיעור המימון הממוצע משווי הנכס בשנת 2016 עמד על- 45.2% בישובי החברה הערבית, 52.3% בישובי החברה החרדית, 52.7% בישובים המעורבים ו-54.6%  בישובים היהודים שאינם חרדים.&#10;שיעור המימון הממוצע משווי הנכס בשנת 2024 עמד על 50% בישובי החברה הערבית, 55% בישובי החברה החרדית, 55% בישובים המעורבים ו-56%  בישובים היהודים שאינם חרדים.&#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תרשים 54.GIF"/>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4790287" cy="2917525"/>
                    </a:xfrm>
                    <a:prstGeom prst="rect">
                      <a:avLst/>
                    </a:prstGeom>
                  </pic:spPr>
                </pic:pic>
              </a:graphicData>
            </a:graphic>
          </wp:inline>
        </w:drawing>
      </w:r>
    </w:p>
    <w:p w:rsidR="00260379" w:rsidP="001F2586">
      <w:pPr>
        <w:spacing w:line="269" w:lineRule="auto"/>
        <w:rPr>
          <w:rFonts w:eastAsia="Calibri"/>
          <w:szCs w:val="20"/>
          <w:rtl/>
        </w:rPr>
      </w:pPr>
      <w:r w:rsidRPr="001F2586">
        <w:rPr>
          <w:rFonts w:eastAsia="Calibri" w:hint="cs"/>
          <w:szCs w:val="20"/>
          <w:rtl/>
        </w:rPr>
        <w:t xml:space="preserve">על פי </w:t>
      </w:r>
      <w:r w:rsidRPr="001F2586">
        <w:rPr>
          <w:rFonts w:eastAsia="Calibri" w:hint="eastAsia"/>
          <w:szCs w:val="20"/>
          <w:rtl/>
        </w:rPr>
        <w:t>נתוני</w:t>
      </w:r>
      <w:r w:rsidRPr="001F2586">
        <w:rPr>
          <w:rFonts w:eastAsia="Calibri"/>
          <w:szCs w:val="20"/>
          <w:rtl/>
        </w:rPr>
        <w:t xml:space="preserve"> בנק ישראל</w:t>
      </w:r>
      <w:r w:rsidRPr="001F2586">
        <w:rPr>
          <w:rFonts w:eastAsia="Calibri" w:hint="cs"/>
          <w:szCs w:val="20"/>
          <w:rtl/>
        </w:rPr>
        <w:t>,</w:t>
      </w:r>
      <w:r w:rsidRPr="001F2586">
        <w:rPr>
          <w:rFonts w:eastAsia="Calibri"/>
          <w:szCs w:val="20"/>
          <w:rtl/>
        </w:rPr>
        <w:t xml:space="preserve"> בעיבוד משרד מבקר המדינה</w:t>
      </w:r>
      <w:r w:rsidRPr="001F2586">
        <w:rPr>
          <w:rFonts w:eastAsia="Calibri" w:hint="cs"/>
          <w:szCs w:val="20"/>
          <w:rtl/>
        </w:rPr>
        <w:t>.</w:t>
      </w:r>
    </w:p>
    <w:p w:rsidR="001F2586" w:rsidRPr="001F2586" w:rsidP="006F0DF8">
      <w:pPr>
        <w:spacing w:line="269" w:lineRule="auto"/>
        <w:rPr>
          <w:rFonts w:eastAsia="Calibri"/>
          <w:b/>
          <w:bCs/>
          <w:rtl/>
        </w:rPr>
      </w:pPr>
      <w:r w:rsidRPr="001F2586">
        <w:rPr>
          <w:rFonts w:eastAsia="Calibri" w:hint="eastAsia"/>
          <w:b/>
          <w:bCs/>
          <w:rtl/>
        </w:rPr>
        <w:t>מהתרשימים</w:t>
      </w:r>
      <w:r w:rsidRPr="001F2586">
        <w:rPr>
          <w:rFonts w:eastAsia="Calibri"/>
          <w:b/>
          <w:bCs/>
          <w:rtl/>
        </w:rPr>
        <w:t xml:space="preserve"> </w:t>
      </w:r>
      <w:r w:rsidRPr="001F2586">
        <w:rPr>
          <w:rFonts w:eastAsia="Calibri" w:hint="eastAsia"/>
          <w:b/>
          <w:bCs/>
          <w:rtl/>
        </w:rPr>
        <w:t>האמורים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hint="eastAsia"/>
          <w:b/>
          <w:bCs/>
          <w:rtl/>
        </w:rPr>
        <w:t>הממוצע</w:t>
      </w:r>
      <w:r w:rsidRPr="001F2586">
        <w:rPr>
          <w:rFonts w:eastAsia="Calibri"/>
          <w:b/>
          <w:bCs/>
          <w:rtl/>
        </w:rPr>
        <w:t xml:space="preserve"> משווי הנכס </w:t>
      </w:r>
      <w:r w:rsidRPr="001F2586">
        <w:rPr>
          <w:rFonts w:eastAsia="Calibri" w:hint="eastAsia"/>
          <w:b/>
          <w:bCs/>
          <w:rtl/>
        </w:rPr>
        <w:t>ביישובי</w:t>
      </w:r>
      <w:r w:rsidRPr="001F2586">
        <w:rPr>
          <w:rFonts w:eastAsia="Calibri"/>
          <w:b/>
          <w:bCs/>
          <w:rtl/>
        </w:rPr>
        <w:t xml:space="preserve"> </w:t>
      </w:r>
      <w:r w:rsidRPr="001F2586">
        <w:rPr>
          <w:rFonts w:eastAsia="Calibri" w:hint="eastAsia"/>
          <w:b/>
          <w:bCs/>
          <w:rtl/>
        </w:rPr>
        <w:t>החברה</w:t>
      </w:r>
      <w:r w:rsidRPr="001F2586">
        <w:rPr>
          <w:rFonts w:eastAsia="Calibri"/>
          <w:b/>
          <w:bCs/>
          <w:rtl/>
        </w:rPr>
        <w:t xml:space="preserve"> </w:t>
      </w:r>
      <w:r w:rsidRPr="001F2586">
        <w:rPr>
          <w:rFonts w:eastAsia="Calibri" w:hint="eastAsia"/>
          <w:b/>
          <w:bCs/>
          <w:rtl/>
        </w:rPr>
        <w:t>הערבית</w:t>
      </w:r>
      <w:r w:rsidRPr="001F2586">
        <w:rPr>
          <w:rFonts w:eastAsia="Calibri"/>
          <w:b/>
          <w:bCs/>
          <w:rtl/>
        </w:rPr>
        <w:t xml:space="preserve"> </w:t>
      </w:r>
      <w:r w:rsidRPr="001F2586">
        <w:rPr>
          <w:rFonts w:eastAsia="Calibri" w:hint="eastAsia"/>
          <w:b/>
          <w:bCs/>
          <w:rtl/>
        </w:rPr>
        <w:t>נמוך</w:t>
      </w:r>
      <w:r w:rsidRPr="001F2586">
        <w:rPr>
          <w:rFonts w:eastAsia="Calibri"/>
          <w:b/>
          <w:bCs/>
          <w:rtl/>
        </w:rPr>
        <w:t xml:space="preserve"> </w:t>
      </w:r>
      <w:r w:rsidRPr="001F2586">
        <w:rPr>
          <w:rFonts w:eastAsia="Calibri" w:hint="eastAsia"/>
          <w:b/>
          <w:bCs/>
          <w:rtl/>
        </w:rPr>
        <w:t>בהשוואה</w:t>
      </w:r>
      <w:r w:rsidRPr="001F2586">
        <w:rPr>
          <w:rFonts w:eastAsia="Calibri"/>
          <w:b/>
          <w:bCs/>
          <w:rtl/>
        </w:rPr>
        <w:t xml:space="preserve"> </w:t>
      </w:r>
      <w:r w:rsidRPr="001F2586">
        <w:rPr>
          <w:rFonts w:eastAsia="Calibri" w:hint="eastAsia"/>
          <w:b/>
          <w:bCs/>
          <w:rtl/>
        </w:rPr>
        <w:t>ליישובי</w:t>
      </w:r>
      <w:r w:rsidRPr="001F2586">
        <w:rPr>
          <w:rFonts w:eastAsia="Calibri"/>
          <w:b/>
          <w:bCs/>
          <w:rtl/>
        </w:rPr>
        <w:t xml:space="preserve"> </w:t>
      </w:r>
      <w:r w:rsidRPr="001F2586">
        <w:rPr>
          <w:rFonts w:eastAsia="Calibri" w:hint="eastAsia"/>
          <w:b/>
          <w:bCs/>
          <w:rtl/>
        </w:rPr>
        <w:t>החברה</w:t>
      </w:r>
      <w:r w:rsidRPr="001F2586">
        <w:rPr>
          <w:rFonts w:eastAsia="Calibri"/>
          <w:b/>
          <w:bCs/>
          <w:rtl/>
        </w:rPr>
        <w:t xml:space="preserve"> </w:t>
      </w:r>
      <w:r w:rsidRPr="001F2586">
        <w:rPr>
          <w:rFonts w:eastAsia="Calibri" w:hint="eastAsia"/>
          <w:b/>
          <w:bCs/>
          <w:rtl/>
        </w:rPr>
        <w:t>היהודית</w:t>
      </w:r>
      <w:r w:rsidRPr="001F2586">
        <w:rPr>
          <w:rFonts w:eastAsia="Calibri"/>
          <w:b/>
          <w:bCs/>
          <w:rtl/>
        </w:rPr>
        <w:t xml:space="preserve">, </w:t>
      </w:r>
      <w:r w:rsidRPr="001F2586">
        <w:rPr>
          <w:rFonts w:eastAsia="Calibri" w:hint="eastAsia"/>
          <w:b/>
          <w:bCs/>
          <w:rtl/>
        </w:rPr>
        <w:t>ועומד</w:t>
      </w:r>
      <w:r w:rsidRPr="001F2586">
        <w:rPr>
          <w:rFonts w:eastAsia="Calibri"/>
          <w:b/>
          <w:bCs/>
          <w:rtl/>
        </w:rPr>
        <w:t xml:space="preserve"> </w:t>
      </w:r>
      <w:r w:rsidRPr="001F2586">
        <w:rPr>
          <w:rFonts w:eastAsia="Calibri" w:hint="eastAsia"/>
          <w:b/>
          <w:bCs/>
          <w:rtl/>
        </w:rPr>
        <w:t>ברבעון</w:t>
      </w:r>
      <w:r w:rsidRPr="001F2586">
        <w:rPr>
          <w:rFonts w:eastAsia="Calibri"/>
          <w:b/>
          <w:bCs/>
          <w:rtl/>
        </w:rPr>
        <w:t xml:space="preserve"> </w:t>
      </w:r>
      <w:r w:rsidRPr="001F2586">
        <w:rPr>
          <w:rFonts w:eastAsia="Calibri" w:hint="eastAsia"/>
          <w:b/>
          <w:bCs/>
          <w:rtl/>
        </w:rPr>
        <w:t>הראשון</w:t>
      </w:r>
      <w:r w:rsidRPr="001F2586">
        <w:rPr>
          <w:rFonts w:eastAsia="Calibri"/>
          <w:b/>
          <w:bCs/>
          <w:rtl/>
        </w:rPr>
        <w:t xml:space="preserve"> </w:t>
      </w:r>
      <w:r w:rsidRPr="001F2586">
        <w:rPr>
          <w:rFonts w:eastAsia="Calibri" w:hint="eastAsia"/>
          <w:b/>
          <w:bCs/>
          <w:rtl/>
        </w:rPr>
        <w:t>לשנת</w:t>
      </w:r>
      <w:r w:rsidRPr="001F2586">
        <w:rPr>
          <w:rFonts w:eastAsia="Calibri"/>
          <w:b/>
          <w:bCs/>
          <w:rtl/>
        </w:rPr>
        <w:t xml:space="preserve"> 2024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w:t>
      </w:r>
      <w:r w:rsidRPr="001F2586">
        <w:rPr>
          <w:rFonts w:eastAsia="Calibri"/>
          <w:b/>
          <w:bCs/>
          <w:rtl/>
        </w:rPr>
        <w:t>-50%</w:t>
      </w:r>
      <w:r w:rsidRPr="001F2586">
        <w:rPr>
          <w:rFonts w:eastAsia="Calibri"/>
          <w:b/>
        </w:rPr>
        <w:t xml:space="preserve"> </w:t>
      </w:r>
      <w:r w:rsidRPr="001F2586">
        <w:rPr>
          <w:rFonts w:eastAsia="Calibri" w:hint="eastAsia"/>
          <w:b/>
          <w:bCs/>
          <w:rtl/>
        </w:rPr>
        <w:t>בהשוואה</w:t>
      </w:r>
      <w:r w:rsidRPr="001F2586">
        <w:rPr>
          <w:rFonts w:eastAsia="Calibri"/>
          <w:b/>
          <w:bCs/>
          <w:rtl/>
        </w:rPr>
        <w:t xml:space="preserve"> </w:t>
      </w:r>
      <w:r w:rsidRPr="001F2586">
        <w:rPr>
          <w:rFonts w:eastAsia="Calibri" w:hint="eastAsia"/>
          <w:b/>
          <w:bCs/>
          <w:rtl/>
        </w:rPr>
        <w:t>ל</w:t>
      </w:r>
      <w:r w:rsidRPr="001F2586">
        <w:rPr>
          <w:rFonts w:eastAsia="Calibri"/>
          <w:b/>
          <w:bCs/>
          <w:rtl/>
        </w:rPr>
        <w:t>-56%</w:t>
      </w:r>
      <w:r w:rsidRPr="001F2586">
        <w:rPr>
          <w:rFonts w:eastAsia="Calibri"/>
          <w:b/>
        </w:rPr>
        <w:t xml:space="preserve"> </w:t>
      </w:r>
      <w:r w:rsidRPr="001F2586">
        <w:rPr>
          <w:rFonts w:eastAsia="Calibri" w:hint="eastAsia"/>
          <w:b/>
          <w:bCs/>
          <w:rtl/>
        </w:rPr>
        <w:t>במגזר</w:t>
      </w:r>
      <w:r w:rsidRPr="001F2586">
        <w:rPr>
          <w:rFonts w:eastAsia="Calibri"/>
          <w:b/>
          <w:bCs/>
          <w:rtl/>
        </w:rPr>
        <w:t xml:space="preserve"> </w:t>
      </w:r>
      <w:r w:rsidRPr="001F2586">
        <w:rPr>
          <w:rFonts w:eastAsia="Calibri" w:hint="eastAsia"/>
          <w:b/>
          <w:bCs/>
          <w:rtl/>
        </w:rPr>
        <w:t>היהודי</w:t>
      </w:r>
      <w:r w:rsidRPr="001F2586">
        <w:rPr>
          <w:rFonts w:eastAsia="Calibri"/>
          <w:b/>
          <w:bCs/>
          <w:rtl/>
        </w:rPr>
        <w:t xml:space="preserve">. </w:t>
      </w:r>
      <w:r w:rsidRPr="001F2586">
        <w:rPr>
          <w:rFonts w:eastAsia="Calibri" w:hint="eastAsia"/>
          <w:b/>
          <w:bCs/>
          <w:rtl/>
        </w:rPr>
        <w:t>בנוסף</w:t>
      </w:r>
      <w:r w:rsidRPr="001F2586">
        <w:rPr>
          <w:rFonts w:eastAsia="Calibri"/>
          <w:b/>
          <w:bCs/>
          <w:rtl/>
        </w:rPr>
        <w:t xml:space="preserve">, </w:t>
      </w:r>
      <w:r w:rsidRPr="001F2586">
        <w:rPr>
          <w:rFonts w:eastAsia="Calibri" w:hint="eastAsia"/>
          <w:b/>
          <w:bCs/>
          <w:rtl/>
        </w:rPr>
        <w:t>גובה</w:t>
      </w:r>
      <w:r w:rsidRPr="001F2586">
        <w:rPr>
          <w:rFonts w:eastAsia="Calibri"/>
          <w:b/>
          <w:bCs/>
          <w:rtl/>
        </w:rPr>
        <w:t xml:space="preserve"> </w:t>
      </w:r>
      <w:r w:rsidRPr="001F2586">
        <w:rPr>
          <w:rFonts w:eastAsia="Calibri" w:hint="eastAsia"/>
          <w:b/>
          <w:bCs/>
          <w:rtl/>
        </w:rPr>
        <w:t>ההלוואה</w:t>
      </w:r>
      <w:r w:rsidRPr="001F2586">
        <w:rPr>
          <w:rFonts w:eastAsia="Calibri"/>
          <w:b/>
          <w:bCs/>
          <w:rtl/>
        </w:rPr>
        <w:t xml:space="preserve"> </w:t>
      </w:r>
      <w:r w:rsidRPr="001F2586">
        <w:rPr>
          <w:rFonts w:eastAsia="Calibri" w:hint="eastAsia"/>
          <w:b/>
          <w:bCs/>
          <w:rtl/>
        </w:rPr>
        <w:t>הממוצעת</w:t>
      </w:r>
      <w:r w:rsidRPr="001F2586">
        <w:rPr>
          <w:rFonts w:eastAsia="Calibri"/>
          <w:b/>
          <w:bCs/>
          <w:rtl/>
        </w:rPr>
        <w:t xml:space="preserve"> </w:t>
      </w:r>
      <w:r w:rsidRPr="001F2586">
        <w:rPr>
          <w:rFonts w:eastAsia="Calibri" w:hint="eastAsia"/>
          <w:b/>
          <w:bCs/>
          <w:rtl/>
        </w:rPr>
        <w:t>ביישובי</w:t>
      </w:r>
      <w:r w:rsidRPr="001F2586">
        <w:rPr>
          <w:rFonts w:eastAsia="Calibri"/>
          <w:b/>
          <w:bCs/>
          <w:rtl/>
        </w:rPr>
        <w:t xml:space="preserve"> </w:t>
      </w:r>
      <w:r w:rsidRPr="001F2586">
        <w:rPr>
          <w:rFonts w:eastAsia="Calibri" w:hint="eastAsia"/>
          <w:b/>
          <w:bCs/>
          <w:rtl/>
        </w:rPr>
        <w:t>החברה</w:t>
      </w:r>
      <w:r w:rsidRPr="001F2586">
        <w:rPr>
          <w:rFonts w:eastAsia="Calibri"/>
          <w:b/>
          <w:bCs/>
          <w:rtl/>
        </w:rPr>
        <w:t xml:space="preserve"> </w:t>
      </w:r>
      <w:r w:rsidRPr="001F2586">
        <w:rPr>
          <w:rFonts w:eastAsia="Calibri" w:hint="eastAsia"/>
          <w:b/>
          <w:bCs/>
          <w:rtl/>
        </w:rPr>
        <w:t>הערבית</w:t>
      </w:r>
      <w:r w:rsidRPr="001F2586">
        <w:rPr>
          <w:rFonts w:eastAsia="Calibri"/>
          <w:b/>
          <w:bCs/>
          <w:rtl/>
        </w:rPr>
        <w:t xml:space="preserve"> </w:t>
      </w:r>
      <w:r w:rsidRPr="001F2586">
        <w:rPr>
          <w:rFonts w:eastAsia="Calibri" w:hint="eastAsia"/>
          <w:b/>
          <w:bCs/>
          <w:rtl/>
        </w:rPr>
        <w:t>נמוך</w:t>
      </w:r>
      <w:r w:rsidRPr="001F2586">
        <w:rPr>
          <w:rFonts w:eastAsia="Calibri"/>
          <w:b/>
          <w:bCs/>
          <w:rtl/>
        </w:rPr>
        <w:t xml:space="preserve"> </w:t>
      </w:r>
      <w:r w:rsidRPr="001F2586">
        <w:rPr>
          <w:rFonts w:eastAsia="Calibri" w:hint="eastAsia"/>
          <w:b/>
          <w:bCs/>
          <w:rtl/>
        </w:rPr>
        <w:t>בהשוואה</w:t>
      </w:r>
      <w:r w:rsidRPr="001F2586">
        <w:rPr>
          <w:rFonts w:eastAsia="Calibri"/>
          <w:b/>
          <w:bCs/>
          <w:rtl/>
        </w:rPr>
        <w:t xml:space="preserve"> </w:t>
      </w:r>
      <w:r w:rsidRPr="001F2586">
        <w:rPr>
          <w:rFonts w:eastAsia="Calibri" w:hint="eastAsia"/>
          <w:b/>
          <w:bCs/>
          <w:rtl/>
        </w:rPr>
        <w:t>למגזרים</w:t>
      </w:r>
      <w:r w:rsidRPr="001F2586">
        <w:rPr>
          <w:rFonts w:eastAsia="Calibri"/>
          <w:b/>
          <w:bCs/>
          <w:rtl/>
        </w:rPr>
        <w:t xml:space="preserve"> </w:t>
      </w:r>
      <w:r w:rsidRPr="001F2586">
        <w:rPr>
          <w:rFonts w:eastAsia="Calibri" w:hint="eastAsia"/>
          <w:b/>
          <w:bCs/>
          <w:rtl/>
        </w:rPr>
        <w:t>אחרים</w:t>
      </w:r>
      <w:r w:rsidRPr="001F2586">
        <w:rPr>
          <w:rFonts w:eastAsia="Calibri"/>
          <w:b/>
          <w:bCs/>
          <w:rtl/>
        </w:rPr>
        <w:t xml:space="preserve">, </w:t>
      </w:r>
      <w:r w:rsidRPr="001F2586">
        <w:rPr>
          <w:rFonts w:eastAsia="Calibri" w:hint="eastAsia"/>
          <w:b/>
          <w:bCs/>
          <w:rtl/>
        </w:rPr>
        <w:t>אף</w:t>
      </w:r>
      <w:r w:rsidRPr="001F2586">
        <w:rPr>
          <w:rFonts w:eastAsia="Calibri"/>
          <w:b/>
          <w:bCs/>
          <w:rtl/>
        </w:rPr>
        <w:t xml:space="preserve"> שחלה בו </w:t>
      </w:r>
      <w:r w:rsidRPr="001F2586">
        <w:rPr>
          <w:rFonts w:eastAsia="Calibri" w:hint="eastAsia"/>
          <w:b/>
          <w:bCs/>
          <w:rtl/>
        </w:rPr>
        <w:t>עלייה</w:t>
      </w:r>
      <w:r w:rsidRPr="001F2586">
        <w:rPr>
          <w:rFonts w:eastAsia="Calibri"/>
          <w:b/>
          <w:bCs/>
          <w:rtl/>
        </w:rPr>
        <w:t xml:space="preserve"> </w:t>
      </w:r>
      <w:r w:rsidRPr="001F2586">
        <w:rPr>
          <w:rFonts w:eastAsia="Calibri" w:hint="eastAsia"/>
          <w:b/>
          <w:bCs/>
          <w:rtl/>
        </w:rPr>
        <w:t>מסוימת</w:t>
      </w:r>
      <w:r w:rsidRPr="001F2586">
        <w:rPr>
          <w:rFonts w:eastAsia="Calibri"/>
          <w:b/>
          <w:bCs/>
          <w:rtl/>
        </w:rPr>
        <w:t xml:space="preserve">, </w:t>
      </w:r>
      <w:r w:rsidRPr="001F2586">
        <w:rPr>
          <w:rFonts w:eastAsia="Calibri" w:hint="eastAsia"/>
          <w:b/>
          <w:bCs/>
          <w:rtl/>
        </w:rPr>
        <w:t>והוא</w:t>
      </w:r>
      <w:r w:rsidRPr="001F2586">
        <w:rPr>
          <w:rFonts w:eastAsia="Calibri"/>
          <w:b/>
          <w:bCs/>
          <w:rtl/>
        </w:rPr>
        <w:t xml:space="preserve"> </w:t>
      </w:r>
      <w:r w:rsidRPr="001F2586">
        <w:rPr>
          <w:rFonts w:eastAsia="Calibri" w:hint="eastAsia"/>
          <w:b/>
          <w:bCs/>
          <w:rtl/>
        </w:rPr>
        <w:t>עומד</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-593,890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לעומת</w:t>
      </w:r>
      <w:r w:rsidRPr="001F2586">
        <w:rPr>
          <w:rFonts w:eastAsia="Calibri"/>
          <w:b/>
          <w:bCs/>
          <w:rtl/>
        </w:rPr>
        <w:t xml:space="preserve"> 947,377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במגזר</w:t>
      </w:r>
      <w:r w:rsidRPr="001F2586">
        <w:rPr>
          <w:rFonts w:eastAsia="Calibri"/>
          <w:b/>
          <w:bCs/>
          <w:rtl/>
        </w:rPr>
        <w:t xml:space="preserve"> </w:t>
      </w:r>
      <w:r w:rsidRPr="001F2586">
        <w:rPr>
          <w:rFonts w:eastAsia="Calibri" w:hint="eastAsia"/>
          <w:b/>
          <w:bCs/>
          <w:rtl/>
        </w:rPr>
        <w:t>היהודי</w:t>
      </w:r>
      <w:r w:rsidRPr="001F2586">
        <w:rPr>
          <w:rFonts w:eastAsia="Calibri"/>
          <w:b/>
          <w:bCs/>
          <w:rtl/>
        </w:rPr>
        <w:t xml:space="preserve">. </w:t>
      </w:r>
      <w:r w:rsidRPr="001F2586">
        <w:rPr>
          <w:rFonts w:eastAsia="Calibri" w:hint="eastAsia"/>
          <w:b/>
          <w:bCs/>
          <w:rtl/>
        </w:rPr>
        <w:t>עם</w:t>
      </w:r>
      <w:r w:rsidRPr="001F2586">
        <w:rPr>
          <w:rFonts w:eastAsia="Calibri"/>
          <w:b/>
          <w:bCs/>
          <w:rtl/>
        </w:rPr>
        <w:t xml:space="preserve"> </w:t>
      </w:r>
      <w:r w:rsidRPr="001F2586">
        <w:rPr>
          <w:rFonts w:eastAsia="Calibri" w:hint="eastAsia"/>
          <w:b/>
          <w:bCs/>
          <w:rtl/>
        </w:rPr>
        <w:t>זאת</w:t>
      </w:r>
      <w:r w:rsidRPr="001F2586">
        <w:rPr>
          <w:rFonts w:eastAsia="Calibri"/>
          <w:b/>
          <w:bCs/>
          <w:rtl/>
        </w:rPr>
        <w:t xml:space="preserve">, </w:t>
      </w:r>
      <w:r w:rsidRPr="001F2586">
        <w:rPr>
          <w:rFonts w:eastAsia="Calibri" w:hint="eastAsia"/>
          <w:b/>
          <w:bCs/>
          <w:rtl/>
        </w:rPr>
        <w:t>חלק</w:t>
      </w:r>
      <w:r w:rsidRPr="001F2586">
        <w:rPr>
          <w:rFonts w:eastAsia="Calibri"/>
          <w:b/>
          <w:bCs/>
          <w:rtl/>
        </w:rPr>
        <w:t xml:space="preserve"> </w:t>
      </w:r>
      <w:r w:rsidRPr="001F2586">
        <w:rPr>
          <w:rFonts w:eastAsia="Calibri" w:hint="eastAsia"/>
          <w:b/>
          <w:bCs/>
          <w:rtl/>
        </w:rPr>
        <w:t>מהפער</w:t>
      </w:r>
      <w:r w:rsidRPr="001F2586">
        <w:rPr>
          <w:rFonts w:eastAsia="Calibri"/>
          <w:b/>
          <w:bCs/>
          <w:rtl/>
        </w:rPr>
        <w:t xml:space="preserve"> מוסבר בכך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שווי</w:t>
      </w:r>
      <w:r w:rsidRPr="001F2586">
        <w:rPr>
          <w:rFonts w:eastAsia="Calibri"/>
          <w:b/>
          <w:bCs/>
          <w:rtl/>
        </w:rPr>
        <w:t xml:space="preserve"> </w:t>
      </w:r>
      <w:r w:rsidRPr="001F2586">
        <w:rPr>
          <w:rFonts w:eastAsia="Calibri" w:hint="eastAsia"/>
          <w:b/>
          <w:bCs/>
          <w:rtl/>
        </w:rPr>
        <w:t>הנכס</w:t>
      </w:r>
      <w:r w:rsidRPr="001F2586">
        <w:rPr>
          <w:rFonts w:eastAsia="Calibri"/>
          <w:b/>
          <w:bCs/>
          <w:rtl/>
        </w:rPr>
        <w:t xml:space="preserve"> </w:t>
      </w:r>
      <w:r w:rsidRPr="001F2586">
        <w:rPr>
          <w:rFonts w:eastAsia="Calibri" w:hint="eastAsia"/>
          <w:b/>
          <w:bCs/>
          <w:rtl/>
        </w:rPr>
        <w:t>ביישובי</w:t>
      </w:r>
      <w:r w:rsidRPr="001F2586">
        <w:rPr>
          <w:rFonts w:eastAsia="Calibri"/>
          <w:b/>
          <w:bCs/>
          <w:rtl/>
        </w:rPr>
        <w:t xml:space="preserve"> </w:t>
      </w:r>
      <w:r w:rsidRPr="001F2586">
        <w:rPr>
          <w:rFonts w:eastAsia="Calibri" w:hint="eastAsia"/>
          <w:b/>
          <w:bCs/>
          <w:rtl/>
        </w:rPr>
        <w:t>החברה</w:t>
      </w:r>
      <w:r w:rsidRPr="001F2586">
        <w:rPr>
          <w:rFonts w:eastAsia="Calibri"/>
          <w:b/>
          <w:bCs/>
          <w:rtl/>
        </w:rPr>
        <w:t xml:space="preserve"> </w:t>
      </w:r>
      <w:r w:rsidRPr="001F2586">
        <w:rPr>
          <w:rFonts w:eastAsia="Calibri" w:hint="eastAsia"/>
          <w:b/>
          <w:bCs/>
          <w:rtl/>
        </w:rPr>
        <w:t>הערבית</w:t>
      </w:r>
      <w:r w:rsidRPr="001F2586">
        <w:rPr>
          <w:rFonts w:eastAsia="Calibri"/>
          <w:b/>
          <w:bCs/>
          <w:rtl/>
        </w:rPr>
        <w:t xml:space="preserve"> נמוך מיישובי החברה היהודית </w:t>
      </w:r>
      <w:r w:rsidRPr="001F2586">
        <w:rPr>
          <w:rFonts w:eastAsia="Calibri" w:hint="eastAsia"/>
          <w:b/>
          <w:bCs/>
          <w:rtl/>
        </w:rPr>
        <w:t>ועומד</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-1.922 </w:t>
      </w:r>
      <w:r w:rsidRPr="001F2586">
        <w:rPr>
          <w:rFonts w:eastAsia="Calibri" w:hint="eastAsia"/>
          <w:b/>
          <w:bCs/>
          <w:rtl/>
        </w:rPr>
        <w:t>מיליון</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לעומת</w:t>
      </w:r>
      <w:r w:rsidRPr="001F2586">
        <w:rPr>
          <w:rFonts w:eastAsia="Calibri"/>
          <w:b/>
          <w:bCs/>
          <w:rtl/>
        </w:rPr>
        <w:t xml:space="preserve"> 2.22 </w:t>
      </w:r>
      <w:r w:rsidRPr="001F2586">
        <w:rPr>
          <w:rFonts w:eastAsia="Calibri" w:hint="eastAsia"/>
          <w:b/>
          <w:bCs/>
          <w:rtl/>
        </w:rPr>
        <w:t>מיליון</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ביישובי</w:t>
      </w:r>
      <w:r w:rsidRPr="001F2586">
        <w:rPr>
          <w:rFonts w:eastAsia="Calibri"/>
          <w:b/>
          <w:bCs/>
          <w:rtl/>
        </w:rPr>
        <w:t xml:space="preserve"> </w:t>
      </w:r>
      <w:r w:rsidRPr="001F2586">
        <w:rPr>
          <w:rFonts w:eastAsia="Calibri" w:hint="eastAsia"/>
          <w:b/>
          <w:bCs/>
          <w:rtl/>
        </w:rPr>
        <w:t>החברה</w:t>
      </w:r>
      <w:r w:rsidRPr="001F2586">
        <w:rPr>
          <w:rFonts w:eastAsia="Calibri"/>
          <w:b/>
          <w:bCs/>
          <w:rtl/>
        </w:rPr>
        <w:t xml:space="preserve"> </w:t>
      </w:r>
      <w:r w:rsidRPr="001F2586">
        <w:rPr>
          <w:rFonts w:eastAsia="Calibri" w:hint="eastAsia"/>
          <w:b/>
          <w:bCs/>
          <w:rtl/>
        </w:rPr>
        <w:t>היהודית</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b/>
          <w:bCs/>
          <w:rtl/>
        </w:rPr>
      </w:pPr>
      <w:r w:rsidRPr="001F2586">
        <w:rPr>
          <w:rFonts w:eastAsia="Calibri" w:hint="cs"/>
          <w:rtl/>
        </w:rPr>
        <w:t>תרשים 55:</w:t>
      </w:r>
      <w:r w:rsidRPr="001F2586">
        <w:rPr>
          <w:rFonts w:eastAsia="Calibri" w:hint="cs"/>
          <w:b/>
          <w:bCs/>
          <w:rtl/>
        </w:rPr>
        <w:t xml:space="preserve"> שיעור הלווים שהיו בפיגור בתשלום ההלוואה לדיור בשנים 2019 - 2020 </w:t>
      </w:r>
    </w:p>
    <w:p w:rsidR="001F2586" w:rsidRPr="001F2586" w:rsidP="001F2586">
      <w:pPr>
        <w:spacing w:line="269" w:lineRule="auto"/>
        <w:jc w:val="center"/>
        <w:rPr>
          <w:rFonts w:eastAsia="Calibri"/>
          <w:b/>
          <w:bCs/>
          <w:rtl/>
        </w:rPr>
      </w:pPr>
      <w:r w:rsidRPr="001F2586">
        <w:rPr>
          <w:rFonts w:eastAsia="Calibri"/>
          <w:b/>
          <w:bCs/>
          <w:noProof/>
          <w:rtl/>
          <w:lang w:val="he-IL"/>
        </w:rPr>
        <w:drawing>
          <wp:inline distT="0" distB="0" distL="0" distR="0">
            <wp:extent cx="4876800" cy="3143250"/>
            <wp:effectExtent l="0" t="0" r="0" b="0"/>
            <wp:docPr id="34" name="תמונה 34" descr="בשנת 2019 שיעור הלווים עם הלוואות לדיור שנמצאו בפיגור היה 22.5% במגזר הערבי מול 4.10% במגזר היהודי. בשנת 2020 היה השיעור 21.6% במגזר הערבי ו-3.7% במגזר היהוד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רשים 55.GIF"/>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a:xfrm>
                      <a:off x="0" y="0"/>
                      <a:ext cx="4876800" cy="3143250"/>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המקור: נתוני בנק ישראל, ועדת הכלכלה מרץ 2022.</w:t>
      </w:r>
    </w:p>
    <w:p w:rsidR="001F2586" w:rsidRPr="001F2586" w:rsidP="001F2586">
      <w:pPr>
        <w:spacing w:line="269" w:lineRule="auto"/>
        <w:rPr>
          <w:rFonts w:eastAsia="Calibri"/>
          <w:szCs w:val="20"/>
          <w:rtl/>
        </w:rPr>
      </w:pPr>
    </w:p>
    <w:p w:rsidR="001F2586" w:rsidRPr="001F2586" w:rsidP="001F2586">
      <w:pPr>
        <w:spacing w:line="269" w:lineRule="auto"/>
        <w:rPr>
          <w:rFonts w:eastAsia="Calibri"/>
          <w:b/>
          <w:bCs/>
          <w:rtl/>
        </w:rPr>
      </w:pPr>
      <w:r w:rsidRPr="001F2586">
        <w:rPr>
          <w:rFonts w:eastAsia="Calibri"/>
          <w:b/>
          <w:bCs/>
          <w:rtl/>
        </w:rPr>
        <w:t>שיעור הלווים עם הלווא</w:t>
      </w:r>
      <w:r w:rsidRPr="001F2586">
        <w:rPr>
          <w:rFonts w:eastAsia="Calibri" w:hint="cs"/>
          <w:b/>
          <w:bCs/>
          <w:rtl/>
        </w:rPr>
        <w:t>ות</w:t>
      </w:r>
      <w:r w:rsidRPr="001F2586">
        <w:rPr>
          <w:rFonts w:eastAsia="Calibri"/>
          <w:b/>
          <w:bCs/>
          <w:rtl/>
        </w:rPr>
        <w:t xml:space="preserve"> לדיור </w:t>
      </w:r>
      <w:r w:rsidRPr="001F2586">
        <w:rPr>
          <w:rFonts w:eastAsia="Calibri" w:hint="cs"/>
          <w:b/>
          <w:bCs/>
          <w:rtl/>
        </w:rPr>
        <w:t xml:space="preserve">שנמצאו </w:t>
      </w:r>
      <w:r w:rsidRPr="001F2586">
        <w:rPr>
          <w:rFonts w:eastAsia="Calibri"/>
          <w:b/>
          <w:bCs/>
          <w:rtl/>
        </w:rPr>
        <w:t xml:space="preserve">בפיגור במהלך </w:t>
      </w:r>
      <w:r w:rsidRPr="001F2586">
        <w:rPr>
          <w:rFonts w:eastAsia="Calibri" w:hint="cs"/>
          <w:b/>
          <w:bCs/>
          <w:rtl/>
        </w:rPr>
        <w:t xml:space="preserve">2020-2019 היה </w:t>
      </w:r>
      <w:r w:rsidRPr="001F2586">
        <w:rPr>
          <w:rFonts w:eastAsia="Calibri"/>
          <w:b/>
          <w:bCs/>
          <w:rtl/>
        </w:rPr>
        <w:t>גבוה משמעותית בקרב לווים ביישובי החברה הערבית</w:t>
      </w:r>
      <w:r w:rsidRPr="001F2586">
        <w:rPr>
          <w:rFonts w:eastAsia="Calibri" w:hint="cs"/>
          <w:b/>
          <w:bCs/>
          <w:rtl/>
        </w:rPr>
        <w:t>. בשנת 2020 שיעור ההלוואות בפיגור במגזר היהודי היה 3.7% ואילו במגזר הערבי עמד על כ-21.6%. ייתכן ופער הריביות במשכנתאות בין האוכלוסיות מגלם בין היתר את רמת הסיכון כתוצאה מהשוני בהתנהגות בין שני המגזרים לעניין מוסר התשלומים בהלוואות.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מחקר של רשות התחרות</w:t>
      </w:r>
      <w:r>
        <w:rPr>
          <w:rFonts w:eastAsia="Calibri"/>
          <w:vertAlign w:val="superscript"/>
          <w:rtl/>
        </w:rPr>
        <w:footnoteReference w:id="341"/>
      </w:r>
      <w:r w:rsidRPr="001F2586">
        <w:rPr>
          <w:rFonts w:eastAsia="Calibri"/>
          <w:rtl/>
        </w:rPr>
        <w:t xml:space="preserve"> </w:t>
      </w:r>
      <w:r w:rsidRPr="001F2586">
        <w:rPr>
          <w:rFonts w:eastAsia="Calibri" w:hint="cs"/>
          <w:rtl/>
        </w:rPr>
        <w:t>הצביע על</w:t>
      </w:r>
      <w:r w:rsidRPr="001F2586">
        <w:rPr>
          <w:rFonts w:eastAsia="Calibri"/>
          <w:rtl/>
        </w:rPr>
        <w:t xml:space="preserve"> פערים משמעותיים בתנאי האשראי במגזר הערבי. מהנתונים עולה כי הריבית הממוצעת על אשראי צרכני בסניפי בנקים בישובים ערביים גבוהה ב-0.62% מזו שבישובים יהודיים, וזאת גם לאחר שקלול משתני סיכון ופרמטרים רלוונטיים אחרים</w:t>
      </w:r>
      <w:r w:rsidRPr="001F2586">
        <w:rPr>
          <w:rFonts w:eastAsia="Calibri"/>
        </w:rPr>
        <w:t>.</w:t>
      </w:r>
      <w:r w:rsidRPr="001F2586">
        <w:rPr>
          <w:rFonts w:eastAsia="Calibri"/>
          <w:rtl/>
        </w:rPr>
        <w:t>במקביל, המחקר מצביע על כך שהכנסות הבנקים מפעילות במגזר הערבי נמוכות יחסית. זאת בשל חסמים משמעותיים במתן משכנתאות, הנובעים מהערכת סיכון גבוהה יותר במגזר זה</w:t>
      </w:r>
      <w:r w:rsidRPr="001F2586">
        <w:rPr>
          <w:rFonts w:eastAsia="Calibri"/>
        </w:rPr>
        <w:t>.</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hint="eastAsia"/>
          <w:rtl/>
        </w:rPr>
        <w:t>במענה</w:t>
      </w:r>
      <w:r w:rsidRPr="001F2586">
        <w:rPr>
          <w:rFonts w:eastAsia="Calibri"/>
          <w:rtl/>
        </w:rPr>
        <w:t xml:space="preserve"> </w:t>
      </w:r>
      <w:r w:rsidRPr="001F2586">
        <w:rPr>
          <w:rFonts w:eastAsia="Calibri" w:hint="eastAsia"/>
          <w:rtl/>
        </w:rPr>
        <w:t>לבקשת</w:t>
      </w:r>
      <w:r w:rsidRPr="001F2586">
        <w:rPr>
          <w:rFonts w:eastAsia="Calibri"/>
          <w:rtl/>
        </w:rPr>
        <w:t xml:space="preserve"> </w:t>
      </w:r>
      <w:r w:rsidRPr="001F2586">
        <w:rPr>
          <w:rFonts w:eastAsia="Calibri" w:hint="eastAsia"/>
          <w:rtl/>
        </w:rPr>
        <w:t>מרכז</w:t>
      </w:r>
      <w:r w:rsidRPr="001F2586">
        <w:rPr>
          <w:rFonts w:eastAsia="Calibri"/>
          <w:rtl/>
        </w:rPr>
        <w:t xml:space="preserve"> </w:t>
      </w:r>
      <w:r w:rsidRPr="001F2586">
        <w:rPr>
          <w:rFonts w:eastAsia="Calibri" w:hint="eastAsia"/>
          <w:rtl/>
        </w:rPr>
        <w:t>מחקרי</w:t>
      </w:r>
      <w:r w:rsidRPr="001F2586">
        <w:rPr>
          <w:rFonts w:eastAsia="Calibri"/>
          <w:rtl/>
        </w:rPr>
        <w:t xml:space="preserve"> </w:t>
      </w:r>
      <w:r w:rsidRPr="001F2586">
        <w:rPr>
          <w:rFonts w:eastAsia="Calibri" w:hint="eastAsia"/>
          <w:rtl/>
        </w:rPr>
        <w:t>המתעסק</w:t>
      </w:r>
      <w:r w:rsidRPr="001F2586">
        <w:rPr>
          <w:rFonts w:eastAsia="Calibri"/>
          <w:rtl/>
        </w:rPr>
        <w:t xml:space="preserve"> </w:t>
      </w:r>
      <w:r w:rsidRPr="001F2586">
        <w:rPr>
          <w:rFonts w:eastAsia="Calibri" w:hint="eastAsia"/>
          <w:rtl/>
        </w:rPr>
        <w:t>במגזר</w:t>
      </w:r>
      <w:r w:rsidRPr="001F2586">
        <w:rPr>
          <w:rFonts w:eastAsia="Calibri"/>
          <w:rtl/>
        </w:rPr>
        <w:t xml:space="preserve"> </w:t>
      </w:r>
      <w:r w:rsidRPr="001F2586">
        <w:rPr>
          <w:rFonts w:eastAsia="Calibri" w:hint="eastAsia"/>
          <w:rtl/>
        </w:rPr>
        <w:t>הערבי</w:t>
      </w:r>
      <w:r w:rsidRPr="001F2586">
        <w:rPr>
          <w:rFonts w:eastAsia="Calibri" w:hint="cs"/>
          <w:rtl/>
        </w:rPr>
        <w:t xml:space="preserve"> במרץ 2025</w:t>
      </w:r>
      <w:r w:rsidRPr="001F2586">
        <w:rPr>
          <w:rFonts w:eastAsia="Calibri"/>
          <w:rtl/>
        </w:rPr>
        <w:t xml:space="preserve">, </w:t>
      </w:r>
      <w:r w:rsidRPr="001F2586">
        <w:rPr>
          <w:rFonts w:eastAsia="Calibri" w:hint="eastAsia"/>
          <w:rtl/>
        </w:rPr>
        <w:t>בדק</w:t>
      </w:r>
      <w:r w:rsidRPr="001F2586">
        <w:rPr>
          <w:rFonts w:eastAsia="Calibri"/>
          <w:rtl/>
        </w:rPr>
        <w:t xml:space="preserve"> </w:t>
      </w:r>
      <w:r w:rsidRPr="001F2586">
        <w:rPr>
          <w:rFonts w:eastAsia="Calibri" w:hint="eastAsia"/>
          <w:rtl/>
        </w:rPr>
        <w:t>בנק</w:t>
      </w:r>
      <w:r w:rsidRPr="001F2586">
        <w:rPr>
          <w:rFonts w:eastAsia="Calibri"/>
          <w:rtl/>
        </w:rPr>
        <w:t xml:space="preserve"> </w:t>
      </w:r>
      <w:r w:rsidRPr="001F2586">
        <w:rPr>
          <w:rFonts w:eastAsia="Calibri" w:hint="eastAsia"/>
          <w:rtl/>
        </w:rPr>
        <w:t>ישראל</w:t>
      </w:r>
      <w:r w:rsidRPr="001F2586">
        <w:rPr>
          <w:rFonts w:eastAsia="Calibri"/>
          <w:rtl/>
        </w:rPr>
        <w:t xml:space="preserve"> </w:t>
      </w:r>
      <w:r w:rsidRPr="001F2586">
        <w:rPr>
          <w:rFonts w:eastAsia="Calibri" w:hint="eastAsia"/>
          <w:rtl/>
        </w:rPr>
        <w:t>האם</w:t>
      </w:r>
      <w:r w:rsidRPr="001F2586">
        <w:rPr>
          <w:rFonts w:eastAsia="Calibri"/>
          <w:rtl/>
        </w:rPr>
        <w:t xml:space="preserve"> </w:t>
      </w:r>
      <w:r w:rsidRPr="001F2586">
        <w:rPr>
          <w:rFonts w:eastAsia="Calibri" w:hint="eastAsia"/>
          <w:rtl/>
        </w:rPr>
        <w:t>יש</w:t>
      </w:r>
      <w:r w:rsidRPr="001F2586">
        <w:rPr>
          <w:rFonts w:eastAsia="Calibri"/>
          <w:rtl/>
        </w:rPr>
        <w:t xml:space="preserve"> </w:t>
      </w:r>
      <w:r w:rsidRPr="001F2586">
        <w:rPr>
          <w:rFonts w:eastAsia="Calibri" w:hint="eastAsia"/>
          <w:rtl/>
        </w:rPr>
        <w:t>אפליה</w:t>
      </w:r>
      <w:r w:rsidRPr="001F2586">
        <w:rPr>
          <w:rFonts w:eastAsia="Calibri"/>
          <w:rtl/>
        </w:rPr>
        <w:t xml:space="preserve"> </w:t>
      </w:r>
      <w:r w:rsidRPr="001F2586">
        <w:rPr>
          <w:rFonts w:eastAsia="Calibri" w:hint="eastAsia"/>
          <w:rtl/>
        </w:rPr>
        <w:t>בריבית</w:t>
      </w:r>
      <w:r w:rsidRPr="001F2586">
        <w:rPr>
          <w:rFonts w:eastAsia="Calibri"/>
          <w:rtl/>
        </w:rPr>
        <w:t xml:space="preserve"> </w:t>
      </w:r>
      <w:r w:rsidRPr="001F2586">
        <w:rPr>
          <w:rFonts w:eastAsia="Calibri" w:hint="eastAsia"/>
          <w:rtl/>
        </w:rPr>
        <w:t>וזאת</w:t>
      </w:r>
      <w:r w:rsidRPr="001F2586">
        <w:rPr>
          <w:rFonts w:eastAsia="Calibri"/>
          <w:rtl/>
        </w:rPr>
        <w:t xml:space="preserve"> </w:t>
      </w:r>
      <w:r w:rsidRPr="001F2586">
        <w:rPr>
          <w:rFonts w:eastAsia="Calibri" w:hint="eastAsia"/>
          <w:rtl/>
        </w:rPr>
        <w:t>באמצעות</w:t>
      </w:r>
      <w:r w:rsidRPr="001F2586">
        <w:rPr>
          <w:rFonts w:eastAsia="Calibri"/>
          <w:rtl/>
        </w:rPr>
        <w:t xml:space="preserve"> </w:t>
      </w:r>
      <w:r w:rsidRPr="001F2586">
        <w:rPr>
          <w:rFonts w:eastAsia="Calibri" w:hint="eastAsia"/>
          <w:rtl/>
        </w:rPr>
        <w:t>השוואה</w:t>
      </w:r>
      <w:r w:rsidRPr="001F2586">
        <w:rPr>
          <w:rFonts w:eastAsia="Calibri"/>
          <w:rtl/>
        </w:rPr>
        <w:t xml:space="preserve"> </w:t>
      </w:r>
      <w:r w:rsidRPr="001F2586">
        <w:rPr>
          <w:rFonts w:eastAsia="Calibri" w:hint="eastAsia"/>
          <w:rtl/>
        </w:rPr>
        <w:t>בין</w:t>
      </w:r>
      <w:r w:rsidRPr="001F2586">
        <w:rPr>
          <w:rFonts w:eastAsia="Calibri"/>
          <w:rtl/>
        </w:rPr>
        <w:t xml:space="preserve"> </w:t>
      </w:r>
      <w:r w:rsidRPr="001F2586">
        <w:rPr>
          <w:rFonts w:eastAsia="Calibri" w:hint="eastAsia"/>
          <w:rtl/>
        </w:rPr>
        <w:t>ישובים</w:t>
      </w:r>
      <w:r w:rsidRPr="001F2586">
        <w:rPr>
          <w:rFonts w:eastAsia="Calibri"/>
          <w:rtl/>
        </w:rPr>
        <w:t xml:space="preserve"> </w:t>
      </w:r>
      <w:r w:rsidRPr="001F2586">
        <w:rPr>
          <w:rFonts w:eastAsia="Calibri" w:hint="eastAsia"/>
          <w:rtl/>
        </w:rPr>
        <w:t>יהודיים</w:t>
      </w:r>
      <w:r w:rsidRPr="001F2586">
        <w:rPr>
          <w:rFonts w:eastAsia="Calibri"/>
          <w:rtl/>
        </w:rPr>
        <w:t xml:space="preserve"> </w:t>
      </w:r>
      <w:r w:rsidRPr="001F2586">
        <w:rPr>
          <w:rFonts w:eastAsia="Calibri" w:hint="eastAsia"/>
          <w:rtl/>
        </w:rPr>
        <w:t>וישובים</w:t>
      </w:r>
      <w:r w:rsidRPr="001F2586">
        <w:rPr>
          <w:rFonts w:eastAsia="Calibri"/>
          <w:rtl/>
        </w:rPr>
        <w:t xml:space="preserve"> </w:t>
      </w:r>
      <w:r w:rsidRPr="001F2586">
        <w:rPr>
          <w:rFonts w:eastAsia="Calibri" w:hint="eastAsia"/>
          <w:rtl/>
        </w:rPr>
        <w:t>לא</w:t>
      </w:r>
      <w:r w:rsidRPr="001F2586">
        <w:rPr>
          <w:rFonts w:eastAsia="Calibri"/>
          <w:rtl/>
        </w:rPr>
        <w:t xml:space="preserve"> </w:t>
      </w:r>
      <w:r w:rsidRPr="001F2586">
        <w:rPr>
          <w:rFonts w:eastAsia="Calibri" w:hint="eastAsia"/>
          <w:rtl/>
        </w:rPr>
        <w:t>יהודיים</w:t>
      </w:r>
      <w:r w:rsidRPr="001F2586">
        <w:rPr>
          <w:rFonts w:eastAsia="Calibri"/>
          <w:rtl/>
        </w:rPr>
        <w:t xml:space="preserve">. הבחינה בוצעה נכון לנתוני שנת 2023. בבדיקה עלה כי קיים פער חיובי בריבית הכוללת החזויה המשוקללת בישובים לא יהודים לעומת ישובים יהודיים. כמו כן, בנק ישראל ציין כי הפערים בין המגזרים הצטמצמו בשנים </w:t>
      </w:r>
      <w:r w:rsidRPr="001F2586">
        <w:rPr>
          <w:rFonts w:eastAsia="Calibri" w:hint="cs"/>
          <w:rtl/>
        </w:rPr>
        <w:t>האחרונו</w:t>
      </w:r>
      <w:r w:rsidRPr="001F2586">
        <w:rPr>
          <w:rFonts w:eastAsia="Calibri" w:hint="eastAsia"/>
          <w:rtl/>
        </w:rPr>
        <w:t>ת</w:t>
      </w:r>
      <w:r w:rsidRPr="001F2586">
        <w:rPr>
          <w:rFonts w:eastAsia="Calibri"/>
          <w:rtl/>
        </w:rPr>
        <w:t xml:space="preserve"> כאשר ניתן להסביר חלק מהפער על ידי פערים באופן הרישום, במימוש, עלויות ת</w:t>
      </w:r>
      <w:r w:rsidRPr="001F2586">
        <w:rPr>
          <w:rFonts w:eastAsia="Calibri" w:hint="eastAsia"/>
          <w:rtl/>
        </w:rPr>
        <w:t>פעוליות</w:t>
      </w:r>
      <w:r w:rsidRPr="001F2586">
        <w:rPr>
          <w:rFonts w:eastAsia="Calibri"/>
          <w:rtl/>
        </w:rPr>
        <w:t xml:space="preserve"> </w:t>
      </w:r>
      <w:r w:rsidRPr="001F2586">
        <w:rPr>
          <w:rFonts w:eastAsia="Calibri" w:hint="eastAsia"/>
          <w:rtl/>
        </w:rPr>
        <w:t>ובמבנה</w:t>
      </w:r>
      <w:r w:rsidRPr="001F2586">
        <w:rPr>
          <w:rFonts w:eastAsia="Calibri"/>
          <w:rtl/>
        </w:rPr>
        <w:t xml:space="preserve"> </w:t>
      </w:r>
      <w:r w:rsidRPr="001F2586">
        <w:rPr>
          <w:rFonts w:eastAsia="Calibri" w:hint="eastAsia"/>
          <w:rtl/>
        </w:rPr>
        <w:t>התחרותי</w:t>
      </w:r>
      <w:r w:rsidRPr="001F2586">
        <w:rPr>
          <w:rFonts w:eastAsia="Calibri"/>
          <w:rtl/>
        </w:rPr>
        <w:t xml:space="preserve"> </w:t>
      </w:r>
      <w:r w:rsidRPr="001F2586">
        <w:rPr>
          <w:rFonts w:eastAsia="Calibri" w:hint="eastAsia"/>
          <w:rtl/>
        </w:rPr>
        <w:t>של</w:t>
      </w:r>
      <w:r w:rsidRPr="001F2586">
        <w:rPr>
          <w:rFonts w:eastAsia="Calibri"/>
          <w:rtl/>
        </w:rPr>
        <w:t xml:space="preserve"> </w:t>
      </w:r>
      <w:r w:rsidRPr="001F2586">
        <w:rPr>
          <w:rFonts w:eastAsia="Calibri" w:hint="eastAsia"/>
          <w:rtl/>
        </w:rPr>
        <w:t>שוק</w:t>
      </w:r>
      <w:r w:rsidRPr="001F2586">
        <w:rPr>
          <w:rFonts w:eastAsia="Calibri"/>
          <w:rtl/>
        </w:rPr>
        <w:t xml:space="preserve"> </w:t>
      </w:r>
      <w:r w:rsidRPr="001F2586">
        <w:rPr>
          <w:rFonts w:eastAsia="Calibri" w:hint="eastAsia"/>
          <w:rtl/>
        </w:rPr>
        <w:t>האשראי</w:t>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בפגישות שערך משרד מבקר המדינה עם גורמים בכירים בבנקים השונים ציינו הבנקים הסברים אפשריים לפערים בנגישות למשכנתא בין נכסים </w:t>
      </w:r>
      <w:r w:rsidRPr="001F2586">
        <w:rPr>
          <w:rFonts w:eastAsia="Calibri" w:hint="cs"/>
          <w:sz w:val="24"/>
          <w:rtl/>
        </w:rPr>
        <w:t>הנרכשים ביישובים יהודיים לעומת יישובים ערביים. כמו כן, בנק ישראל ציין אף הוא בדוחות עבר</w:t>
      </w:r>
      <w:r>
        <w:rPr>
          <w:rFonts w:eastAsia="Calibri"/>
          <w:vertAlign w:val="superscript"/>
          <w:rtl/>
        </w:rPr>
        <w:footnoteReference w:id="342"/>
      </w:r>
      <w:r w:rsidRPr="001F2586">
        <w:rPr>
          <w:rFonts w:eastAsia="Calibri" w:hint="cs"/>
          <w:sz w:val="24"/>
          <w:rtl/>
        </w:rPr>
        <w:t xml:space="preserve"> סיבות דומות לפערים האמורים. להלן הפירוט:</w:t>
      </w:r>
    </w:p>
    <w:p w:rsidR="001F2586" w:rsidRPr="001F2586" w:rsidP="001F2586">
      <w:pPr>
        <w:spacing w:line="269" w:lineRule="auto"/>
        <w:rPr>
          <w:rFonts w:eastAsia="Calibri"/>
          <w:rtl/>
        </w:rPr>
      </w:pPr>
    </w:p>
    <w:p w:rsidR="001F2586" w:rsidRPr="001F2586" w:rsidP="001F2586">
      <w:pPr>
        <w:numPr>
          <w:ilvl w:val="1"/>
          <w:numId w:val="20"/>
        </w:numPr>
        <w:spacing w:line="269" w:lineRule="auto"/>
        <w:contextualSpacing/>
        <w:rPr>
          <w:rFonts w:eastAsia="Calibri"/>
          <w:sz w:val="24"/>
        </w:rPr>
      </w:pPr>
      <w:r w:rsidRPr="001F2586">
        <w:rPr>
          <w:rFonts w:eastAsia="Times New Roman" w:hint="cs"/>
          <w:bCs/>
          <w:spacing w:val="40"/>
          <w:rtl/>
        </w:rPr>
        <w:t>קשיים ברישום הנכס והעמדתו כבטוחה לצורך לקיחת משכנתא ביישובים הערביים:</w:t>
      </w:r>
      <w:r w:rsidRPr="001F2586">
        <w:rPr>
          <w:rFonts w:eastAsia="Calibri" w:hint="cs"/>
          <w:sz w:val="24"/>
          <w:rtl/>
        </w:rPr>
        <w:t xml:space="preserve"> חלק ניכר מהנכסים ביישובים הערביים בנויים על קרקעות מושע (בעלות משותפת על מקרקעין ללא חלוקה מסודרת לחלקות) או בבעלות משפחתית. בעיה זו מקשה על הלווים להעמיד את הנכס הספציפי כבטוחה לצורך קבלת אשראי לדיור. לכן, במקרה של חדלות פירעון הבנק יתקשה במכירת הבית היות ומדובר בבעלות קרקע משותפת. גם בסקר שנערך עבור בנק ישראל בשנת 2022 כ-15%</w:t>
      </w:r>
      <w:r w:rsidRPr="001F2586">
        <w:rPr>
          <w:rFonts w:eastAsia="Calibri" w:hint="cs"/>
          <w:sz w:val="24"/>
        </w:rPr>
        <w:t xml:space="preserve"> </w:t>
      </w:r>
      <w:r w:rsidRPr="001F2586">
        <w:rPr>
          <w:rFonts w:eastAsia="Calibri" w:hint="cs"/>
          <w:sz w:val="24"/>
          <w:rtl/>
        </w:rPr>
        <w:t>מהנשאלים העידו על כך שהם רוצים לקחת משכנתא אך הבנקים לא מאפשרים להם וזאת בשל איכות הבטוחה במשכנתא.</w:t>
      </w:r>
    </w:p>
    <w:p w:rsidR="001F2586" w:rsidRPr="001F2586" w:rsidP="001F2586">
      <w:pPr>
        <w:spacing w:line="269" w:lineRule="auto"/>
        <w:ind w:left="432"/>
        <w:contextualSpacing/>
        <w:rPr>
          <w:rFonts w:eastAsia="Calibri"/>
          <w:sz w:val="24"/>
        </w:rPr>
      </w:pPr>
    </w:p>
    <w:p w:rsidR="001F2586" w:rsidRPr="001F2586" w:rsidP="001F2586">
      <w:pPr>
        <w:numPr>
          <w:ilvl w:val="1"/>
          <w:numId w:val="20"/>
        </w:numPr>
        <w:spacing w:line="269" w:lineRule="auto"/>
        <w:contextualSpacing/>
        <w:rPr>
          <w:rFonts w:eastAsia="Calibri"/>
          <w:sz w:val="24"/>
        </w:rPr>
      </w:pPr>
      <w:r w:rsidRPr="001F2586">
        <w:rPr>
          <w:rFonts w:eastAsia="Times New Roman" w:hint="cs"/>
          <w:bCs/>
          <w:spacing w:val="40"/>
          <w:rtl/>
        </w:rPr>
        <w:t>בנייה ללא היתר והיעדר תוכניות מתאר:</w:t>
      </w:r>
      <w:r w:rsidRPr="001F2586">
        <w:rPr>
          <w:rFonts w:eastAsia="Calibri" w:hint="cs"/>
          <w:sz w:val="24"/>
          <w:rtl/>
        </w:rPr>
        <w:t xml:space="preserve"> בישובים ערביים רבים אין תכנית מתאר מאושרת המאפשרת הוצאת היתרי בנייה כחוק. </w:t>
      </w:r>
    </w:p>
    <w:p w:rsidR="001F2586" w:rsidRPr="001F2586" w:rsidP="001F2586">
      <w:pPr>
        <w:spacing w:line="269" w:lineRule="auto"/>
        <w:ind w:left="432"/>
        <w:contextualSpacing/>
        <w:rPr>
          <w:rFonts w:eastAsia="Calibri"/>
          <w:sz w:val="24"/>
          <w:rtl/>
        </w:rPr>
      </w:pPr>
    </w:p>
    <w:p w:rsidR="001F2586" w:rsidRPr="001F2586" w:rsidP="001F2586">
      <w:pPr>
        <w:spacing w:line="269" w:lineRule="auto"/>
        <w:ind w:left="432"/>
        <w:contextualSpacing/>
        <w:rPr>
          <w:rFonts w:eastAsia="Calibri"/>
          <w:sz w:val="24"/>
          <w:rtl/>
        </w:rPr>
      </w:pPr>
      <w:r w:rsidRPr="001F2586">
        <w:rPr>
          <w:rFonts w:eastAsia="Calibri"/>
          <w:sz w:val="24"/>
          <w:rtl/>
        </w:rPr>
        <w:t xml:space="preserve">בדוח שפרסם </w:t>
      </w:r>
      <w:r w:rsidRPr="001F2586">
        <w:rPr>
          <w:rFonts w:eastAsia="Calibri" w:hint="cs"/>
          <w:sz w:val="24"/>
          <w:rtl/>
        </w:rPr>
        <w:t xml:space="preserve">משרד </w:t>
      </w:r>
      <w:r w:rsidRPr="001F2586">
        <w:rPr>
          <w:rFonts w:eastAsia="Calibri"/>
          <w:sz w:val="24"/>
          <w:rtl/>
        </w:rPr>
        <w:t>מבקר המדינה בשנת 2018</w:t>
      </w:r>
      <w:r w:rsidRPr="001F2586">
        <w:rPr>
          <w:rFonts w:eastAsia="Calibri" w:hint="cs"/>
          <w:sz w:val="24"/>
          <w:rtl/>
        </w:rPr>
        <w:t xml:space="preserve"> על פעולות הממשלה בנושא "מצוקת הדיור ביישובי המיעוטים"</w:t>
      </w:r>
      <w:r>
        <w:rPr>
          <w:rFonts w:eastAsia="Calibri"/>
          <w:sz w:val="24"/>
          <w:vertAlign w:val="superscript"/>
          <w:rtl/>
        </w:rPr>
        <w:footnoteReference w:id="343"/>
      </w:r>
      <w:r w:rsidRPr="001F2586">
        <w:rPr>
          <w:rFonts w:eastAsia="Calibri" w:hint="cs"/>
          <w:sz w:val="24"/>
          <w:rtl/>
        </w:rPr>
        <w:t xml:space="preserve"> </w:t>
      </w:r>
      <w:r w:rsidRPr="001F2586">
        <w:rPr>
          <w:rFonts w:eastAsia="Calibri"/>
          <w:sz w:val="24"/>
          <w:rtl/>
        </w:rPr>
        <w:t>צוין בין היתר כי האמצעים שננקטו על פי החלטות הממשלה לא תרמו בדרך כלל</w:t>
      </w:r>
      <w:r w:rsidRPr="001F2586">
        <w:rPr>
          <w:rFonts w:eastAsia="Calibri" w:hint="cs"/>
          <w:sz w:val="24"/>
          <w:rtl/>
        </w:rPr>
        <w:t xml:space="preserve"> </w:t>
      </w:r>
      <w:r w:rsidRPr="001F2586">
        <w:rPr>
          <w:rFonts w:eastAsia="Calibri"/>
          <w:sz w:val="24"/>
          <w:rtl/>
        </w:rPr>
        <w:t>לפתרון הבעיה או תרמו לפתרונה באופן מועט.</w:t>
      </w:r>
    </w:p>
    <w:p w:rsidR="001F2586" w:rsidRPr="001F2586" w:rsidP="001F2586">
      <w:pPr>
        <w:spacing w:line="269" w:lineRule="auto"/>
        <w:contextualSpacing/>
        <w:rPr>
          <w:rFonts w:eastAsia="Calibri"/>
          <w:sz w:val="24"/>
        </w:rPr>
      </w:pPr>
    </w:p>
    <w:p w:rsidR="001F2586" w:rsidRPr="001F2586" w:rsidP="001F2586">
      <w:pPr>
        <w:numPr>
          <w:ilvl w:val="1"/>
          <w:numId w:val="20"/>
        </w:numPr>
        <w:spacing w:line="269" w:lineRule="auto"/>
        <w:contextualSpacing/>
        <w:rPr>
          <w:rFonts w:eastAsia="Calibri"/>
          <w:sz w:val="24"/>
        </w:rPr>
      </w:pPr>
      <w:r w:rsidRPr="001F2586">
        <w:rPr>
          <w:rFonts w:eastAsia="Times New Roman" w:hint="cs"/>
          <w:bCs/>
          <w:spacing w:val="40"/>
          <w:rtl/>
        </w:rPr>
        <w:t>קשיים במימוש הנכס במקרה של חדלות פירעון</w:t>
      </w:r>
      <w:r w:rsidRPr="001F2586">
        <w:rPr>
          <w:rFonts w:eastAsia="Calibri" w:hint="cs"/>
          <w:b/>
          <w:bCs/>
          <w:sz w:val="24"/>
          <w:rtl/>
        </w:rPr>
        <w:t xml:space="preserve"> </w:t>
      </w:r>
      <w:r w:rsidRPr="001F2586">
        <w:rPr>
          <w:rFonts w:eastAsia="Times New Roman" w:hint="cs"/>
          <w:bCs/>
          <w:spacing w:val="40"/>
          <w:rtl/>
        </w:rPr>
        <w:t>הלווה:</w:t>
      </w:r>
      <w:r w:rsidRPr="001F2586">
        <w:rPr>
          <w:rFonts w:eastAsia="Calibri" w:hint="cs"/>
          <w:sz w:val="24"/>
          <w:rtl/>
        </w:rPr>
        <w:t xml:space="preserve"> מאפייניו הייחודיים של שוק הדיור במגזר הערבי מגבילים את יכולת המימוש של הנכס בידי הבנק במקרה של חדלות פירעון, ובכך מגדילים את הסיכון במתן המשכנתא.</w:t>
      </w:r>
    </w:p>
    <w:p w:rsidR="001F2586" w:rsidRPr="001F2586" w:rsidP="001F2586">
      <w:pPr>
        <w:spacing w:line="269" w:lineRule="auto"/>
        <w:ind w:left="432"/>
        <w:contextualSpacing/>
        <w:rPr>
          <w:rFonts w:eastAsia="Calibri"/>
          <w:sz w:val="24"/>
        </w:rPr>
      </w:pPr>
    </w:p>
    <w:p w:rsidR="00260379" w:rsidP="001F2586">
      <w:pPr>
        <w:numPr>
          <w:ilvl w:val="1"/>
          <w:numId w:val="20"/>
        </w:numPr>
        <w:spacing w:line="269" w:lineRule="auto"/>
        <w:contextualSpacing/>
        <w:rPr>
          <w:rFonts w:eastAsia="Calibri"/>
          <w:sz w:val="24"/>
        </w:rPr>
      </w:pPr>
      <w:r w:rsidRPr="001F2586">
        <w:rPr>
          <w:rFonts w:eastAsia="Times New Roman" w:hint="cs"/>
          <w:bCs/>
          <w:spacing w:val="40"/>
          <w:rtl/>
        </w:rPr>
        <w:t>כלכלה שחורה ושימוש גבוה במזומן:</w:t>
      </w:r>
      <w:r w:rsidRPr="001F2586">
        <w:rPr>
          <w:rFonts w:eastAsia="Calibri" w:hint="cs"/>
          <w:b/>
          <w:bCs/>
          <w:sz w:val="24"/>
          <w:rtl/>
        </w:rPr>
        <w:t xml:space="preserve"> </w:t>
      </w:r>
      <w:r w:rsidRPr="001F2586">
        <w:rPr>
          <w:rFonts w:eastAsia="Calibri" w:hint="cs"/>
          <w:sz w:val="24"/>
          <w:rtl/>
        </w:rPr>
        <w:t>הבנק בודק עמידה בכללי כושר פירעון של עד 40% מההכנסה. אדם המקבל שכר באמצעות מזומן שאינו מופקד בבנק יתקשה לקבל משכנתא מהבנק וזאת בשל אי עמידה בהוראות בנק ישראל.</w:t>
      </w:r>
    </w:p>
    <w:p w:rsidR="001F2586" w:rsidRPr="001F2586" w:rsidP="001F2586">
      <w:pPr>
        <w:spacing w:line="269" w:lineRule="auto"/>
        <w:contextualSpacing/>
        <w:rPr>
          <w:rFonts w:eastAsia="Calibri"/>
          <w:sz w:val="24"/>
        </w:rPr>
      </w:pPr>
    </w:p>
    <w:p w:rsidR="001F2586" w:rsidRPr="001F2586" w:rsidP="001F2586">
      <w:pPr>
        <w:numPr>
          <w:ilvl w:val="1"/>
          <w:numId w:val="20"/>
        </w:numPr>
        <w:spacing w:line="269" w:lineRule="auto"/>
        <w:contextualSpacing/>
        <w:rPr>
          <w:rFonts w:eastAsia="Calibri"/>
          <w:sz w:val="24"/>
        </w:rPr>
      </w:pPr>
      <w:r w:rsidRPr="001F2586">
        <w:rPr>
          <w:rFonts w:eastAsia="Times New Roman" w:hint="cs"/>
          <w:bCs/>
          <w:spacing w:val="40"/>
          <w:rtl/>
        </w:rPr>
        <w:t>מחסור בבנייה רוויה:</w:t>
      </w:r>
      <w:r w:rsidRPr="001F2586">
        <w:rPr>
          <w:rFonts w:eastAsia="Calibri" w:hint="cs"/>
          <w:sz w:val="24"/>
          <w:rtl/>
        </w:rPr>
        <w:t xml:space="preserve"> רוב הבנייה בחברה הערבית הינה בנייה עצמית על קרקע פרטית</w:t>
      </w:r>
      <w:r>
        <w:rPr>
          <w:rFonts w:eastAsia="Calibri"/>
          <w:sz w:val="24"/>
          <w:vertAlign w:val="superscript"/>
          <w:rtl/>
        </w:rPr>
        <w:footnoteReference w:id="344"/>
      </w:r>
      <w:r w:rsidRPr="001F2586">
        <w:rPr>
          <w:rFonts w:eastAsia="Calibri" w:hint="cs"/>
          <w:sz w:val="24"/>
          <w:rtl/>
        </w:rPr>
        <w:t>. ב</w:t>
      </w:r>
      <w:r w:rsidRPr="001F2586">
        <w:rPr>
          <w:rFonts w:eastAsia="Calibri"/>
          <w:sz w:val="24"/>
          <w:rtl/>
        </w:rPr>
        <w:t>בנייה עצמית ביישוב ערבי, שבו אין שוק נדל"ן פעיל של קנייה ומכירה</w:t>
      </w:r>
      <w:r w:rsidRPr="001F2586">
        <w:rPr>
          <w:rFonts w:eastAsia="Calibri" w:hint="cs"/>
          <w:sz w:val="24"/>
          <w:rtl/>
        </w:rPr>
        <w:t>,</w:t>
      </w:r>
      <w:r w:rsidRPr="001F2586">
        <w:rPr>
          <w:rFonts w:eastAsia="Calibri"/>
          <w:sz w:val="24"/>
          <w:rtl/>
        </w:rPr>
        <w:t xml:space="preserve"> </w:t>
      </w:r>
      <w:r w:rsidRPr="001F2586">
        <w:rPr>
          <w:rFonts w:eastAsia="Calibri" w:hint="cs"/>
          <w:sz w:val="24"/>
          <w:rtl/>
        </w:rPr>
        <w:t>קיים קושי להעריך את שווי הנכס דבר המגביל את הערכות השווי.</w:t>
      </w:r>
    </w:p>
    <w:p w:rsidR="001F2586" w:rsidRPr="001F2586" w:rsidP="001F2586">
      <w:pPr>
        <w:spacing w:line="269" w:lineRule="auto"/>
        <w:contextualSpacing/>
        <w:rPr>
          <w:rFonts w:eastAsia="Calibri"/>
          <w:sz w:val="24"/>
        </w:rPr>
      </w:pPr>
    </w:p>
    <w:p w:rsidR="001F2586" w:rsidRPr="001F2586" w:rsidP="001F2586">
      <w:pPr>
        <w:numPr>
          <w:ilvl w:val="1"/>
          <w:numId w:val="20"/>
        </w:numPr>
        <w:spacing w:line="269" w:lineRule="auto"/>
        <w:contextualSpacing/>
        <w:rPr>
          <w:rFonts w:eastAsia="Calibri"/>
          <w:b/>
          <w:bCs/>
          <w:sz w:val="24"/>
        </w:rPr>
      </w:pPr>
      <w:r w:rsidRPr="001F2586">
        <w:rPr>
          <w:rFonts w:eastAsia="Times New Roman" w:hint="cs"/>
          <w:bCs/>
          <w:spacing w:val="40"/>
          <w:rtl/>
        </w:rPr>
        <w:t>אוריינו</w:t>
      </w:r>
      <w:r w:rsidRPr="001F2586">
        <w:rPr>
          <w:rFonts w:eastAsia="Times New Roman" w:hint="eastAsia"/>
          <w:bCs/>
          <w:spacing w:val="40"/>
          <w:rtl/>
        </w:rPr>
        <w:t>ת</w:t>
      </w:r>
      <w:r w:rsidRPr="001F2586">
        <w:rPr>
          <w:rFonts w:eastAsia="Times New Roman" w:hint="cs"/>
          <w:bCs/>
          <w:spacing w:val="40"/>
          <w:rtl/>
        </w:rPr>
        <w:t xml:space="preserve"> פיננסית נמוכה יותר והיעדר חשיפה לאפשרויות אשראי השונות:</w:t>
      </w:r>
      <w:r w:rsidRPr="001F2586">
        <w:rPr>
          <w:rFonts w:eastAsia="Calibri" w:hint="cs"/>
          <w:b/>
          <w:bCs/>
          <w:sz w:val="24"/>
          <w:rtl/>
        </w:rPr>
        <w:t xml:space="preserve"> </w:t>
      </w:r>
      <w:r w:rsidRPr="001F2586">
        <w:rPr>
          <w:rFonts w:eastAsia="Calibri"/>
          <w:sz w:val="24"/>
          <w:rtl/>
        </w:rPr>
        <w:t>היעדר ידע בתכנון פיננסי ובניהול דירוג אשראי מחליש את יכולת המיקוח של הלקוח מול הבנק, משאירה לקוחות רבים כ"קהל שבוי" של המערכת הבנקאית המקומית. כתוצאה מכך, הלקוח הערבי הממוצע אינו נהנה מפירות התחרות, מה שמוביל לתמחור יתר של הלוואות ולצמצום הנגישות לפתרונות מימון משתלמים</w:t>
      </w:r>
      <w:r w:rsidRPr="001F2586">
        <w:rPr>
          <w:rFonts w:eastAsia="Calibri" w:hint="cs"/>
          <w:sz w:val="24"/>
          <w:rtl/>
        </w:rPr>
        <w:t>.</w:t>
      </w:r>
      <w:r w:rsidRPr="001F2586">
        <w:rPr>
          <w:rFonts w:eastAsia="Calibri" w:hint="cs"/>
          <w:b/>
          <w:bCs/>
          <w:sz w:val="24"/>
          <w:rtl/>
        </w:rPr>
        <w:t xml:space="preserve"> </w:t>
      </w:r>
      <w:r w:rsidRPr="001F2586">
        <w:rPr>
          <w:rFonts w:eastAsia="Calibri" w:hint="eastAsia"/>
          <w:sz w:val="24"/>
          <w:rtl/>
        </w:rPr>
        <w:t>מנתוני</w:t>
      </w:r>
      <w:r w:rsidRPr="001F2586">
        <w:rPr>
          <w:rFonts w:eastAsia="Calibri"/>
          <w:sz w:val="24"/>
          <w:rtl/>
        </w:rPr>
        <w:t xml:space="preserve"> </w:t>
      </w:r>
      <w:r w:rsidRPr="001F2586">
        <w:rPr>
          <w:rFonts w:eastAsia="Calibri" w:hint="eastAsia"/>
          <w:sz w:val="24"/>
          <w:rtl/>
        </w:rPr>
        <w:t>בנק</w:t>
      </w:r>
      <w:r w:rsidRPr="001F2586">
        <w:rPr>
          <w:rFonts w:eastAsia="Calibri"/>
          <w:sz w:val="24"/>
          <w:rtl/>
        </w:rPr>
        <w:t xml:space="preserve"> </w:t>
      </w:r>
      <w:r w:rsidRPr="001F2586">
        <w:rPr>
          <w:rFonts w:eastAsia="Calibri" w:hint="eastAsia"/>
          <w:sz w:val="24"/>
          <w:rtl/>
        </w:rPr>
        <w:t>ישראל</w:t>
      </w:r>
      <w:r w:rsidRPr="001F2586">
        <w:rPr>
          <w:rFonts w:eastAsia="Calibri"/>
          <w:sz w:val="24"/>
          <w:rtl/>
        </w:rPr>
        <w:t xml:space="preserve"> </w:t>
      </w:r>
      <w:r w:rsidRPr="001F2586">
        <w:rPr>
          <w:rFonts w:eastAsia="Calibri" w:hint="eastAsia"/>
          <w:sz w:val="24"/>
          <w:rtl/>
        </w:rPr>
        <w:t>עולה</w:t>
      </w:r>
      <w:r w:rsidRPr="001F2586">
        <w:rPr>
          <w:rFonts w:eastAsia="Calibri"/>
          <w:sz w:val="24"/>
          <w:rtl/>
        </w:rPr>
        <w:t xml:space="preserve"> </w:t>
      </w:r>
      <w:r w:rsidRPr="001F2586">
        <w:rPr>
          <w:rFonts w:eastAsia="Calibri" w:hint="eastAsia"/>
          <w:sz w:val="24"/>
          <w:rtl/>
        </w:rPr>
        <w:t>כי</w:t>
      </w:r>
      <w:r w:rsidRPr="001F2586">
        <w:rPr>
          <w:rFonts w:eastAsia="Calibri"/>
          <w:sz w:val="24"/>
          <w:rtl/>
        </w:rPr>
        <w:t xml:space="preserve"> </w:t>
      </w:r>
      <w:r w:rsidRPr="001F2586">
        <w:rPr>
          <w:rFonts w:eastAsia="Calibri" w:hint="eastAsia"/>
          <w:sz w:val="24"/>
          <w:rtl/>
        </w:rPr>
        <w:t>ב</w:t>
      </w:r>
      <w:r w:rsidRPr="001F2586">
        <w:rPr>
          <w:rFonts w:eastAsia="Calibri"/>
          <w:sz w:val="24"/>
          <w:rtl/>
        </w:rPr>
        <w:t>-82%</w:t>
      </w:r>
      <w:r w:rsidRPr="001F2586">
        <w:rPr>
          <w:rFonts w:eastAsia="Calibri"/>
          <w:sz w:val="24"/>
        </w:rPr>
        <w:t xml:space="preserve"> </w:t>
      </w:r>
      <w:r w:rsidRPr="001F2586">
        <w:rPr>
          <w:rFonts w:eastAsia="Calibri" w:hint="eastAsia"/>
          <w:sz w:val="24"/>
          <w:rtl/>
        </w:rPr>
        <w:t>מהישובים</w:t>
      </w:r>
      <w:r w:rsidRPr="001F2586">
        <w:rPr>
          <w:rFonts w:eastAsia="Calibri"/>
          <w:sz w:val="24"/>
          <w:rtl/>
        </w:rPr>
        <w:t xml:space="preserve"> הערביים לא פונים </w:t>
      </w:r>
      <w:r w:rsidRPr="001F2586">
        <w:rPr>
          <w:rFonts w:eastAsia="Calibri" w:hint="eastAsia"/>
          <w:sz w:val="24"/>
          <w:rtl/>
        </w:rPr>
        <w:t>לתיחור</w:t>
      </w:r>
      <w:r w:rsidRPr="001F2586">
        <w:rPr>
          <w:rFonts w:eastAsia="Calibri"/>
          <w:sz w:val="24"/>
          <w:rtl/>
        </w:rPr>
        <w:t xml:space="preserve"> ליותר מבנק אחד (וזאת לעומת 60%</w:t>
      </w:r>
      <w:r w:rsidRPr="001F2586">
        <w:rPr>
          <w:rFonts w:eastAsia="Calibri"/>
          <w:sz w:val="24"/>
        </w:rPr>
        <w:t xml:space="preserve"> </w:t>
      </w:r>
      <w:r w:rsidRPr="001F2586">
        <w:rPr>
          <w:rFonts w:eastAsia="Calibri" w:hint="eastAsia"/>
          <w:sz w:val="24"/>
          <w:rtl/>
        </w:rPr>
        <w:t>שלא</w:t>
      </w:r>
      <w:r w:rsidRPr="001F2586">
        <w:rPr>
          <w:rFonts w:eastAsia="Calibri"/>
          <w:sz w:val="24"/>
          <w:rtl/>
        </w:rPr>
        <w:t xml:space="preserve"> פונים ליותר </w:t>
      </w:r>
      <w:r w:rsidRPr="001F2586">
        <w:rPr>
          <w:rFonts w:eastAsia="Calibri" w:hint="eastAsia"/>
          <w:sz w:val="24"/>
          <w:rtl/>
        </w:rPr>
        <w:t>מבנק</w:t>
      </w:r>
      <w:r w:rsidRPr="001F2586">
        <w:rPr>
          <w:rFonts w:eastAsia="Calibri"/>
          <w:sz w:val="24"/>
          <w:rtl/>
        </w:rPr>
        <w:t xml:space="preserve"> </w:t>
      </w:r>
      <w:r w:rsidRPr="001F2586">
        <w:rPr>
          <w:rFonts w:eastAsia="Calibri" w:hint="eastAsia"/>
          <w:sz w:val="24"/>
          <w:rtl/>
        </w:rPr>
        <w:t>אחד</w:t>
      </w:r>
      <w:r w:rsidRPr="001F2586">
        <w:rPr>
          <w:rFonts w:eastAsia="Calibri"/>
          <w:sz w:val="24"/>
          <w:rtl/>
        </w:rPr>
        <w:t xml:space="preserve"> </w:t>
      </w:r>
      <w:r w:rsidRPr="001F2586">
        <w:rPr>
          <w:rFonts w:eastAsia="Calibri" w:hint="eastAsia"/>
          <w:sz w:val="24"/>
          <w:rtl/>
        </w:rPr>
        <w:t>בישובים</w:t>
      </w:r>
      <w:r w:rsidRPr="001F2586">
        <w:rPr>
          <w:rFonts w:eastAsia="Calibri"/>
          <w:sz w:val="24"/>
          <w:rtl/>
        </w:rPr>
        <w:t xml:space="preserve"> </w:t>
      </w:r>
      <w:r w:rsidRPr="001F2586">
        <w:rPr>
          <w:rFonts w:eastAsia="Calibri" w:hint="eastAsia"/>
          <w:sz w:val="24"/>
          <w:rtl/>
        </w:rPr>
        <w:t>היהודים</w:t>
      </w:r>
      <w:r w:rsidRPr="001F2586">
        <w:rPr>
          <w:rFonts w:eastAsia="Calibri"/>
          <w:sz w:val="24"/>
          <w:rtl/>
        </w:rPr>
        <w:t xml:space="preserve"> </w:t>
      </w:r>
      <w:r w:rsidRPr="001F2586">
        <w:rPr>
          <w:rFonts w:eastAsia="Calibri" w:hint="eastAsia"/>
          <w:sz w:val="24"/>
          <w:rtl/>
        </w:rPr>
        <w:t>ו</w:t>
      </w:r>
      <w:r w:rsidRPr="001F2586">
        <w:rPr>
          <w:rFonts w:eastAsia="Calibri"/>
          <w:sz w:val="24"/>
          <w:rtl/>
        </w:rPr>
        <w:t>-63%</w:t>
      </w:r>
      <w:r w:rsidRPr="001F2586">
        <w:rPr>
          <w:rFonts w:eastAsia="Calibri"/>
          <w:sz w:val="24"/>
        </w:rPr>
        <w:t xml:space="preserve"> </w:t>
      </w:r>
      <w:r w:rsidRPr="001F2586">
        <w:rPr>
          <w:rFonts w:eastAsia="Calibri" w:hint="eastAsia"/>
          <w:sz w:val="24"/>
          <w:rtl/>
        </w:rPr>
        <w:t>בישובים</w:t>
      </w:r>
      <w:r w:rsidRPr="001F2586">
        <w:rPr>
          <w:rFonts w:eastAsia="Calibri"/>
          <w:sz w:val="24"/>
          <w:rtl/>
        </w:rPr>
        <w:t xml:space="preserve"> </w:t>
      </w:r>
      <w:r w:rsidRPr="001F2586">
        <w:rPr>
          <w:rFonts w:eastAsia="Calibri" w:hint="eastAsia"/>
          <w:sz w:val="24"/>
          <w:rtl/>
        </w:rPr>
        <w:t>מעורבים</w:t>
      </w:r>
      <w:r w:rsidRPr="001F2586">
        <w:rPr>
          <w:rFonts w:eastAsia="Calibri"/>
          <w:sz w:val="24"/>
          <w:rtl/>
        </w:rPr>
        <w:t>)</w:t>
      </w:r>
      <w:r>
        <w:rPr>
          <w:rFonts w:eastAsia="Calibri"/>
          <w:sz w:val="24"/>
          <w:vertAlign w:val="superscript"/>
          <w:rtl/>
        </w:rPr>
        <w:footnoteReference w:id="345"/>
      </w:r>
      <w:r w:rsidRPr="001F2586">
        <w:rPr>
          <w:rFonts w:eastAsia="Calibri"/>
          <w:sz w:val="24"/>
          <w:rtl/>
        </w:rPr>
        <w:t>.</w:t>
      </w:r>
      <w:r w:rsidRPr="001F2586">
        <w:rPr>
          <w:rFonts w:eastAsia="Calibri" w:hint="cs"/>
          <w:sz w:val="24"/>
          <w:rtl/>
        </w:rPr>
        <w:t xml:space="preserve"> בתאם לנתוני בנק ישראל נכון לשלושת הרבעונים של שנת 2024, ה</w:t>
      </w:r>
      <w:r w:rsidRPr="001F2586">
        <w:rPr>
          <w:rFonts w:eastAsia="Calibri"/>
          <w:sz w:val="24"/>
          <w:rtl/>
        </w:rPr>
        <w:t>מגזר הערבי</w:t>
      </w:r>
      <w:r w:rsidRPr="001F2586">
        <w:rPr>
          <w:rFonts w:eastAsia="Calibri" w:hint="cs"/>
          <w:sz w:val="24"/>
          <w:rtl/>
        </w:rPr>
        <w:t xml:space="preserve"> מרבה להשתמש בשירותיהם</w:t>
      </w:r>
      <w:r w:rsidRPr="001F2586">
        <w:rPr>
          <w:rFonts w:eastAsia="Calibri"/>
          <w:sz w:val="24"/>
          <w:rtl/>
        </w:rPr>
        <w:t xml:space="preserve"> </w:t>
      </w:r>
      <w:r w:rsidRPr="001F2586">
        <w:rPr>
          <w:rFonts w:eastAsia="Calibri" w:hint="cs"/>
          <w:sz w:val="24"/>
          <w:rtl/>
        </w:rPr>
        <w:t xml:space="preserve">של </w:t>
      </w:r>
      <w:r w:rsidRPr="001F2586">
        <w:rPr>
          <w:rFonts w:eastAsia="Calibri"/>
          <w:sz w:val="24"/>
          <w:rtl/>
        </w:rPr>
        <w:t>יועצי משכנתאות (כ-73%) בהשוואה למגזרים האחרים</w:t>
      </w:r>
      <w:r w:rsidRPr="001F2586">
        <w:rPr>
          <w:rFonts w:eastAsia="Calibri" w:hint="cs"/>
          <w:sz w:val="24"/>
          <w:rtl/>
        </w:rPr>
        <w:t xml:space="preserve"> (כ-64% במגזר המעורב וכ-61% במגזר היהודי)</w:t>
      </w:r>
      <w:r>
        <w:rPr>
          <w:rFonts w:eastAsia="Calibri"/>
          <w:sz w:val="24"/>
          <w:vertAlign w:val="superscript"/>
          <w:rtl/>
        </w:rPr>
        <w:footnoteReference w:id="346"/>
      </w:r>
      <w:r w:rsidRPr="001F2586">
        <w:rPr>
          <w:rFonts w:eastAsia="Calibri" w:hint="cs"/>
          <w:sz w:val="24"/>
          <w:rtl/>
        </w:rPr>
        <w:t>.</w:t>
      </w:r>
    </w:p>
    <w:p w:rsidR="001F2586" w:rsidRPr="001F2586" w:rsidP="001F2586">
      <w:pPr>
        <w:numPr>
          <w:ilvl w:val="1"/>
          <w:numId w:val="20"/>
        </w:numPr>
        <w:spacing w:line="269" w:lineRule="auto"/>
        <w:contextualSpacing/>
        <w:rPr>
          <w:rFonts w:eastAsia="Calibri"/>
        </w:rPr>
      </w:pPr>
      <w:r w:rsidRPr="001F2586">
        <w:rPr>
          <w:rFonts w:eastAsia="Times New Roman"/>
          <w:bCs/>
          <w:spacing w:val="40"/>
          <w:rtl/>
        </w:rPr>
        <w:t>תחרות מצומצמת בין הבנקים בשוק האשראי לדיור במגזר הערבי</w:t>
      </w:r>
      <w:r w:rsidRPr="001F2586">
        <w:rPr>
          <w:rFonts w:eastAsia="Times New Roman" w:hint="cs"/>
          <w:bCs/>
          <w:spacing w:val="40"/>
          <w:rtl/>
        </w:rPr>
        <w:t>:</w:t>
      </w:r>
      <w:r w:rsidRPr="001F2586">
        <w:rPr>
          <w:rFonts w:eastAsia="Calibri" w:hint="cs"/>
          <w:rtl/>
        </w:rPr>
        <w:t xml:space="preserve"> </w:t>
      </w:r>
      <w:r w:rsidRPr="001F2586">
        <w:rPr>
          <w:rFonts w:eastAsia="Calibri"/>
          <w:rtl/>
        </w:rPr>
        <w:t xml:space="preserve">חלק מהבנקים הדירו בעבר את רגליהם משוק האשראי לדיור ביישובים ערביים. עם זאת, </w:t>
      </w:r>
      <w:r w:rsidRPr="001F2586">
        <w:rPr>
          <w:rFonts w:eastAsia="Calibri" w:hint="cs"/>
          <w:rtl/>
        </w:rPr>
        <w:t xml:space="preserve">ציין בנק ישראל כי </w:t>
      </w:r>
      <w:r w:rsidRPr="001F2586">
        <w:rPr>
          <w:rFonts w:eastAsia="Calibri"/>
          <w:rtl/>
        </w:rPr>
        <w:t>בעשור האחרון</w:t>
      </w:r>
      <w:r w:rsidRPr="001F2586">
        <w:rPr>
          <w:rFonts w:eastAsia="Calibri" w:hint="cs"/>
          <w:rtl/>
        </w:rPr>
        <w:t xml:space="preserve"> (נכון למועד דוח בנק ישראל בשנת 2022)</w:t>
      </w:r>
      <w:r w:rsidRPr="001F2586">
        <w:rPr>
          <w:rFonts w:eastAsia="Calibri"/>
          <w:rtl/>
        </w:rPr>
        <w:t xml:space="preserve"> חל גידול של </w:t>
      </w:r>
      <w:r w:rsidRPr="001F2586">
        <w:rPr>
          <w:rFonts w:eastAsia="Calibri"/>
          <w:rtl/>
        </w:rPr>
        <w:br/>
        <w:t>כ-90 אחוזים במספר הסניפים</w:t>
      </w:r>
      <w:r w:rsidRPr="001F2586">
        <w:rPr>
          <w:rFonts w:eastAsia="Calibri" w:hint="cs"/>
          <w:rtl/>
        </w:rPr>
        <w:t xml:space="preserve"> הבנקאיים</w:t>
      </w:r>
      <w:r w:rsidRPr="001F2586">
        <w:rPr>
          <w:rFonts w:eastAsia="Calibri"/>
          <w:rtl/>
        </w:rPr>
        <w:t xml:space="preserve"> ביישובים ערביים. המיקוד העסקי הגובר של הבנקים ביישובים הערביים פועל להגברת התחרות בשירותי הבנקאות במגזר.</w:t>
      </w:r>
      <w:r w:rsidRPr="001F2586">
        <w:rPr>
          <w:rFonts w:eastAsia="Calibri" w:hint="cs"/>
          <w:b/>
          <w:bCs/>
          <w:sz w:val="24"/>
          <w:rtl/>
        </w:rPr>
        <w:t xml:space="preserve"> </w:t>
      </w:r>
      <w:r w:rsidRPr="001F2586">
        <w:rPr>
          <w:rFonts w:eastAsia="Calibri" w:hint="cs"/>
          <w:rtl/>
        </w:rPr>
        <w:t>בדוח סביבה חברה וממשל לשנת 2024 של בנק א'</w:t>
      </w:r>
      <w:r>
        <w:rPr>
          <w:rFonts w:eastAsia="Calibri"/>
          <w:vertAlign w:val="superscript"/>
          <w:rtl/>
        </w:rPr>
        <w:footnoteReference w:id="347"/>
      </w:r>
      <w:r w:rsidRPr="001F2586">
        <w:rPr>
          <w:rFonts w:eastAsia="Calibri" w:hint="cs"/>
          <w:rtl/>
        </w:rPr>
        <w:t xml:space="preserve"> ציין הבנק כי "הבנק רואה חשיבות רבה במתן מענה מותאם לצרכים של החברה הערבית וממשיך להעמיק את פעילותו בסניפים ביישובי החברה הערבית... במטרה </w:t>
      </w:r>
      <w:r w:rsidRPr="001F2586">
        <w:rPr>
          <w:rFonts w:eastAsia="Calibri" w:hint="cs"/>
          <w:rtl/>
        </w:rPr>
        <w:t>להנגיש</w:t>
      </w:r>
      <w:r w:rsidRPr="001F2586">
        <w:rPr>
          <w:rFonts w:eastAsia="Calibri" w:hint="cs"/>
          <w:rtl/>
        </w:rPr>
        <w:t xml:space="preserve"> את מוצרי המשכנתא לחברה הערבית, הבנק פיתח בשנים האחרונות פתרונות מותאמים למאפיינים הייחודים של המגזר כמו "משכנתא כפרית" עם התמקדות בטיב הביטחונות המשועבדים".</w:t>
      </w:r>
    </w:p>
    <w:p w:rsidR="001F2586" w:rsidRPr="001F2586" w:rsidP="001F2586">
      <w:pPr>
        <w:spacing w:line="269" w:lineRule="auto"/>
        <w:ind w:left="-567"/>
        <w:rPr>
          <w:rFonts w:eastAsia="Calibri"/>
          <w:rtl/>
        </w:rPr>
      </w:pPr>
    </w:p>
    <w:p w:rsidR="001F2586" w:rsidRPr="001F2586" w:rsidP="00F609AE">
      <w:pPr>
        <w:spacing w:line="269" w:lineRule="auto"/>
        <w:ind w:left="432"/>
        <w:contextualSpacing/>
        <w:rPr>
          <w:rFonts w:eastAsia="Calibri"/>
        </w:rPr>
      </w:pPr>
      <w:r w:rsidRPr="001F2586">
        <w:rPr>
          <w:rFonts w:eastAsia="Calibri" w:hint="cs"/>
          <w:rtl/>
        </w:rPr>
        <w:t xml:space="preserve">הרשות לפיתוח כלכלי במגזר המיעוטים במשרד לשוויון חברתי ציינה בתשובתה ממאי 2026 (להלן - תשובת הרשות לפיתוח כלכלי במגזר המיעוטים) כי </w:t>
      </w:r>
      <w:r w:rsidRPr="001F2586">
        <w:rPr>
          <w:rFonts w:eastAsia="Calibri"/>
          <w:rtl/>
        </w:rPr>
        <w:t>הקושי ברישום הנכס והעמדתו כבטוח אכן מהווה חסם מרכזי אל מול המערכת הבנקאית. החלטת ממשלה 550, אשר אושרה ביום 24.10.21 ונמצאת כיום בשנתה החמישית ליישום, כוללת בין היתר גם מענים ייעודיים לסוגיה זו במסגרת פרקי הדיור וההכלה הפיננסית בשים לב לגופים הרלוונטיים לנושא.</w:t>
      </w:r>
      <w:r w:rsidRPr="001F2586">
        <w:rPr>
          <w:rFonts w:eastAsia="Calibri" w:hint="cs"/>
          <w:rtl/>
        </w:rPr>
        <w:t xml:space="preserve"> עוד ציינה הרשות כי </w:t>
      </w:r>
      <w:r w:rsidRPr="001F2586">
        <w:rPr>
          <w:rFonts w:eastAsia="Calibri"/>
          <w:rtl/>
        </w:rPr>
        <w:t xml:space="preserve">קידום תכנון מתארי ומפורט, לצד הליכי איחוד וחלוקה, מהווה נדבך חיוני בקידום רישום הנכסים </w:t>
      </w:r>
      <w:r w:rsidRPr="001F2586">
        <w:rPr>
          <w:rFonts w:eastAsia="Calibri"/>
          <w:rtl/>
        </w:rPr>
        <w:t>ובהנגשת</w:t>
      </w:r>
      <w:r w:rsidRPr="001F2586">
        <w:rPr>
          <w:rFonts w:eastAsia="Calibri"/>
          <w:rtl/>
        </w:rPr>
        <w:t xml:space="preserve"> אשראי לדיור. לצד אלו, חסם נוסף המעכב הנפקת היתרי בנייה הינו הצורך בפיתוח תשתיות ציבוריות בקרקע פרטית. החלטה 550 נותנת מענה לשני החסמים הללו</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F609AE">
      <w:pPr>
        <w:spacing w:line="269" w:lineRule="auto"/>
        <w:ind w:left="432"/>
        <w:contextualSpacing/>
        <w:rPr>
          <w:rFonts w:eastAsia="Calibri"/>
          <w:rtl/>
        </w:rPr>
      </w:pPr>
      <w:r w:rsidRPr="001F2586">
        <w:rPr>
          <w:rFonts w:eastAsia="Calibri" w:hint="eastAsia"/>
          <w:rtl/>
        </w:rPr>
        <w:t>משרד</w:t>
      </w:r>
      <w:r w:rsidRPr="001F2586">
        <w:rPr>
          <w:rFonts w:eastAsia="Calibri"/>
          <w:rtl/>
        </w:rPr>
        <w:t xml:space="preserve"> </w:t>
      </w:r>
      <w:r w:rsidRPr="001F2586">
        <w:rPr>
          <w:rFonts w:eastAsia="Calibri" w:hint="eastAsia"/>
          <w:rtl/>
        </w:rPr>
        <w:t>מבקר</w:t>
      </w:r>
      <w:r w:rsidRPr="001F2586">
        <w:rPr>
          <w:rFonts w:eastAsia="Calibri"/>
          <w:rtl/>
        </w:rPr>
        <w:t xml:space="preserve"> </w:t>
      </w:r>
      <w:r w:rsidRPr="001F2586">
        <w:rPr>
          <w:rFonts w:eastAsia="Calibri" w:hint="eastAsia"/>
          <w:rtl/>
        </w:rPr>
        <w:t>המדינה</w:t>
      </w:r>
      <w:r w:rsidRPr="001F2586">
        <w:rPr>
          <w:rFonts w:eastAsia="Calibri"/>
          <w:rtl/>
        </w:rPr>
        <w:t xml:space="preserve"> </w:t>
      </w:r>
      <w:r w:rsidRPr="001F2586">
        <w:rPr>
          <w:rFonts w:eastAsia="Calibri" w:hint="eastAsia"/>
          <w:rtl/>
        </w:rPr>
        <w:t>פנה</w:t>
      </w:r>
      <w:r w:rsidRPr="001F2586">
        <w:rPr>
          <w:rFonts w:eastAsia="Calibri"/>
          <w:rtl/>
        </w:rPr>
        <w:t xml:space="preserve"> </w:t>
      </w:r>
      <w:r w:rsidRPr="001F2586">
        <w:rPr>
          <w:rFonts w:eastAsia="Calibri" w:hint="eastAsia"/>
          <w:rtl/>
        </w:rPr>
        <w:t>לבנק</w:t>
      </w:r>
      <w:r w:rsidRPr="001F2586">
        <w:rPr>
          <w:rFonts w:eastAsia="Calibri"/>
          <w:rtl/>
        </w:rPr>
        <w:t xml:space="preserve"> </w:t>
      </w:r>
      <w:r w:rsidRPr="001F2586">
        <w:rPr>
          <w:rFonts w:eastAsia="Calibri" w:hint="eastAsia"/>
          <w:rtl/>
        </w:rPr>
        <w:t>ישראל</w:t>
      </w:r>
      <w:r w:rsidRPr="001F2586">
        <w:rPr>
          <w:rFonts w:eastAsia="Calibri"/>
          <w:rtl/>
        </w:rPr>
        <w:t xml:space="preserve"> </w:t>
      </w:r>
      <w:r w:rsidRPr="001F2586">
        <w:rPr>
          <w:rFonts w:eastAsia="Calibri" w:hint="eastAsia"/>
          <w:rtl/>
        </w:rPr>
        <w:t>בדצמבר</w:t>
      </w:r>
      <w:r w:rsidRPr="001F2586">
        <w:rPr>
          <w:rFonts w:eastAsia="Calibri"/>
          <w:rtl/>
        </w:rPr>
        <w:t xml:space="preserve"> 2025 </w:t>
      </w:r>
      <w:r w:rsidRPr="001F2586">
        <w:rPr>
          <w:rFonts w:eastAsia="Calibri" w:hint="eastAsia"/>
          <w:rtl/>
        </w:rPr>
        <w:t>בבקשה</w:t>
      </w:r>
      <w:r w:rsidRPr="001F2586">
        <w:rPr>
          <w:rFonts w:eastAsia="Calibri"/>
          <w:rtl/>
        </w:rPr>
        <w:t xml:space="preserve"> </w:t>
      </w:r>
      <w:r w:rsidRPr="001F2586">
        <w:rPr>
          <w:rFonts w:eastAsia="Calibri" w:hint="eastAsia"/>
          <w:rtl/>
        </w:rPr>
        <w:t>לקבל</w:t>
      </w:r>
      <w:r w:rsidRPr="001F2586">
        <w:rPr>
          <w:rFonts w:eastAsia="Calibri"/>
          <w:rtl/>
        </w:rPr>
        <w:t xml:space="preserve"> נתונים על מספר יועצי המשכנתאות דוברי הערבית במערכת הבנקאית ופריסת "נציגויות משכנתא" בתוך היישובים הערביים. בנק ישראל ציין </w:t>
      </w:r>
      <w:r w:rsidRPr="001F2586">
        <w:rPr>
          <w:rFonts w:eastAsia="Calibri" w:hint="cs"/>
          <w:rtl/>
        </w:rPr>
        <w:t>בהתייחסותו</w:t>
      </w:r>
      <w:r w:rsidRPr="001F2586">
        <w:rPr>
          <w:rFonts w:eastAsia="Calibri"/>
          <w:rtl/>
        </w:rPr>
        <w:t xml:space="preserve"> מינואר 2026 </w:t>
      </w:r>
      <w:r w:rsidRPr="001F2586">
        <w:rPr>
          <w:rFonts w:eastAsia="Calibri" w:hint="cs"/>
          <w:rtl/>
        </w:rPr>
        <w:t xml:space="preserve">(להלן - התייחסות בנק ישראל) </w:t>
      </w:r>
      <w:r w:rsidRPr="001F2586">
        <w:rPr>
          <w:rFonts w:eastAsia="Calibri" w:hint="eastAsia"/>
          <w:rtl/>
        </w:rPr>
        <w:t>כי</w:t>
      </w:r>
      <w:r w:rsidRPr="001F2586">
        <w:rPr>
          <w:rFonts w:eastAsia="Calibri"/>
          <w:rtl/>
        </w:rPr>
        <w:t xml:space="preserve"> לא קיימים </w:t>
      </w:r>
      <w:r w:rsidRPr="001F2586">
        <w:rPr>
          <w:rFonts w:eastAsia="Calibri" w:hint="cs"/>
          <w:rtl/>
        </w:rPr>
        <w:t xml:space="preserve">בידיו </w:t>
      </w:r>
      <w:r w:rsidRPr="001F2586">
        <w:rPr>
          <w:rFonts w:eastAsia="Calibri"/>
          <w:rtl/>
        </w:rPr>
        <w:t>נתונים כאמור. מבין הנתונים שקיימים בפיקוח עולה כי שיעור המשכנתאות למטרת מגורים שנלקחו בליווי יועץ</w:t>
      </w:r>
      <w:r w:rsidRPr="001F2586">
        <w:rPr>
          <w:rFonts w:eastAsia="Calibri" w:hint="cs"/>
          <w:rtl/>
        </w:rPr>
        <w:t xml:space="preserve"> </w:t>
      </w:r>
      <w:r w:rsidRPr="001F2586">
        <w:rPr>
          <w:rFonts w:eastAsia="Calibri"/>
          <w:rtl/>
        </w:rPr>
        <w:t>במגזר הערבי גבוה משיעורם באוכלוסייה הכללית: בקרב משכנתאות שנלקחו החל משנת 2024 73% מהמשכנתאות שנלקחו בקרב האוכלוסייה הערבית היו בליווי יועץ, לעומת שיעור של 59% באוכלוסייה הכללית</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F609AE">
      <w:pPr>
        <w:spacing w:line="269" w:lineRule="auto"/>
        <w:ind w:left="432"/>
        <w:contextualSpacing/>
        <w:rPr>
          <w:rFonts w:eastAsia="Calibri"/>
          <w:b/>
          <w:bCs/>
          <w:rtl/>
        </w:rPr>
      </w:pPr>
      <w:r w:rsidRPr="001F2586">
        <w:rPr>
          <w:rFonts w:eastAsia="Calibri"/>
          <w:b/>
          <w:bCs/>
          <w:rtl/>
        </w:rPr>
        <w:t xml:space="preserve">נמצא כי בנק ישראל אינו מחזיק בנתונים בסיסיים הנדרשים לצורך גיבוש מדיניות להנגשת אשראי לדיור בחברה הערבית. </w:t>
      </w:r>
      <w:r w:rsidRPr="001F2586">
        <w:rPr>
          <w:rFonts w:eastAsia="Calibri" w:hint="eastAsia"/>
          <w:b/>
          <w:bCs/>
          <w:rtl/>
        </w:rPr>
        <w:t>כך</w:t>
      </w:r>
      <w:r w:rsidRPr="001F2586">
        <w:rPr>
          <w:rFonts w:eastAsia="Calibri"/>
          <w:b/>
          <w:bCs/>
          <w:rtl/>
        </w:rPr>
        <w:t xml:space="preserve">, </w:t>
      </w:r>
      <w:r w:rsidRPr="001F2586">
        <w:rPr>
          <w:rFonts w:eastAsia="Calibri" w:hint="eastAsia"/>
          <w:b/>
          <w:bCs/>
          <w:rtl/>
        </w:rPr>
        <w:t>נמצא</w:t>
      </w:r>
      <w:r w:rsidRPr="001F2586">
        <w:rPr>
          <w:rFonts w:eastAsia="Calibri"/>
          <w:b/>
          <w:bCs/>
          <w:rtl/>
        </w:rPr>
        <w:t xml:space="preserve"> כי הפיקוח </w:t>
      </w:r>
      <w:r w:rsidRPr="001F2586">
        <w:rPr>
          <w:rFonts w:eastAsia="Calibri" w:hint="cs"/>
          <w:b/>
          <w:bCs/>
          <w:rtl/>
        </w:rPr>
        <w:t xml:space="preserve">על הבנקים </w:t>
      </w:r>
      <w:r w:rsidRPr="001F2586">
        <w:rPr>
          <w:rFonts w:eastAsia="Calibri"/>
          <w:b/>
          <w:bCs/>
          <w:rtl/>
        </w:rPr>
        <w:t xml:space="preserve">אינו </w:t>
      </w:r>
      <w:r w:rsidRPr="001F2586">
        <w:rPr>
          <w:rFonts w:eastAsia="Calibri"/>
          <w:b/>
          <w:bCs/>
          <w:rtl/>
        </w:rPr>
        <w:t>מנטר</w:t>
      </w:r>
      <w:r w:rsidRPr="001F2586">
        <w:rPr>
          <w:rFonts w:eastAsia="Calibri"/>
          <w:b/>
          <w:bCs/>
          <w:rtl/>
        </w:rPr>
        <w:t xml:space="preserve"> את מספר יועצי המשכנתאות דוברי הערבית </w:t>
      </w:r>
      <w:r w:rsidRPr="001F2586">
        <w:rPr>
          <w:rFonts w:eastAsia="Calibri" w:hint="cs"/>
          <w:b/>
          <w:bCs/>
          <w:rtl/>
        </w:rPr>
        <w:t xml:space="preserve">המועסקים </w:t>
      </w:r>
      <w:r w:rsidRPr="001F2586">
        <w:rPr>
          <w:rFonts w:eastAsia="Calibri"/>
          <w:b/>
          <w:bCs/>
          <w:rtl/>
        </w:rPr>
        <w:t>במערכת הבנקאית או את פריסת "נציגויות המשכנתא" בתוך היישובים הערביים</w:t>
      </w:r>
      <w:r w:rsidRPr="001F2586">
        <w:rPr>
          <w:rFonts w:eastAsia="Calibri" w:hint="cs"/>
          <w:b/>
          <w:bCs/>
          <w:rtl/>
        </w:rPr>
        <w:t>.</w:t>
      </w:r>
      <w:r w:rsidRPr="001F2586">
        <w:rPr>
          <w:rFonts w:eastAsia="Calibri"/>
          <w:b/>
          <w:bCs/>
          <w:rtl/>
        </w:rPr>
        <w:t xml:space="preserve"> היעדר נתונים אלו מהווה "שטח מת" רגולטורי המקשה על בחינת האפקטיביות של צעדי ההנגשה. יתרה מכך, הנתונים הקיימים מצביעים על</w:t>
      </w:r>
      <w:r w:rsidRPr="001F2586">
        <w:rPr>
          <w:rFonts w:eastAsia="Calibri" w:hint="cs"/>
          <w:b/>
          <w:bCs/>
          <w:rtl/>
        </w:rPr>
        <w:t xml:space="preserve"> </w:t>
      </w:r>
      <w:r w:rsidRPr="001F2586">
        <w:rPr>
          <w:rFonts w:eastAsia="Calibri" w:hint="eastAsia"/>
          <w:b/>
          <w:bCs/>
          <w:rtl/>
        </w:rPr>
        <w:t>פערים</w:t>
      </w:r>
      <w:r w:rsidRPr="001F2586">
        <w:rPr>
          <w:rFonts w:eastAsia="Calibri"/>
          <w:b/>
          <w:bCs/>
          <w:rtl/>
        </w:rPr>
        <w:t xml:space="preserve"> בהנגשה הישירה</w:t>
      </w:r>
      <w:r w:rsidRPr="001F2586">
        <w:rPr>
          <w:rFonts w:eastAsia="Calibri" w:hint="cs"/>
          <w:b/>
          <w:bCs/>
          <w:rtl/>
        </w:rPr>
        <w:t xml:space="preserve">:73% </w:t>
      </w:r>
      <w:r w:rsidRPr="001F2586">
        <w:rPr>
          <w:rFonts w:eastAsia="Calibri"/>
          <w:b/>
          <w:bCs/>
          <w:rtl/>
        </w:rPr>
        <w:t xml:space="preserve">מהלווים בחברה הערבית נאלצים להיעזר ביועץ משכנתאות חיצוני (לעומת </w:t>
      </w:r>
      <w:r w:rsidRPr="001F2586">
        <w:rPr>
          <w:rFonts w:eastAsia="Calibri" w:hint="cs"/>
          <w:b/>
          <w:bCs/>
          <w:rtl/>
        </w:rPr>
        <w:t>59</w:t>
      </w:r>
      <w:r w:rsidRPr="001F2586">
        <w:rPr>
          <w:rFonts w:eastAsia="Calibri"/>
          <w:b/>
          <w:bCs/>
          <w:rtl/>
        </w:rPr>
        <w:t xml:space="preserve">% באוכלוסייה הכללית). נתון זה </w:t>
      </w:r>
      <w:r w:rsidRPr="001F2586">
        <w:rPr>
          <w:rFonts w:eastAsia="Calibri" w:hint="cs"/>
          <w:b/>
          <w:bCs/>
          <w:rtl/>
        </w:rPr>
        <w:t>עלול להצביע</w:t>
      </w:r>
      <w:r w:rsidRPr="001F2586">
        <w:rPr>
          <w:rFonts w:eastAsia="Calibri"/>
          <w:b/>
          <w:bCs/>
          <w:rtl/>
        </w:rPr>
        <w:t xml:space="preserve"> על כך שהמערכת הבנקאית אינה פשוטה או נגישה דיה עבור הלקוח הערבי, דבר </w:t>
      </w:r>
      <w:r w:rsidRPr="001F2586">
        <w:rPr>
          <w:rFonts w:eastAsia="Calibri" w:hint="cs"/>
          <w:b/>
          <w:bCs/>
          <w:rtl/>
        </w:rPr>
        <w:t>שעלול להטיל</w:t>
      </w:r>
      <w:r w:rsidRPr="001F2586">
        <w:rPr>
          <w:rFonts w:eastAsia="Calibri"/>
          <w:b/>
          <w:bCs/>
          <w:rtl/>
        </w:rPr>
        <w:t xml:space="preserve"> עליו נטל כלכלי נוסף בדמות תשלום שכר טרחה ליועצים פרטיים</w:t>
      </w:r>
      <w:r w:rsidRPr="001F2586">
        <w:rPr>
          <w:rFonts w:eastAsia="Calibri" w:hint="cs"/>
          <w:b/>
          <w:bCs/>
          <w:rtl/>
        </w:rPr>
        <w:t>.</w:t>
      </w:r>
    </w:p>
    <w:p w:rsidR="001F2586" w:rsidRPr="001F2586" w:rsidP="001F2586">
      <w:pPr>
        <w:spacing w:line="269" w:lineRule="auto"/>
        <w:ind w:left="-567"/>
        <w:rPr>
          <w:rFonts w:eastAsia="Calibri"/>
          <w:szCs w:val="20"/>
          <w:rtl/>
        </w:rPr>
      </w:pPr>
    </w:p>
    <w:p w:rsidR="001F2586" w:rsidRPr="001F2586" w:rsidP="00F609AE">
      <w:pPr>
        <w:spacing w:line="269" w:lineRule="auto"/>
        <w:ind w:left="432"/>
        <w:rPr>
          <w:rFonts w:eastAsia="Calibri"/>
          <w:rtl/>
        </w:rPr>
      </w:pPr>
      <w:r w:rsidRPr="001F2586">
        <w:rPr>
          <w:rFonts w:eastAsia="Calibri" w:hint="cs"/>
          <w:rtl/>
        </w:rPr>
        <w:t>בנק ישראל ציין בתשובתו כי "</w:t>
      </w:r>
      <w:r w:rsidRPr="001F2586">
        <w:rPr>
          <w:rFonts w:eastAsia="Calibri" w:hint="eastAsia"/>
          <w:b/>
          <w:bCs/>
          <w:rtl/>
        </w:rPr>
        <w:t>אין</w:t>
      </w:r>
      <w:r w:rsidRPr="001F2586">
        <w:rPr>
          <w:rFonts w:eastAsia="Calibri"/>
          <w:b/>
          <w:bCs/>
          <w:rtl/>
        </w:rPr>
        <w:t xml:space="preserve"> </w:t>
      </w:r>
      <w:r w:rsidRPr="001F2586">
        <w:rPr>
          <w:rFonts w:eastAsia="Calibri" w:hint="eastAsia"/>
          <w:b/>
          <w:bCs/>
          <w:rtl/>
        </w:rPr>
        <w:t>זה</w:t>
      </w:r>
      <w:r w:rsidRPr="001F2586">
        <w:rPr>
          <w:rFonts w:eastAsia="Calibri"/>
          <w:b/>
          <w:bCs/>
          <w:rtl/>
        </w:rPr>
        <w:t xml:space="preserve"> </w:t>
      </w:r>
      <w:r w:rsidRPr="001F2586">
        <w:rPr>
          <w:rFonts w:eastAsia="Calibri" w:hint="eastAsia"/>
          <w:b/>
          <w:bCs/>
          <w:rtl/>
        </w:rPr>
        <w:t>מתפקידו</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לעסוק</w:t>
      </w:r>
      <w:r w:rsidRPr="001F2586">
        <w:rPr>
          <w:rFonts w:eastAsia="Calibri"/>
          <w:b/>
          <w:bCs/>
          <w:rtl/>
        </w:rPr>
        <w:t xml:space="preserve"> </w:t>
      </w:r>
      <w:r w:rsidRPr="001F2586">
        <w:rPr>
          <w:rFonts w:eastAsia="Calibri" w:hint="eastAsia"/>
          <w:b/>
          <w:bCs/>
          <w:rtl/>
        </w:rPr>
        <w:t>בניטור</w:t>
      </w:r>
      <w:r w:rsidRPr="001F2586">
        <w:rPr>
          <w:rFonts w:eastAsia="Calibri"/>
          <w:b/>
          <w:bCs/>
          <w:rtl/>
        </w:rPr>
        <w:t xml:space="preserve"> </w:t>
      </w:r>
      <w:r w:rsidRPr="001F2586">
        <w:rPr>
          <w:rFonts w:eastAsia="Calibri" w:hint="eastAsia"/>
          <w:b/>
          <w:bCs/>
          <w:rtl/>
        </w:rPr>
        <w:t>מאפיינים</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יועצי</w:t>
      </w:r>
      <w:r w:rsidRPr="001F2586">
        <w:rPr>
          <w:rFonts w:eastAsia="Calibri"/>
          <w:b/>
          <w:bCs/>
          <w:rtl/>
        </w:rPr>
        <w:t xml:space="preserve"> </w:t>
      </w:r>
      <w:r w:rsidRPr="001F2586">
        <w:rPr>
          <w:rFonts w:eastAsia="Calibri" w:hint="eastAsia"/>
          <w:b/>
          <w:bCs/>
          <w:rtl/>
        </w:rPr>
        <w:t>משכנתאות</w:t>
      </w:r>
      <w:r w:rsidRPr="001F2586">
        <w:rPr>
          <w:rFonts w:eastAsia="Calibri"/>
          <w:b/>
          <w:bCs/>
          <w:rtl/>
        </w:rPr>
        <w:t xml:space="preserve"> </w:t>
      </w:r>
      <w:r w:rsidRPr="001F2586">
        <w:rPr>
          <w:rFonts w:eastAsia="Calibri" w:hint="eastAsia"/>
          <w:b/>
          <w:bCs/>
          <w:rtl/>
        </w:rPr>
        <w:t>ובכלל</w:t>
      </w:r>
      <w:r w:rsidRPr="001F2586">
        <w:rPr>
          <w:rFonts w:eastAsia="Calibri"/>
          <w:b/>
          <w:bCs/>
          <w:rtl/>
        </w:rPr>
        <w:t xml:space="preserve"> </w:t>
      </w:r>
      <w:r w:rsidRPr="001F2586">
        <w:rPr>
          <w:rFonts w:eastAsia="Calibri" w:hint="eastAsia"/>
          <w:b/>
          <w:bCs/>
          <w:rtl/>
        </w:rPr>
        <w:t>זה</w:t>
      </w:r>
      <w:r w:rsidRPr="001F2586">
        <w:rPr>
          <w:rFonts w:eastAsia="Calibri"/>
          <w:b/>
          <w:bCs/>
          <w:rtl/>
        </w:rPr>
        <w:t xml:space="preserve"> </w:t>
      </w:r>
      <w:r w:rsidRPr="001F2586">
        <w:rPr>
          <w:rFonts w:eastAsia="Calibri" w:hint="eastAsia"/>
          <w:b/>
          <w:bCs/>
          <w:rtl/>
        </w:rPr>
        <w:t>ניטור</w:t>
      </w:r>
      <w:r w:rsidRPr="001F2586">
        <w:rPr>
          <w:rFonts w:eastAsia="Calibri"/>
          <w:b/>
          <w:bCs/>
          <w:rtl/>
        </w:rPr>
        <w:t xml:space="preserve"> </w:t>
      </w:r>
      <w:r w:rsidRPr="001F2586">
        <w:rPr>
          <w:rFonts w:eastAsia="Calibri" w:hint="eastAsia"/>
          <w:b/>
          <w:bCs/>
          <w:rtl/>
        </w:rPr>
        <w:t>מספר</w:t>
      </w:r>
      <w:r w:rsidRPr="001F2586">
        <w:rPr>
          <w:rFonts w:eastAsia="Calibri"/>
          <w:b/>
          <w:bCs/>
          <w:rtl/>
        </w:rPr>
        <w:t xml:space="preserve"> </w:t>
      </w:r>
      <w:r w:rsidRPr="001F2586">
        <w:rPr>
          <w:rFonts w:eastAsia="Calibri" w:hint="eastAsia"/>
          <w:b/>
          <w:bCs/>
          <w:rtl/>
        </w:rPr>
        <w:t>יועצים</w:t>
      </w:r>
      <w:r w:rsidRPr="001F2586">
        <w:rPr>
          <w:rFonts w:eastAsia="Calibri"/>
          <w:b/>
          <w:bCs/>
          <w:rtl/>
        </w:rPr>
        <w:t xml:space="preserve"> </w:t>
      </w:r>
      <w:r w:rsidRPr="001F2586">
        <w:rPr>
          <w:rFonts w:eastAsia="Calibri" w:hint="eastAsia"/>
          <w:b/>
          <w:bCs/>
          <w:rtl/>
        </w:rPr>
        <w:t>דוברי</w:t>
      </w:r>
      <w:r w:rsidRPr="001F2586">
        <w:rPr>
          <w:rFonts w:eastAsia="Calibri"/>
          <w:b/>
          <w:bCs/>
          <w:rtl/>
        </w:rPr>
        <w:t xml:space="preserve"> </w:t>
      </w:r>
      <w:r w:rsidRPr="001F2586">
        <w:rPr>
          <w:rFonts w:eastAsia="Calibri" w:hint="eastAsia"/>
          <w:b/>
          <w:bCs/>
          <w:rtl/>
        </w:rPr>
        <w:t>ערבית</w:t>
      </w:r>
      <w:r w:rsidRPr="001F2586">
        <w:rPr>
          <w:rFonts w:eastAsia="Calibri"/>
          <w:b/>
          <w:bCs/>
        </w:rPr>
        <w:t>"</w:t>
      </w:r>
      <w:r w:rsidRPr="001F2586">
        <w:rPr>
          <w:rFonts w:eastAsia="Calibri" w:hint="cs"/>
          <w:b/>
          <w:bCs/>
          <w:rtl/>
        </w:rPr>
        <w:t xml:space="preserve"> (ההדגשה במקור)</w:t>
      </w:r>
      <w:r w:rsidRPr="001F2586">
        <w:rPr>
          <w:rFonts w:eastAsia="Calibri" w:hint="cs"/>
          <w:rtl/>
        </w:rPr>
        <w:t xml:space="preserve">. </w:t>
      </w:r>
      <w:bookmarkStart w:id="86" w:name="_Hlk230686826"/>
      <w:r w:rsidRPr="001F2586">
        <w:rPr>
          <w:rFonts w:eastAsia="Calibri" w:hint="cs"/>
          <w:rtl/>
        </w:rPr>
        <w:t>עוד ציין בנק ישראל כי השימוש המוגבר ביועצי משכנתאות במגזר הערבי יכול לנבוע ממכלול גורמים שמשפיעים על התנהלות המגזר הערבי בהיבטים הפיננסיים, לרבות מורכבות ההלוואה או היעדר אורייניו</w:t>
      </w:r>
      <w:r w:rsidRPr="001F2586">
        <w:rPr>
          <w:rFonts w:eastAsia="Calibri" w:hint="eastAsia"/>
          <w:rtl/>
        </w:rPr>
        <w:t>ת</w:t>
      </w:r>
      <w:r w:rsidRPr="001F2586">
        <w:rPr>
          <w:rFonts w:eastAsia="Calibri" w:hint="cs"/>
          <w:rtl/>
        </w:rPr>
        <w:t xml:space="preserve"> פיננסית. </w:t>
      </w:r>
      <w:bookmarkEnd w:id="86"/>
      <w:r w:rsidRPr="001F2586">
        <w:rPr>
          <w:rFonts w:eastAsia="Calibri" w:hint="eastAsia"/>
          <w:rtl/>
        </w:rPr>
        <w:t>עוד</w:t>
      </w:r>
      <w:r w:rsidRPr="001F2586">
        <w:rPr>
          <w:rFonts w:eastAsia="Calibri"/>
          <w:rtl/>
        </w:rPr>
        <w:t xml:space="preserve"> ציין הבנק בתשובתו כי הנגשת אשראי לאוכלוסיות </w:t>
      </w:r>
      <w:r w:rsidRPr="001F2586" w:rsidR="00D2598E">
        <w:rPr>
          <w:rFonts w:eastAsia="Calibri" w:hint="cs"/>
          <w:rtl/>
        </w:rPr>
        <w:t>ייחודיו</w:t>
      </w:r>
      <w:r w:rsidRPr="001F2586" w:rsidR="00D2598E">
        <w:rPr>
          <w:rFonts w:eastAsia="Calibri" w:hint="eastAsia"/>
          <w:rtl/>
        </w:rPr>
        <w:t>ת</w:t>
      </w:r>
      <w:r w:rsidRPr="001F2586">
        <w:rPr>
          <w:rFonts w:eastAsia="Calibri"/>
          <w:rtl/>
        </w:rPr>
        <w:t>, לרבות בחברה הערבית, מצויות בליבת אחריותם של גורמים אחרים ובכלל זה משרדי הממשלה הרלוונטיים, והן מחייבות כלים, סמכויות ונתונים שאינם קיימים בידי הפיקוח על הבנקים.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ממצאי</w:t>
      </w:r>
      <w:r w:rsidRPr="001F2586">
        <w:rPr>
          <w:rFonts w:eastAsia="Calibri"/>
          <w:b/>
          <w:bCs/>
          <w:rtl/>
        </w:rPr>
        <w:t xml:space="preserve"> </w:t>
      </w:r>
      <w:r w:rsidRPr="001F2586">
        <w:rPr>
          <w:rFonts w:eastAsia="Calibri" w:hint="eastAsia"/>
          <w:b/>
          <w:bCs/>
          <w:rtl/>
        </w:rPr>
        <w:t>הביקורת</w:t>
      </w:r>
      <w:r w:rsidRPr="001F2586">
        <w:rPr>
          <w:rFonts w:eastAsia="Calibri"/>
          <w:b/>
          <w:bCs/>
          <w:rtl/>
        </w:rPr>
        <w:t xml:space="preserve"> </w:t>
      </w:r>
      <w:r w:rsidRPr="001F2586">
        <w:rPr>
          <w:rFonts w:eastAsia="Calibri" w:hint="eastAsia"/>
          <w:b/>
          <w:bCs/>
          <w:rtl/>
        </w:rPr>
        <w:t>מעידים</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הפערים</w:t>
      </w:r>
      <w:r w:rsidRPr="001F2586">
        <w:rPr>
          <w:rFonts w:eastAsia="Calibri"/>
          <w:b/>
          <w:bCs/>
          <w:rtl/>
        </w:rPr>
        <w:t xml:space="preserve"> </w:t>
      </w:r>
      <w:r w:rsidRPr="001F2586">
        <w:rPr>
          <w:rFonts w:eastAsia="Calibri" w:hint="eastAsia"/>
          <w:b/>
          <w:bCs/>
          <w:rtl/>
        </w:rPr>
        <w:t>בנגישות</w:t>
      </w:r>
      <w:r w:rsidRPr="001F2586">
        <w:rPr>
          <w:rFonts w:eastAsia="Calibri"/>
          <w:b/>
          <w:bCs/>
          <w:rtl/>
        </w:rPr>
        <w:t xml:space="preserve"> </w:t>
      </w:r>
      <w:r w:rsidRPr="001F2586">
        <w:rPr>
          <w:rFonts w:eastAsia="Calibri" w:hint="eastAsia"/>
          <w:b/>
          <w:bCs/>
          <w:rtl/>
        </w:rPr>
        <w:t>לאשראי</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w:t>
      </w:r>
      <w:r w:rsidRPr="001F2586">
        <w:rPr>
          <w:rFonts w:eastAsia="Calibri" w:hint="eastAsia"/>
          <w:b/>
          <w:bCs/>
          <w:rtl/>
        </w:rPr>
        <w:t>בחברה</w:t>
      </w:r>
      <w:r w:rsidRPr="001F2586">
        <w:rPr>
          <w:rFonts w:eastAsia="Calibri"/>
          <w:b/>
          <w:bCs/>
          <w:rtl/>
        </w:rPr>
        <w:t xml:space="preserve"> </w:t>
      </w:r>
      <w:r w:rsidRPr="001F2586">
        <w:rPr>
          <w:rFonts w:eastAsia="Calibri" w:hint="eastAsia"/>
          <w:b/>
          <w:bCs/>
          <w:rtl/>
        </w:rPr>
        <w:t>הערבית</w:t>
      </w:r>
      <w:r w:rsidRPr="001F2586">
        <w:rPr>
          <w:rFonts w:eastAsia="Calibri"/>
          <w:b/>
          <w:bCs/>
          <w:rtl/>
        </w:rPr>
        <w:t xml:space="preserve"> </w:t>
      </w:r>
      <w:r w:rsidRPr="001F2586">
        <w:rPr>
          <w:rFonts w:eastAsia="Calibri" w:hint="eastAsia"/>
          <w:b/>
          <w:bCs/>
          <w:rtl/>
        </w:rPr>
        <w:t>נובעים</w:t>
      </w:r>
      <w:r w:rsidRPr="001F2586">
        <w:rPr>
          <w:rFonts w:eastAsia="Calibri"/>
          <w:b/>
          <w:bCs/>
          <w:rtl/>
        </w:rPr>
        <w:t xml:space="preserve"> </w:t>
      </w:r>
      <w:r w:rsidRPr="001F2586">
        <w:rPr>
          <w:rFonts w:eastAsia="Calibri" w:hint="eastAsia"/>
          <w:b/>
          <w:bCs/>
          <w:rtl/>
        </w:rPr>
        <w:t>משילוב</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חסמים</w:t>
      </w:r>
      <w:r w:rsidRPr="001F2586">
        <w:rPr>
          <w:rFonts w:eastAsia="Calibri"/>
          <w:b/>
          <w:bCs/>
          <w:rtl/>
        </w:rPr>
        <w:t xml:space="preserve"> </w:t>
      </w:r>
      <w:r w:rsidRPr="001F2586">
        <w:rPr>
          <w:rFonts w:eastAsia="Calibri" w:hint="eastAsia"/>
          <w:b/>
          <w:bCs/>
          <w:rtl/>
        </w:rPr>
        <w:t>מבניים</w:t>
      </w:r>
      <w:r w:rsidRPr="001F2586">
        <w:rPr>
          <w:rFonts w:eastAsia="Calibri"/>
          <w:b/>
          <w:bCs/>
          <w:rtl/>
        </w:rPr>
        <w:t xml:space="preserve"> (רישום </w:t>
      </w:r>
      <w:r w:rsidRPr="001F2586">
        <w:rPr>
          <w:rFonts w:eastAsia="Calibri" w:hint="eastAsia"/>
          <w:b/>
          <w:bCs/>
          <w:rtl/>
        </w:rPr>
        <w:t>מקרקעין</w:t>
      </w:r>
      <w:r w:rsidRPr="001F2586">
        <w:rPr>
          <w:rFonts w:eastAsia="Calibri"/>
          <w:b/>
          <w:bCs/>
          <w:rtl/>
        </w:rPr>
        <w:t xml:space="preserve">, </w:t>
      </w:r>
      <w:r w:rsidRPr="001F2586">
        <w:rPr>
          <w:rFonts w:eastAsia="Calibri" w:hint="eastAsia"/>
          <w:b/>
          <w:bCs/>
          <w:rtl/>
        </w:rPr>
        <w:t>תכנון</w:t>
      </w:r>
      <w:r w:rsidRPr="001F2586">
        <w:rPr>
          <w:rFonts w:eastAsia="Calibri"/>
          <w:b/>
          <w:bCs/>
          <w:rtl/>
        </w:rPr>
        <w:t xml:space="preserve"> </w:t>
      </w:r>
      <w:r w:rsidRPr="001F2586">
        <w:rPr>
          <w:rFonts w:eastAsia="Calibri" w:hint="eastAsia"/>
          <w:b/>
          <w:bCs/>
          <w:rtl/>
        </w:rPr>
        <w:t>ובנייה</w:t>
      </w:r>
      <w:r w:rsidRPr="001F2586">
        <w:rPr>
          <w:rFonts w:eastAsia="Calibri"/>
          <w:b/>
          <w:bCs/>
          <w:rtl/>
        </w:rPr>
        <w:t xml:space="preserve">), </w:t>
      </w:r>
      <w:r w:rsidRPr="001F2586">
        <w:rPr>
          <w:rFonts w:eastAsia="Calibri" w:hint="eastAsia"/>
          <w:b/>
          <w:bCs/>
          <w:rtl/>
        </w:rPr>
        <w:t>כלכליים</w:t>
      </w:r>
      <w:r w:rsidRPr="001F2586">
        <w:rPr>
          <w:rFonts w:eastAsia="Calibri"/>
          <w:b/>
          <w:bCs/>
          <w:rtl/>
        </w:rPr>
        <w:t xml:space="preserve"> </w:t>
      </w:r>
      <w:r w:rsidRPr="001F2586">
        <w:rPr>
          <w:rFonts w:eastAsia="Calibri" w:hint="eastAsia"/>
          <w:b/>
          <w:bCs/>
          <w:rtl/>
        </w:rPr>
        <w:t>ותרבותיים</w:t>
      </w:r>
      <w:r w:rsidRPr="001F2586">
        <w:rPr>
          <w:rFonts w:eastAsia="Calibri"/>
          <w:b/>
          <w:bCs/>
          <w:rtl/>
        </w:rPr>
        <w:t xml:space="preserve">. </w:t>
      </w:r>
      <w:r w:rsidRPr="001F2586">
        <w:rPr>
          <w:rFonts w:eastAsia="Calibri" w:hint="eastAsia"/>
          <w:b/>
          <w:bCs/>
          <w:rtl/>
        </w:rPr>
        <w:t>בעוד</w:t>
      </w:r>
      <w:r w:rsidRPr="001F2586">
        <w:rPr>
          <w:rFonts w:eastAsia="Calibri"/>
          <w:b/>
          <w:bCs/>
          <w:rtl/>
        </w:rPr>
        <w:t xml:space="preserve"> </w:t>
      </w:r>
      <w:r w:rsidRPr="001F2586">
        <w:rPr>
          <w:rFonts w:eastAsia="Calibri" w:hint="eastAsia"/>
          <w:b/>
          <w:bCs/>
          <w:rtl/>
        </w:rPr>
        <w:t>שבנק</w:t>
      </w:r>
      <w:r w:rsidRPr="001F2586">
        <w:rPr>
          <w:rFonts w:eastAsia="Calibri"/>
          <w:b/>
          <w:bCs/>
          <w:rtl/>
        </w:rPr>
        <w:t xml:space="preserve"> </w:t>
      </w:r>
      <w:r w:rsidRPr="001F2586">
        <w:rPr>
          <w:rFonts w:eastAsia="Calibri" w:hint="eastAsia"/>
          <w:b/>
          <w:bCs/>
          <w:rtl/>
        </w:rPr>
        <w:t>ישראל</w:t>
      </w:r>
      <w:r w:rsidRPr="001F2586">
        <w:rPr>
          <w:rFonts w:eastAsia="Calibri"/>
          <w:b/>
          <w:bCs/>
          <w:rtl/>
        </w:rPr>
        <w:t xml:space="preserve"> </w:t>
      </w:r>
      <w:r w:rsidRPr="001F2586">
        <w:rPr>
          <w:rFonts w:eastAsia="Calibri" w:hint="eastAsia"/>
          <w:b/>
          <w:bCs/>
          <w:rtl/>
        </w:rPr>
        <w:t>פועל</w:t>
      </w:r>
      <w:r w:rsidRPr="001F2586">
        <w:rPr>
          <w:rFonts w:eastAsia="Calibri"/>
          <w:b/>
          <w:bCs/>
          <w:rtl/>
        </w:rPr>
        <w:t xml:space="preserve"> </w:t>
      </w:r>
      <w:r w:rsidRPr="001F2586">
        <w:rPr>
          <w:rFonts w:eastAsia="Calibri" w:hint="eastAsia"/>
          <w:b/>
          <w:bCs/>
          <w:rtl/>
        </w:rPr>
        <w:t>לקידום</w:t>
      </w:r>
      <w:r w:rsidRPr="001F2586">
        <w:rPr>
          <w:rFonts w:eastAsia="Calibri"/>
          <w:b/>
          <w:bCs/>
          <w:rtl/>
        </w:rPr>
        <w:t xml:space="preserve"> </w:t>
      </w:r>
      <w:r w:rsidRPr="001F2586">
        <w:rPr>
          <w:rFonts w:eastAsia="Calibri" w:hint="eastAsia"/>
          <w:b/>
          <w:bCs/>
          <w:rtl/>
        </w:rPr>
        <w:t>ההכלה</w:t>
      </w:r>
      <w:r w:rsidRPr="001F2586">
        <w:rPr>
          <w:rFonts w:eastAsia="Calibri"/>
          <w:b/>
          <w:bCs/>
          <w:rtl/>
        </w:rPr>
        <w:t xml:space="preserve"> </w:t>
      </w:r>
      <w:r w:rsidRPr="001F2586">
        <w:rPr>
          <w:rFonts w:eastAsia="Calibri" w:hint="eastAsia"/>
          <w:b/>
          <w:bCs/>
          <w:rtl/>
        </w:rPr>
        <w:t>הפיננסית</w:t>
      </w:r>
      <w:r w:rsidRPr="001F2586">
        <w:rPr>
          <w:rFonts w:eastAsia="Calibri"/>
          <w:b/>
          <w:bCs/>
          <w:rtl/>
        </w:rPr>
        <w:t xml:space="preserve"> </w:t>
      </w:r>
      <w:r w:rsidRPr="001F2586">
        <w:rPr>
          <w:rFonts w:eastAsia="Calibri" w:hint="eastAsia"/>
          <w:b/>
          <w:bCs/>
          <w:rtl/>
        </w:rPr>
        <w:t>במישור</w:t>
      </w:r>
      <w:r w:rsidRPr="001F2586">
        <w:rPr>
          <w:rFonts w:eastAsia="Calibri"/>
          <w:b/>
          <w:bCs/>
          <w:rtl/>
        </w:rPr>
        <w:t xml:space="preserve"> </w:t>
      </w:r>
      <w:r w:rsidRPr="001F2586">
        <w:rPr>
          <w:rFonts w:eastAsia="Calibri" w:hint="eastAsia"/>
          <w:b/>
          <w:bCs/>
          <w:rtl/>
        </w:rPr>
        <w:t>הבנקאי</w:t>
      </w:r>
      <w:r w:rsidRPr="001F2586">
        <w:rPr>
          <w:rFonts w:eastAsia="Calibri"/>
          <w:b/>
          <w:bCs/>
          <w:rtl/>
        </w:rPr>
        <w:t xml:space="preserve">, </w:t>
      </w:r>
      <w:r w:rsidRPr="001F2586">
        <w:rPr>
          <w:rFonts w:eastAsia="Calibri" w:hint="eastAsia"/>
          <w:b/>
          <w:bCs/>
          <w:rtl/>
        </w:rPr>
        <w:t>פתרון</w:t>
      </w:r>
      <w:r w:rsidRPr="001F2586">
        <w:rPr>
          <w:rFonts w:eastAsia="Calibri"/>
          <w:b/>
          <w:bCs/>
          <w:rtl/>
        </w:rPr>
        <w:t xml:space="preserve"> </w:t>
      </w:r>
      <w:r w:rsidRPr="001F2586">
        <w:rPr>
          <w:rFonts w:eastAsia="Calibri" w:hint="eastAsia"/>
          <w:b/>
          <w:bCs/>
          <w:rtl/>
        </w:rPr>
        <w:t>שורשי</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סוגיות</w:t>
      </w:r>
      <w:r w:rsidRPr="001F2586">
        <w:rPr>
          <w:rFonts w:eastAsia="Calibri"/>
          <w:b/>
          <w:bCs/>
          <w:rtl/>
        </w:rPr>
        <w:t xml:space="preserve"> </w:t>
      </w:r>
      <w:r w:rsidRPr="001F2586">
        <w:rPr>
          <w:rFonts w:eastAsia="Calibri" w:hint="eastAsia"/>
          <w:b/>
          <w:bCs/>
          <w:rtl/>
        </w:rPr>
        <w:t>הדיור</w:t>
      </w:r>
      <w:r w:rsidRPr="001F2586">
        <w:rPr>
          <w:rFonts w:eastAsia="Calibri"/>
          <w:b/>
          <w:bCs/>
          <w:rtl/>
        </w:rPr>
        <w:t xml:space="preserve"> </w:t>
      </w:r>
      <w:r w:rsidRPr="001F2586">
        <w:rPr>
          <w:rFonts w:eastAsia="Calibri" w:hint="eastAsia"/>
          <w:b/>
          <w:bCs/>
          <w:rtl/>
        </w:rPr>
        <w:t>והאשראי</w:t>
      </w:r>
      <w:r w:rsidRPr="001F2586">
        <w:rPr>
          <w:rFonts w:eastAsia="Calibri"/>
          <w:b/>
          <w:bCs/>
          <w:rtl/>
        </w:rPr>
        <w:t xml:space="preserve"> </w:t>
      </w:r>
      <w:r w:rsidRPr="001F2586">
        <w:rPr>
          <w:rFonts w:eastAsia="Calibri" w:hint="eastAsia"/>
          <w:b/>
          <w:bCs/>
          <w:rtl/>
        </w:rPr>
        <w:t>מחייב</w:t>
      </w:r>
      <w:r w:rsidRPr="001F2586">
        <w:rPr>
          <w:rFonts w:eastAsia="Calibri"/>
          <w:b/>
          <w:bCs/>
          <w:rtl/>
        </w:rPr>
        <w:t xml:space="preserve"> </w:t>
      </w:r>
      <w:r w:rsidRPr="001F2586">
        <w:rPr>
          <w:rFonts w:eastAsia="Calibri" w:hint="eastAsia"/>
          <w:b/>
          <w:bCs/>
          <w:rtl/>
        </w:rPr>
        <w:t>שיתוף</w:t>
      </w:r>
      <w:r w:rsidRPr="001F2586">
        <w:rPr>
          <w:rFonts w:eastAsia="Calibri"/>
          <w:b/>
          <w:bCs/>
          <w:rtl/>
        </w:rPr>
        <w:t xml:space="preserve"> </w:t>
      </w:r>
      <w:r w:rsidRPr="001F2586">
        <w:rPr>
          <w:rFonts w:eastAsia="Calibri" w:hint="eastAsia"/>
          <w:b/>
          <w:bCs/>
          <w:rtl/>
        </w:rPr>
        <w:t>פעולה</w:t>
      </w:r>
      <w:r w:rsidRPr="001F2586">
        <w:rPr>
          <w:rFonts w:eastAsia="Calibri"/>
          <w:b/>
          <w:bCs/>
          <w:rtl/>
        </w:rPr>
        <w:t xml:space="preserve"> </w:t>
      </w:r>
      <w:r w:rsidRPr="001F2586">
        <w:rPr>
          <w:rFonts w:eastAsia="Calibri" w:hint="eastAsia"/>
          <w:b/>
          <w:bCs/>
          <w:rtl/>
        </w:rPr>
        <w:t>הדוק</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גורמי</w:t>
      </w:r>
      <w:r w:rsidRPr="001F2586">
        <w:rPr>
          <w:rFonts w:eastAsia="Calibri"/>
          <w:b/>
          <w:bCs/>
          <w:rtl/>
        </w:rPr>
        <w:t xml:space="preserve"> </w:t>
      </w:r>
      <w:r w:rsidRPr="001F2586">
        <w:rPr>
          <w:rFonts w:eastAsia="Calibri" w:hint="eastAsia"/>
          <w:b/>
          <w:bCs/>
          <w:rtl/>
        </w:rPr>
        <w:t>ממשלה</w:t>
      </w:r>
      <w:r w:rsidRPr="001F2586">
        <w:rPr>
          <w:rFonts w:eastAsia="Calibri"/>
          <w:b/>
          <w:bCs/>
          <w:rtl/>
        </w:rPr>
        <w:t xml:space="preserve"> </w:t>
      </w:r>
      <w:r w:rsidRPr="001F2586">
        <w:rPr>
          <w:rFonts w:eastAsia="Calibri" w:hint="eastAsia"/>
          <w:b/>
          <w:bCs/>
          <w:rtl/>
        </w:rPr>
        <w:t>רלוונטיים</w:t>
      </w:r>
      <w:r w:rsidRPr="001F2586">
        <w:rPr>
          <w:rFonts w:eastAsia="Calibri"/>
          <w:b/>
          <w:bCs/>
          <w:rtl/>
        </w:rPr>
        <w:t>.</w:t>
      </w:r>
    </w:p>
    <w:p w:rsidR="001F2586" w:rsidRPr="001F2586" w:rsidP="001F2586">
      <w:pPr>
        <w:spacing w:line="269" w:lineRule="auto"/>
        <w:ind w:left="-567"/>
        <w:rPr>
          <w:rFonts w:eastAsia="Calibri"/>
          <w:szCs w:val="20"/>
          <w:rtl/>
        </w:rPr>
      </w:pPr>
    </w:p>
    <w:p w:rsidR="00260379" w:rsidP="001F2586">
      <w:pPr>
        <w:spacing w:line="269" w:lineRule="auto"/>
        <w:rPr>
          <w:rFonts w:eastAsia="Calibri"/>
          <w:rtl/>
        </w:rPr>
      </w:pPr>
      <w:r w:rsidRPr="001F2586">
        <w:rPr>
          <w:rFonts w:eastAsia="Calibri"/>
          <w:b/>
          <w:bCs/>
          <w:rtl/>
        </w:rPr>
        <w:t xml:space="preserve">מומלץ כי בנק ישראל יוסיף לבחון את המדיניות הנדרשת </w:t>
      </w:r>
      <w:r w:rsidRPr="001F2586">
        <w:rPr>
          <w:rFonts w:eastAsia="Calibri" w:hint="eastAsia"/>
          <w:b/>
          <w:bCs/>
          <w:rtl/>
        </w:rPr>
        <w:t>להנגשת</w:t>
      </w:r>
      <w:r w:rsidRPr="001F2586">
        <w:rPr>
          <w:rFonts w:eastAsia="Calibri"/>
          <w:b/>
          <w:bCs/>
          <w:rtl/>
        </w:rPr>
        <w:t xml:space="preserve"> אשראי, תוך הידוק הממשקים עם גורמי הממשלה האמונים על הסרת החסמים המבניים, ובכך ליצור מנגנון רב מערכתי המאפשר צמצום פערים פיננסיים בצורה אפקטיבית</w:t>
      </w:r>
      <w:r w:rsidRPr="001F2586">
        <w:rPr>
          <w:rFonts w:eastAsia="Calibri"/>
          <w:b/>
          <w:bCs/>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עוד</w:t>
      </w:r>
      <w:r w:rsidRPr="001F2586">
        <w:rPr>
          <w:rFonts w:eastAsia="Calibri"/>
          <w:b/>
          <w:bCs/>
          <w:rtl/>
        </w:rPr>
        <w:t xml:space="preserve"> </w:t>
      </w:r>
      <w:r w:rsidRPr="001F2586">
        <w:rPr>
          <w:rFonts w:eastAsia="Calibri" w:hint="eastAsia"/>
          <w:b/>
          <w:bCs/>
          <w:rtl/>
        </w:rPr>
        <w:t>עלה</w:t>
      </w:r>
      <w:r w:rsidRPr="001F2586">
        <w:rPr>
          <w:rFonts w:eastAsia="Calibri" w:hint="cs"/>
          <w:b/>
          <w:bCs/>
          <w:rtl/>
        </w:rPr>
        <w:t xml:space="preserve"> מפגישות שערך צוות הביקורת עם גורמים שונים במערכת החוץ בנקאית, כי </w:t>
      </w:r>
      <w:r w:rsidRPr="001F2586">
        <w:rPr>
          <w:rFonts w:eastAsia="Calibri"/>
          <w:b/>
          <w:bCs/>
          <w:rtl/>
        </w:rPr>
        <w:t>נוכח הקושי בקבלת אשראי לדיור</w:t>
      </w:r>
      <w:r w:rsidRPr="001F2586">
        <w:rPr>
          <w:rFonts w:eastAsia="Calibri" w:hint="cs"/>
          <w:b/>
          <w:bCs/>
          <w:rtl/>
        </w:rPr>
        <w:t xml:space="preserve"> מהבנקים</w:t>
      </w:r>
      <w:r w:rsidRPr="001F2586">
        <w:rPr>
          <w:rFonts w:eastAsia="Calibri"/>
          <w:b/>
          <w:bCs/>
          <w:rtl/>
        </w:rPr>
        <w:t xml:space="preserve">, נאלצים חלק מהלקוחות במגזר הערבי לקחת הלוואות </w:t>
      </w:r>
      <w:r w:rsidRPr="001F2586">
        <w:rPr>
          <w:rFonts w:eastAsia="Calibri" w:hint="cs"/>
          <w:b/>
          <w:bCs/>
          <w:rtl/>
        </w:rPr>
        <w:t>צרכניות שוטפות שאינן לדיור</w:t>
      </w:r>
      <w:r w:rsidRPr="001F2586">
        <w:rPr>
          <w:rFonts w:eastAsia="Calibri"/>
          <w:b/>
          <w:bCs/>
          <w:rtl/>
        </w:rPr>
        <w:t xml:space="preserve"> (</w:t>
      </w:r>
      <w:r w:rsidRPr="001F2586">
        <w:rPr>
          <w:rFonts w:eastAsia="Calibri" w:hint="cs"/>
          <w:b/>
          <w:bCs/>
          <w:rtl/>
        </w:rPr>
        <w:t xml:space="preserve">באמצעות המערכת </w:t>
      </w:r>
      <w:r w:rsidRPr="001F2586">
        <w:rPr>
          <w:rFonts w:eastAsia="Calibri"/>
          <w:b/>
          <w:bCs/>
          <w:rtl/>
        </w:rPr>
        <w:t>הבנק</w:t>
      </w:r>
      <w:r w:rsidRPr="001F2586">
        <w:rPr>
          <w:rFonts w:eastAsia="Calibri" w:hint="cs"/>
          <w:b/>
          <w:bCs/>
          <w:rtl/>
        </w:rPr>
        <w:t>א</w:t>
      </w:r>
      <w:r w:rsidRPr="001F2586">
        <w:rPr>
          <w:rFonts w:eastAsia="Calibri"/>
          <w:b/>
          <w:bCs/>
          <w:rtl/>
        </w:rPr>
        <w:t>י</w:t>
      </w:r>
      <w:r w:rsidRPr="001F2586">
        <w:rPr>
          <w:rFonts w:eastAsia="Calibri" w:hint="cs"/>
          <w:b/>
          <w:bCs/>
          <w:rtl/>
        </w:rPr>
        <w:t>ת</w:t>
      </w:r>
      <w:r w:rsidRPr="001F2586">
        <w:rPr>
          <w:rFonts w:eastAsia="Calibri"/>
          <w:b/>
          <w:bCs/>
          <w:rtl/>
        </w:rPr>
        <w:t xml:space="preserve">, חברות כרטיסי האשראי או חברות האשראי החוץ בנקאי) </w:t>
      </w:r>
      <w:r w:rsidRPr="001F2586">
        <w:rPr>
          <w:rFonts w:eastAsia="Calibri" w:hint="cs"/>
          <w:b/>
          <w:bCs/>
          <w:rtl/>
        </w:rPr>
        <w:t xml:space="preserve">הניתנות </w:t>
      </w:r>
      <w:r w:rsidRPr="001F2586">
        <w:rPr>
          <w:rFonts w:eastAsia="Calibri"/>
          <w:b/>
          <w:bCs/>
          <w:rtl/>
        </w:rPr>
        <w:t xml:space="preserve">בריביות גבוהות </w:t>
      </w:r>
      <w:r w:rsidRPr="001F2586">
        <w:rPr>
          <w:rFonts w:eastAsia="Calibri" w:hint="cs"/>
          <w:b/>
          <w:bCs/>
          <w:rtl/>
        </w:rPr>
        <w:t xml:space="preserve">יותר </w:t>
      </w:r>
      <w:r w:rsidRPr="001F2586">
        <w:rPr>
          <w:rFonts w:eastAsia="Calibri"/>
          <w:b/>
          <w:bCs/>
          <w:rtl/>
        </w:rPr>
        <w:t>מאשר הלווא</w:t>
      </w:r>
      <w:r w:rsidRPr="001F2586">
        <w:rPr>
          <w:rFonts w:eastAsia="Calibri" w:hint="cs"/>
          <w:b/>
          <w:bCs/>
          <w:rtl/>
        </w:rPr>
        <w:t>ו</w:t>
      </w:r>
      <w:r w:rsidRPr="001F2586">
        <w:rPr>
          <w:rFonts w:eastAsia="Calibri"/>
          <w:b/>
          <w:bCs/>
          <w:rtl/>
        </w:rPr>
        <w:t xml:space="preserve">ת לדיור.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hint="cs"/>
          <w:rtl/>
        </w:rPr>
        <w:t xml:space="preserve">הדוח של הג'וינט בנושא השלכות המלחמה על החברה הערבית מנובמבר 2024 ציין כי </w:t>
      </w:r>
      <w:r w:rsidRPr="001F2586">
        <w:rPr>
          <w:rFonts w:eastAsia="Calibri"/>
          <w:rtl/>
        </w:rPr>
        <w:t>אחד הגורמים המשפיעים רבות על מצוקת האוכלוסייה הערבית עוד טרם המלחמה, הינו המחסור באשראי, דהיינו קבלת</w:t>
      </w:r>
      <w:r w:rsidRPr="001F2586">
        <w:rPr>
          <w:rFonts w:eastAsia="Calibri" w:hint="cs"/>
          <w:rtl/>
        </w:rPr>
        <w:t xml:space="preserve"> </w:t>
      </w:r>
      <w:r w:rsidRPr="001F2586">
        <w:rPr>
          <w:rFonts w:eastAsia="Calibri"/>
          <w:rtl/>
        </w:rPr>
        <w:t xml:space="preserve">משכנתא עבור רכישת דירה. אחוז הערבים במקבלי </w:t>
      </w:r>
      <w:r w:rsidRPr="001F2586">
        <w:rPr>
          <w:rFonts w:eastAsia="Calibri" w:hint="cs"/>
          <w:rtl/>
        </w:rPr>
        <w:t>ה</w:t>
      </w:r>
      <w:r w:rsidRPr="001F2586">
        <w:rPr>
          <w:rFonts w:eastAsia="Calibri"/>
          <w:rtl/>
        </w:rPr>
        <w:t>משכנתאות הוא 2%</w:t>
      </w:r>
      <w:r w:rsidRPr="001F2586">
        <w:rPr>
          <w:rFonts w:eastAsia="Calibri" w:hint="cs"/>
          <w:rtl/>
        </w:rPr>
        <w:t>,</w:t>
      </w:r>
      <w:r w:rsidRPr="001F2586">
        <w:rPr>
          <w:rFonts w:eastAsia="Calibri"/>
          <w:rtl/>
        </w:rPr>
        <w:t xml:space="preserve"> נמוך בצורה משמעותית מחלקם באוכלוסייה</w:t>
      </w:r>
      <w:r w:rsidRPr="001F2586">
        <w:rPr>
          <w:rFonts w:eastAsia="Calibri" w:hint="cs"/>
          <w:rtl/>
        </w:rPr>
        <w:t xml:space="preserve">. </w:t>
      </w:r>
      <w:r w:rsidRPr="001F2586">
        <w:rPr>
          <w:rFonts w:eastAsia="Calibri"/>
          <w:rtl/>
        </w:rPr>
        <w:t>כחלופה, רבים פונים לשבירת תכניות פנסיה או חסכונות ארוכי טווח, חלקם לוקחים הלוואות יקרות מאוד בבנקים, ויש שפונים</w:t>
      </w:r>
      <w:r w:rsidRPr="001F2586">
        <w:rPr>
          <w:rFonts w:eastAsia="Calibri" w:hint="cs"/>
          <w:rtl/>
        </w:rPr>
        <w:t xml:space="preserve"> </w:t>
      </w:r>
      <w:r w:rsidRPr="001F2586">
        <w:rPr>
          <w:rFonts w:eastAsia="Calibri"/>
          <w:rtl/>
        </w:rPr>
        <w:t>לשוק האפור. המצוקה הכלכלית המחמירה בחברה הערבית בשל המלחמה והעלייה באבטלה, לצד מחסור באשראי, מביאה</w:t>
      </w:r>
      <w:r w:rsidRPr="001F2586">
        <w:rPr>
          <w:rFonts w:eastAsia="Calibri" w:hint="cs"/>
          <w:rtl/>
        </w:rPr>
        <w:t xml:space="preserve"> </w:t>
      </w:r>
      <w:r w:rsidRPr="001F2586">
        <w:rPr>
          <w:rFonts w:eastAsia="Calibri"/>
          <w:rtl/>
        </w:rPr>
        <w:t xml:space="preserve">לפנייה גוברת לשוק האפור. </w:t>
      </w:r>
      <w:r w:rsidRPr="001F2586">
        <w:rPr>
          <w:rFonts w:eastAsia="Calibri" w:hint="cs"/>
          <w:rtl/>
        </w:rPr>
        <w:t xml:space="preserve">עוד ציין הדוח כי </w:t>
      </w:r>
      <w:r w:rsidRPr="001F2586">
        <w:rPr>
          <w:rFonts w:eastAsia="Calibri"/>
          <w:rtl/>
        </w:rPr>
        <w:t>היות ורוב מקרי הרצח מתרחשים בעיקר על רקע מאבקים פנימיים בין ארגוני הפשע, העוסקים בין</w:t>
      </w:r>
      <w:r w:rsidRPr="001F2586">
        <w:rPr>
          <w:rFonts w:eastAsia="Calibri" w:hint="cs"/>
          <w:rtl/>
        </w:rPr>
        <w:t xml:space="preserve"> </w:t>
      </w:r>
      <w:r w:rsidRPr="001F2586">
        <w:rPr>
          <w:rFonts w:eastAsia="Calibri"/>
          <w:rtl/>
        </w:rPr>
        <w:t>היתר בגביית דמי חסות וגביית חובות בשוק האפור, יש להניח שמצב זה יביא להתגברות הפשיעה והאלימות</w:t>
      </w:r>
      <w:r w:rsidRPr="001F2586">
        <w:rPr>
          <w:rFonts w:eastAsia="Calibri" w:hint="cs"/>
          <w:rtl/>
        </w:rPr>
        <w:t>. בשנת 2017 בנק ישראל ציין</w:t>
      </w:r>
      <w:r>
        <w:rPr>
          <w:rFonts w:eastAsia="Calibri"/>
          <w:vertAlign w:val="superscript"/>
          <w:rtl/>
        </w:rPr>
        <w:footnoteReference w:id="348"/>
      </w:r>
      <w:r w:rsidRPr="001F2586">
        <w:rPr>
          <w:rFonts w:eastAsia="Calibri" w:hint="cs"/>
          <w:rtl/>
        </w:rPr>
        <w:t xml:space="preserve"> כי </w:t>
      </w:r>
      <w:r w:rsidRPr="001F2586">
        <w:rPr>
          <w:rFonts w:eastAsia="Calibri"/>
          <w:rtl/>
        </w:rPr>
        <w:t>חלק מהבנקים החלו להציע הלוואות לצורכי דיור למגזר הערבי לתקופות ארוכות (של מעל 10 שנים ואף עד 20 שנים) ללא משכון נכס. הלוואות אלה מתאפיינות בהיקפים מצומצמים יחסית עבור משק בית בודד</w:t>
      </w:r>
      <w:r w:rsidRPr="001F2586">
        <w:rPr>
          <w:rFonts w:eastAsia="Calibri" w:hint="cs"/>
          <w:rtl/>
        </w:rPr>
        <w:t>,</w:t>
      </w:r>
      <w:r w:rsidRPr="001F2586">
        <w:rPr>
          <w:rFonts w:eastAsia="Calibri"/>
          <w:rtl/>
        </w:rPr>
        <w:t xml:space="preserve"> והריבית עליהן גבוהה יותר מהריבית על משכנתאות, שכן מדובר בהלוואה ללא בטוחה.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להלן נתונים אודות תמהיל צריכת האשראי של משקי בית בחלוקה לפי אשכולות כלכליים חברתיים לשנת 2024: </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b/>
          <w:bCs/>
          <w:rtl/>
        </w:rPr>
      </w:pPr>
      <w:r w:rsidRPr="001F2586">
        <w:rPr>
          <w:rFonts w:eastAsia="Calibri" w:hint="eastAsia"/>
          <w:rtl/>
        </w:rPr>
        <w:t>תרשים</w:t>
      </w:r>
      <w:r w:rsidRPr="001F2586">
        <w:rPr>
          <w:rFonts w:eastAsia="Calibri"/>
          <w:rtl/>
        </w:rPr>
        <w:t xml:space="preserve"> </w:t>
      </w:r>
      <w:r w:rsidRPr="001F2586">
        <w:rPr>
          <w:rFonts w:eastAsia="Calibri" w:hint="cs"/>
          <w:rtl/>
        </w:rPr>
        <w:t>56</w:t>
      </w:r>
      <w:r w:rsidRPr="001F2586">
        <w:rPr>
          <w:rFonts w:eastAsia="Calibri"/>
          <w:rtl/>
        </w:rPr>
        <w:t>:</w:t>
      </w:r>
      <w:r w:rsidRPr="001F2586">
        <w:rPr>
          <w:rFonts w:eastAsia="Calibri"/>
          <w:b/>
          <w:bCs/>
          <w:rtl/>
        </w:rPr>
        <w:t xml:space="preserve"> נתונים אודות תמהיל צריכת האשראי של משקי בית בחלוקה לפי אשכולות כלכליים חברתיים לשנת 2024</w:t>
      </w:r>
    </w:p>
    <w:p w:rsidR="001F2586" w:rsidRPr="001F2586" w:rsidP="001F2586">
      <w:pPr>
        <w:spacing w:line="269" w:lineRule="auto"/>
        <w:jc w:val="center"/>
        <w:rPr>
          <w:rFonts w:eastAsia="Calibri"/>
          <w:b/>
          <w:bCs/>
          <w:rtl/>
        </w:rPr>
      </w:pPr>
      <w:r w:rsidRPr="001F2586">
        <w:rPr>
          <w:rFonts w:eastAsia="Calibri"/>
          <w:b/>
          <w:bCs/>
          <w:noProof/>
          <w:rtl/>
          <w:lang w:val="he-IL"/>
        </w:rPr>
        <w:drawing>
          <wp:inline distT="0" distB="0" distL="0" distR="0">
            <wp:extent cx="5220335" cy="3151505"/>
            <wp:effectExtent l="0" t="0" r="0" b="0"/>
            <wp:docPr id="44" name="תמונה 44" descr="התרשים מראה בכל אחד מהאשכולות את תמהיל צריכת האשראי של משקי הבית בחלוקה לפי אשכולות כלכליים חברתיים. בתרשים ניתן לראות כי קיימים פערים בין האשכולות השונים. כך למשל באשכולות סוציואקונומיים גבוהים (9-10) לכ-45% עד 48% מהאוכלוסיה המתגוררת בהם אין כלל חוב. לעומת זאת, ביישובי אשכול 3 יש תלות גבוהה מאוד באשראי צרכני לצד מיעוט משכנתאות - באשכול זה אחוז המשכנתאות הוא הנמוך ביותר - 3%. אשכול סוציו-אקונומי 3 הוא דרגה סוציו-אקונומית בינונית-נמוכה בישראל (מתוך 10 אשכולות, כאשר 1 הוא הנמוך ביותר). כל האזורים המתאפיינים ברוב ערבי, נמצאים באשכולות 1-3, כאשר שיעור גבוה מהאוכלוסייה מתגוררת באזורים הנמצאים באשכול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רשים 56.GIF"/>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a:xfrm>
                      <a:off x="0" y="0"/>
                      <a:ext cx="5220335" cy="3151505"/>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hint="eastAsia"/>
          <w:szCs w:val="20"/>
          <w:rtl/>
        </w:rPr>
        <w:t>המקור</w:t>
      </w:r>
      <w:r w:rsidRPr="001F2586">
        <w:rPr>
          <w:rFonts w:eastAsia="Calibri"/>
          <w:szCs w:val="20"/>
          <w:rtl/>
        </w:rPr>
        <w:t xml:space="preserve">: </w:t>
      </w:r>
      <w:r w:rsidRPr="001F2586">
        <w:rPr>
          <w:rFonts w:eastAsia="Calibri" w:hint="cs"/>
          <w:szCs w:val="20"/>
          <w:rtl/>
        </w:rPr>
        <w:t xml:space="preserve">בנק ישראל, </w:t>
      </w:r>
      <w:r w:rsidRPr="001F2586">
        <w:rPr>
          <w:rFonts w:eastAsia="Calibri"/>
          <w:szCs w:val="20"/>
          <w:rtl/>
        </w:rPr>
        <w:t xml:space="preserve">נתוני מאגר אשראי </w:t>
      </w:r>
      <w:r w:rsidRPr="001F2586">
        <w:rPr>
          <w:rFonts w:eastAsia="Calibri" w:hint="cs"/>
          <w:szCs w:val="20"/>
          <w:rtl/>
        </w:rPr>
        <w:t>לשנת 2024.</w:t>
      </w:r>
    </w:p>
    <w:p w:rsidR="001F2586" w:rsidRPr="001F2586" w:rsidP="001F2586">
      <w:pPr>
        <w:spacing w:line="269" w:lineRule="auto"/>
        <w:rPr>
          <w:rFonts w:eastAsia="Calibri"/>
          <w:szCs w:val="20"/>
          <w:rtl/>
        </w:rPr>
      </w:pPr>
    </w:p>
    <w:p w:rsidR="001F2586" w:rsidRPr="001F2586" w:rsidP="001F2586">
      <w:pPr>
        <w:spacing w:line="269" w:lineRule="auto"/>
        <w:rPr>
          <w:rFonts w:eastAsia="Calibri"/>
          <w:rtl/>
        </w:rPr>
      </w:pPr>
      <w:r w:rsidRPr="001F2586">
        <w:rPr>
          <w:rFonts w:eastAsia="Calibri" w:hint="cs"/>
          <w:rtl/>
        </w:rPr>
        <w:t>מהתרשים עולה כי קיימים פערים בין האשכולות השונים. כך למשל באשכולות סוציואקונומיים גבוהים (9 - 10) לכ-45%</w:t>
      </w:r>
      <w:r w:rsidRPr="001F2586">
        <w:rPr>
          <w:rFonts w:eastAsia="Calibri" w:hint="cs"/>
        </w:rPr>
        <w:t xml:space="preserve"> </w:t>
      </w:r>
      <w:r w:rsidRPr="001F2586">
        <w:rPr>
          <w:rFonts w:eastAsia="Calibri" w:hint="cs"/>
          <w:rtl/>
        </w:rPr>
        <w:t>עד 48%</w:t>
      </w:r>
      <w:r w:rsidRPr="001F2586">
        <w:rPr>
          <w:rFonts w:eastAsia="Calibri" w:hint="cs"/>
        </w:rPr>
        <w:t xml:space="preserve"> </w:t>
      </w:r>
      <w:r w:rsidRPr="001F2586">
        <w:rPr>
          <w:rFonts w:eastAsia="Calibri" w:hint="cs"/>
          <w:rtl/>
        </w:rPr>
        <w:t>מהאוכלוסייה המתגוררת בהם אין כלל חוב. לעומת זאת, ביישובי אשכול 3 יש תלות גבוהה מאוד באשראי צרכני לצד מיעוט משכנתאות - באשכול זה אחוז המשכנתאות הוא הנמוך ביותר - 3%. אשכו</w:t>
      </w:r>
      <w:r w:rsidRPr="001F2586">
        <w:rPr>
          <w:rFonts w:eastAsia="Calibri"/>
          <w:rtl/>
        </w:rPr>
        <w:t>ל סוציו-אקונומי 3 הוא דרגה סוציו-אקונומית בינונית-נמוכה בישראל (מתוך 10 אשכולות, כאשר 1 הוא הנמוך ביותר)</w:t>
      </w:r>
      <w:r w:rsidRPr="001F2586">
        <w:rPr>
          <w:rFonts w:eastAsia="Calibri" w:hint="cs"/>
          <w:rtl/>
        </w:rPr>
        <w:t>.</w:t>
      </w:r>
      <w:r w:rsidRPr="001F2586">
        <w:rPr>
          <w:rFonts w:eastAsia="Calibri"/>
          <w:rtl/>
        </w:rPr>
        <w:t xml:space="preserve"> כל האזורים המתאפיינים ברוב ערבי, נמצאים באשכולות 1</w:t>
      </w:r>
      <w:r w:rsidRPr="001F2586">
        <w:rPr>
          <w:rFonts w:eastAsia="Calibri" w:hint="cs"/>
          <w:rtl/>
        </w:rPr>
        <w:t xml:space="preserve"> </w:t>
      </w:r>
      <w:r w:rsidRPr="001F2586">
        <w:rPr>
          <w:rFonts w:eastAsia="Calibri"/>
          <w:rtl/>
        </w:rPr>
        <w:t>-</w:t>
      </w:r>
      <w:r w:rsidRPr="001F2586">
        <w:rPr>
          <w:rFonts w:eastAsia="Calibri" w:hint="cs"/>
          <w:rtl/>
        </w:rPr>
        <w:t xml:space="preserve"> </w:t>
      </w:r>
      <w:r w:rsidRPr="001F2586">
        <w:rPr>
          <w:rFonts w:eastAsia="Calibri"/>
          <w:rtl/>
        </w:rPr>
        <w:t xml:space="preserve">3, כאשר </w:t>
      </w:r>
      <w:r w:rsidRPr="001F2586">
        <w:rPr>
          <w:rFonts w:eastAsia="Calibri" w:hint="cs"/>
          <w:rtl/>
        </w:rPr>
        <w:t>שיעור גבוה מ</w:t>
      </w:r>
      <w:r w:rsidRPr="001F2586">
        <w:rPr>
          <w:rFonts w:eastAsia="Calibri"/>
          <w:rtl/>
        </w:rPr>
        <w:t xml:space="preserve">האוכלוסייה מתגוררת באזורים </w:t>
      </w:r>
      <w:r w:rsidRPr="001F2586">
        <w:rPr>
          <w:rFonts w:eastAsia="Calibri" w:hint="cs"/>
          <w:rtl/>
        </w:rPr>
        <w:t xml:space="preserve">הנמצאים </w:t>
      </w:r>
      <w:r w:rsidRPr="001F2586">
        <w:rPr>
          <w:rFonts w:eastAsia="Calibri"/>
          <w:rtl/>
        </w:rPr>
        <w:t xml:space="preserve">באשכול </w:t>
      </w:r>
      <w:r w:rsidRPr="001F2586">
        <w:rPr>
          <w:rFonts w:eastAsia="Calibri" w:hint="cs"/>
          <w:rtl/>
        </w:rPr>
        <w:t>1</w:t>
      </w:r>
      <w:r>
        <w:rPr>
          <w:rFonts w:eastAsia="Calibri"/>
          <w:vertAlign w:val="superscript"/>
          <w:rtl/>
        </w:rPr>
        <w:footnoteReference w:id="349"/>
      </w:r>
      <w:r w:rsidRPr="001F2586">
        <w:rPr>
          <w:rFonts w:eastAsia="Calibri"/>
          <w:rtl/>
        </w:rPr>
        <w:t>.</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 xml:space="preserve">צעדים ממשלתיים לטיפול בחוסר נגישות האוכלוסייה הערבית ללקיחת משכנתא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לאורך השנים עסקו החלטות ממשלה שונות וצוותים בין משרדיים שונים בקידום פתרונות לסוגיית הדיור במגזר הערבי. ההמלצה העיקרית הייתה רישום מסודר במרשם המקרקעין של הזכויות בנכסים, צעד שיכול להגדיל את היכולת של הלווים להעמיד את הנכסים כבטוחה ולכן יפחית את הסיכון עבור הבנקים בעת מתן המשכנתא. להלן השתלשלות החלטות הממשלה השונות והצוותים הבין משרדיים שהוקמו במהלך השנים שנגעו בין היתר במחסור במשכנתאות בחברה הערבית: </w:t>
      </w:r>
    </w:p>
    <w:p w:rsidR="001F2586" w:rsidRPr="001F2586" w:rsidP="001F2586">
      <w:pPr>
        <w:spacing w:line="269" w:lineRule="auto"/>
        <w:ind w:left="-567"/>
        <w:rPr>
          <w:rFonts w:eastAsia="Calibri"/>
          <w:szCs w:val="20"/>
          <w:rtl/>
        </w:rPr>
      </w:pPr>
    </w:p>
    <w:p w:rsidR="001F2586" w:rsidRPr="001F2586" w:rsidP="001F2586">
      <w:pPr>
        <w:numPr>
          <w:ilvl w:val="0"/>
          <w:numId w:val="21"/>
        </w:numPr>
        <w:spacing w:line="269" w:lineRule="auto"/>
        <w:contextualSpacing/>
        <w:rPr>
          <w:rFonts w:eastAsia="Calibri"/>
        </w:rPr>
      </w:pPr>
      <w:r w:rsidRPr="001F2586">
        <w:rPr>
          <w:rFonts w:eastAsia="Times New Roman" w:hint="cs"/>
          <w:bCs/>
          <w:spacing w:val="40"/>
          <w:rtl/>
        </w:rPr>
        <w:t>הקמת צוות בין משרדי ביולי 2015</w:t>
      </w:r>
      <w:r w:rsidRPr="001F2586">
        <w:rPr>
          <w:rFonts w:eastAsia="Calibri" w:hint="cs"/>
          <w:b/>
          <w:bCs/>
          <w:rtl/>
        </w:rPr>
        <w:t>:</w:t>
      </w:r>
      <w:r w:rsidRPr="001F2586">
        <w:rPr>
          <w:rFonts w:eastAsia="Calibri" w:hint="cs"/>
          <w:rtl/>
        </w:rPr>
        <w:t xml:space="preserve"> משנת 2000 קיבלו ממשלות ישראל כמה החלטות לפתרון בעיית דיור במגזר המיעוטים אולם הכלים שהופעלו במסגרת החלטות אלה לא הביאו לפתרון הבעיה או תרמו לפתרונה באופן מועט. בעקבות זאת החליטה הממשלה בדצמבר 2014 להקים צוות בין משרדי שיגבש בתוך 120 ימים תכנית לטיפול במצוקת הדיור ביישובי המיעוטים. </w:t>
      </w:r>
      <w:r w:rsidRPr="001F2586">
        <w:rPr>
          <w:rFonts w:eastAsia="Calibri"/>
          <w:rtl/>
        </w:rPr>
        <w:t>הצוות, בראשות מנכ"ל משרד האוצר, כלל נציגים ממשרד האוצר והבינוי, מינהל התכנון, רשות מקרקעי ישראל, המשרד להגנת הסביבה, התחבורה והבטיחות בדרכים, הרשות לפיתוח כלכלי של המגזר הערבי, הדרוזי והצ'רקסי במשרד ראש הממשלה, רשות המסים והיועץ המשפטי לממשלה</w:t>
      </w:r>
      <w:r w:rsidRPr="001F2586">
        <w:rPr>
          <w:rFonts w:eastAsia="Calibri" w:hint="cs"/>
          <w:rtl/>
        </w:rPr>
        <w:t xml:space="preserve"> היה אמור לגבש בתוך 120 יום תכנית לטיפול במצוקת הדיור הערבי. במסגרת דוח צוות 120 הימים </w:t>
      </w:r>
      <w:r w:rsidRPr="001F2586">
        <w:rPr>
          <w:rFonts w:eastAsia="Calibri"/>
          <w:rtl/>
        </w:rPr>
        <w:t xml:space="preserve">הוצג השיעור הגבוה של מכרזים לשיווק קרקעות </w:t>
      </w:r>
      <w:r w:rsidRPr="001F2586">
        <w:rPr>
          <w:rFonts w:eastAsia="Calibri"/>
          <w:rtl/>
        </w:rPr>
        <w:t>מדינה שנכשלו בישובים הערביים, וצוין כי</w:t>
      </w:r>
      <w:r w:rsidRPr="001F2586">
        <w:rPr>
          <w:rFonts w:eastAsia="Calibri" w:hint="cs"/>
          <w:rtl/>
        </w:rPr>
        <w:t xml:space="preserve"> </w:t>
      </w:r>
      <w:r w:rsidRPr="001F2586">
        <w:rPr>
          <w:rFonts w:eastAsia="Calibri"/>
          <w:rtl/>
        </w:rPr>
        <w:t>הסיבה לכך היא בין השאר קושי בקבלת מימון, הן של יזמים המבקשים לקבל מימון לביצוע פרויקטים והן של תושבים</w:t>
      </w:r>
      <w:r w:rsidRPr="001F2586">
        <w:rPr>
          <w:rFonts w:eastAsia="Calibri" w:hint="cs"/>
          <w:rtl/>
        </w:rPr>
        <w:t xml:space="preserve"> </w:t>
      </w:r>
      <w:r w:rsidRPr="001F2586">
        <w:rPr>
          <w:rFonts w:eastAsia="Calibri"/>
          <w:rtl/>
        </w:rPr>
        <w:t>המבקשים לקבל הלוואות לרכישת דירות בהלוואות משכנתא</w:t>
      </w:r>
      <w:r>
        <w:rPr>
          <w:rFonts w:eastAsia="Calibri"/>
          <w:vertAlign w:val="superscript"/>
          <w:rtl/>
        </w:rPr>
        <w:footnoteReference w:id="350"/>
      </w:r>
      <w:r w:rsidRPr="001F2586">
        <w:rPr>
          <w:rFonts w:eastAsia="Calibri" w:hint="cs"/>
          <w:rtl/>
        </w:rPr>
        <w:t>. הצ</w:t>
      </w:r>
      <w:r w:rsidRPr="001F2586">
        <w:rPr>
          <w:rFonts w:eastAsia="Calibri"/>
          <w:rtl/>
        </w:rPr>
        <w:t>וות לא עסק בסוגיית המימון בהיקף הדרוש לגיבוש פתרונות עומק משמעותיים. הצוות</w:t>
      </w:r>
      <w:r w:rsidRPr="001F2586">
        <w:rPr>
          <w:rFonts w:eastAsia="Calibri" w:hint="cs"/>
          <w:rtl/>
        </w:rPr>
        <w:t xml:space="preserve"> המליץ</w:t>
      </w:r>
      <w:r w:rsidRPr="001F2586">
        <w:rPr>
          <w:rFonts w:eastAsia="Calibri"/>
          <w:rtl/>
        </w:rPr>
        <w:t xml:space="preserve"> כי תתקיים בחינה נוספת בשיתוף החשב הכללי והמפקח על הבנקים על מנת</w:t>
      </w:r>
      <w:r w:rsidRPr="001F2586">
        <w:rPr>
          <w:rFonts w:eastAsia="Calibri" w:hint="cs"/>
          <w:rtl/>
        </w:rPr>
        <w:t xml:space="preserve"> </w:t>
      </w:r>
      <w:r w:rsidRPr="001F2586">
        <w:rPr>
          <w:rFonts w:eastAsia="Calibri"/>
          <w:rtl/>
        </w:rPr>
        <w:t xml:space="preserve">לגבש דרכי פעולה אפשריות לסיוע בקשיים </w:t>
      </w:r>
      <w:r w:rsidRPr="001F2586">
        <w:rPr>
          <w:rFonts w:eastAsia="Calibri"/>
          <w:rtl/>
        </w:rPr>
        <w:t>מימוניים</w:t>
      </w:r>
      <w:r w:rsidRPr="001F2586">
        <w:rPr>
          <w:rFonts w:eastAsia="Calibri"/>
          <w:rtl/>
        </w:rPr>
        <w:t xml:space="preserve"> המתעוררים </w:t>
      </w:r>
      <w:r w:rsidRPr="001F2586">
        <w:rPr>
          <w:rFonts w:eastAsia="Calibri" w:hint="cs"/>
          <w:rtl/>
        </w:rPr>
        <w:t>במגזר הערבי</w:t>
      </w:r>
      <w:r w:rsidRPr="001F2586">
        <w:rPr>
          <w:rFonts w:eastAsia="Calibri"/>
          <w:rtl/>
        </w:rPr>
        <w:t>, הן עבור משקי</w:t>
      </w:r>
      <w:r w:rsidRPr="001F2586">
        <w:rPr>
          <w:rFonts w:eastAsia="Calibri" w:hint="cs"/>
          <w:rtl/>
        </w:rPr>
        <w:t xml:space="preserve"> </w:t>
      </w:r>
      <w:r w:rsidRPr="001F2586">
        <w:rPr>
          <w:rFonts w:eastAsia="Calibri"/>
          <w:rtl/>
        </w:rPr>
        <w:t>הבית והן עבור יזמים, לצורך קידום בנייה למגורים במגזר הערב</w:t>
      </w:r>
      <w:r w:rsidRPr="001F2586">
        <w:rPr>
          <w:rFonts w:eastAsia="Calibri" w:hint="cs"/>
          <w:rtl/>
        </w:rPr>
        <w:t>י. באוגוסט 2015 החליטה הממשלה לאמץ באופן עקרוני את דוח צוות 120 הימים</w:t>
      </w:r>
      <w:r>
        <w:rPr>
          <w:rFonts w:eastAsia="Calibri"/>
          <w:vertAlign w:val="superscript"/>
          <w:rtl/>
        </w:rPr>
        <w:footnoteReference w:id="351"/>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numPr>
          <w:ilvl w:val="0"/>
          <w:numId w:val="21"/>
        </w:numPr>
        <w:spacing w:line="269" w:lineRule="auto"/>
        <w:contextualSpacing/>
        <w:rPr>
          <w:rFonts w:eastAsia="Calibri"/>
        </w:rPr>
      </w:pPr>
      <w:r w:rsidRPr="001F2586">
        <w:rPr>
          <w:rFonts w:eastAsia="Times New Roman" w:hint="cs"/>
          <w:bCs/>
          <w:spacing w:val="40"/>
          <w:rtl/>
        </w:rPr>
        <w:t>צוות בין-משרדי לגיבוש תכנית לאומית להגברת ההכלה הפיננסית:</w:t>
      </w:r>
      <w:r w:rsidRPr="001F2586">
        <w:rPr>
          <w:rFonts w:eastAsia="Calibri" w:hint="cs"/>
          <w:rtl/>
        </w:rPr>
        <w:t xml:space="preserve"> בדצמבר 2020 </w:t>
      </w:r>
      <w:r w:rsidRPr="001F2586">
        <w:rPr>
          <w:rFonts w:eastAsia="Calibri"/>
          <w:rtl/>
        </w:rPr>
        <w:t xml:space="preserve">הוקם ע"י נגיד בנק ישראל, שר המשפטים ושרת המשרד לשוויון חברתי צוות בין- משרדי לגיבוש תכנית להגברת ההכלה הפיננסית </w:t>
      </w:r>
      <w:r w:rsidRPr="001F2586">
        <w:rPr>
          <w:rFonts w:eastAsia="Calibri" w:hint="cs"/>
          <w:rtl/>
        </w:rPr>
        <w:t>הלאומית. ב</w:t>
      </w:r>
      <w:r w:rsidRPr="001F2586">
        <w:rPr>
          <w:rFonts w:eastAsia="Calibri" w:hint="eastAsia"/>
          <w:rtl/>
        </w:rPr>
        <w:t>יולי</w:t>
      </w:r>
      <w:r w:rsidRPr="001F2586">
        <w:rPr>
          <w:rFonts w:eastAsia="Calibri"/>
          <w:rtl/>
        </w:rPr>
        <w:t xml:space="preserve"> 2022 פרסם הצוות את מסקנותיו. חזון בנק ישראל לשנת 2030 בנושא הכלה פיננסית היה כי שיעור מקבלי המשכנתאות בחברה הערבית יעמוד על כמחצית משיעור מקבלי המשכנתאות בחבר</w:t>
      </w:r>
      <w:r w:rsidRPr="001F2586">
        <w:rPr>
          <w:rFonts w:eastAsia="Calibri" w:hint="cs"/>
          <w:rtl/>
        </w:rPr>
        <w:t>ה</w:t>
      </w:r>
      <w:r w:rsidRPr="001F2586">
        <w:rPr>
          <w:rFonts w:eastAsia="Calibri"/>
          <w:rtl/>
        </w:rPr>
        <w:t xml:space="preserve"> הישראלית הכוללת. בנוסף</w:t>
      </w:r>
      <w:r w:rsidRPr="001F2586">
        <w:rPr>
          <w:rFonts w:eastAsia="Calibri" w:hint="cs"/>
          <w:rtl/>
        </w:rPr>
        <w:t>,</w:t>
      </w:r>
      <w:r w:rsidRPr="001F2586">
        <w:rPr>
          <w:rFonts w:eastAsia="Calibri"/>
          <w:rtl/>
        </w:rPr>
        <w:t xml:space="preserve"> בבנייה על קרקע מוסדרת על פי היתרים, שיעור מקבלי המשכנתאות בחברה הערבית יהיה זהה לשיעור מקבלי המשכנתאות בחברה היהודית. </w:t>
      </w:r>
    </w:p>
    <w:p w:rsidR="001F2586" w:rsidRPr="001F2586" w:rsidP="001F2586">
      <w:pPr>
        <w:spacing w:line="269" w:lineRule="auto"/>
        <w:ind w:left="-567"/>
        <w:rPr>
          <w:rFonts w:eastAsia="Calibri"/>
          <w:szCs w:val="20"/>
          <w:rtl/>
        </w:rPr>
      </w:pPr>
    </w:p>
    <w:p w:rsidR="001F2586" w:rsidRPr="001F2586" w:rsidP="001F2586">
      <w:pPr>
        <w:spacing w:line="269" w:lineRule="auto"/>
        <w:ind w:left="360"/>
        <w:contextualSpacing/>
        <w:rPr>
          <w:rFonts w:eastAsia="Calibri"/>
        </w:rPr>
      </w:pPr>
      <w:r w:rsidRPr="001F2586">
        <w:rPr>
          <w:rFonts w:eastAsia="Calibri" w:hint="cs"/>
          <w:rtl/>
        </w:rPr>
        <w:t>צוות המשנה לענייני הכלה פיננסית בחברה הערבית בראשות מנכ"לית המשרד לשוויון חברתי</w:t>
      </w:r>
      <w:r w:rsidRPr="001F2586">
        <w:rPr>
          <w:rFonts w:eastAsia="Calibri"/>
          <w:rtl/>
        </w:rPr>
        <w:t xml:space="preserve"> </w:t>
      </w:r>
      <w:r w:rsidRPr="001F2586">
        <w:rPr>
          <w:rFonts w:eastAsia="Calibri" w:hint="cs"/>
          <w:rtl/>
        </w:rPr>
        <w:t xml:space="preserve">(להלן - צוות המשנה) </w:t>
      </w:r>
      <w:r w:rsidRPr="001F2586">
        <w:rPr>
          <w:rFonts w:eastAsia="Calibri"/>
          <w:rtl/>
        </w:rPr>
        <w:t>המליץ על מספר דרכים על מנת להתמודד עם הקשיים בנושא המשכנתא בחברה הערבית: (</w:t>
      </w:r>
      <w:r w:rsidRPr="001F2586">
        <w:rPr>
          <w:rFonts w:eastAsia="Calibri" w:hint="cs"/>
          <w:rtl/>
        </w:rPr>
        <w:t>א</w:t>
      </w:r>
      <w:r w:rsidRPr="001F2586">
        <w:rPr>
          <w:rFonts w:eastAsia="Calibri"/>
          <w:rtl/>
        </w:rPr>
        <w:t>) ערבות חלקית של המדינה למשכנתאות ביישובי החברה הערבית; (</w:t>
      </w:r>
      <w:r w:rsidRPr="001F2586">
        <w:rPr>
          <w:rFonts w:eastAsia="Calibri" w:hint="cs"/>
          <w:rtl/>
        </w:rPr>
        <w:t>ב</w:t>
      </w:r>
      <w:r w:rsidRPr="001F2586">
        <w:rPr>
          <w:rFonts w:eastAsia="Calibri"/>
          <w:rtl/>
        </w:rPr>
        <w:t>) תיקון אופן הרישום במכרזי רשות מקרקעי ישראל בבנייה רוויה ביישובים החברה הערבית; (</w:t>
      </w:r>
      <w:r w:rsidRPr="001F2586">
        <w:rPr>
          <w:rFonts w:eastAsia="Calibri" w:hint="cs"/>
          <w:rtl/>
        </w:rPr>
        <w:t>ג</w:t>
      </w:r>
      <w:r w:rsidRPr="001F2586">
        <w:rPr>
          <w:rFonts w:eastAsia="Calibri"/>
          <w:rtl/>
        </w:rPr>
        <w:t>) הבהרות להוראת הפיקוח על הבנקים בנוגע לאופן העמדת הלוואות לדיור ללא משכון נכס.</w:t>
      </w:r>
      <w:r w:rsidRPr="001F2586">
        <w:rPr>
          <w:rFonts w:eastAsia="Calibri" w:hint="cs"/>
          <w:rtl/>
        </w:rPr>
        <w:t xml:space="preserve"> צוות המשנה הציע מספר פתרונות ופעל במטרה לכלול אותם במסגרת החלטות ממשלה מתאימות. </w:t>
      </w:r>
    </w:p>
    <w:p w:rsidR="001F2586" w:rsidRPr="001F2586" w:rsidP="001F2586">
      <w:pPr>
        <w:spacing w:line="269" w:lineRule="auto"/>
        <w:ind w:left="-567"/>
        <w:rPr>
          <w:rFonts w:eastAsia="Calibri"/>
          <w:szCs w:val="20"/>
          <w:rtl/>
        </w:rPr>
      </w:pPr>
    </w:p>
    <w:p w:rsidR="001F2586" w:rsidRPr="001F2586" w:rsidP="001F2586">
      <w:pPr>
        <w:numPr>
          <w:ilvl w:val="0"/>
          <w:numId w:val="21"/>
        </w:numPr>
        <w:spacing w:line="269" w:lineRule="auto"/>
        <w:contextualSpacing/>
        <w:rPr>
          <w:rFonts w:eastAsia="Calibri"/>
        </w:rPr>
      </w:pPr>
      <w:r w:rsidRPr="001F2586">
        <w:rPr>
          <w:rFonts w:eastAsia="Times New Roman" w:hint="cs"/>
          <w:bCs/>
          <w:spacing w:val="40"/>
          <w:rtl/>
        </w:rPr>
        <w:t xml:space="preserve">החלטת ממשלה מס' 852 מיום 1.3.21 בנושא </w:t>
      </w:r>
      <w:hyperlink r:id="rId71" w:history="1">
        <w:r w:rsidRPr="001F2586">
          <w:rPr>
            <w:rFonts w:eastAsia="Times New Roman"/>
            <w:bCs/>
            <w:spacing w:val="40"/>
            <w:rtl/>
          </w:rPr>
          <w:t>מדיניות ממשלתית לטיפול בתופעות הפשיעה והאלימות בחברה הערבית והעצמת החברה הערבית בישראל ותיקון החלטות ממש</w:t>
        </w:r>
        <w:r w:rsidRPr="001F2586">
          <w:rPr>
            <w:rFonts w:eastAsia="Times New Roman" w:hint="cs"/>
            <w:bCs/>
            <w:spacing w:val="40"/>
            <w:rtl/>
          </w:rPr>
          <w:t>לה:</w:t>
        </w:r>
      </w:hyperlink>
      <w:r w:rsidRPr="001F2586">
        <w:rPr>
          <w:rFonts w:eastAsia="Calibri" w:hint="cs"/>
          <w:rtl/>
        </w:rPr>
        <w:t xml:space="preserve"> בהחלטה נקבע</w:t>
      </w:r>
      <w:r w:rsidRPr="001F2586">
        <w:rPr>
          <w:rFonts w:eastAsia="Calibri"/>
          <w:rtl/>
        </w:rPr>
        <w:t xml:space="preserve"> </w:t>
      </w:r>
      <w:r w:rsidRPr="001F2586">
        <w:rPr>
          <w:rFonts w:eastAsia="Calibri" w:hint="cs"/>
          <w:rtl/>
        </w:rPr>
        <w:t xml:space="preserve">כי </w:t>
      </w:r>
      <w:r w:rsidRPr="001F2586">
        <w:rPr>
          <w:rFonts w:eastAsia="Calibri"/>
          <w:rtl/>
        </w:rPr>
        <w:t>שרי המשפטים ו</w:t>
      </w:r>
      <w:r w:rsidRPr="001F2586">
        <w:rPr>
          <w:rFonts w:eastAsia="Calibri" w:hint="cs"/>
          <w:rtl/>
        </w:rPr>
        <w:t>ה</w:t>
      </w:r>
      <w:r w:rsidRPr="001F2586">
        <w:rPr>
          <w:rFonts w:eastAsia="Calibri"/>
          <w:rtl/>
        </w:rPr>
        <w:t xml:space="preserve">שוויון </w:t>
      </w:r>
      <w:r w:rsidRPr="001F2586">
        <w:rPr>
          <w:rFonts w:eastAsia="Calibri" w:hint="cs"/>
          <w:rtl/>
        </w:rPr>
        <w:t>ה</w:t>
      </w:r>
      <w:r w:rsidRPr="001F2586">
        <w:rPr>
          <w:rFonts w:eastAsia="Calibri"/>
          <w:rtl/>
        </w:rPr>
        <w:t xml:space="preserve">חברתי ונגיד בנק ישראל </w:t>
      </w:r>
      <w:r w:rsidRPr="001F2586">
        <w:rPr>
          <w:rFonts w:eastAsia="Calibri" w:hint="cs"/>
          <w:rtl/>
        </w:rPr>
        <w:t>יקימו</w:t>
      </w:r>
      <w:r w:rsidRPr="001F2586">
        <w:rPr>
          <w:rFonts w:eastAsia="Calibri"/>
          <w:rtl/>
        </w:rPr>
        <w:t xml:space="preserve"> צוות שיפעל לגיבוש תכנית לאומית להגברת ההכלה הפיננסית</w:t>
      </w:r>
      <w:r>
        <w:rPr>
          <w:rFonts w:eastAsia="Calibri"/>
          <w:vertAlign w:val="superscript"/>
          <w:rtl/>
        </w:rPr>
        <w:footnoteReference w:id="352"/>
      </w:r>
      <w:r w:rsidRPr="001F2586">
        <w:rPr>
          <w:rFonts w:eastAsia="Calibri"/>
          <w:rtl/>
        </w:rPr>
        <w:t xml:space="preserve"> במשק הישראלי. בין היתר, הצוות ימפה את הפערים בהכלה הפיננסית בישראל לרבות תחום האשראי בכללותו, ובין היתר האשראי לדיור, בהסתמך על הספרות המקצועית ועל </w:t>
      </w:r>
      <w:r w:rsidRPr="001F2586">
        <w:rPr>
          <w:rFonts w:eastAsia="Calibri" w:hint="cs"/>
          <w:rtl/>
        </w:rPr>
        <w:t>פרקטיקות</w:t>
      </w:r>
      <w:r w:rsidRPr="001F2586">
        <w:rPr>
          <w:rFonts w:eastAsia="Calibri"/>
          <w:rtl/>
        </w:rPr>
        <w:t xml:space="preserve"> נהוגות בעולם, ויגבש המלצות לצעדי מדיניות אופרטיביים. נוכח האתגרים הייחודים של החברה הערבית בתחום זה, </w:t>
      </w:r>
      <w:r w:rsidRPr="001F2586">
        <w:rPr>
          <w:rFonts w:eastAsia="Calibri" w:hint="cs"/>
          <w:rtl/>
        </w:rPr>
        <w:t xml:space="preserve">נקבע כי יינתן </w:t>
      </w:r>
      <w:r w:rsidRPr="001F2586">
        <w:rPr>
          <w:rFonts w:eastAsia="Calibri"/>
          <w:rtl/>
        </w:rPr>
        <w:t xml:space="preserve">דגש מיוחד בעבודת הצוות למיפוי החסמים והאתגרים הייחודיים לחברה הערבית ולהצעת חלופות להסרת אותם חסמים, והכול בשים לב ללוחות הזמנים שייקבעו לאישור התוכנית ההמשכית הרב-שנתית לפיתוח כלכלי-חברתי בחברה הערבית. </w:t>
      </w:r>
    </w:p>
    <w:p w:rsidR="001F2586" w:rsidRPr="001F2586" w:rsidP="001F2586">
      <w:pPr>
        <w:spacing w:line="269" w:lineRule="auto"/>
        <w:ind w:left="-567"/>
        <w:rPr>
          <w:rFonts w:eastAsia="Calibri"/>
          <w:szCs w:val="20"/>
          <w:rtl/>
        </w:rPr>
      </w:pPr>
    </w:p>
    <w:p w:rsidR="001F2586" w:rsidRPr="001F2586" w:rsidP="001F2586">
      <w:pPr>
        <w:numPr>
          <w:ilvl w:val="0"/>
          <w:numId w:val="21"/>
        </w:numPr>
        <w:spacing w:line="269" w:lineRule="auto"/>
        <w:contextualSpacing/>
        <w:rPr>
          <w:rFonts w:eastAsia="Calibri"/>
        </w:rPr>
      </w:pPr>
      <w:r w:rsidRPr="001F2586">
        <w:rPr>
          <w:rFonts w:eastAsia="Times New Roman" w:hint="cs"/>
          <w:bCs/>
          <w:spacing w:val="40"/>
          <w:rtl/>
        </w:rPr>
        <w:t>החלטת ממשלה מספר 549 של הממשלה מיום 24.10.21 בנושא תכנית לטיפול בתופעות הפשיעה והאלימות בחברה הערבית 2022 -2026</w:t>
      </w:r>
      <w:r w:rsidRPr="001F2586">
        <w:rPr>
          <w:rFonts w:eastAsia="Calibri" w:hint="cs"/>
          <w:b/>
          <w:bCs/>
          <w:rtl/>
        </w:rPr>
        <w:t xml:space="preserve">: </w:t>
      </w:r>
      <w:r w:rsidRPr="001F2586">
        <w:rPr>
          <w:rFonts w:eastAsia="Calibri" w:hint="cs"/>
          <w:rtl/>
        </w:rPr>
        <w:t>ההחלטה התקבלה</w:t>
      </w:r>
      <w:r w:rsidRPr="001F2586">
        <w:rPr>
          <w:rFonts w:eastAsia="Calibri" w:hint="cs"/>
          <w:b/>
          <w:bCs/>
          <w:rtl/>
        </w:rPr>
        <w:t xml:space="preserve"> </w:t>
      </w:r>
      <w:r w:rsidRPr="001F2586">
        <w:rPr>
          <w:rFonts w:eastAsia="Calibri" w:hint="cs"/>
          <w:rtl/>
        </w:rPr>
        <w:t xml:space="preserve">בשל התגברות מקרי הרצח והאלימות הנובעים מגורמי הפשיעה בחברה הערבית ובמטרה להביא למיגורם. בין הסעיפים שהתקבלו בהחלטה צוין בסעיף 4 כי על סגן השר במשרד לביטחון פנים </w:t>
      </w:r>
      <w:r w:rsidRPr="001F2586">
        <w:rPr>
          <w:rFonts w:eastAsia="Calibri" w:hint="cs"/>
          <w:rtl/>
        </w:rPr>
        <w:t>לתכלל</w:t>
      </w:r>
      <w:r w:rsidRPr="001F2586">
        <w:rPr>
          <w:rFonts w:eastAsia="Calibri" w:hint="cs"/>
          <w:rtl/>
        </w:rPr>
        <w:t xml:space="preserve"> מבצע חירום אשר בין היתר יכלול "קידום הליכי חקיקה נדרשים וקידום מהלכים נוספים שיהיה בהם לסייע לצמצום הפשיעה, וביניהם צמצום תופעת החדירה של גורמי הפשיעה למכרזים ברשויות המקומיות, תופעות הנוגעות לפשיעה בשוק השחור, שימוש במזומן ועוד". בהתאם להחלטת הממשלה בנובמבר 2021 מונה מנכ"ל משרד האוצר לעמוד בראש צוות בין משרדי לבחינת תופעת הפשיעה בחברה הערבית הנובעת </w:t>
      </w:r>
      <w:r w:rsidRPr="001F2586">
        <w:rPr>
          <w:rFonts w:eastAsia="Calibri" w:hint="cs"/>
          <w:rtl/>
        </w:rPr>
        <w:t>מהתנהלות השוק השחור בתחום הפיננסי. במאי 2022 פרסם הצוות את מסקנותיו</w:t>
      </w:r>
      <w:r>
        <w:rPr>
          <w:rFonts w:eastAsia="Calibri"/>
          <w:vertAlign w:val="superscript"/>
          <w:rtl/>
        </w:rPr>
        <w:footnoteReference w:id="353"/>
      </w:r>
      <w:r w:rsidRPr="001F2586">
        <w:rPr>
          <w:rFonts w:eastAsia="Calibri" w:hint="cs"/>
          <w:rtl/>
        </w:rPr>
        <w:t>.</w:t>
      </w:r>
      <w:r w:rsidRPr="001F2586">
        <w:rPr>
          <w:rFonts w:eastAsia="Calibri" w:hint="cs"/>
          <w:b/>
          <w:bCs/>
          <w:rtl/>
        </w:rPr>
        <w:t xml:space="preserve"> </w:t>
      </w:r>
      <w:r w:rsidRPr="001F2586">
        <w:rPr>
          <w:rFonts w:eastAsia="Calibri" w:hint="cs"/>
          <w:rtl/>
        </w:rPr>
        <w:t>בדוח צוין כי הרחבת הפעילות מול השוק הפיננסי על מגוון המוצרים היא אחד מהכלים הבולטים להעברת הפעילות הכלכלית שמקיימים חלקים בחברה הערבית בשוק השחור אל תוך המערכת הפיננסית המוסדרת. כאמור, היעדר נגישות של המגזר הערבי למשכנתאות בנקאיות לעיתים גורם לכך שהלווים פונים לקבל אשראי אצל מלווים חוץ בנקאיים או בשווקים המזוהים כבעייתיים.</w:t>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numPr>
          <w:ilvl w:val="0"/>
          <w:numId w:val="21"/>
        </w:numPr>
        <w:spacing w:line="269" w:lineRule="auto"/>
        <w:contextualSpacing/>
        <w:rPr>
          <w:rFonts w:eastAsia="Calibri"/>
          <w:rtl/>
        </w:rPr>
      </w:pPr>
      <w:r w:rsidRPr="001F2586">
        <w:rPr>
          <w:rFonts w:eastAsia="Times New Roman" w:hint="cs"/>
          <w:bCs/>
          <w:spacing w:val="40"/>
          <w:rtl/>
        </w:rPr>
        <w:t>החלטת ממשלה</w:t>
      </w:r>
      <w:r w:rsidRPr="001F2586">
        <w:rPr>
          <w:rFonts w:eastAsia="Times New Roman"/>
          <w:bCs/>
          <w:spacing w:val="40"/>
          <w:rtl/>
        </w:rPr>
        <w:t xml:space="preserve"> מספר 550 </w:t>
      </w:r>
      <w:r w:rsidRPr="001F2586">
        <w:rPr>
          <w:rFonts w:eastAsia="Times New Roman" w:hint="cs"/>
          <w:bCs/>
          <w:spacing w:val="40"/>
          <w:rtl/>
        </w:rPr>
        <w:t xml:space="preserve">של הממשלה </w:t>
      </w:r>
      <w:r w:rsidRPr="001F2586">
        <w:rPr>
          <w:rFonts w:eastAsia="Times New Roman"/>
          <w:bCs/>
          <w:spacing w:val="40"/>
          <w:rtl/>
        </w:rPr>
        <w:t>מיום 24.10.2021</w:t>
      </w:r>
      <w:r w:rsidRPr="001F2586">
        <w:rPr>
          <w:rFonts w:eastAsia="Times New Roman" w:hint="cs"/>
          <w:bCs/>
          <w:spacing w:val="40"/>
          <w:rtl/>
        </w:rPr>
        <w:t xml:space="preserve"> בנושא </w:t>
      </w:r>
      <w:r w:rsidRPr="001F2586">
        <w:rPr>
          <w:rFonts w:eastAsia="Times New Roman"/>
          <w:bCs/>
          <w:spacing w:val="40"/>
          <w:rtl/>
        </w:rPr>
        <w:t>התוכנית הכלכלית לצמצום פערים בחברה הערבית עד לשנת 2026</w:t>
      </w:r>
      <w:r w:rsidRPr="001F2586">
        <w:rPr>
          <w:rFonts w:eastAsia="Times New Roman" w:hint="cs"/>
          <w:bCs/>
          <w:spacing w:val="40"/>
          <w:rtl/>
        </w:rPr>
        <w:t>:</w:t>
      </w:r>
      <w:r w:rsidRPr="001F2586">
        <w:rPr>
          <w:rFonts w:eastAsia="Calibri" w:hint="cs"/>
          <w:b/>
          <w:rtl/>
        </w:rPr>
        <w:t xml:space="preserve"> בהחלטה נקבע כי בהמשך להחלטת ממשלה מס' 852 </w:t>
      </w:r>
      <w:r w:rsidRPr="001F2586">
        <w:rPr>
          <w:rFonts w:eastAsia="Calibri"/>
          <w:b/>
          <w:rtl/>
        </w:rPr>
        <w:t>ובהמשך לעבודת צוות</w:t>
      </w:r>
      <w:r w:rsidRPr="001F2586">
        <w:rPr>
          <w:rFonts w:eastAsia="Calibri" w:hint="cs"/>
          <w:b/>
          <w:rtl/>
        </w:rPr>
        <w:t xml:space="preserve"> המשנה להכלה פיננסית</w:t>
      </w:r>
      <w:r w:rsidRPr="001F2586">
        <w:rPr>
          <w:rFonts w:eastAsia="Calibri"/>
          <w:b/>
          <w:rtl/>
        </w:rPr>
        <w:t xml:space="preserve"> ולאור פערים הקיימים בנגישות החברה הערבית לשוק האשראי למשכנתאות</w:t>
      </w:r>
      <w:r w:rsidRPr="001F2586">
        <w:rPr>
          <w:rFonts w:eastAsia="Calibri" w:hint="cs"/>
          <w:b/>
          <w:rtl/>
        </w:rPr>
        <w:t xml:space="preserve">, הממשלה תנחה את שר האוצר לבצע מספר פעולות שהעיקרית תהיה </w:t>
      </w:r>
      <w:r w:rsidRPr="001F2586">
        <w:rPr>
          <w:rFonts w:eastAsia="Calibri" w:hint="cs"/>
          <w:rtl/>
        </w:rPr>
        <w:t xml:space="preserve">הכפלת </w:t>
      </w:r>
      <w:r w:rsidRPr="001F2586">
        <w:rPr>
          <w:rFonts w:eastAsia="Calibri"/>
          <w:rtl/>
        </w:rPr>
        <w:t xml:space="preserve">שיעור מקבלי המשכנתאות מהחברה הערבית המתגוררים ביישובי התוכנית בתוך חמש שנים, כך </w:t>
      </w:r>
      <w:r w:rsidRPr="001F2586">
        <w:rPr>
          <w:rFonts w:eastAsia="Calibri"/>
          <w:rtl/>
        </w:rPr>
        <w:t>שרוכשי</w:t>
      </w:r>
      <w:r w:rsidRPr="001F2586">
        <w:rPr>
          <w:rFonts w:eastAsia="Calibri"/>
          <w:rtl/>
        </w:rPr>
        <w:t xml:space="preserve"> דירות אשר אינם זכאים לקבל משכנתא בשל חסמים מבניים ובין היתר, בשל הקושי לרישום הנכס במרשמי המקרקעין או היעדר סחירות, יהיו זכאים לקבלת אשראי בתנאי משכנתא מגופים פיננסיים</w:t>
      </w:r>
      <w:r w:rsidRPr="001F2586">
        <w:rPr>
          <w:rFonts w:eastAsia="Calibri" w:hint="cs"/>
          <w:rtl/>
        </w:rPr>
        <w:t>. עוד נקבע כי תוקם</w:t>
      </w:r>
      <w:r w:rsidRPr="001F2586">
        <w:rPr>
          <w:rFonts w:eastAsia="Calibri"/>
          <w:rtl/>
        </w:rPr>
        <w:t xml:space="preserve"> ועדה בראשות מנכ"ל משרד האוצר, ובהשתתפות נציג אגף התקציבים במשרד האוצר, נציג החשב הכללי במשרד האוצר, נציג משרד ראש הממשלה, נציג משרד המשפטים, נציג המפקח על הבנקים, נציג הרשות להלבנת הון ומנהל הרשות לפיתוח כלכלי במגזר המיעוטים לבחינת הגברת נגישותה של החברה הערבית לאשראי לדיור וסוגיית האשראי החוץ בנקאי.</w:t>
      </w:r>
      <w:r w:rsidRPr="001F2586">
        <w:rPr>
          <w:rFonts w:eastAsia="Calibri" w:hint="cs"/>
          <w:rtl/>
        </w:rPr>
        <w:t xml:space="preserve"> </w:t>
      </w:r>
      <w:r w:rsidRPr="001F2586">
        <w:rPr>
          <w:rFonts w:eastAsia="Calibri"/>
          <w:rtl/>
        </w:rPr>
        <w:t>הוועדה תגבש המלצות אפשריות ומגוון כלים לרבות כלים רגולטוריים, פיננסיים ותקציביים, לפתרון הסוגיה בטווח הקצר ובטווח הארוך, וזאת בשים לב למכלול הצרכים, הסיכונים והמדיניות הממשלתית בנושא</w:t>
      </w:r>
      <w:r w:rsidRPr="001F2586">
        <w:rPr>
          <w:rFonts w:eastAsia="Calibri" w:hint="cs"/>
          <w:rtl/>
        </w:rPr>
        <w:t>,</w:t>
      </w:r>
      <w:r w:rsidRPr="001F2586">
        <w:rPr>
          <w:rFonts w:eastAsia="Calibri"/>
          <w:rtl/>
        </w:rPr>
        <w:t xml:space="preserve"> ובמטרה להביא להגדלת היקף מקבלי המשכנתאות מהחברה הערבית המתגוררים ביישובי התוכנית.</w:t>
      </w:r>
      <w:r w:rsidRPr="001F2586">
        <w:rPr>
          <w:rFonts w:eastAsia="Calibri" w:hint="cs"/>
          <w:rtl/>
        </w:rPr>
        <w:t xml:space="preserve"> </w:t>
      </w:r>
      <w:r w:rsidRPr="001F2586">
        <w:rPr>
          <w:rFonts w:eastAsia="Calibri" w:hint="eastAsia"/>
          <w:b/>
          <w:rtl/>
        </w:rPr>
        <w:t>עוד</w:t>
      </w:r>
      <w:r w:rsidRPr="001F2586">
        <w:rPr>
          <w:rFonts w:eastAsia="Calibri"/>
          <w:b/>
          <w:rtl/>
        </w:rPr>
        <w:t xml:space="preserve"> נקבע בהחלטה כי ההמלצות תוצגנה בפני ועדת השרים בתוך 160 ימים, </w:t>
      </w:r>
      <w:r w:rsidRPr="001F2586">
        <w:rPr>
          <w:rFonts w:eastAsia="Calibri" w:hint="eastAsia"/>
          <w:b/>
          <w:rtl/>
        </w:rPr>
        <w:t>ו</w:t>
      </w:r>
      <w:r w:rsidRPr="001F2586">
        <w:rPr>
          <w:rFonts w:eastAsia="Calibri"/>
          <w:b/>
          <w:rtl/>
        </w:rPr>
        <w:t>כי הרשות לפיתוח כלכלי של מגזר המיעוטים</w:t>
      </w:r>
      <w:r>
        <w:rPr>
          <w:rFonts w:eastAsia="Calibri"/>
          <w:b/>
          <w:vertAlign w:val="superscript"/>
          <w:rtl/>
        </w:rPr>
        <w:footnoteReference w:id="354"/>
      </w:r>
      <w:r w:rsidRPr="001F2586">
        <w:rPr>
          <w:rFonts w:eastAsia="Calibri"/>
          <w:b/>
          <w:rtl/>
        </w:rPr>
        <w:t xml:space="preserve"> (להלן - </w:t>
      </w:r>
      <w:r w:rsidRPr="001F2586">
        <w:rPr>
          <w:rFonts w:eastAsia="Calibri" w:hint="eastAsia"/>
          <w:b/>
          <w:rtl/>
        </w:rPr>
        <w:t>הרשות</w:t>
      </w:r>
      <w:r w:rsidRPr="001F2586">
        <w:rPr>
          <w:rFonts w:eastAsia="Calibri"/>
          <w:b/>
          <w:rtl/>
        </w:rPr>
        <w:t xml:space="preserve"> </w:t>
      </w:r>
      <w:r w:rsidRPr="001F2586">
        <w:rPr>
          <w:rFonts w:eastAsia="Calibri" w:hint="eastAsia"/>
          <w:b/>
          <w:rtl/>
        </w:rPr>
        <w:t>לפיתוח</w:t>
      </w:r>
      <w:r w:rsidRPr="001F2586">
        <w:rPr>
          <w:rFonts w:eastAsia="Calibri"/>
          <w:b/>
          <w:rtl/>
        </w:rPr>
        <w:t xml:space="preserve"> </w:t>
      </w:r>
      <w:r w:rsidRPr="001F2586">
        <w:rPr>
          <w:rFonts w:eastAsia="Calibri" w:hint="eastAsia"/>
          <w:b/>
          <w:rtl/>
        </w:rPr>
        <w:t>כלכלי</w:t>
      </w:r>
      <w:r w:rsidRPr="001F2586">
        <w:rPr>
          <w:rFonts w:eastAsia="Calibri"/>
          <w:b/>
          <w:rtl/>
        </w:rPr>
        <w:t>) תנהל ותעקוב אחר ביצוע ההחלטה</w:t>
      </w:r>
      <w:r w:rsidRPr="001F2586">
        <w:rPr>
          <w:rFonts w:eastAsia="Calibri" w:hint="cs"/>
          <w:b/>
          <w:rtl/>
        </w:rPr>
        <w:t xml:space="preserve">. בהחלטה נקבע כי מדד הכפלת שיעור מקבלי המשכנתאות מהחברה הערבית ייבחן רק בתום חמש שנות התכנית, המסתיימות ב-24.10.26. </w:t>
      </w:r>
    </w:p>
    <w:p w:rsidR="00260379" w:rsidP="001F2586">
      <w:pPr>
        <w:spacing w:line="269" w:lineRule="auto"/>
        <w:ind w:left="-567"/>
        <w:rPr>
          <w:rFonts w:eastAsia="Calibri"/>
          <w:szCs w:val="20"/>
          <w:rtl/>
        </w:rPr>
      </w:pPr>
    </w:p>
    <w:p w:rsidR="001F2586" w:rsidRPr="001F2586" w:rsidP="001F2586">
      <w:pPr>
        <w:spacing w:line="269" w:lineRule="auto"/>
        <w:ind w:left="360"/>
        <w:rPr>
          <w:rFonts w:eastAsia="Calibri"/>
          <w:b/>
          <w:rtl/>
        </w:rPr>
      </w:pPr>
      <w:r w:rsidRPr="001F2586">
        <w:rPr>
          <w:rFonts w:ascii="Rubik" w:eastAsia="Calibri" w:hAnsi="Rubik" w:hint="eastAsia"/>
          <w:shd w:val="clear" w:color="auto" w:fill="FFFFFF"/>
          <w:rtl/>
        </w:rPr>
        <w:t>כמו</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כן</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בהחלטת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הממשלה</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צוין</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כי</w:t>
      </w:r>
      <w:r w:rsidRPr="001F2586">
        <w:rPr>
          <w:rFonts w:ascii="Rubik" w:eastAsia="Calibri" w:hAnsi="Rubik"/>
          <w:shd w:val="clear" w:color="auto" w:fill="FFFFFF"/>
          <w:rtl/>
        </w:rPr>
        <w:t xml:space="preserve"> </w:t>
      </w:r>
      <w:r w:rsidRPr="001F2586">
        <w:rPr>
          <w:rFonts w:ascii="Rubik" w:eastAsia="Calibri" w:hAnsi="Rubik" w:hint="cs"/>
          <w:shd w:val="clear" w:color="auto" w:fill="FFFFFF"/>
          <w:rtl/>
        </w:rPr>
        <w:t>"</w:t>
      </w:r>
      <w:r w:rsidRPr="001F2586">
        <w:rPr>
          <w:rFonts w:ascii="Rubik" w:eastAsia="Calibri" w:hAnsi="Rubik" w:hint="eastAsia"/>
          <w:shd w:val="clear" w:color="auto" w:fill="FFFFFF"/>
          <w:rtl/>
        </w:rPr>
        <w:t>המשנה</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לנגיד</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בנק</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ישראל</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המשנה</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ליועץ</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המשפטי</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לממשלה</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העומדים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בראש</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הצוות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בין</w:t>
      </w:r>
      <w:r w:rsidRPr="001F2586">
        <w:rPr>
          <w:rFonts w:ascii="Rubik" w:eastAsia="Calibri" w:hAnsi="Rubik"/>
          <w:shd w:val="clear" w:color="auto" w:fill="FFFFFF"/>
          <w:rtl/>
        </w:rPr>
        <w:t xml:space="preserve"> - </w:t>
      </w:r>
      <w:r w:rsidRPr="001F2586">
        <w:rPr>
          <w:rFonts w:ascii="Rubik" w:eastAsia="Calibri" w:hAnsi="Rubik" w:hint="eastAsia"/>
          <w:shd w:val="clear" w:color="auto" w:fill="FFFFFF"/>
          <w:rtl/>
        </w:rPr>
        <w:t>משרדי</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לגיבוש</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תכנית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לאומית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להגברת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ההכלה</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הפיננסית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ביקשו</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לרשום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את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הודעתם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לפיה</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מגובשת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במסגרת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עבודת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הצוות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תוכנית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אסטרטגית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לצמצום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פערים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של</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החברה</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הערבית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בהכלה</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פיננסית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לרבות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באמצעות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הגברת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האוריינות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הפיננסית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צמצום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שימוש</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במזומן</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והגברת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השימוש</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באמצעי</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תשלום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מתקדמים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וזאת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בתוך</w:t>
      </w:r>
      <w:r w:rsidRPr="001F2586">
        <w:rPr>
          <w:rFonts w:ascii="Rubik" w:eastAsia="Calibri" w:hAnsi="Rubik"/>
          <w:shd w:val="clear" w:color="auto" w:fill="FFFFFF"/>
          <w:rtl/>
        </w:rPr>
        <w:t xml:space="preserve"> 60 </w:t>
      </w:r>
      <w:r w:rsidRPr="001F2586">
        <w:rPr>
          <w:rFonts w:ascii="Rubik" w:eastAsia="Calibri" w:hAnsi="Rubik" w:hint="eastAsia"/>
          <w:shd w:val="clear" w:color="auto" w:fill="FFFFFF"/>
          <w:rtl/>
        </w:rPr>
        <w:t>ימים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ככל</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שנדרש</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יוקצו</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סכומים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דרך</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ביצוע</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הסטות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ממקורות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החלטה</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זו</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ליישום</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התוכנית</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שלא</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יעלו</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על</w:t>
      </w:r>
      <w:r w:rsidRPr="001F2586">
        <w:rPr>
          <w:rFonts w:ascii="Rubik" w:eastAsia="Calibri" w:hAnsi="Rubik"/>
          <w:shd w:val="clear" w:color="auto" w:fill="FFFFFF"/>
          <w:rtl/>
        </w:rPr>
        <w:t xml:space="preserve"> 15 </w:t>
      </w:r>
      <w:r w:rsidRPr="001F2586">
        <w:rPr>
          <w:rFonts w:ascii="Rubik" w:eastAsia="Calibri" w:hAnsi="Rubik" w:hint="eastAsia"/>
          <w:shd w:val="clear" w:color="auto" w:fill="FFFFFF"/>
          <w:rtl/>
        </w:rPr>
        <w:t>מיליון</w:t>
      </w:r>
      <w:r w:rsidRPr="001F2586">
        <w:rPr>
          <w:rFonts w:ascii="Rubik" w:eastAsia="Calibri" w:hAnsi="Rubik"/>
          <w:shd w:val="clear" w:color="auto" w:fill="FFFFFF"/>
          <w:rtl/>
        </w:rPr>
        <w:t xml:space="preserve"> </w:t>
      </w:r>
      <w:r w:rsidRPr="001F2586">
        <w:rPr>
          <w:rFonts w:ascii="Rubik" w:eastAsia="Calibri" w:hAnsi="Rubik" w:hint="eastAsia"/>
          <w:shd w:val="clear" w:color="auto" w:fill="FFFFFF"/>
          <w:rtl/>
        </w:rPr>
        <w:t>ש</w:t>
      </w:r>
      <w:r w:rsidRPr="001F2586">
        <w:rPr>
          <w:rFonts w:ascii="Rubik" w:eastAsia="Calibri" w:hAnsi="Rubik"/>
          <w:shd w:val="clear" w:color="auto" w:fill="FFFFFF"/>
          <w:rtl/>
        </w:rPr>
        <w:t>"</w:t>
      </w:r>
      <w:r w:rsidRPr="001F2586">
        <w:rPr>
          <w:rFonts w:ascii="Rubik" w:eastAsia="Calibri" w:hAnsi="Rubik" w:hint="eastAsia"/>
          <w:shd w:val="clear" w:color="auto" w:fill="FFFFFF"/>
          <w:rtl/>
        </w:rPr>
        <w:t>ח</w:t>
      </w:r>
      <w:r w:rsidRPr="001F2586">
        <w:rPr>
          <w:rFonts w:ascii="Rubik" w:eastAsia="Calibri" w:hAnsi="Rubik"/>
          <w:shd w:val="clear" w:color="auto" w:fill="FFFFFF"/>
        </w:rPr>
        <w:t>".</w:t>
      </w:r>
      <w:r w:rsidRPr="001F2586">
        <w:rPr>
          <w:rFonts w:eastAsia="Calibri" w:hint="cs"/>
          <w:b/>
          <w:rtl/>
        </w:rPr>
        <w:t xml:space="preserve"> עוד צוין בהחלטת הממשלה כי "</w:t>
      </w:r>
      <w:r w:rsidRPr="001F2586">
        <w:rPr>
          <w:rFonts w:eastAsia="Calibri"/>
          <w:b/>
          <w:rtl/>
        </w:rPr>
        <w:t xml:space="preserve">המפקח על הבנקים בבנק ישראל </w:t>
      </w:r>
      <w:r w:rsidRPr="001F2586">
        <w:rPr>
          <w:rFonts w:eastAsia="Calibri" w:hint="cs"/>
          <w:b/>
          <w:rtl/>
        </w:rPr>
        <w:t>הודיע כי</w:t>
      </w:r>
      <w:r w:rsidRPr="001F2586">
        <w:rPr>
          <w:rFonts w:eastAsia="Calibri"/>
          <w:b/>
          <w:rtl/>
        </w:rPr>
        <w:t xml:space="preserve"> בכוונתו לבחון התאמות של הרגולציה ביחס לאשראי לדיור ככל שיידרש ויימצא לנכון</w:t>
      </w:r>
      <w:r w:rsidRPr="001F2586">
        <w:rPr>
          <w:rFonts w:eastAsia="Calibri" w:hint="cs"/>
          <w:b/>
          <w:rtl/>
        </w:rPr>
        <w:t>"</w:t>
      </w:r>
      <w:r w:rsidRPr="001F2586">
        <w:rPr>
          <w:rFonts w:eastAsia="Calibri"/>
          <w:b/>
          <w:rtl/>
        </w:rPr>
        <w:t>.</w:t>
      </w:r>
    </w:p>
    <w:p w:rsidR="001F2586" w:rsidRPr="001F2586" w:rsidP="001F2586">
      <w:pPr>
        <w:spacing w:line="269" w:lineRule="auto"/>
        <w:ind w:left="-567"/>
        <w:rPr>
          <w:rFonts w:eastAsia="Calibri"/>
          <w:szCs w:val="20"/>
          <w:rtl/>
        </w:rPr>
      </w:pPr>
    </w:p>
    <w:p w:rsidR="001F2586" w:rsidRPr="001F2586" w:rsidP="001F2586">
      <w:pPr>
        <w:numPr>
          <w:ilvl w:val="0"/>
          <w:numId w:val="21"/>
        </w:numPr>
        <w:spacing w:line="269" w:lineRule="auto"/>
        <w:contextualSpacing/>
        <w:rPr>
          <w:rFonts w:eastAsia="Calibri"/>
        </w:rPr>
      </w:pPr>
      <w:r w:rsidRPr="001F2586">
        <w:rPr>
          <w:rFonts w:eastAsia="Times New Roman" w:hint="cs"/>
          <w:bCs/>
          <w:spacing w:val="40"/>
          <w:rtl/>
        </w:rPr>
        <w:t>צוות בין - משרדי בראשות החשב הכללי לבחינת שוק המשכנתאות בחברה הערבית שהוקם בתחילת שנת 2022</w:t>
      </w:r>
      <w:r w:rsidRPr="001F2586">
        <w:rPr>
          <w:rFonts w:eastAsia="Calibri" w:hint="cs"/>
          <w:bCs/>
          <w:rtl/>
        </w:rPr>
        <w:t xml:space="preserve">: </w:t>
      </w:r>
      <w:r w:rsidRPr="001F2586">
        <w:rPr>
          <w:rFonts w:eastAsia="Calibri" w:hint="cs"/>
          <w:b/>
          <w:rtl/>
        </w:rPr>
        <w:t>הצוות הוקם על רקע החלטת ממשלה מספר 550 והוועדה הבין משרדית.</w:t>
      </w:r>
      <w:r w:rsidRPr="001F2586">
        <w:rPr>
          <w:rFonts w:eastAsia="Calibri" w:hint="cs"/>
          <w:bCs/>
          <w:rtl/>
        </w:rPr>
        <w:t xml:space="preserve"> </w:t>
      </w:r>
      <w:r w:rsidRPr="001F2586">
        <w:rPr>
          <w:rFonts w:eastAsia="Calibri" w:hint="cs"/>
          <w:b/>
          <w:rtl/>
        </w:rPr>
        <w:t xml:space="preserve">הצוות כלל את החשב הכללי, ראש הרשות לפיתוח כלכלי, נציג מבנק ישראל ונציג מאגף התקציבים (להלן - צוות לבחינת הנגישות של החברה הערבית לשוק המשכנתאות).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cs"/>
          <w:b/>
          <w:bCs/>
          <w:rtl/>
        </w:rPr>
        <w:t xml:space="preserve">ביוני 2022 הצוות השלים את עבודתו וגובש דוח המלצות בנושאים השונים. עד מועד סיום הביקורת, דצמבר 2025,המלצות הצוות לא הוצגו לממשלה וממילא לא נערך דיון בהמלצות והן לא יושמו.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sz w:val="24"/>
          <w:rtl/>
        </w:rPr>
      </w:pPr>
      <w:r w:rsidRPr="001F2586">
        <w:rPr>
          <w:rFonts w:eastAsia="Calibri" w:hint="cs"/>
          <w:sz w:val="24"/>
          <w:rtl/>
        </w:rPr>
        <w:t xml:space="preserve">חלק מהמלצות הצוות בנושא היו קידום והרחבת פעילות ייעוץ המשכנתאות ביישובי החברה הערבית באמצעות ביצוע מכרז לליווי וייעוץ בחברה הערבית והקצאת משאבים לטובת הנגשת מידע פיננסי בשיתוף עם השלטון המקומי. עוד הומלץ לבצע מכרז בנושא לגופים </w:t>
      </w:r>
      <w:r w:rsidRPr="001F2586">
        <w:rPr>
          <w:rFonts w:eastAsia="Calibri" w:hint="cs"/>
          <w:sz w:val="24"/>
          <w:rtl/>
        </w:rPr>
        <w:t>מתכללים</w:t>
      </w:r>
      <w:r w:rsidRPr="001F2586">
        <w:rPr>
          <w:rFonts w:eastAsia="Calibri" w:hint="cs"/>
          <w:sz w:val="24"/>
          <w:rtl/>
        </w:rPr>
        <w:t xml:space="preserve"> אשר יספקו שירותי ליווי וייעוץ משכנתאות.</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sz w:val="24"/>
          <w:rtl/>
        </w:rPr>
      </w:pPr>
      <w:r w:rsidRPr="001F2586">
        <w:rPr>
          <w:rFonts w:eastAsia="Calibri" w:hint="cs"/>
          <w:sz w:val="24"/>
          <w:rtl/>
        </w:rPr>
        <w:t xml:space="preserve">החשב הכללי ציין בתשובתו ממאי 2026 כי טיוטת דוח ההמלצות הופצה להערות חברי הצוות אך עקב אי הסכמות לעניין רשימת ההמלצות הצוות לא פרסם את מסקנותיו. עוד ציין החשב הכללי כי המלצות שלא היה בגינן מחלוקת קודמו על ידי חלק ממשרדי הממשלה.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 xml:space="preserve">משרד המשפטים ציין בתשובתו ממאי 2026 (להלן - תשובת משרד המשפטים) כי </w:t>
      </w:r>
      <w:r w:rsidRPr="001F2586">
        <w:rPr>
          <w:rFonts w:eastAsia="Calibri"/>
          <w:rtl/>
        </w:rPr>
        <w:t>בשנתיים האחרונות נערכו דיוני מעקב בנושא בוועדת השרים לענייני החברה הערבית.</w:t>
      </w:r>
      <w:r w:rsidRPr="001F2586">
        <w:rPr>
          <w:rFonts w:eastAsia="Calibri" w:hint="cs"/>
          <w:rtl/>
        </w:rPr>
        <w:t xml:space="preserve"> כמו כן</w:t>
      </w:r>
      <w:r w:rsidRPr="001F2586">
        <w:rPr>
          <w:rFonts w:eastAsia="Calibri"/>
          <w:rtl/>
        </w:rPr>
        <w:t xml:space="preserve"> במהלך שנת 2022 נערכה עבודת מטה בראשות המשנה ליועצת המשפטית לממשלה (משפט אזרחי), אשר בסופה גובש דו"ח בנושא "יישום פתרונות לעניין הגברת הליכי הרישום ביישובי החברה הלא יהודית". המלצות הדו"ח התמקדו בנושא יישום פתרונות לעניין הגברת הליכי רישום הקרקעות ביישובי החברה הערבית, הדרוזית והצ'רקסית. כך בין היתר המליץ הצוות על מהלכים מתחום התכנון שיש בהם כדי לקשור כבר בשלב ההליך התכנוני לרישום שיגיע לאחר אישור התכנית, וכן על מהלכים נוספים להגברת המודעות לחשיבות הליכי הרישום. המלצות אלו יש בהם כדי לתרום לפתרון ארוך טווח לסוגיית הנדל"ן והרישום ביישובי החברה הערבית בכלל ולסוגיית האשראי לדיור בישובים אלה, בפרט.</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rtl/>
        </w:rPr>
      </w:pPr>
      <w:r w:rsidRPr="001F2586">
        <w:rPr>
          <w:rFonts w:eastAsia="Calibri" w:hint="cs"/>
          <w:rtl/>
        </w:rPr>
        <w:t>ב-</w:t>
      </w:r>
      <w:r w:rsidRPr="001F2586">
        <w:rPr>
          <w:rFonts w:eastAsia="Calibri"/>
          <w:rtl/>
        </w:rPr>
        <w:t>22.11.23</w:t>
      </w:r>
      <w:r w:rsidRPr="001F2586">
        <w:rPr>
          <w:rFonts w:eastAsia="Calibri" w:hint="cs"/>
          <w:rtl/>
        </w:rPr>
        <w:t xml:space="preserve"> פרסמה הרשות לפיתוח כלכלי הצעה</w:t>
      </w:r>
      <w:r w:rsidRPr="001F2586">
        <w:rPr>
          <w:rFonts w:eastAsia="Calibri"/>
          <w:rtl/>
        </w:rPr>
        <w:t xml:space="preserve"> לביצוע מיזם משותף עם </w:t>
      </w:r>
      <w:r w:rsidRPr="001F2586">
        <w:rPr>
          <w:rFonts w:eastAsia="Calibri" w:hint="eastAsia"/>
          <w:rtl/>
        </w:rPr>
        <w:t>חברה</w:t>
      </w:r>
      <w:r w:rsidRPr="001F2586">
        <w:rPr>
          <w:rFonts w:eastAsia="Calibri" w:hint="cs"/>
          <w:rtl/>
        </w:rPr>
        <w:t xml:space="preserve"> לצורך ליווי משפחות לרכישת בית ראשון</w:t>
      </w:r>
      <w:r>
        <w:rPr>
          <w:rFonts w:eastAsia="Calibri"/>
          <w:vertAlign w:val="superscript"/>
          <w:rtl/>
        </w:rPr>
        <w:footnoteReference w:id="355"/>
      </w:r>
      <w:r w:rsidRPr="001F2586">
        <w:rPr>
          <w:rFonts w:eastAsia="Calibri" w:hint="cs"/>
          <w:rtl/>
        </w:rPr>
        <w:t xml:space="preserve"> בחברה הערבית</w:t>
      </w:r>
      <w:r>
        <w:rPr>
          <w:rFonts w:eastAsia="Calibri"/>
          <w:vertAlign w:val="superscript"/>
          <w:rtl/>
        </w:rPr>
        <w:footnoteReference w:id="356"/>
      </w:r>
      <w:r w:rsidRPr="001F2586">
        <w:rPr>
          <w:rFonts w:eastAsia="Calibri"/>
          <w:rtl/>
        </w:rPr>
        <w:t>. תקציב המיזם היה</w:t>
      </w:r>
      <w:r w:rsidRPr="001F2586">
        <w:rPr>
          <w:rFonts w:eastAsia="Calibri" w:hint="cs"/>
          <w:rtl/>
        </w:rPr>
        <w:t xml:space="preserve"> כ-3.24 מיליון ש"ח לשנה </w:t>
      </w:r>
      <w:r w:rsidRPr="001F2586">
        <w:rPr>
          <w:rFonts w:eastAsia="Calibri"/>
          <w:rtl/>
        </w:rPr>
        <w:t>(כולל מע"מ) לשנה הראשונה, עם אפשרות להארכת ההתקשרות עד שנתיים נוספות, ובסכום מצטבר של עד 10</w:t>
      </w:r>
      <w:r w:rsidRPr="001F2586">
        <w:rPr>
          <w:rFonts w:eastAsia="Calibri" w:hint="cs"/>
          <w:rtl/>
        </w:rPr>
        <w:t xml:space="preserve">.95 מיליון ש"ח </w:t>
      </w:r>
      <w:r w:rsidRPr="001F2586">
        <w:rPr>
          <w:rFonts w:eastAsia="Calibri"/>
          <w:rtl/>
        </w:rPr>
        <w:t xml:space="preserve">לכל שלוש השנים. </w:t>
      </w:r>
      <w:r w:rsidRPr="001F2586">
        <w:rPr>
          <w:rFonts w:eastAsia="Calibri" w:hint="cs"/>
          <w:rtl/>
        </w:rPr>
        <w:t>ה</w:t>
      </w:r>
      <w:r w:rsidRPr="001F2586">
        <w:rPr>
          <w:rFonts w:eastAsia="Calibri"/>
          <w:rtl/>
        </w:rPr>
        <w:t>התקשרות לא יצא</w:t>
      </w:r>
      <w:r w:rsidRPr="001F2586">
        <w:rPr>
          <w:rFonts w:eastAsia="Calibri" w:hint="eastAsia"/>
          <w:rtl/>
        </w:rPr>
        <w:t>ה</w:t>
      </w:r>
      <w:r w:rsidRPr="001F2586">
        <w:rPr>
          <w:rFonts w:eastAsia="Calibri"/>
          <w:rtl/>
        </w:rPr>
        <w:t xml:space="preserve"> לפ</w:t>
      </w:r>
      <w:r w:rsidRPr="001F2586">
        <w:rPr>
          <w:rFonts w:eastAsia="Calibri" w:hint="cs"/>
          <w:rtl/>
        </w:rPr>
        <w:t>ו</w:t>
      </w:r>
      <w:r w:rsidRPr="001F2586">
        <w:rPr>
          <w:rFonts w:eastAsia="Calibri"/>
          <w:rtl/>
        </w:rPr>
        <w:t>על ובנובמבר 2024 הנושא שב לדיון בוועדת המכרזים</w:t>
      </w:r>
      <w:r w:rsidRPr="001F2586">
        <w:rPr>
          <w:rFonts w:eastAsia="Calibri" w:hint="cs"/>
          <w:rtl/>
        </w:rPr>
        <w:t xml:space="preserve"> של משרד ראש הממשלה</w:t>
      </w:r>
      <w:r w:rsidRPr="001F2586">
        <w:rPr>
          <w:rFonts w:eastAsia="Calibri"/>
        </w:rPr>
        <w:t>.</w:t>
      </w:r>
      <w:r w:rsidRPr="001F2586">
        <w:rPr>
          <w:rFonts w:eastAsia="Calibri"/>
          <w:b/>
          <w:rtl/>
        </w:rPr>
        <w:t xml:space="preserve"> </w:t>
      </w:r>
      <w:r w:rsidRPr="001F2586">
        <w:rPr>
          <w:rFonts w:eastAsia="Calibri" w:hint="cs"/>
          <w:b/>
          <w:rtl/>
        </w:rPr>
        <w:t>לדברי</w:t>
      </w:r>
      <w:r w:rsidRPr="001F2586">
        <w:rPr>
          <w:rFonts w:eastAsia="Calibri" w:hint="cs"/>
          <w:b/>
        </w:rPr>
        <w:t xml:space="preserve"> </w:t>
      </w:r>
      <w:r w:rsidRPr="001F2586">
        <w:rPr>
          <w:rFonts w:eastAsia="Calibri" w:hint="cs"/>
          <w:b/>
          <w:rtl/>
        </w:rPr>
        <w:t xml:space="preserve">הרשות </w:t>
      </w:r>
      <w:r w:rsidRPr="001F2586">
        <w:rPr>
          <w:rFonts w:eastAsia="Calibri" w:hint="eastAsia"/>
          <w:b/>
          <w:rtl/>
        </w:rPr>
        <w:t>המיזם</w:t>
      </w:r>
      <w:r w:rsidRPr="001F2586">
        <w:rPr>
          <w:rFonts w:eastAsia="Calibri"/>
          <w:b/>
          <w:rtl/>
        </w:rPr>
        <w:t xml:space="preserve"> </w:t>
      </w:r>
      <w:r w:rsidRPr="001F2586">
        <w:rPr>
          <w:rFonts w:eastAsia="Calibri" w:hint="eastAsia"/>
          <w:b/>
          <w:rtl/>
        </w:rPr>
        <w:t>לא</w:t>
      </w:r>
      <w:r w:rsidRPr="001F2586">
        <w:rPr>
          <w:rFonts w:eastAsia="Calibri"/>
          <w:b/>
          <w:rtl/>
        </w:rPr>
        <w:t xml:space="preserve"> </w:t>
      </w:r>
      <w:r w:rsidRPr="001F2586">
        <w:rPr>
          <w:rFonts w:eastAsia="Calibri" w:hint="eastAsia"/>
          <w:b/>
          <w:rtl/>
        </w:rPr>
        <w:t>החל</w:t>
      </w:r>
      <w:r w:rsidRPr="001F2586">
        <w:rPr>
          <w:rFonts w:eastAsia="Calibri"/>
          <w:b/>
          <w:rtl/>
        </w:rPr>
        <w:t xml:space="preserve"> </w:t>
      </w:r>
      <w:r w:rsidRPr="001F2586">
        <w:rPr>
          <w:rFonts w:eastAsia="Calibri" w:hint="eastAsia"/>
          <w:b/>
          <w:rtl/>
        </w:rPr>
        <w:t>ולא</w:t>
      </w:r>
      <w:r w:rsidRPr="001F2586">
        <w:rPr>
          <w:rFonts w:eastAsia="Calibri"/>
          <w:b/>
          <w:rtl/>
        </w:rPr>
        <w:t xml:space="preserve"> </w:t>
      </w:r>
      <w:r w:rsidRPr="001F2586">
        <w:rPr>
          <w:rFonts w:eastAsia="Calibri" w:hint="eastAsia"/>
          <w:b/>
          <w:rtl/>
        </w:rPr>
        <w:t>בוצע</w:t>
      </w:r>
      <w:r w:rsidRPr="001F2586">
        <w:rPr>
          <w:rFonts w:eastAsia="Calibri"/>
          <w:b/>
          <w:rtl/>
        </w:rPr>
        <w:t xml:space="preserve"> </w:t>
      </w:r>
      <w:r w:rsidRPr="001F2586">
        <w:rPr>
          <w:rFonts w:eastAsia="Calibri" w:hint="eastAsia"/>
          <w:b/>
          <w:rtl/>
        </w:rPr>
        <w:t>פרסום</w:t>
      </w:r>
      <w:r w:rsidRPr="001F2586">
        <w:rPr>
          <w:rFonts w:eastAsia="Calibri"/>
          <w:b/>
          <w:rtl/>
        </w:rPr>
        <w:t xml:space="preserve"> </w:t>
      </w:r>
      <w:r w:rsidRPr="001F2586">
        <w:rPr>
          <w:rFonts w:eastAsia="Calibri" w:hint="eastAsia"/>
          <w:b/>
          <w:rtl/>
        </w:rPr>
        <w:t>מחדש</w:t>
      </w:r>
      <w:r w:rsidRPr="001F2586">
        <w:rPr>
          <w:rFonts w:eastAsia="Calibri"/>
          <w:b/>
          <w:rtl/>
        </w:rPr>
        <w:t xml:space="preserve"> </w:t>
      </w:r>
      <w:r w:rsidRPr="001F2586">
        <w:rPr>
          <w:rFonts w:eastAsia="Calibri" w:hint="eastAsia"/>
          <w:b/>
          <w:rtl/>
        </w:rPr>
        <w:t>היות</w:t>
      </w:r>
      <w:r w:rsidRPr="001F2586">
        <w:rPr>
          <w:rFonts w:eastAsia="Calibri"/>
          <w:b/>
          <w:rtl/>
        </w:rPr>
        <w:t xml:space="preserve"> </w:t>
      </w:r>
      <w:r w:rsidRPr="001F2586">
        <w:rPr>
          <w:rFonts w:eastAsia="Calibri" w:hint="eastAsia"/>
          <w:b/>
          <w:rtl/>
        </w:rPr>
        <w:t>ובחודש</w:t>
      </w:r>
      <w:r w:rsidRPr="001F2586">
        <w:rPr>
          <w:rFonts w:eastAsia="Calibri"/>
          <w:b/>
          <w:rtl/>
        </w:rPr>
        <w:t xml:space="preserve"> </w:t>
      </w:r>
      <w:r w:rsidRPr="001F2586">
        <w:rPr>
          <w:rFonts w:eastAsia="Calibri" w:hint="eastAsia"/>
          <w:b/>
          <w:rtl/>
        </w:rPr>
        <w:t>ינואר</w:t>
      </w:r>
      <w:r w:rsidRPr="001F2586">
        <w:rPr>
          <w:rFonts w:eastAsia="Calibri"/>
          <w:b/>
          <w:rtl/>
        </w:rPr>
        <w:t xml:space="preserve"> 2024 </w:t>
      </w:r>
      <w:r w:rsidRPr="001F2586">
        <w:rPr>
          <w:rFonts w:eastAsia="Calibri" w:hint="eastAsia"/>
          <w:b/>
          <w:rtl/>
        </w:rPr>
        <w:t>היו</w:t>
      </w:r>
      <w:r w:rsidRPr="001F2586">
        <w:rPr>
          <w:rFonts w:eastAsia="Calibri"/>
          <w:b/>
          <w:rtl/>
        </w:rPr>
        <w:t xml:space="preserve"> </w:t>
      </w:r>
      <w:r w:rsidRPr="001F2586">
        <w:rPr>
          <w:rFonts w:eastAsia="Calibri" w:hint="eastAsia"/>
          <w:b/>
          <w:rtl/>
        </w:rPr>
        <w:t>חילופי</w:t>
      </w:r>
      <w:r w:rsidRPr="001F2586">
        <w:rPr>
          <w:rFonts w:eastAsia="Calibri"/>
          <w:b/>
          <w:rtl/>
        </w:rPr>
        <w:t xml:space="preserve"> </w:t>
      </w:r>
      <w:r w:rsidRPr="001F2586">
        <w:rPr>
          <w:rFonts w:eastAsia="Calibri" w:hint="eastAsia"/>
          <w:b/>
          <w:rtl/>
        </w:rPr>
        <w:t>בעלי</w:t>
      </w:r>
      <w:r w:rsidRPr="001F2586">
        <w:rPr>
          <w:rFonts w:eastAsia="Calibri"/>
          <w:b/>
          <w:rtl/>
        </w:rPr>
        <w:t xml:space="preserve"> </w:t>
      </w:r>
      <w:r w:rsidRPr="001F2586">
        <w:rPr>
          <w:rFonts w:eastAsia="Calibri" w:hint="eastAsia"/>
          <w:b/>
          <w:rtl/>
        </w:rPr>
        <w:t>תפקידים</w:t>
      </w:r>
      <w:r w:rsidRPr="001F2586">
        <w:rPr>
          <w:rFonts w:eastAsia="Calibri"/>
          <w:b/>
          <w:rtl/>
        </w:rPr>
        <w:t xml:space="preserve"> </w:t>
      </w:r>
      <w:r w:rsidRPr="001F2586">
        <w:rPr>
          <w:rFonts w:eastAsia="Calibri" w:hint="eastAsia"/>
          <w:b/>
          <w:rtl/>
        </w:rPr>
        <w:t>במשרד</w:t>
      </w:r>
      <w:r w:rsidRPr="001F2586">
        <w:rPr>
          <w:rFonts w:eastAsia="Calibri"/>
          <w:b/>
          <w:rtl/>
        </w:rPr>
        <w:t>.</w:t>
      </w:r>
      <w:r w:rsidRPr="001F2586">
        <w:rPr>
          <w:rFonts w:eastAsia="Calibri" w:hint="cs"/>
          <w:b/>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rtl/>
        </w:rPr>
      </w:pPr>
      <w:r w:rsidRPr="001F2586">
        <w:rPr>
          <w:rFonts w:eastAsia="Calibri" w:hint="cs"/>
          <w:b/>
          <w:rtl/>
        </w:rPr>
        <w:t xml:space="preserve">בפברואר 2025 פנה משרד ראש הממשלה לוועדת הפטור של החשב הכללי בבקשה לאשר </w:t>
      </w:r>
      <w:r w:rsidRPr="001F2586">
        <w:rPr>
          <w:rFonts w:eastAsia="Calibri"/>
          <w:b/>
          <w:rtl/>
        </w:rPr>
        <w:t>מיזם משותף שיתמקד בתוכנית שמטרתה ללוות ולייעץ למשפחות בתהליך רכישת דירה ראשונה, בערים</w:t>
      </w:r>
    </w:p>
    <w:p w:rsidR="001F2586" w:rsidRPr="001F2586" w:rsidP="001F2586">
      <w:pPr>
        <w:spacing w:line="269" w:lineRule="auto"/>
        <w:rPr>
          <w:rFonts w:eastAsia="Calibri"/>
          <w:rtl/>
        </w:rPr>
      </w:pPr>
      <w:r w:rsidRPr="001F2586">
        <w:rPr>
          <w:rFonts w:eastAsia="Calibri"/>
          <w:b/>
          <w:rtl/>
        </w:rPr>
        <w:t>בעלות רוב ערבי.</w:t>
      </w:r>
      <w:r w:rsidRPr="001F2586">
        <w:rPr>
          <w:rFonts w:eastAsia="Calibri" w:hint="cs"/>
          <w:b/>
          <w:rtl/>
        </w:rPr>
        <w:t xml:space="preserve"> המיזם אמור לגשר על פערי </w:t>
      </w:r>
      <w:r w:rsidRPr="001F2586">
        <w:rPr>
          <w:rFonts w:eastAsia="Calibri"/>
          <w:rtl/>
        </w:rPr>
        <w:t>מידע, שפה ותרבות המקשים כיום על קבלת אשראי, ובמקביל לעודד תחרות בין הבנקים ולייעל את הליכי אישור המימון. מעבר לסיוע הישיר ללווים, המיזם יאפשר למדינה לגבש תמונת מצב עדכנית על חסמי השטח, ובכך להוביל למיצוי פוטנציאל הדיור ושיפור המדיניות הכלכלית במגזר.</w:t>
      </w:r>
      <w:r w:rsidRPr="001F2586">
        <w:rPr>
          <w:rFonts w:eastAsia="Calibri" w:hint="cs"/>
          <w:rtl/>
        </w:rPr>
        <w:t xml:space="preserve"> רק בחודש מאי 2025 אושרה ההתקשרות לפי תקנה 3(30) לתקנות חובת מכרזים. נכון למועד סיום הביקורת, טרם החלה ההתקשרות עם החברה בפועל.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נמצא</w:t>
      </w:r>
      <w:r w:rsidRPr="001F2586">
        <w:rPr>
          <w:rFonts w:eastAsia="Calibri"/>
          <w:b/>
          <w:bCs/>
          <w:rtl/>
        </w:rPr>
        <w:t xml:space="preserve"> כי מיוני 2022, מועד גיבוש ההמלצות ש</w:t>
      </w:r>
      <w:r w:rsidRPr="001F2586">
        <w:rPr>
          <w:rFonts w:eastAsia="Calibri" w:hint="eastAsia"/>
          <w:b/>
          <w:bCs/>
          <w:rtl/>
        </w:rPr>
        <w:t>ל</w:t>
      </w:r>
      <w:r w:rsidRPr="001F2586">
        <w:rPr>
          <w:rFonts w:eastAsia="Calibri"/>
          <w:b/>
          <w:bCs/>
          <w:rtl/>
        </w:rPr>
        <w:t xml:space="preserve"> הצוות </w:t>
      </w:r>
      <w:r w:rsidRPr="001F2586">
        <w:rPr>
          <w:rFonts w:eastAsia="Calibri" w:hint="eastAsia"/>
          <w:b/>
          <w:bCs/>
          <w:rtl/>
        </w:rPr>
        <w:t>לבחינת</w:t>
      </w:r>
      <w:r w:rsidRPr="001F2586">
        <w:rPr>
          <w:rFonts w:eastAsia="Calibri"/>
          <w:b/>
          <w:bCs/>
          <w:rtl/>
        </w:rPr>
        <w:t xml:space="preserve"> </w:t>
      </w:r>
      <w:r w:rsidRPr="001F2586">
        <w:rPr>
          <w:rFonts w:eastAsia="Calibri" w:hint="eastAsia"/>
          <w:b/>
          <w:bCs/>
          <w:rtl/>
        </w:rPr>
        <w:t>הנגישות</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החברה</w:t>
      </w:r>
      <w:r w:rsidRPr="001F2586">
        <w:rPr>
          <w:rFonts w:eastAsia="Calibri"/>
          <w:b/>
          <w:bCs/>
          <w:rtl/>
        </w:rPr>
        <w:t xml:space="preserve"> </w:t>
      </w:r>
      <w:r w:rsidRPr="001F2586">
        <w:rPr>
          <w:rFonts w:eastAsia="Calibri" w:hint="eastAsia"/>
          <w:b/>
          <w:bCs/>
          <w:rtl/>
        </w:rPr>
        <w:t>הערבית</w:t>
      </w:r>
      <w:r w:rsidRPr="001F2586">
        <w:rPr>
          <w:rFonts w:eastAsia="Calibri"/>
          <w:b/>
          <w:bCs/>
          <w:rtl/>
        </w:rPr>
        <w:t xml:space="preserve"> </w:t>
      </w:r>
      <w:r w:rsidRPr="001F2586">
        <w:rPr>
          <w:rFonts w:eastAsia="Calibri" w:hint="eastAsia"/>
          <w:b/>
          <w:bCs/>
          <w:rtl/>
        </w:rPr>
        <w:t>לשוק</w:t>
      </w:r>
      <w:r w:rsidRPr="001F2586">
        <w:rPr>
          <w:rFonts w:eastAsia="Calibri"/>
          <w:b/>
          <w:bCs/>
          <w:rtl/>
        </w:rPr>
        <w:t xml:space="preserve"> </w:t>
      </w:r>
      <w:r w:rsidRPr="001F2586">
        <w:rPr>
          <w:rFonts w:eastAsia="Calibri" w:hint="eastAsia"/>
          <w:b/>
          <w:bCs/>
          <w:rtl/>
        </w:rPr>
        <w:t>המשכנתאות</w:t>
      </w:r>
      <w:r w:rsidRPr="001F2586">
        <w:rPr>
          <w:rFonts w:eastAsia="Calibri" w:hint="cs"/>
          <w:b/>
          <w:bCs/>
          <w:rtl/>
        </w:rPr>
        <w:t xml:space="preserve"> </w:t>
      </w:r>
      <w:r w:rsidRPr="001F2586">
        <w:rPr>
          <w:rFonts w:eastAsia="Calibri" w:hint="eastAsia"/>
          <w:b/>
          <w:bCs/>
          <w:rtl/>
        </w:rPr>
        <w:t>ועד</w:t>
      </w:r>
      <w:r w:rsidRPr="001F2586">
        <w:rPr>
          <w:rFonts w:eastAsia="Calibri"/>
          <w:b/>
          <w:bCs/>
          <w:rtl/>
        </w:rPr>
        <w:t xml:space="preserve"> </w:t>
      </w:r>
      <w:r w:rsidRPr="001F2586">
        <w:rPr>
          <w:rFonts w:eastAsia="Calibri" w:hint="eastAsia"/>
          <w:b/>
          <w:bCs/>
          <w:rtl/>
        </w:rPr>
        <w:t>למועד</w:t>
      </w:r>
      <w:r w:rsidRPr="001F2586">
        <w:rPr>
          <w:rFonts w:eastAsia="Calibri"/>
          <w:b/>
          <w:bCs/>
          <w:rtl/>
        </w:rPr>
        <w:t xml:space="preserve"> </w:t>
      </w:r>
      <w:r w:rsidRPr="001F2586">
        <w:rPr>
          <w:rFonts w:eastAsia="Calibri" w:hint="eastAsia"/>
          <w:b/>
          <w:bCs/>
          <w:rtl/>
        </w:rPr>
        <w:t>סיום</w:t>
      </w:r>
      <w:r w:rsidRPr="001F2586">
        <w:rPr>
          <w:rFonts w:eastAsia="Calibri"/>
          <w:b/>
          <w:bCs/>
          <w:rtl/>
        </w:rPr>
        <w:t xml:space="preserve"> </w:t>
      </w:r>
      <w:r w:rsidRPr="001F2586">
        <w:rPr>
          <w:rFonts w:eastAsia="Calibri" w:hint="eastAsia"/>
          <w:b/>
          <w:bCs/>
          <w:rtl/>
        </w:rPr>
        <w:t>הביקורת</w:t>
      </w:r>
      <w:r w:rsidRPr="001F2586">
        <w:rPr>
          <w:rFonts w:eastAsia="Calibri"/>
          <w:b/>
          <w:bCs/>
          <w:rtl/>
        </w:rPr>
        <w:t xml:space="preserve"> - טרם יושמה </w:t>
      </w:r>
      <w:r w:rsidRPr="001F2586">
        <w:rPr>
          <w:rFonts w:eastAsia="Calibri" w:hint="eastAsia"/>
          <w:b/>
          <w:bCs/>
          <w:rtl/>
        </w:rPr>
        <w:t>המלצת</w:t>
      </w:r>
      <w:r w:rsidRPr="001F2586">
        <w:rPr>
          <w:rFonts w:eastAsia="Calibri"/>
          <w:b/>
          <w:bCs/>
          <w:rtl/>
        </w:rPr>
        <w:t xml:space="preserve"> הצוות </w:t>
      </w:r>
      <w:r w:rsidRPr="001F2586">
        <w:rPr>
          <w:rFonts w:eastAsia="Calibri" w:hint="cs"/>
          <w:b/>
          <w:bCs/>
          <w:rtl/>
        </w:rPr>
        <w:t xml:space="preserve">האמורה </w:t>
      </w:r>
      <w:r w:rsidRPr="001F2586">
        <w:rPr>
          <w:rFonts w:eastAsia="Calibri" w:hint="eastAsia"/>
          <w:b/>
          <w:bCs/>
          <w:rtl/>
        </w:rPr>
        <w:t>בענ</w:t>
      </w:r>
      <w:r w:rsidRPr="001F2586">
        <w:rPr>
          <w:rFonts w:eastAsia="Calibri" w:hint="cs"/>
          <w:b/>
          <w:bCs/>
          <w:rtl/>
        </w:rPr>
        <w:t>י</w:t>
      </w:r>
      <w:r w:rsidRPr="001F2586">
        <w:rPr>
          <w:rFonts w:eastAsia="Calibri" w:hint="eastAsia"/>
          <w:b/>
          <w:bCs/>
          <w:rtl/>
        </w:rPr>
        <w:t>ין</w:t>
      </w:r>
      <w:r w:rsidRPr="001F2586">
        <w:rPr>
          <w:rFonts w:eastAsia="Calibri" w:hint="cs"/>
          <w:b/>
          <w:bCs/>
          <w:rtl/>
        </w:rPr>
        <w:t xml:space="preserve"> ביצוע מכרז לליווי וייעוץ בחברה הערבית</w:t>
      </w:r>
      <w:r w:rsidRPr="001F2586">
        <w:rPr>
          <w:rFonts w:eastAsia="Calibri"/>
          <w:b/>
          <w:bCs/>
          <w:rtl/>
        </w:rPr>
        <w:t xml:space="preserve"> </w:t>
      </w:r>
      <w:r w:rsidRPr="001F2586">
        <w:rPr>
          <w:rFonts w:eastAsia="Calibri" w:hint="cs"/>
          <w:b/>
          <w:bCs/>
          <w:rtl/>
        </w:rPr>
        <w:t>ע</w:t>
      </w:r>
      <w:r w:rsidRPr="001F2586">
        <w:rPr>
          <w:rFonts w:eastAsia="Calibri" w:hint="eastAsia"/>
          <w:b/>
          <w:bCs/>
          <w:rtl/>
        </w:rPr>
        <w:t>ל</w:t>
      </w:r>
      <w:r w:rsidRPr="001F2586">
        <w:rPr>
          <w:rFonts w:eastAsia="Calibri"/>
          <w:b/>
          <w:bCs/>
          <w:rtl/>
        </w:rPr>
        <w:t xml:space="preserve"> </w:t>
      </w:r>
      <w:r w:rsidRPr="001F2586">
        <w:rPr>
          <w:rFonts w:eastAsia="Calibri" w:hint="eastAsia"/>
          <w:b/>
          <w:bCs/>
          <w:rtl/>
        </w:rPr>
        <w:t>ידי</w:t>
      </w:r>
      <w:r w:rsidRPr="001F2586">
        <w:rPr>
          <w:rFonts w:eastAsia="Calibri"/>
          <w:b/>
          <w:bCs/>
          <w:rtl/>
        </w:rPr>
        <w:t xml:space="preserve"> </w:t>
      </w:r>
      <w:r w:rsidRPr="001F2586">
        <w:rPr>
          <w:rFonts w:eastAsia="Calibri" w:hint="eastAsia"/>
          <w:b/>
          <w:bCs/>
          <w:rtl/>
        </w:rPr>
        <w:t>הרשות</w:t>
      </w:r>
      <w:r w:rsidRPr="001F2586">
        <w:rPr>
          <w:rFonts w:eastAsia="Calibri"/>
          <w:b/>
          <w:bCs/>
          <w:rtl/>
        </w:rPr>
        <w:t xml:space="preserve"> </w:t>
      </w:r>
      <w:r w:rsidRPr="001F2586">
        <w:rPr>
          <w:rFonts w:eastAsia="Calibri" w:hint="eastAsia"/>
          <w:b/>
          <w:bCs/>
          <w:rtl/>
        </w:rPr>
        <w:t>לפיתוח</w:t>
      </w:r>
      <w:r w:rsidRPr="001F2586">
        <w:rPr>
          <w:rFonts w:eastAsia="Calibri"/>
          <w:b/>
          <w:bCs/>
          <w:rtl/>
        </w:rPr>
        <w:t xml:space="preserve"> </w:t>
      </w:r>
      <w:r w:rsidRPr="001F2586">
        <w:rPr>
          <w:rFonts w:eastAsia="Calibri" w:hint="eastAsia"/>
          <w:b/>
          <w:bCs/>
          <w:rtl/>
        </w:rPr>
        <w:t>כלכלי</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הרשות לפיתוח כלכלי במגזר המיעוטים ציינה בתשובתה כי ה</w:t>
      </w:r>
      <w:r w:rsidRPr="001F2586">
        <w:rPr>
          <w:rFonts w:eastAsia="Calibri"/>
          <w:rtl/>
        </w:rPr>
        <w:t xml:space="preserve">פרסום שבוצע בחודש נובמבר 2023 היווה חלק מתהליך העבודה למיפוי נתיב ההתקשרות הנכון ביחס לפרויקט, כנדרש ע"פ דין כאשר בהודעה על הכוונה העקרונית של המשרד להתקשר עם ספק מסוים נעשתה כפרסום מחויב לציבור לשם קבלת השגות, ככל שישנן. </w:t>
      </w:r>
      <w:r w:rsidRPr="001F2586">
        <w:rPr>
          <w:rFonts w:eastAsia="Calibri" w:hint="cs"/>
          <w:rtl/>
        </w:rPr>
        <w:t xml:space="preserve">עוד ציינה הרשות כי </w:t>
      </w:r>
      <w:r w:rsidRPr="001F2586">
        <w:rPr>
          <w:rFonts w:eastAsia="Calibri"/>
          <w:rtl/>
        </w:rPr>
        <w:t xml:space="preserve">המשרד לא קידם את הדברים עד שהתהליך הראשוני לא הושלם כנדרש. לאחר השלמת התהליך הנ"ל ולאור מורכבות וחדשניות הפרויקט, נדרשה היה לבצע עבודת מטה מקצועית ומנהלית מקיפה מול הספק, אגף </w:t>
      </w:r>
      <w:r w:rsidRPr="001F2586">
        <w:rPr>
          <w:rFonts w:eastAsia="Calibri"/>
          <w:rtl/>
        </w:rPr>
        <w:t>החשבות</w:t>
      </w:r>
      <w:r w:rsidRPr="001F2586">
        <w:rPr>
          <w:rFonts w:eastAsia="Calibri"/>
          <w:rtl/>
        </w:rPr>
        <w:t xml:space="preserve">, הלשכה המשפטית וגורמי המקצוע הרלוונטיים, לרבות בנק ישראל, לצורך גיבוש מבנה ההתקשרות, נוסח ההסכם והמסגרת התקציבית הנדרשת. </w:t>
      </w:r>
    </w:p>
    <w:p w:rsidR="001F2586" w:rsidRPr="001F2586" w:rsidP="001F2586">
      <w:pPr>
        <w:spacing w:line="269" w:lineRule="auto"/>
        <w:rPr>
          <w:rFonts w:eastAsia="Calibri"/>
          <w:rtl/>
        </w:rPr>
      </w:pPr>
      <w:r w:rsidRPr="001F2586">
        <w:rPr>
          <w:rFonts w:eastAsia="Calibri" w:hint="cs"/>
          <w:rtl/>
        </w:rPr>
        <w:t xml:space="preserve">הרשות הוסיפה בתשובתה כי </w:t>
      </w:r>
      <w:r w:rsidRPr="001F2586">
        <w:rPr>
          <w:rFonts w:eastAsia="Calibri"/>
          <w:rtl/>
        </w:rPr>
        <w:t xml:space="preserve">במקביל, כנדרש ע"פ דין, לאור שווי ההתקשרות והיקפה החלטת ועדת המכרזים הייתה טעונה גם אישור של ועדת הפטור במשרד האוצר, אשר התקבל בשלב מאוחר יותר וכן איתור מקורות תקציביים פנויים לטובת מימוש המיזם. אמנם במהלך חודש ינואר 2024 חלו חילופי בעלי תפקידים במשרד אשר הצריכו בחינה מחודשת של סדרי העדיפויות, אולם עיקר משך הזמן נבע מהצורך בהשלמת כלל ההיבטים המקצועיים, המשפטיים והתקציביים הנדרשים לצורך הבשלת ההתקשרות כדין. בסיומו של ההליך, השלימה הרשות לפיתוח כלכלי את כלל שלבי ההתקשרות וברבעון האחרון של שנת 2025 נחתם ההסכם עם "עוגן - קרן להלוואות ללא ריבית" לשנה, עם אפשרות להארכה בשנתיים והדברים נמצאים בעבודה. </w:t>
      </w:r>
    </w:p>
    <w:p w:rsidR="001F2586" w:rsidRPr="001F2586" w:rsidP="001F2586">
      <w:pPr>
        <w:spacing w:line="269" w:lineRule="auto"/>
        <w:ind w:left="-567"/>
        <w:rPr>
          <w:rFonts w:eastAsia="Calibri"/>
          <w:szCs w:val="20"/>
          <w:rtl/>
        </w:rPr>
      </w:pPr>
    </w:p>
    <w:p w:rsidR="00260379" w:rsidP="001F2586">
      <w:pPr>
        <w:spacing w:line="269" w:lineRule="auto"/>
        <w:rPr>
          <w:rFonts w:eastAsia="Calibri"/>
          <w:b/>
          <w:bCs/>
          <w:rtl/>
        </w:rPr>
      </w:pPr>
      <w:r w:rsidRPr="001F2586">
        <w:rPr>
          <w:rFonts w:eastAsia="Calibri" w:hint="cs"/>
          <w:b/>
          <w:bCs/>
          <w:rtl/>
        </w:rPr>
        <w:t>נמצא כי מזה כעשור סוגיית היעדר הנגישות של החברה הערבית למשכנתאות, עומדת על שולחן מקבלי ההחלטות. סוגיה זו נדונה במספר החלטות ממשלה ובמספר צוותי עבודה שונים במהלך השנים. האחרון שבהם - הצוות בראשות החשב הכללי, שהוקם בתחילת 2022 לא פרסם את מסקנותיו, דבר שהוביל לכך שהן לא נדונו בממשלה. לפיכך, הסוגיה האמורה אינה מקודמת ואינה מטופלת על ידי הגורמים הרלוונטיים בממשלה, כפי שנקבעו בהחלטת הממשלה.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b/>
          <w:bCs/>
          <w:rtl/>
        </w:rPr>
        <w:t xml:space="preserve">סוגיית הדיור והאשראי </w:t>
      </w:r>
      <w:r w:rsidRPr="001F2586">
        <w:rPr>
          <w:rFonts w:eastAsia="Calibri" w:hint="eastAsia"/>
          <w:b/>
          <w:bCs/>
          <w:rtl/>
        </w:rPr>
        <w:t>לדיור</w:t>
      </w:r>
      <w:r w:rsidRPr="001F2586">
        <w:rPr>
          <w:rFonts w:eastAsia="Calibri"/>
          <w:b/>
          <w:bCs/>
          <w:rtl/>
        </w:rPr>
        <w:t xml:space="preserve"> בחברה הערבית משקפת כשל שוק הנובע משילוב של חסמים סטטוטוריים (רישום מקרקעין), מאפיינים תרבותיים (בנייה עצמית) ופערי נגישות פיננסית. בעוד שהחלטות ממשלה </w:t>
      </w:r>
      <w:r w:rsidRPr="001F2586">
        <w:rPr>
          <w:rFonts w:eastAsia="Calibri" w:hint="eastAsia"/>
          <w:b/>
          <w:bCs/>
          <w:rtl/>
        </w:rPr>
        <w:t>שונות</w:t>
      </w:r>
      <w:r w:rsidRPr="001F2586">
        <w:rPr>
          <w:rFonts w:eastAsia="Calibri"/>
          <w:b/>
          <w:bCs/>
          <w:rtl/>
        </w:rPr>
        <w:t xml:space="preserve"> </w:t>
      </w:r>
      <w:r w:rsidRPr="001F2586">
        <w:rPr>
          <w:rFonts w:eastAsia="Calibri" w:hint="eastAsia"/>
          <w:b/>
          <w:bCs/>
          <w:rtl/>
        </w:rPr>
        <w:t>דנו</w:t>
      </w:r>
      <w:r w:rsidRPr="001F2586">
        <w:rPr>
          <w:rFonts w:eastAsia="Calibri"/>
          <w:b/>
          <w:bCs/>
          <w:rtl/>
        </w:rPr>
        <w:t xml:space="preserve"> </w:t>
      </w:r>
      <w:r w:rsidRPr="001F2586">
        <w:rPr>
          <w:rFonts w:eastAsia="Calibri" w:hint="eastAsia"/>
          <w:b/>
          <w:bCs/>
          <w:rtl/>
        </w:rPr>
        <w:t>בסוגיית</w:t>
      </w:r>
      <w:r w:rsidRPr="001F2586">
        <w:rPr>
          <w:rFonts w:eastAsia="Calibri"/>
          <w:b/>
          <w:bCs/>
          <w:rtl/>
        </w:rPr>
        <w:t xml:space="preserve"> </w:t>
      </w:r>
      <w:r w:rsidRPr="001F2586">
        <w:rPr>
          <w:rFonts w:eastAsia="Calibri" w:hint="eastAsia"/>
          <w:b/>
          <w:bCs/>
          <w:rtl/>
        </w:rPr>
        <w:t>הגברת</w:t>
      </w:r>
      <w:r w:rsidRPr="001F2586">
        <w:rPr>
          <w:rFonts w:eastAsia="Calibri"/>
          <w:b/>
          <w:bCs/>
          <w:rtl/>
        </w:rPr>
        <w:t xml:space="preserve"> </w:t>
      </w:r>
      <w:r w:rsidRPr="001F2586">
        <w:rPr>
          <w:rFonts w:eastAsia="Calibri" w:hint="eastAsia"/>
          <w:b/>
          <w:bCs/>
          <w:rtl/>
        </w:rPr>
        <w:t>ההכלה</w:t>
      </w:r>
      <w:r w:rsidRPr="001F2586">
        <w:rPr>
          <w:rFonts w:eastAsia="Calibri"/>
          <w:b/>
          <w:bCs/>
          <w:rtl/>
        </w:rPr>
        <w:t xml:space="preserve"> </w:t>
      </w:r>
      <w:r w:rsidRPr="001F2586">
        <w:rPr>
          <w:rFonts w:eastAsia="Calibri" w:hint="eastAsia"/>
          <w:b/>
          <w:bCs/>
          <w:rtl/>
        </w:rPr>
        <w:t>הפיננסית</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הציבור</w:t>
      </w:r>
      <w:r w:rsidRPr="001F2586">
        <w:rPr>
          <w:rFonts w:eastAsia="Calibri"/>
          <w:b/>
          <w:bCs/>
          <w:rtl/>
        </w:rPr>
        <w:t xml:space="preserve"> </w:t>
      </w:r>
      <w:r w:rsidRPr="001F2586">
        <w:rPr>
          <w:rFonts w:eastAsia="Calibri" w:hint="eastAsia"/>
          <w:b/>
          <w:bCs/>
          <w:rtl/>
        </w:rPr>
        <w:t>הערבי</w:t>
      </w:r>
      <w:r w:rsidRPr="001F2586">
        <w:rPr>
          <w:rFonts w:eastAsia="Calibri"/>
          <w:b/>
          <w:bCs/>
          <w:rtl/>
        </w:rPr>
        <w:t xml:space="preserve"> </w:t>
      </w:r>
      <w:r w:rsidRPr="001F2586">
        <w:rPr>
          <w:rFonts w:eastAsia="Calibri" w:hint="eastAsia"/>
          <w:b/>
          <w:bCs/>
          <w:rtl/>
        </w:rPr>
        <w:t>ואף</w:t>
      </w:r>
      <w:r w:rsidRPr="001F2586">
        <w:rPr>
          <w:rFonts w:eastAsia="Calibri"/>
          <w:b/>
          <w:bCs/>
          <w:rtl/>
        </w:rPr>
        <w:t xml:space="preserve"> הציבו יעדים להכפלת שיעור מקבלי המשכנתאות </w:t>
      </w:r>
      <w:r w:rsidRPr="001F2586">
        <w:rPr>
          <w:rFonts w:eastAsia="Calibri" w:hint="cs"/>
          <w:b/>
          <w:bCs/>
          <w:rtl/>
        </w:rPr>
        <w:t>(שעמד על כ-2% בלבד)</w:t>
      </w:r>
      <w:r w:rsidRPr="001F2586">
        <w:rPr>
          <w:rFonts w:eastAsia="Calibri"/>
          <w:b/>
          <w:bCs/>
          <w:rtl/>
        </w:rPr>
        <w:t xml:space="preserve"> וצמצום פערי הריבית, היישום בפועל ס</w:t>
      </w:r>
      <w:r w:rsidRPr="001F2586">
        <w:rPr>
          <w:rFonts w:eastAsia="Calibri" w:hint="eastAsia"/>
          <w:b/>
          <w:bCs/>
          <w:rtl/>
        </w:rPr>
        <w:t>ו</w:t>
      </w:r>
      <w:r w:rsidRPr="001F2586">
        <w:rPr>
          <w:rFonts w:eastAsia="Calibri"/>
          <w:b/>
          <w:bCs/>
          <w:rtl/>
        </w:rPr>
        <w:t>בל מעיכובים בירוקרטיים. היעדר נתונים עדכניים מצד בנק ישראל ומצד גורמים אחרים האמונים על כלכלת ישראל כגון משרד האוצר מקשה על בחינת האפקטיביות של הצעדים שננקטו, ובהיעדר פתרונות אשראי מוסדרים, משקי בית ערבים נאלצים לפנות לאפיקי מימון יקרים ומסוכנים, המעצימים את המצוקה הכלכלית ומהווים קרקע פורייה לצמיחת אשראי חוץ-בנקאי לא מבוק</w:t>
      </w:r>
      <w:r w:rsidRPr="001F2586">
        <w:rPr>
          <w:rFonts w:eastAsia="Calibri" w:hint="eastAsia"/>
          <w:b/>
          <w:bCs/>
          <w:rtl/>
        </w:rPr>
        <w:t>ר</w:t>
      </w:r>
      <w:r w:rsidRPr="001F2586">
        <w:rPr>
          <w:rFonts w:eastAsia="Calibri"/>
          <w:b/>
          <w:bCs/>
          <w:rtl/>
        </w:rPr>
        <w:t xml:space="preserve">, הגורם לפגיעה קשה ביכולתם של אזרחים ערבים לבנות בתי מגורים בשל </w:t>
      </w:r>
      <w:r w:rsidRPr="001F2586">
        <w:rPr>
          <w:rFonts w:eastAsia="Calibri" w:hint="eastAsia"/>
          <w:b/>
          <w:bCs/>
          <w:rtl/>
        </w:rPr>
        <w:t>חוסר</w:t>
      </w:r>
      <w:r w:rsidRPr="001F2586">
        <w:rPr>
          <w:rFonts w:eastAsia="Calibri"/>
          <w:b/>
          <w:bCs/>
          <w:rtl/>
        </w:rPr>
        <w:t xml:space="preserve"> נגישותם </w:t>
      </w:r>
      <w:r w:rsidRPr="001F2586">
        <w:rPr>
          <w:rFonts w:eastAsia="Calibri" w:hint="eastAsia"/>
          <w:b/>
          <w:bCs/>
          <w:rtl/>
        </w:rPr>
        <w:t>למשכנתאות</w:t>
      </w:r>
      <w:r w:rsidRPr="001F2586">
        <w:rPr>
          <w:rFonts w:eastAsia="Calibri"/>
          <w:b/>
          <w:bCs/>
          <w:rtl/>
        </w:rPr>
        <w:t xml:space="preserve"> </w:t>
      </w:r>
      <w:r w:rsidRPr="001F2586">
        <w:rPr>
          <w:rFonts w:eastAsia="Calibri" w:hint="eastAsia"/>
          <w:b/>
          <w:bCs/>
          <w:rtl/>
        </w:rPr>
        <w:t>בנקאיות</w:t>
      </w:r>
      <w:r w:rsidRPr="001F2586">
        <w:rPr>
          <w:rFonts w:eastAsia="Calibri"/>
          <w:b/>
          <w:bCs/>
          <w:rtl/>
        </w:rPr>
        <w:t xml:space="preserve"> </w:t>
      </w:r>
      <w:r w:rsidRPr="001F2586">
        <w:rPr>
          <w:rFonts w:eastAsia="Calibri" w:hint="eastAsia"/>
          <w:b/>
          <w:bCs/>
          <w:rtl/>
        </w:rPr>
        <w:t>ואף</w:t>
      </w:r>
      <w:r w:rsidRPr="001F2586">
        <w:rPr>
          <w:rFonts w:eastAsia="Calibri"/>
          <w:b/>
          <w:bCs/>
          <w:rtl/>
        </w:rPr>
        <w:t xml:space="preserve"> </w:t>
      </w:r>
      <w:r w:rsidRPr="001F2586">
        <w:rPr>
          <w:rFonts w:eastAsia="Calibri" w:hint="eastAsia"/>
          <w:b/>
          <w:bCs/>
          <w:rtl/>
        </w:rPr>
        <w:t>במקרים</w:t>
      </w:r>
      <w:r w:rsidRPr="001F2586">
        <w:rPr>
          <w:rFonts w:eastAsia="Calibri"/>
          <w:b/>
          <w:bCs/>
          <w:rtl/>
        </w:rPr>
        <w:t xml:space="preserve"> </w:t>
      </w:r>
      <w:r w:rsidRPr="001F2586">
        <w:rPr>
          <w:rFonts w:eastAsia="Calibri" w:hint="eastAsia"/>
          <w:b/>
          <w:bCs/>
          <w:rtl/>
        </w:rPr>
        <w:t>מסוימים</w:t>
      </w:r>
      <w:r w:rsidRPr="001F2586">
        <w:rPr>
          <w:rFonts w:eastAsia="Calibri"/>
          <w:b/>
          <w:bCs/>
          <w:rtl/>
        </w:rPr>
        <w:t xml:space="preserve"> </w:t>
      </w:r>
      <w:r w:rsidRPr="001F2586">
        <w:rPr>
          <w:rFonts w:eastAsia="Calibri" w:hint="eastAsia"/>
          <w:b/>
          <w:bCs/>
          <w:rtl/>
        </w:rPr>
        <w:t>יכול</w:t>
      </w:r>
      <w:r w:rsidRPr="001F2586">
        <w:rPr>
          <w:rFonts w:eastAsia="Calibri"/>
          <w:b/>
          <w:bCs/>
          <w:rtl/>
        </w:rPr>
        <w:t xml:space="preserve"> </w:t>
      </w:r>
      <w:r w:rsidRPr="001F2586">
        <w:rPr>
          <w:rFonts w:eastAsia="Calibri" w:hint="eastAsia"/>
          <w:b/>
          <w:bCs/>
          <w:rtl/>
        </w:rPr>
        <w:t>אף</w:t>
      </w:r>
      <w:r w:rsidRPr="001F2586">
        <w:rPr>
          <w:rFonts w:eastAsia="Calibri"/>
          <w:b/>
          <w:bCs/>
          <w:rtl/>
        </w:rPr>
        <w:t xml:space="preserve"> </w:t>
      </w:r>
      <w:r w:rsidRPr="001F2586">
        <w:rPr>
          <w:rFonts w:eastAsia="Calibri" w:hint="eastAsia"/>
          <w:b/>
          <w:bCs/>
          <w:rtl/>
        </w:rPr>
        <w:t>לעודד</w:t>
      </w:r>
      <w:r w:rsidRPr="001F2586">
        <w:rPr>
          <w:rFonts w:eastAsia="Calibri"/>
          <w:b/>
          <w:bCs/>
          <w:rtl/>
        </w:rPr>
        <w:t xml:space="preserve"> </w:t>
      </w:r>
      <w:r w:rsidRPr="001F2586">
        <w:rPr>
          <w:rFonts w:eastAsia="Calibri" w:hint="eastAsia"/>
          <w:b/>
          <w:bCs/>
          <w:rtl/>
        </w:rPr>
        <w:t>פשיעה</w:t>
      </w:r>
      <w:r w:rsidRPr="001F2586">
        <w:rPr>
          <w:rFonts w:eastAsia="Calibri"/>
          <w:b/>
          <w:bCs/>
          <w:rtl/>
        </w:rPr>
        <w:t xml:space="preserve"> </w:t>
      </w:r>
      <w:r w:rsidRPr="001F2586">
        <w:rPr>
          <w:rFonts w:eastAsia="Calibri" w:hint="eastAsia"/>
          <w:b/>
          <w:bCs/>
          <w:rtl/>
        </w:rPr>
        <w:t>כלכלית</w:t>
      </w:r>
      <w:r w:rsidRPr="001F2586">
        <w:rPr>
          <w:rFonts w:eastAsia="Calibri"/>
          <w:b/>
          <w:bCs/>
          <w:rtl/>
        </w:rPr>
        <w:t xml:space="preserve"> </w:t>
      </w:r>
      <w:r w:rsidRPr="001F2586">
        <w:rPr>
          <w:rFonts w:eastAsia="Calibri" w:hint="eastAsia"/>
          <w:b/>
          <w:bCs/>
          <w:rtl/>
        </w:rPr>
        <w:t>וזאת</w:t>
      </w:r>
      <w:r w:rsidRPr="001F2586">
        <w:rPr>
          <w:rFonts w:eastAsia="Calibri"/>
          <w:b/>
          <w:bCs/>
          <w:rtl/>
        </w:rPr>
        <w:t xml:space="preserve"> </w:t>
      </w:r>
      <w:r w:rsidRPr="001F2586">
        <w:rPr>
          <w:rFonts w:eastAsia="Calibri" w:hint="eastAsia"/>
          <w:b/>
          <w:bCs/>
          <w:rtl/>
        </w:rPr>
        <w:t>בשל</w:t>
      </w:r>
      <w:r w:rsidRPr="001F2586">
        <w:rPr>
          <w:rFonts w:eastAsia="Calibri"/>
          <w:b/>
          <w:bCs/>
          <w:rtl/>
        </w:rPr>
        <w:t xml:space="preserve"> </w:t>
      </w:r>
      <w:r w:rsidRPr="001F2586">
        <w:rPr>
          <w:rFonts w:eastAsia="Calibri" w:hint="eastAsia"/>
          <w:b/>
          <w:bCs/>
          <w:rtl/>
        </w:rPr>
        <w:t>מעורבותם</w:t>
      </w:r>
      <w:r w:rsidRPr="001F2586">
        <w:rPr>
          <w:rFonts w:eastAsia="Calibri"/>
          <w:b/>
          <w:bCs/>
          <w:rtl/>
        </w:rPr>
        <w:t xml:space="preserve"> של גורמים פליליים בנתינת הלוואות חוץ </w:t>
      </w:r>
      <w:r w:rsidRPr="001F2586">
        <w:rPr>
          <w:rFonts w:eastAsia="Calibri" w:hint="eastAsia"/>
          <w:b/>
          <w:bCs/>
          <w:rtl/>
        </w:rPr>
        <w:t>בנקאיות</w:t>
      </w:r>
      <w:r w:rsidRPr="001F2586">
        <w:rPr>
          <w:rFonts w:eastAsia="Calibri" w:hint="cs"/>
          <w:rtl/>
        </w:rPr>
        <w:t>.</w:t>
      </w:r>
      <w:r w:rsidRPr="001F2586">
        <w:rPr>
          <w:rFonts w:eastAsia="Calibri"/>
          <w:b/>
          <w:bCs/>
          <w:rtl/>
        </w:rPr>
        <w:t xml:space="preserve"> המשך ההתבססות על שוק האשראי הלא מוסדר בחברה הערבית אינו רק בעיה נקודתית של משקי בית, אלא </w:t>
      </w:r>
      <w:r w:rsidRPr="001F2586">
        <w:rPr>
          <w:rFonts w:eastAsia="Calibri" w:hint="cs"/>
          <w:b/>
          <w:bCs/>
          <w:rtl/>
        </w:rPr>
        <w:t xml:space="preserve">ייתכן ויהווה </w:t>
      </w:r>
      <w:r w:rsidRPr="001F2586">
        <w:rPr>
          <w:rFonts w:eastAsia="Calibri"/>
          <w:b/>
          <w:bCs/>
          <w:rtl/>
        </w:rPr>
        <w:t xml:space="preserve">איום אסטרטגי על היציבות הכלכלית והחברתית </w:t>
      </w:r>
      <w:r w:rsidRPr="001F2586">
        <w:rPr>
          <w:rFonts w:eastAsia="Calibri" w:hint="cs"/>
          <w:b/>
          <w:bCs/>
          <w:rtl/>
        </w:rPr>
        <w:t xml:space="preserve">של החברה הערבית.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b/>
          <w:bCs/>
          <w:rtl/>
        </w:rPr>
        <w:t xml:space="preserve">על אף ניסיונותיהם של התאגידים הבנקאיים לייצר פתרונות אשראי מותאמים (כדוגמת הלוואות ללא בטוחה </w:t>
      </w:r>
      <w:r w:rsidRPr="001F2586">
        <w:rPr>
          <w:rFonts w:eastAsia="Calibri"/>
          <w:b/>
          <w:bCs/>
          <w:rtl/>
        </w:rPr>
        <w:t>נדל"נית</w:t>
      </w:r>
      <w:r w:rsidRPr="001F2586">
        <w:rPr>
          <w:rFonts w:eastAsia="Calibri"/>
          <w:b/>
          <w:bCs/>
          <w:rtl/>
        </w:rPr>
        <w:t xml:space="preserve"> ישירה), המענה הקיים אינו מצליח לגשר על הפערים המבניים והתכנוניים הייחודיים למגזר הערבי.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החשב הכללי ציין בתשובתו כי על אף ניסיונותיהם של התאגידים הבנקאיים לייצר פתרונות אשראי מותאמים המענה הקיים אינו מצליח לגשר על הפערים המבניים והתכנונים הייחודים למגזר הערבי. על כן, מאז עבודת הצוות ובהמשך לה, ממשיך אגף החשבת הכללית בעבודת מטה בשיתוף אגב תקציבים במשרד האוצר, המועצה הלאומית לכלכלה והרשות לפיתוח כלכלי במטרה לבחון ולפתח את המודל המתאים להתערבות ממשלתית ישירה לטיפול בהיעדר הנגישות למשכנתאות ביישובי החברה הערבית, לרבות באמצעות פיילוט התערבות ישירה בשוק המשכנתאות על ידי העמדת ערבות מדינה, הפיילוט יופעל במספר יישובים והרחבתו ליישובים נוספים תיבחן בהמשך בהתאם לתוצאות הפיילוט. עבודת המטה הגיעה לכדי הסכמות לעניין אופן ההתערבות ומבנה המודל למעט המקור התקציבי ובימים אלו מקודמת טיוטת החלטת ממשלה בנושא, למעט המקור התקציבי שטרם נקבע.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bookmarkStart w:id="87" w:name="_Hlk225076146"/>
      <w:r w:rsidRPr="001F2586">
        <w:rPr>
          <w:rFonts w:eastAsia="Calibri" w:hint="cs"/>
          <w:b/>
          <w:bCs/>
          <w:rtl/>
        </w:rPr>
        <w:t xml:space="preserve">בהמשך להחלטת הממשלה האחרונה בנושא משנת 2021 על מנכ"ל משרד האוצר להמשיך לקדם את הטיפול בנושא הגברת נגישותה של החברה הערבית לאשראי לדיור יחד עם נציגים ממשרד ראש הממשלה, משרד המשפטים, המפקח על הבנקים, הרשות להלבנת הון והרשות לפיתוח כלכלי במגזר המיעוטים. </w:t>
      </w:r>
      <w:bookmarkEnd w:id="87"/>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אגף תקציבים ציין בתשובתו כי "בימים אלה מתבצעת עבודת מטה בהובלת הכלכלן הראשי לעניין יישום פיילוט להגברת נגישות החברה הערבית לשוק המשכנתאות." </w:t>
      </w:r>
    </w:p>
    <w:p w:rsidR="001F2586" w:rsidRPr="001F2586" w:rsidP="001F2586">
      <w:pPr>
        <w:spacing w:line="269" w:lineRule="auto"/>
        <w:rPr>
          <w:rFonts w:eastAsia="Calibri"/>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משכנתאות במגזר החרדי </w:t>
      </w:r>
    </w:p>
    <w:p w:rsidR="001F2586" w:rsidRPr="001F2586" w:rsidP="001F2586">
      <w:pPr>
        <w:spacing w:line="269" w:lineRule="auto"/>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על פי סקרי משקי הבית של </w:t>
      </w:r>
      <w:r w:rsidRPr="001F2586">
        <w:rPr>
          <w:rFonts w:eastAsia="Calibri" w:hint="cs"/>
          <w:rtl/>
        </w:rPr>
        <w:t>הלמ"ס</w:t>
      </w:r>
      <w:r w:rsidRPr="001F2586">
        <w:rPr>
          <w:rFonts w:eastAsia="Calibri" w:hint="cs"/>
          <w:rtl/>
        </w:rPr>
        <w:t xml:space="preserve"> לשנים 2014 - 2022 שיעור </w:t>
      </w:r>
      <w:r w:rsidRPr="001F2586">
        <w:rPr>
          <w:rFonts w:eastAsia="Calibri"/>
          <w:rtl/>
        </w:rPr>
        <w:t xml:space="preserve">בעלי הדירות בחברה החרדית עומד על </w:t>
      </w:r>
      <w:r w:rsidRPr="001F2586">
        <w:rPr>
          <w:rFonts w:eastAsia="Calibri" w:hint="cs"/>
          <w:rtl/>
        </w:rPr>
        <w:t>כ-65% לשנת 2022</w:t>
      </w:r>
      <w:r>
        <w:rPr>
          <w:rFonts w:eastAsia="Calibri"/>
          <w:vertAlign w:val="superscript"/>
          <w:rtl/>
        </w:rPr>
        <w:footnoteReference w:id="357"/>
      </w:r>
      <w:r w:rsidRPr="001F2586">
        <w:rPr>
          <w:rFonts w:eastAsia="Calibri" w:hint="cs"/>
          <w:rtl/>
        </w:rPr>
        <w:t xml:space="preserve">. </w:t>
      </w:r>
    </w:p>
    <w:p w:rsidR="001F2586" w:rsidRPr="001F2586" w:rsidP="001F2586">
      <w:pPr>
        <w:spacing w:line="269" w:lineRule="auto"/>
        <w:rPr>
          <w:rFonts w:eastAsia="Calibri"/>
          <w:rtl/>
        </w:rPr>
      </w:pPr>
    </w:p>
    <w:p w:rsidR="001F2586" w:rsidRPr="001F2586" w:rsidP="001F2586">
      <w:pPr>
        <w:spacing w:line="269" w:lineRule="auto"/>
        <w:jc w:val="center"/>
        <w:rPr>
          <w:rFonts w:eastAsia="Calibri"/>
          <w:b/>
          <w:bCs/>
          <w:rtl/>
        </w:rPr>
      </w:pPr>
      <w:r w:rsidRPr="001F2586">
        <w:rPr>
          <w:rFonts w:eastAsia="Calibri" w:hint="cs"/>
          <w:rtl/>
        </w:rPr>
        <w:t>תרשים 57:</w:t>
      </w:r>
      <w:r w:rsidRPr="001F2586">
        <w:rPr>
          <w:rFonts w:eastAsia="Calibri" w:hint="cs"/>
          <w:b/>
          <w:bCs/>
          <w:rtl/>
        </w:rPr>
        <w:t xml:space="preserve"> שיעור הבעלות על דירות לפי מגזר, 2014-2022 </w:t>
      </w:r>
    </w:p>
    <w:p w:rsidR="001F2586" w:rsidRPr="001F2586" w:rsidP="001F2586">
      <w:pPr>
        <w:spacing w:line="269" w:lineRule="auto"/>
        <w:rPr>
          <w:rFonts w:eastAsia="Calibri"/>
          <w:rtl/>
        </w:rPr>
      </w:pPr>
      <w:r w:rsidRPr="001F2586">
        <w:rPr>
          <w:rFonts w:eastAsia="Calibri"/>
          <w:noProof/>
        </w:rPr>
        <w:drawing>
          <wp:inline distT="0" distB="0" distL="0" distR="0">
            <wp:extent cx="5219700" cy="2235200"/>
            <wp:effectExtent l="0" t="0" r="0" b="0"/>
            <wp:docPr id="84" name="תמונה 84" descr="שיעור הבעלות על דירה בשנת 2014-2015 עמד על 67% במגזר היהודי הלא חרדי, 69.1% במגזר החרדי ו-77.7% במגזר הערבי. בשנת 2022 שיעור הבעלות עמד על 61.3% במגזר היהודי הלא חרדי, 64.8% במגזר החרדי ו-75.6% במגזר הערב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
                    <pic:cNvPicPr/>
                  </pic:nvPicPr>
                  <pic:blipFill>
                    <a:blip xmlns:r="http://schemas.openxmlformats.org/officeDocument/2006/relationships" r:embed="rId72"/>
                    <a:stretch>
                      <a:fillRect/>
                    </a:stretch>
                  </pic:blipFill>
                  <pic:spPr>
                    <a:xfrm>
                      <a:off x="0" y="0"/>
                      <a:ext cx="5219700" cy="2235200"/>
                    </a:xfrm>
                    <a:prstGeom prst="rect">
                      <a:avLst/>
                    </a:prstGeom>
                  </pic:spPr>
                </pic:pic>
              </a:graphicData>
            </a:graphic>
          </wp:inline>
        </w:drawing>
      </w:r>
    </w:p>
    <w:p w:rsidR="001F2586" w:rsidRPr="001F2586" w:rsidP="001F2586">
      <w:pPr>
        <w:spacing w:line="269" w:lineRule="auto"/>
        <w:ind w:left="-567" w:firstLine="567"/>
        <w:rPr>
          <w:rFonts w:ascii="David" w:eastAsia="Calibri" w:hAnsi="David"/>
          <w:szCs w:val="20"/>
          <w:rtl/>
        </w:rPr>
      </w:pPr>
      <w:r w:rsidRPr="001F2586">
        <w:rPr>
          <w:rFonts w:ascii="David" w:eastAsia="Calibri" w:hAnsi="David"/>
          <w:szCs w:val="20"/>
          <w:rtl/>
        </w:rPr>
        <w:t>המקור: דוח מצב החברה החרדית- 2024, פרק 2: דיור</w:t>
      </w:r>
      <w:r w:rsidRPr="001F2586">
        <w:rPr>
          <w:rFonts w:ascii="David" w:eastAsia="Calibri" w:hAnsi="David" w:hint="cs"/>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יצוין כי על פי הסקרים האמורים בחברה היהודית שאינה חרדית חלה ירידה מתמשכת בשיעור הבעלות על הדירה מ-67% בשנת 2014 ועד לכ-61.3%</w:t>
      </w:r>
      <w:r w:rsidRPr="001F2586">
        <w:rPr>
          <w:rFonts w:eastAsia="Calibri" w:hint="cs"/>
        </w:rPr>
        <w:t xml:space="preserve"> </w:t>
      </w:r>
      <w:r w:rsidRPr="001F2586">
        <w:rPr>
          <w:rFonts w:eastAsia="Calibri" w:hint="cs"/>
          <w:rtl/>
        </w:rPr>
        <w:t>בשנת 2022. לעומת זאת במגזר החרדי, עד שנת 2021 חלו שינויים מועטים בשיעור בעלי הדירות, ובשנת 2022 חלה ירידה של כ-4%</w:t>
      </w:r>
      <w:r w:rsidRPr="001F2586">
        <w:rPr>
          <w:rFonts w:eastAsia="Calibri" w:hint="cs"/>
        </w:rPr>
        <w:t xml:space="preserve"> </w:t>
      </w:r>
      <w:r w:rsidRPr="001F2586">
        <w:rPr>
          <w:rFonts w:eastAsia="Calibri" w:hint="cs"/>
          <w:rtl/>
        </w:rPr>
        <w:t>בשיעור הבעלות על דירה. להלן הנתונים: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מאחר ושיעור הבעלות על דירות בחברה החרדית גבוה משיעורו בחברה היהודית שאינה חרדית, גם שיעור משקי הבית החרדים שנוטלים משכנתא גבוה יותר. בשנת 2022 על פי נתוני בנק ישראל </w:t>
      </w:r>
      <w:r w:rsidRPr="001F2586">
        <w:rPr>
          <w:rFonts w:eastAsia="Calibri"/>
          <w:rtl/>
        </w:rPr>
        <w:t>האוכלוסייה החרדית נוטלת באופן יחסי את שיעור המשכנתאות הגבוה ביותר</w:t>
      </w:r>
      <w:r w:rsidRPr="001F2586">
        <w:rPr>
          <w:rFonts w:eastAsia="Calibri" w:hint="cs"/>
          <w:rtl/>
        </w:rPr>
        <w:t xml:space="preserve"> והוא עומד על </w:t>
      </w:r>
      <w:r w:rsidRPr="001F2586">
        <w:rPr>
          <w:rFonts w:eastAsia="Calibri"/>
          <w:rtl/>
        </w:rPr>
        <w:t>כ-</w:t>
      </w:r>
      <w:r w:rsidRPr="001F2586">
        <w:rPr>
          <w:rFonts w:eastAsia="Calibri" w:hint="cs"/>
          <w:rtl/>
        </w:rPr>
        <w:t>43</w:t>
      </w:r>
      <w:r w:rsidRPr="001F2586">
        <w:rPr>
          <w:rFonts w:eastAsia="Calibri"/>
          <w:rtl/>
        </w:rPr>
        <w:t>% ממשקי הבית</w:t>
      </w:r>
      <w:r w:rsidRPr="001F2586">
        <w:rPr>
          <w:rFonts w:eastAsia="Calibri" w:hint="cs"/>
          <w:rtl/>
        </w:rPr>
        <w:t>,</w:t>
      </w:r>
      <w:r w:rsidRPr="001F2586">
        <w:rPr>
          <w:rFonts w:eastAsia="Calibri"/>
          <w:rtl/>
        </w:rPr>
        <w:t xml:space="preserve"> לעומת כ-</w:t>
      </w:r>
      <w:r w:rsidRPr="001F2586">
        <w:rPr>
          <w:rFonts w:eastAsia="Calibri" w:hint="cs"/>
          <w:rtl/>
        </w:rPr>
        <w:t>28</w:t>
      </w:r>
      <w:r w:rsidRPr="001F2586">
        <w:rPr>
          <w:rFonts w:eastAsia="Calibri"/>
          <w:rtl/>
        </w:rPr>
        <w:t>% באוכלוסייה היהודית הלא-חרדית</w:t>
      </w:r>
      <w:r w:rsidRPr="001F2586">
        <w:rPr>
          <w:rFonts w:eastAsia="Calibri" w:hint="cs"/>
          <w:rtl/>
        </w:rPr>
        <w:t>, וכ-7%</w:t>
      </w:r>
      <w:r w:rsidRPr="001F2586">
        <w:rPr>
          <w:rFonts w:eastAsia="Calibri" w:hint="cs"/>
        </w:rPr>
        <w:t xml:space="preserve"> </w:t>
      </w:r>
      <w:r w:rsidRPr="001F2586">
        <w:rPr>
          <w:rFonts w:eastAsia="Calibri" w:hint="cs"/>
          <w:rtl/>
        </w:rPr>
        <w:t xml:space="preserve">בלבד ממשקי הבית בחברה הערבית.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rtl/>
        </w:rPr>
        <w:t>לפי דו</w:t>
      </w:r>
      <w:r w:rsidRPr="001F2586">
        <w:rPr>
          <w:rFonts w:eastAsia="Calibri" w:hint="cs"/>
          <w:rtl/>
        </w:rPr>
        <w:t>"</w:t>
      </w:r>
      <w:r w:rsidRPr="001F2586">
        <w:rPr>
          <w:rFonts w:eastAsia="Calibri"/>
          <w:rtl/>
        </w:rPr>
        <w:t xml:space="preserve">ח הפיקוח על הבנקים לשנת 2024, שיעור </w:t>
      </w:r>
      <w:r w:rsidRPr="001F2586">
        <w:rPr>
          <w:rFonts w:eastAsia="Calibri"/>
          <w:rtl/>
        </w:rPr>
        <w:t>נוטלי</w:t>
      </w:r>
      <w:r w:rsidRPr="001F2586">
        <w:rPr>
          <w:rFonts w:eastAsia="Calibri"/>
          <w:rtl/>
        </w:rPr>
        <w:t xml:space="preserve"> המשכנתאות שנעזרים ביועצים פיננסיים </w:t>
      </w:r>
      <w:r w:rsidRPr="001F2586">
        <w:rPr>
          <w:rFonts w:eastAsia="Calibri" w:hint="cs"/>
          <w:rtl/>
        </w:rPr>
        <w:t>ביישובי החברה החרדית</w:t>
      </w:r>
      <w:r w:rsidRPr="001F2586">
        <w:rPr>
          <w:rFonts w:eastAsia="Calibri"/>
          <w:rtl/>
        </w:rPr>
        <w:t xml:space="preserve"> עומד על </w:t>
      </w:r>
      <w:r w:rsidRPr="001F2586">
        <w:rPr>
          <w:rFonts w:eastAsia="Calibri" w:hint="cs"/>
          <w:rtl/>
        </w:rPr>
        <w:t>80</w:t>
      </w:r>
      <w:r w:rsidRPr="001F2586">
        <w:rPr>
          <w:rFonts w:eastAsia="Calibri"/>
          <w:rtl/>
        </w:rPr>
        <w:t>%, זאת בהשוואה ל-</w:t>
      </w:r>
      <w:r w:rsidRPr="001F2586">
        <w:rPr>
          <w:rFonts w:eastAsia="Calibri" w:hint="cs"/>
          <w:rtl/>
        </w:rPr>
        <w:t>62</w:t>
      </w:r>
      <w:r w:rsidRPr="001F2586">
        <w:rPr>
          <w:rFonts w:eastAsia="Calibri"/>
          <w:rtl/>
        </w:rPr>
        <w:t xml:space="preserve">% בלבד </w:t>
      </w:r>
      <w:r w:rsidRPr="001F2586">
        <w:rPr>
          <w:rFonts w:eastAsia="Calibri" w:hint="cs"/>
          <w:rtl/>
        </w:rPr>
        <w:t>בישובים יהודיים שאינם יישובי החברה החרדית</w:t>
      </w:r>
      <w:r w:rsidRPr="001F2586">
        <w:rPr>
          <w:rFonts w:eastAsia="Calibri"/>
          <w:rtl/>
        </w:rPr>
        <w:t xml:space="preserve">, 65% </w:t>
      </w:r>
      <w:r w:rsidRPr="001F2586">
        <w:rPr>
          <w:rFonts w:eastAsia="Calibri" w:hint="cs"/>
          <w:rtl/>
        </w:rPr>
        <w:t>בישובים עם אוכלוסייה מעורבת</w:t>
      </w:r>
      <w:r w:rsidRPr="001F2586">
        <w:rPr>
          <w:rFonts w:eastAsia="Calibri"/>
          <w:rtl/>
        </w:rPr>
        <w:t>, ו-</w:t>
      </w:r>
      <w:r w:rsidRPr="001F2586">
        <w:rPr>
          <w:rFonts w:eastAsia="Calibri" w:hint="cs"/>
          <w:rtl/>
        </w:rPr>
        <w:t>76</w:t>
      </w:r>
      <w:r w:rsidRPr="001F2586">
        <w:rPr>
          <w:rFonts w:eastAsia="Calibri"/>
          <w:rtl/>
        </w:rPr>
        <w:t xml:space="preserve">% </w:t>
      </w:r>
      <w:r w:rsidRPr="001F2586">
        <w:rPr>
          <w:rFonts w:eastAsia="Calibri" w:hint="cs"/>
          <w:rtl/>
        </w:rPr>
        <w:t xml:space="preserve">ביישובי החברה הערבית.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דפוסי הרכישה של דירות במגזר החרדי שונים מהמגזר הכללי</w:t>
      </w:r>
      <w:r>
        <w:rPr>
          <w:rFonts w:eastAsia="Calibri"/>
          <w:vertAlign w:val="superscript"/>
          <w:rtl/>
        </w:rPr>
        <w:footnoteReference w:id="358"/>
      </w:r>
      <w:r w:rsidRPr="001F2586">
        <w:rPr>
          <w:rFonts w:eastAsia="Calibri" w:hint="cs"/>
          <w:rtl/>
        </w:rPr>
        <w:t>:</w:t>
      </w:r>
    </w:p>
    <w:p w:rsidR="001F2586" w:rsidRPr="001F2586" w:rsidP="001F2586">
      <w:pPr>
        <w:spacing w:line="269" w:lineRule="auto"/>
        <w:rPr>
          <w:rFonts w:eastAsia="Calibri"/>
          <w:rtl/>
        </w:rPr>
      </w:pPr>
    </w:p>
    <w:p w:rsidR="001F2586" w:rsidRPr="001F2586" w:rsidP="001F2586">
      <w:pPr>
        <w:numPr>
          <w:ilvl w:val="0"/>
          <w:numId w:val="22"/>
        </w:numPr>
        <w:spacing w:line="269" w:lineRule="auto"/>
        <w:ind w:left="312"/>
        <w:contextualSpacing/>
        <w:rPr>
          <w:rFonts w:eastAsia="Calibri"/>
        </w:rPr>
      </w:pPr>
      <w:r w:rsidRPr="001F2586">
        <w:rPr>
          <w:rFonts w:eastAsia="Times New Roman"/>
          <w:bCs/>
          <w:spacing w:val="40"/>
          <w:rtl/>
        </w:rPr>
        <w:t>גיל רכישה</w:t>
      </w:r>
      <w:r w:rsidRPr="001F2586">
        <w:rPr>
          <w:rFonts w:eastAsia="Times New Roman" w:hint="cs"/>
          <w:bCs/>
          <w:spacing w:val="40"/>
          <w:rtl/>
        </w:rPr>
        <w:t>:</w:t>
      </w:r>
      <w:r w:rsidRPr="001F2586">
        <w:rPr>
          <w:rFonts w:eastAsia="Calibri" w:hint="cs"/>
          <w:rtl/>
        </w:rPr>
        <w:t xml:space="preserve"> במגזר החרדי גיל הרכישה </w:t>
      </w:r>
      <w:r w:rsidRPr="001F2586">
        <w:rPr>
          <w:rFonts w:eastAsia="Calibri"/>
          <w:rtl/>
        </w:rPr>
        <w:t xml:space="preserve">צעיר יותר (על פי נתוני </w:t>
      </w:r>
      <w:r w:rsidRPr="001F2586">
        <w:rPr>
          <w:rFonts w:eastAsia="Calibri"/>
          <w:rtl/>
        </w:rPr>
        <w:t>הלמ"ס</w:t>
      </w:r>
      <w:r w:rsidRPr="001F2586">
        <w:rPr>
          <w:rFonts w:eastAsia="Calibri"/>
          <w:rtl/>
        </w:rPr>
        <w:t xml:space="preserve"> הגיל החציוני לרכישת דירות אצל החרדים עומד על 29 שנים</w:t>
      </w:r>
      <w:r w:rsidRPr="001F2586">
        <w:rPr>
          <w:rFonts w:eastAsia="Calibri" w:hint="cs"/>
          <w:rtl/>
        </w:rPr>
        <w:t>,</w:t>
      </w:r>
      <w:r w:rsidRPr="001F2586">
        <w:rPr>
          <w:rFonts w:eastAsia="Calibri"/>
          <w:rtl/>
        </w:rPr>
        <w:t xml:space="preserve"> ואילו הגיל החציוני במגזר היהודי הלא חרדי עומד על 41 שנים) וזאת בשל החשיבות המשפחתית </w:t>
      </w:r>
      <w:r w:rsidRPr="001F2586">
        <w:rPr>
          <w:rFonts w:eastAsia="Calibri" w:hint="cs"/>
          <w:rtl/>
        </w:rPr>
        <w:t xml:space="preserve">המוקנית </w:t>
      </w:r>
      <w:r w:rsidRPr="001F2586">
        <w:rPr>
          <w:rFonts w:eastAsia="Calibri"/>
          <w:rtl/>
        </w:rPr>
        <w:t>לבעלות על דירת המגורים בשלב חיים מוקדם של זוג צעיר</w:t>
      </w:r>
      <w:r w:rsidRPr="001F2586">
        <w:rPr>
          <w:rFonts w:eastAsia="Calibri" w:hint="cs"/>
          <w:rtl/>
        </w:rPr>
        <w:t>.</w:t>
      </w:r>
    </w:p>
    <w:p w:rsidR="001F2586" w:rsidRPr="001F2586" w:rsidP="001F2586">
      <w:pPr>
        <w:spacing w:line="269" w:lineRule="auto"/>
        <w:ind w:left="312"/>
        <w:contextualSpacing/>
        <w:rPr>
          <w:rFonts w:eastAsia="Calibri"/>
        </w:rPr>
      </w:pPr>
    </w:p>
    <w:p w:rsidR="001F2586" w:rsidRPr="001F2586" w:rsidP="001F2586">
      <w:pPr>
        <w:numPr>
          <w:ilvl w:val="0"/>
          <w:numId w:val="22"/>
        </w:numPr>
        <w:spacing w:line="269" w:lineRule="auto"/>
        <w:ind w:left="312"/>
        <w:contextualSpacing/>
        <w:rPr>
          <w:rFonts w:eastAsia="Calibri"/>
        </w:rPr>
      </w:pPr>
      <w:r w:rsidRPr="001F2586">
        <w:rPr>
          <w:rFonts w:eastAsia="Times New Roman" w:hint="cs"/>
          <w:bCs/>
          <w:spacing w:val="40"/>
          <w:rtl/>
        </w:rPr>
        <w:t>עלות דירה ממוצעת:</w:t>
      </w:r>
      <w:r w:rsidRPr="001F2586">
        <w:rPr>
          <w:rFonts w:eastAsia="Calibri" w:hint="cs"/>
          <w:rtl/>
        </w:rPr>
        <w:t xml:space="preserve"> במגזר החרדי עומדת על כ-1.6 מיליון ש"ח, ואילו עלותה של דירה ממוצעת בקרב המגזר היהודי שאינו חרדי עומדת על כ-1.95 מיליון ש"ח - כ-20% בממוצע יותר מעלות הדירה בקרב האוכלוסיי</w:t>
      </w:r>
      <w:r w:rsidRPr="001F2586">
        <w:rPr>
          <w:rFonts w:eastAsia="Calibri" w:hint="eastAsia"/>
          <w:rtl/>
        </w:rPr>
        <w:t>ה</w:t>
      </w:r>
      <w:r w:rsidRPr="001F2586">
        <w:rPr>
          <w:rFonts w:eastAsia="Calibri" w:hint="cs"/>
          <w:rtl/>
        </w:rPr>
        <w:t xml:space="preserve"> היהודית הלא חרדית.</w:t>
      </w:r>
    </w:p>
    <w:p w:rsidR="001F2586" w:rsidRPr="001F2586" w:rsidP="001F2586">
      <w:pPr>
        <w:spacing w:line="269" w:lineRule="auto"/>
        <w:contextualSpacing/>
        <w:rPr>
          <w:rFonts w:eastAsia="Calibri"/>
        </w:rPr>
      </w:pPr>
    </w:p>
    <w:p w:rsidR="001F2586" w:rsidRPr="001F2586" w:rsidP="001F2586">
      <w:pPr>
        <w:numPr>
          <w:ilvl w:val="0"/>
          <w:numId w:val="22"/>
        </w:numPr>
        <w:spacing w:line="269" w:lineRule="auto"/>
        <w:ind w:left="312"/>
        <w:contextualSpacing/>
        <w:rPr>
          <w:rFonts w:eastAsia="Calibri"/>
        </w:rPr>
      </w:pPr>
      <w:r w:rsidRPr="001F2586">
        <w:rPr>
          <w:rFonts w:eastAsia="Times New Roman" w:hint="cs"/>
          <w:bCs/>
          <w:spacing w:val="40"/>
          <w:rtl/>
        </w:rPr>
        <w:t>גיל הדירה החציוני:</w:t>
      </w:r>
      <w:r w:rsidRPr="001F2586">
        <w:rPr>
          <w:rFonts w:eastAsia="Calibri" w:hint="cs"/>
          <w:rtl/>
        </w:rPr>
        <w:t xml:space="preserve"> גיל הדירה שנרכשת במגזר החרדי עומד על 27 שנים ואילו גיל הדירה החציוני במגזר היהודי שאינו חרדי שנרכשת עומד על 13 שנים.</w:t>
      </w:r>
    </w:p>
    <w:p w:rsidR="001F2586" w:rsidRPr="001F2586" w:rsidP="001F2586">
      <w:pPr>
        <w:spacing w:line="269" w:lineRule="auto"/>
        <w:contextualSpacing/>
        <w:rPr>
          <w:rFonts w:eastAsia="Calibri"/>
        </w:rPr>
      </w:pPr>
    </w:p>
    <w:p w:rsidR="001F2586" w:rsidRPr="001F2586" w:rsidP="001F2586">
      <w:pPr>
        <w:numPr>
          <w:ilvl w:val="0"/>
          <w:numId w:val="22"/>
        </w:numPr>
        <w:spacing w:line="269" w:lineRule="auto"/>
        <w:ind w:left="312"/>
        <w:contextualSpacing/>
        <w:rPr>
          <w:rFonts w:eastAsia="Calibri"/>
        </w:rPr>
      </w:pPr>
      <w:r w:rsidRPr="001F2586">
        <w:rPr>
          <w:rFonts w:eastAsia="Times New Roman" w:hint="cs"/>
          <w:bCs/>
          <w:spacing w:val="40"/>
          <w:rtl/>
        </w:rPr>
        <w:t>שטחה החציוני של הדירה:</w:t>
      </w:r>
      <w:r w:rsidRPr="001F2586">
        <w:rPr>
          <w:rFonts w:eastAsia="Calibri" w:hint="cs"/>
          <w:rtl/>
        </w:rPr>
        <w:t xml:space="preserve"> במגזר החרדי עומדת על 83 מ"ר, ואילו במגזר היהודי שאינו חרדי עומד על 94 מ"ר.</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במסגרת דיון בוועדת הכספים של הכנסת בנושא "</w:t>
      </w:r>
      <w:r w:rsidRPr="001F2586">
        <w:rPr>
          <w:rFonts w:eastAsia="Calibri"/>
          <w:rtl/>
        </w:rPr>
        <w:t>שיעור הריבית על הלוואות לדיור והריבית המשתלמת על-ידי הבנקים על כספים המופקדים בחשבונות עו</w:t>
      </w:r>
      <w:r w:rsidRPr="001F2586">
        <w:rPr>
          <w:rFonts w:eastAsia="Calibri" w:hint="cs"/>
          <w:rtl/>
        </w:rPr>
        <w:t>"</w:t>
      </w:r>
      <w:r w:rsidRPr="001F2586">
        <w:rPr>
          <w:rFonts w:eastAsia="Calibri"/>
          <w:rtl/>
        </w:rPr>
        <w:t>ש ובפיקדונות</w:t>
      </w:r>
      <w:r w:rsidRPr="001F2586">
        <w:rPr>
          <w:rFonts w:eastAsia="Calibri" w:hint="cs"/>
          <w:rtl/>
        </w:rPr>
        <w:t>"</w:t>
      </w:r>
      <w:r>
        <w:rPr>
          <w:rFonts w:eastAsia="Calibri"/>
          <w:vertAlign w:val="superscript"/>
          <w:rtl/>
        </w:rPr>
        <w:footnoteReference w:id="359"/>
      </w:r>
      <w:r w:rsidRPr="001F2586">
        <w:rPr>
          <w:rFonts w:eastAsia="Calibri" w:hint="cs"/>
          <w:rtl/>
        </w:rPr>
        <w:t xml:space="preserve"> שהתקיים ביוני 2023, הציג בנק ישראל מספר ניתוחים וביניהם </w:t>
      </w:r>
      <w:r w:rsidRPr="001F2586">
        <w:rPr>
          <w:rFonts w:ascii="OpenSans-Regular" w:eastAsia="Calibri" w:hAnsi="OpenSans-Regular" w:hint="cs"/>
          <w:color w:val="000000"/>
          <w:rtl/>
        </w:rPr>
        <w:t xml:space="preserve">את שיעורי </w:t>
      </w:r>
      <w:r w:rsidRPr="001F2586">
        <w:rPr>
          <w:rFonts w:ascii="OpenSans-Regular" w:eastAsia="Calibri" w:hAnsi="OpenSans-Regular"/>
          <w:color w:val="000000"/>
          <w:rtl/>
        </w:rPr>
        <w:t xml:space="preserve">הגידול </w:t>
      </w:r>
      <w:r w:rsidRPr="001F2586">
        <w:rPr>
          <w:rFonts w:ascii="OpenSans-Regular" w:eastAsia="Calibri" w:hAnsi="OpenSans-Regular" w:hint="cs"/>
          <w:color w:val="000000"/>
          <w:rtl/>
        </w:rPr>
        <w:t xml:space="preserve">של </w:t>
      </w:r>
      <w:r w:rsidRPr="001F2586">
        <w:rPr>
          <w:rFonts w:ascii="OpenSans-Regular" w:eastAsia="Calibri" w:hAnsi="OpenSans-Regular"/>
          <w:color w:val="000000"/>
          <w:rtl/>
        </w:rPr>
        <w:t>ה</w:t>
      </w:r>
      <w:r w:rsidRPr="001F2586">
        <w:rPr>
          <w:rFonts w:ascii="OpenSans-Regular" w:eastAsia="Calibri" w:hAnsi="OpenSans-Regular" w:hint="cs"/>
          <w:color w:val="000000"/>
          <w:rtl/>
        </w:rPr>
        <w:t>ה</w:t>
      </w:r>
      <w:r w:rsidRPr="001F2586">
        <w:rPr>
          <w:rFonts w:ascii="OpenSans-Regular" w:eastAsia="Calibri" w:hAnsi="OpenSans-Regular"/>
          <w:color w:val="000000"/>
          <w:rtl/>
        </w:rPr>
        <w:t>חזר</w:t>
      </w:r>
      <w:r w:rsidRPr="001F2586">
        <w:rPr>
          <w:rFonts w:ascii="OpenSans-Regular" w:eastAsia="Calibri" w:hAnsi="OpenSans-Regular" w:hint="cs"/>
          <w:color w:val="000000"/>
          <w:rtl/>
        </w:rPr>
        <w:t>ים</w:t>
      </w:r>
      <w:r w:rsidRPr="001F2586">
        <w:rPr>
          <w:rFonts w:ascii="OpenSans-Regular" w:eastAsia="Calibri" w:hAnsi="OpenSans-Regular"/>
          <w:color w:val="000000"/>
          <w:rtl/>
        </w:rPr>
        <w:t xml:space="preserve"> החודשי</w:t>
      </w:r>
      <w:r w:rsidRPr="001F2586">
        <w:rPr>
          <w:rFonts w:ascii="OpenSans-Regular" w:eastAsia="Calibri" w:hAnsi="OpenSans-Regular" w:hint="cs"/>
          <w:color w:val="000000"/>
          <w:rtl/>
        </w:rPr>
        <w:t>ים</w:t>
      </w:r>
      <w:r w:rsidRPr="001F2586">
        <w:rPr>
          <w:rFonts w:ascii="OpenSans-Regular" w:eastAsia="Calibri" w:hAnsi="OpenSans-Regular"/>
          <w:color w:val="000000"/>
          <w:rtl/>
        </w:rPr>
        <w:t xml:space="preserve"> </w:t>
      </w:r>
      <w:r w:rsidRPr="001F2586">
        <w:rPr>
          <w:rFonts w:ascii="OpenSans-Regular" w:eastAsia="Calibri" w:hAnsi="OpenSans-Regular" w:hint="cs"/>
          <w:color w:val="000000"/>
          <w:rtl/>
        </w:rPr>
        <w:t xml:space="preserve">בגין המשכנתאות </w:t>
      </w:r>
      <w:r w:rsidRPr="001F2586">
        <w:rPr>
          <w:rFonts w:ascii="OpenSans-Regular" w:eastAsia="Calibri" w:hAnsi="OpenSans-Regular"/>
          <w:color w:val="000000"/>
          <w:rtl/>
        </w:rPr>
        <w:t xml:space="preserve">בקרב יישובים יהודים שאינם בחברה החרדית, </w:t>
      </w:r>
      <w:r w:rsidRPr="001F2586">
        <w:rPr>
          <w:rFonts w:ascii="OpenSans-Regular" w:eastAsia="Calibri" w:hAnsi="OpenSans-Regular" w:hint="cs"/>
          <w:color w:val="000000"/>
          <w:rtl/>
        </w:rPr>
        <w:t>ב</w:t>
      </w:r>
      <w:r w:rsidRPr="001F2586">
        <w:rPr>
          <w:rFonts w:ascii="OpenSans-Regular" w:eastAsia="Calibri" w:hAnsi="OpenSans-Regular"/>
          <w:color w:val="000000"/>
          <w:rtl/>
        </w:rPr>
        <w:t>יישובי החברה החרדית, יישובים עם אוכלוסייה מעורבת</w:t>
      </w:r>
      <w:r w:rsidRPr="001F2586">
        <w:rPr>
          <w:rFonts w:ascii="OpenSans-Regular" w:eastAsia="Calibri" w:hAnsi="OpenSans-Regular" w:hint="cs"/>
          <w:color w:val="000000"/>
          <w:rtl/>
        </w:rPr>
        <w:t>,</w:t>
      </w:r>
      <w:r w:rsidRPr="001F2586">
        <w:rPr>
          <w:rFonts w:ascii="OpenSans-Regular" w:eastAsia="Calibri" w:hAnsi="OpenSans-Regular"/>
          <w:color w:val="000000"/>
          <w:rtl/>
        </w:rPr>
        <w:t xml:space="preserve"> ויישובי החברה הערבית. </w:t>
      </w:r>
      <w:r w:rsidRPr="001F2586">
        <w:rPr>
          <w:rFonts w:ascii="OpenSans-Regular" w:eastAsia="Calibri" w:hAnsi="OpenSans-Regular" w:hint="cs"/>
          <w:color w:val="000000"/>
          <w:rtl/>
        </w:rPr>
        <w:t xml:space="preserve">להלן הנתונים: </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b/>
          <w:bCs/>
          <w:rtl/>
        </w:rPr>
      </w:pPr>
      <w:r w:rsidRPr="001F2586">
        <w:rPr>
          <w:rFonts w:eastAsia="Calibri" w:hint="cs"/>
          <w:rtl/>
        </w:rPr>
        <w:t>תרשים 58:</w:t>
      </w:r>
      <w:r w:rsidRPr="001F2586">
        <w:rPr>
          <w:rFonts w:eastAsia="Calibri" w:hint="cs"/>
          <w:b/>
          <w:bCs/>
          <w:rtl/>
        </w:rPr>
        <w:t xml:space="preserve"> שיעור השינוי הממוצע בהחזר החודשי לפי יישוב </w:t>
      </w:r>
    </w:p>
    <w:p w:rsidR="001F2586" w:rsidRPr="001F2586" w:rsidP="001F2586">
      <w:pPr>
        <w:spacing w:line="269" w:lineRule="auto"/>
        <w:jc w:val="center"/>
        <w:rPr>
          <w:rFonts w:eastAsia="Calibri"/>
          <w:b/>
          <w:bCs/>
          <w:rtl/>
        </w:rPr>
      </w:pPr>
      <w:r w:rsidRPr="001F2586">
        <w:rPr>
          <w:rFonts w:eastAsia="Calibri" w:hint="cs"/>
          <w:b/>
          <w:bCs/>
          <w:rtl/>
        </w:rPr>
        <w:t>ממועד נטילת ההלוואה ועד 12/2022 על הלוואות שניתנו בשנים 2022-2020 (באחוזים)</w:t>
      </w:r>
    </w:p>
    <w:p w:rsidR="001F2586" w:rsidRPr="001F2586" w:rsidP="001F2586">
      <w:pPr>
        <w:spacing w:line="269" w:lineRule="auto"/>
        <w:jc w:val="center"/>
        <w:rPr>
          <w:rFonts w:eastAsia="Calibri"/>
          <w:b/>
          <w:bCs/>
          <w:rtl/>
        </w:rPr>
      </w:pPr>
      <w:r w:rsidRPr="001F2586">
        <w:rPr>
          <w:rFonts w:eastAsia="Calibri"/>
          <w:b/>
          <w:bCs/>
          <w:noProof/>
          <w:rtl/>
          <w:lang w:val="he-IL"/>
        </w:rPr>
        <w:drawing>
          <wp:inline distT="0" distB="0" distL="0" distR="0">
            <wp:extent cx="4943499" cy="2857500"/>
            <wp:effectExtent l="0" t="0" r="9525" b="0"/>
            <wp:docPr id="48" name="תמונה 48" descr="שיעור השינוי הממוצע בהחזר חודשי בגין הלוואת משכנתא עומד על 12% (הממוצע המשוקלל), 12% בישובי החברה היהודית, 11.4% בישובי החברה הערבית, 11.8% בישובים עם אוכלוסייה מעורבת ו-13.5% בישובי החברה החרד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רשים 58.GIF"/>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a:xfrm>
                      <a:off x="0" y="0"/>
                      <a:ext cx="4946497" cy="2859233"/>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המקור: נתוני בנק ישראל.</w:t>
      </w:r>
    </w:p>
    <w:p w:rsidR="001F2586" w:rsidRPr="001F2586" w:rsidP="001F2586">
      <w:pPr>
        <w:spacing w:line="269" w:lineRule="auto"/>
        <w:rPr>
          <w:rFonts w:eastAsia="Calibri"/>
          <w:szCs w:val="20"/>
          <w:rtl/>
        </w:rPr>
      </w:pPr>
    </w:p>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rPr>
          <w:rFonts w:ascii="OpenSans-Regular" w:eastAsia="Calibri" w:hAnsi="OpenSans-Regular"/>
          <w:b/>
          <w:bCs/>
          <w:color w:val="000000"/>
          <w:rtl/>
        </w:rPr>
      </w:pPr>
      <w:r w:rsidRPr="001F2586">
        <w:rPr>
          <w:rFonts w:ascii="OpenSans-Regular" w:eastAsia="Calibri" w:hAnsi="OpenSans-Regular" w:hint="cs"/>
          <w:b/>
          <w:bCs/>
          <w:color w:val="000000"/>
          <w:rtl/>
        </w:rPr>
        <w:t>מנתוני בנק ישראל עולה כי בקרב</w:t>
      </w:r>
      <w:r w:rsidRPr="001F2586">
        <w:rPr>
          <w:rFonts w:ascii="OpenSans-Regular" w:eastAsia="Calibri" w:hAnsi="OpenSans-Regular"/>
          <w:b/>
          <w:bCs/>
          <w:color w:val="000000"/>
          <w:rtl/>
        </w:rPr>
        <w:t xml:space="preserve"> יישובים יהודים שאינם בחברה החרדית </w:t>
      </w:r>
      <w:r w:rsidRPr="001F2586">
        <w:rPr>
          <w:rFonts w:ascii="OpenSans-Regular" w:eastAsia="Calibri" w:hAnsi="OpenSans-Regular" w:hint="cs"/>
          <w:b/>
          <w:bCs/>
          <w:color w:val="000000"/>
          <w:rtl/>
        </w:rPr>
        <w:t xml:space="preserve">שיעור </w:t>
      </w:r>
      <w:r w:rsidRPr="001F2586">
        <w:rPr>
          <w:rFonts w:ascii="OpenSans-Regular" w:eastAsia="Calibri" w:hAnsi="OpenSans-Regular"/>
          <w:b/>
          <w:bCs/>
          <w:color w:val="000000"/>
          <w:rtl/>
        </w:rPr>
        <w:t xml:space="preserve">הגידול בהחזר החודשי </w:t>
      </w:r>
      <w:r w:rsidRPr="001F2586">
        <w:rPr>
          <w:rFonts w:ascii="OpenSans-Regular" w:eastAsia="Calibri" w:hAnsi="OpenSans-Regular" w:hint="cs"/>
          <w:b/>
          <w:bCs/>
          <w:color w:val="000000"/>
          <w:rtl/>
        </w:rPr>
        <w:t xml:space="preserve">בגין הלוואת המשכנתא </w:t>
      </w:r>
      <w:r w:rsidRPr="001F2586">
        <w:rPr>
          <w:rFonts w:ascii="OpenSans-Regular" w:eastAsia="Calibri" w:hAnsi="OpenSans-Regular"/>
          <w:b/>
          <w:bCs/>
          <w:color w:val="000000"/>
          <w:rtl/>
        </w:rPr>
        <w:t>עמד על 12%,</w:t>
      </w:r>
      <w:r w:rsidRPr="001F2586">
        <w:rPr>
          <w:rFonts w:ascii="OpenSans-Regular" w:eastAsia="Calibri" w:hAnsi="OpenSans-Regular" w:hint="cs"/>
          <w:b/>
          <w:bCs/>
          <w:color w:val="000000"/>
          <w:rtl/>
        </w:rPr>
        <w:t xml:space="preserve"> בדומה לשיעור הגידול הממוצע בכלל המגזרים, ואילו</w:t>
      </w:r>
      <w:r w:rsidRPr="001F2586">
        <w:rPr>
          <w:rFonts w:ascii="OpenSans-Regular" w:eastAsia="Calibri" w:hAnsi="OpenSans-Regular"/>
          <w:b/>
          <w:bCs/>
          <w:color w:val="000000"/>
          <w:rtl/>
        </w:rPr>
        <w:t xml:space="preserve"> </w:t>
      </w:r>
      <w:r w:rsidRPr="001F2586">
        <w:rPr>
          <w:rFonts w:ascii="OpenSans-Regular" w:eastAsia="Calibri" w:hAnsi="OpenSans-Regular" w:hint="cs"/>
          <w:b/>
          <w:bCs/>
          <w:color w:val="000000"/>
          <w:rtl/>
        </w:rPr>
        <w:t>ב</w:t>
      </w:r>
      <w:r w:rsidRPr="001F2586">
        <w:rPr>
          <w:rFonts w:ascii="OpenSans-Regular" w:eastAsia="Calibri" w:hAnsi="OpenSans-Regular"/>
          <w:b/>
          <w:bCs/>
          <w:color w:val="000000"/>
          <w:rtl/>
        </w:rPr>
        <w:t xml:space="preserve">יישובי החברה החרדית </w:t>
      </w:r>
      <w:r w:rsidRPr="001F2586">
        <w:rPr>
          <w:rFonts w:ascii="OpenSans-Regular" w:eastAsia="Calibri" w:hAnsi="OpenSans-Regular" w:hint="cs"/>
          <w:b/>
          <w:bCs/>
          <w:color w:val="000000"/>
          <w:rtl/>
        </w:rPr>
        <w:t xml:space="preserve">שיעור </w:t>
      </w:r>
      <w:r w:rsidRPr="001F2586">
        <w:rPr>
          <w:rFonts w:ascii="OpenSans-Regular" w:eastAsia="Calibri" w:hAnsi="OpenSans-Regular"/>
          <w:b/>
          <w:bCs/>
          <w:color w:val="000000"/>
          <w:rtl/>
        </w:rPr>
        <w:t xml:space="preserve">הגידול עמד על </w:t>
      </w:r>
      <w:r>
        <w:rPr>
          <w:rFonts w:ascii="OpenSans-Regular" w:eastAsia="Calibri" w:hAnsi="OpenSans-Regular"/>
          <w:b/>
          <w:bCs/>
          <w:color w:val="000000"/>
          <w:vertAlign w:val="superscript"/>
          <w:rtl/>
        </w:rPr>
        <w:footnoteReference w:id="360"/>
      </w:r>
      <w:r w:rsidRPr="001F2586">
        <w:rPr>
          <w:rFonts w:ascii="OpenSans-Regular" w:eastAsia="Calibri" w:hAnsi="OpenSans-Regular"/>
          <w:b/>
          <w:bCs/>
          <w:color w:val="000000"/>
          <w:rtl/>
        </w:rPr>
        <w:t>13.5%</w:t>
      </w:r>
      <w:r w:rsidRPr="001F2586">
        <w:rPr>
          <w:rFonts w:ascii="OpenSans-Regular" w:eastAsia="Calibri" w:hAnsi="OpenSans-Regular" w:hint="cs"/>
          <w:b/>
          <w:bCs/>
          <w:color w:val="000000"/>
          <w:rtl/>
        </w:rPr>
        <w:t xml:space="preserve">. </w:t>
      </w:r>
    </w:p>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rPr>
          <w:rFonts w:ascii="OpenSans-Regular" w:eastAsia="Calibri" w:hAnsi="OpenSans-Regular"/>
          <w:color w:val="000000"/>
        </w:rPr>
      </w:pPr>
      <w:r w:rsidRPr="001F2586">
        <w:rPr>
          <w:rFonts w:ascii="OpenSans-Regular" w:eastAsia="Calibri" w:hAnsi="OpenSans-Regular" w:hint="cs"/>
          <w:color w:val="000000"/>
          <w:rtl/>
        </w:rPr>
        <w:t>בדבריו בוועדה ציין</w:t>
      </w:r>
      <w:r w:rsidRPr="001F2586">
        <w:rPr>
          <w:rFonts w:ascii="OpenSans-Regular" w:eastAsia="Calibri" w:hAnsi="OpenSans-Regular"/>
          <w:color w:val="000000"/>
          <w:rtl/>
        </w:rPr>
        <w:t xml:space="preserve"> המפקח על הבנקים</w:t>
      </w:r>
      <w:r w:rsidRPr="001F2586">
        <w:rPr>
          <w:rFonts w:ascii="OpenSans-Regular" w:eastAsia="Calibri" w:hAnsi="OpenSans-Regular" w:hint="cs"/>
          <w:color w:val="000000"/>
          <w:rtl/>
        </w:rPr>
        <w:t xml:space="preserve"> כי</w:t>
      </w:r>
      <w:r w:rsidRPr="001F2586">
        <w:rPr>
          <w:rFonts w:ascii="OpenSans-Regular" w:eastAsia="Calibri" w:hAnsi="OpenSans-Regular"/>
          <w:color w:val="000000"/>
          <w:rtl/>
        </w:rPr>
        <w:t xml:space="preserve"> השינויים ב</w:t>
      </w:r>
      <w:r w:rsidRPr="001F2586">
        <w:rPr>
          <w:rFonts w:ascii="OpenSans-Regular" w:eastAsia="Calibri" w:hAnsi="OpenSans-Regular" w:hint="cs"/>
          <w:color w:val="000000"/>
          <w:rtl/>
        </w:rPr>
        <w:t>החזר החודשי ב</w:t>
      </w:r>
      <w:r w:rsidRPr="001F2586">
        <w:rPr>
          <w:rFonts w:ascii="OpenSans-Regular" w:eastAsia="Calibri" w:hAnsi="OpenSans-Regular"/>
          <w:color w:val="000000"/>
          <w:rtl/>
        </w:rPr>
        <w:t>חברה החרדית נעוצים בשינוי תמהיל ההלוואה: "ביישובים חרדים שיעור הגידול הינו גבוה מהממוצע, עקב שיעור גבוה יותר של הלוואה במסלול פריים, ולהיפך ביישובים הערביים שם שיעור גבוה של ההלוואה הינו במסלולי </w:t>
      </w:r>
      <w:hyperlink r:id="rId74" w:history="1">
        <w:r w:rsidRPr="001F2586">
          <w:rPr>
            <w:rFonts w:eastAsia="Calibri"/>
            <w:color w:val="000000"/>
            <w:rtl/>
          </w:rPr>
          <w:t>ריבית קבועה</w:t>
        </w:r>
      </w:hyperlink>
      <w:r w:rsidRPr="001F2586">
        <w:rPr>
          <w:rFonts w:ascii="OpenSans-Regular" w:eastAsia="Calibri" w:hAnsi="OpenSans-Regular"/>
          <w:color w:val="000000"/>
        </w:rPr>
        <w:t> </w:t>
      </w:r>
      <w:r w:rsidRPr="001F2586">
        <w:rPr>
          <w:rFonts w:ascii="OpenSans-Regular" w:eastAsia="Calibri" w:hAnsi="OpenSans-Regular"/>
          <w:color w:val="000000"/>
          <w:rtl/>
        </w:rPr>
        <w:t>ובמסלולים הצמודים</w:t>
      </w:r>
      <w:r w:rsidRPr="001F2586">
        <w:rPr>
          <w:rFonts w:ascii="OpenSans-Regular" w:eastAsia="Calibri" w:hAnsi="OpenSans-Regular" w:hint="cs"/>
          <w:color w:val="000000"/>
          <w:rtl/>
        </w:rPr>
        <w:t>".</w:t>
      </w:r>
    </w:p>
    <w:p w:rsidR="00194C04" w:rsidP="001F2586">
      <w:pPr>
        <w:spacing w:line="269" w:lineRule="auto"/>
        <w:rPr>
          <w:rFonts w:eastAsia="Calibri"/>
          <w:b/>
          <w:bCs/>
          <w:rtl/>
        </w:rPr>
      </w:pPr>
    </w:p>
    <w:p w:rsidR="001F2586" w:rsidRPr="001F2586" w:rsidP="001F2586">
      <w:pPr>
        <w:spacing w:line="269" w:lineRule="auto"/>
        <w:rPr>
          <w:rFonts w:eastAsia="Calibri"/>
          <w:b/>
          <w:bCs/>
          <w:rtl/>
        </w:rPr>
      </w:pPr>
      <w:r w:rsidRPr="001F2586">
        <w:rPr>
          <w:rFonts w:eastAsia="Calibri"/>
          <w:b/>
          <w:bCs/>
          <w:rtl/>
        </w:rPr>
        <w:t>לפי נתונים שפרסם בנק ישראל באמצע 2023</w:t>
      </w:r>
      <w:r>
        <w:rPr>
          <w:rFonts w:eastAsia="Calibri"/>
          <w:b/>
          <w:bCs/>
          <w:vertAlign w:val="superscript"/>
          <w:rtl/>
        </w:rPr>
        <w:footnoteReference w:id="361"/>
      </w:r>
      <w:r w:rsidRPr="001F2586">
        <w:rPr>
          <w:rFonts w:eastAsia="Calibri"/>
          <w:b/>
          <w:bCs/>
          <w:rtl/>
        </w:rPr>
        <w:t>, ההחזר החודשי עבור משכנתאות שנלקחו ב-2021 התייקר ב-23.3% ביישובים חרדיים, בהשוואה להתייקרות של 20.1% ביישובים יהודיים שאינם חרדיים (הממוצע הכולל עומד על 20.3%)</w:t>
      </w:r>
      <w:r w:rsidR="00F21BA6">
        <w:rPr>
          <w:rFonts w:eastAsia="Calibri" w:hint="cs"/>
          <w:b/>
          <w:bCs/>
          <w:rtl/>
        </w:rPr>
        <w:t>.</w:t>
      </w:r>
      <w:r w:rsidRPr="001F2586">
        <w:rPr>
          <w:rFonts w:eastAsia="Calibri"/>
          <w:b/>
          <w:bCs/>
          <w:rtl/>
        </w:rPr>
        <w:t xml:space="preserve"> </w:t>
      </w:r>
    </w:p>
    <w:p w:rsidR="001F2586" w:rsidRPr="001F2586" w:rsidP="001F2586">
      <w:pPr>
        <w:spacing w:line="269" w:lineRule="auto"/>
        <w:rPr>
          <w:rFonts w:eastAsia="Calibri"/>
          <w:b/>
          <w:bCs/>
          <w:rtl/>
        </w:rPr>
      </w:pPr>
      <w:r w:rsidRPr="001F2586">
        <w:rPr>
          <w:rFonts w:eastAsia="Calibri" w:hint="eastAsia"/>
          <w:b/>
          <w:bCs/>
          <w:rtl/>
        </w:rPr>
        <w:t>כלומר</w:t>
      </w:r>
      <w:r w:rsidRPr="001F2586">
        <w:rPr>
          <w:rFonts w:eastAsia="Calibri"/>
          <w:b/>
          <w:bCs/>
          <w:rtl/>
        </w:rPr>
        <w:t xml:space="preserve">, עם עליית מחירי הדיור בצורה משמעותית ועליות הריבית של בנק ישראל, ומאפייני רכישות הדירה על ידי המגזר החרדי, נראה כי הנטל הכלכלי הנוסף עליהם עולה בהשוואה לנטל הכלכלי במגזר היהודי הכללי. </w:t>
      </w:r>
    </w:p>
    <w:p w:rsidR="001F2586" w:rsidRPr="001F2586" w:rsidP="001F2586">
      <w:pPr>
        <w:spacing w:line="269" w:lineRule="auto"/>
        <w:rPr>
          <w:rFonts w:eastAsia="Calibri"/>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 xml:space="preserve">אופן רכישת דירות על ידי המגזר החרדי </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כאמור הנחיות בנק ישראל קובעות מגבלות למתן הלוואות לדיור וקובעות כי ההלוואה לדיור לצורך רכישת דירה יחידה לא יעלו על 75% משווי הנכס, לפיכך ההון העצמי הנדרש עומד על 25% משווי הנכס</w:t>
      </w:r>
      <w:r>
        <w:rPr>
          <w:rFonts w:eastAsia="Calibri"/>
          <w:vertAlign w:val="superscript"/>
          <w:rtl/>
        </w:rPr>
        <w:footnoteReference w:id="362"/>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מפגישות שערך משרד מבקר המדינה עם נציגי הבנקים השונים עולה כי דפוס הרכישה במגזר החרדי שונה מהמגזר הכללי, ומתבסס לא רק על לקיחת משכנתא אלא גם על הלוואות ממוסדות לגמילות חסדים (להלן - </w:t>
      </w:r>
      <w:r w:rsidRPr="001F2586">
        <w:rPr>
          <w:rFonts w:eastAsia="Calibri" w:hint="cs"/>
          <w:rtl/>
        </w:rPr>
        <w:t>גמ"חים</w:t>
      </w:r>
      <w:r w:rsidRPr="001F2586">
        <w:rPr>
          <w:rFonts w:eastAsia="Calibri" w:hint="cs"/>
          <w:rtl/>
        </w:rPr>
        <w:t>) ומתנות מההורים. דוח של המכון לאסטרטגיה ומדיניות חרדית משנת 2024 מצביע על כך ש</w:t>
      </w:r>
      <w:r w:rsidRPr="001F2586">
        <w:rPr>
          <w:rFonts w:eastAsia="Calibri"/>
          <w:rtl/>
        </w:rPr>
        <w:t>בשל האפשרויות הכלכליות המוגבלות למדי בשלב זה, נוצרה מוסכמה חברתית שלפיה שני זוגות ההורים של הזוג</w:t>
      </w:r>
      <w:r w:rsidRPr="001F2586">
        <w:rPr>
          <w:rFonts w:eastAsia="Calibri" w:hint="cs"/>
          <w:rtl/>
        </w:rPr>
        <w:t xml:space="preserve"> </w:t>
      </w:r>
      <w:r w:rsidRPr="001F2586">
        <w:rPr>
          <w:rFonts w:eastAsia="Calibri"/>
          <w:rtl/>
        </w:rPr>
        <w:t>הצעיר, ולפעמים אף הסבים והסב</w:t>
      </w:r>
      <w:r w:rsidRPr="001F2586">
        <w:rPr>
          <w:rFonts w:eastAsia="Calibri" w:hint="cs"/>
          <w:rtl/>
        </w:rPr>
        <w:t>ת</w:t>
      </w:r>
      <w:r w:rsidRPr="001F2586">
        <w:rPr>
          <w:rFonts w:eastAsia="Calibri"/>
          <w:rtl/>
        </w:rPr>
        <w:t xml:space="preserve">ות, מעניקים </w:t>
      </w:r>
      <w:r w:rsidRPr="001F2586">
        <w:rPr>
          <w:rFonts w:eastAsia="Calibri" w:hint="cs"/>
          <w:rtl/>
        </w:rPr>
        <w:t>לזוג</w:t>
      </w:r>
      <w:r w:rsidRPr="001F2586">
        <w:rPr>
          <w:rFonts w:eastAsia="Calibri"/>
          <w:rtl/>
        </w:rPr>
        <w:t xml:space="preserve"> סיוע כלכלי ניכר במימון רכישת הדירה.</w:t>
      </w:r>
      <w:r w:rsidRPr="001F2586">
        <w:rPr>
          <w:rFonts w:eastAsia="Calibri" w:hint="cs"/>
          <w:rtl/>
        </w:rPr>
        <w:t xml:space="preserve"> </w:t>
      </w:r>
      <w:r w:rsidRPr="001F2586">
        <w:rPr>
          <w:rFonts w:eastAsia="Calibri"/>
          <w:rtl/>
        </w:rPr>
        <w:t>נוסף על תמיכה זו יש בחברה החרדית מוסדות פיננסיים המעניקים מגוון אמצעי סיוע כלכלי לזוג הצעיר ולהורים,</w:t>
      </w:r>
      <w:r w:rsidRPr="001F2586">
        <w:rPr>
          <w:rFonts w:eastAsia="Calibri" w:hint="cs"/>
          <w:rtl/>
        </w:rPr>
        <w:t xml:space="preserve"> </w:t>
      </w:r>
      <w:r w:rsidRPr="001F2586">
        <w:rPr>
          <w:rFonts w:eastAsia="Calibri"/>
          <w:rtl/>
        </w:rPr>
        <w:t xml:space="preserve">לדוגמה </w:t>
      </w:r>
      <w:r w:rsidRPr="001F2586">
        <w:rPr>
          <w:rFonts w:eastAsia="Calibri"/>
          <w:rtl/>
        </w:rPr>
        <w:t>גמ"חים</w:t>
      </w:r>
      <w:r w:rsidRPr="001F2586">
        <w:rPr>
          <w:rFonts w:eastAsia="Calibri"/>
          <w:rtl/>
        </w:rPr>
        <w:t xml:space="preserve"> וקרנות הלוואה בלא ריבית.</w:t>
      </w:r>
      <w:r w:rsidRPr="001F2586">
        <w:rPr>
          <w:rFonts w:eastAsia="Calibri" w:hint="cs"/>
          <w:rtl/>
        </w:rPr>
        <w:t xml:space="preserve"> </w:t>
      </w:r>
      <w:r w:rsidRPr="001F2586">
        <w:rPr>
          <w:rFonts w:eastAsia="Calibri"/>
          <w:rtl/>
        </w:rPr>
        <w:t xml:space="preserve">לצד </w:t>
      </w:r>
      <w:r w:rsidRPr="001F2586">
        <w:rPr>
          <w:rFonts w:eastAsia="Calibri"/>
          <w:rtl/>
        </w:rPr>
        <w:t>הגמ"חים</w:t>
      </w:r>
      <w:r w:rsidRPr="001F2586">
        <w:rPr>
          <w:rFonts w:eastAsia="Calibri"/>
          <w:rtl/>
        </w:rPr>
        <w:t xml:space="preserve"> פועלות גם קרנות צדקה ואף קופות צדקה פרטיות המציע</w:t>
      </w:r>
      <w:r w:rsidRPr="001F2586">
        <w:rPr>
          <w:rFonts w:eastAsia="Calibri" w:hint="cs"/>
          <w:rtl/>
        </w:rPr>
        <w:t>ו</w:t>
      </w:r>
      <w:r w:rsidRPr="001F2586">
        <w:rPr>
          <w:rFonts w:eastAsia="Calibri"/>
          <w:rtl/>
        </w:rPr>
        <w:t>ת סיוע</w:t>
      </w:r>
      <w:r w:rsidRPr="001F2586">
        <w:rPr>
          <w:rFonts w:eastAsia="Calibri" w:hint="cs"/>
          <w:rtl/>
        </w:rPr>
        <w:t xml:space="preserve"> </w:t>
      </w:r>
      <w:r w:rsidRPr="001F2586">
        <w:rPr>
          <w:rFonts w:eastAsia="Calibri"/>
          <w:rtl/>
        </w:rPr>
        <w:t xml:space="preserve">במימון רכישת דירות באמצעות הלוואות, מענקים </w:t>
      </w:r>
      <w:r w:rsidRPr="001F2586">
        <w:rPr>
          <w:rFonts w:eastAsia="Calibri" w:hint="cs"/>
          <w:rtl/>
        </w:rPr>
        <w:t>ו</w:t>
      </w:r>
      <w:r w:rsidRPr="001F2586">
        <w:rPr>
          <w:rFonts w:eastAsia="Calibri"/>
          <w:rtl/>
        </w:rPr>
        <w:t>תמיכות כספיות</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מאחר של</w:t>
      </w:r>
      <w:r w:rsidRPr="001F2586">
        <w:rPr>
          <w:rFonts w:eastAsia="Calibri"/>
          <w:rtl/>
        </w:rPr>
        <w:t>משקי בית חרדיים רבים קיימת אפשרות ללוות כספים ממוסדות גמ"ח ולהשתמש בהם כהון עצמי לצורך נטילת משכנתא</w:t>
      </w:r>
      <w:r w:rsidRPr="001F2586">
        <w:rPr>
          <w:rFonts w:eastAsia="Calibri" w:hint="cs"/>
          <w:rtl/>
        </w:rPr>
        <w:t xml:space="preserve">, </w:t>
      </w:r>
      <w:r w:rsidRPr="001F2586">
        <w:rPr>
          <w:rFonts w:eastAsia="Calibri"/>
          <w:rtl/>
        </w:rPr>
        <w:t>סך ההלוואות שנוטל משק בית חרדי לצורך רכישת הדירה יכול להגיע ל</w:t>
      </w:r>
      <w:r w:rsidRPr="001F2586">
        <w:rPr>
          <w:rFonts w:eastAsia="Calibri" w:hint="cs"/>
          <w:rtl/>
        </w:rPr>
        <w:t xml:space="preserve">שיעור של </w:t>
      </w:r>
      <w:r w:rsidRPr="001F2586">
        <w:rPr>
          <w:rFonts w:eastAsia="Calibri"/>
          <w:rtl/>
        </w:rPr>
        <w:t>100 אחוז</w:t>
      </w:r>
      <w:r w:rsidRPr="001F2586">
        <w:rPr>
          <w:rFonts w:eastAsia="Calibri" w:hint="cs"/>
          <w:rtl/>
        </w:rPr>
        <w:t>ים</w:t>
      </w:r>
      <w:r w:rsidRPr="001F2586">
        <w:rPr>
          <w:rFonts w:eastAsia="Calibri"/>
          <w:rtl/>
        </w:rPr>
        <w:t xml:space="preserve"> ממחירה</w:t>
      </w:r>
      <w:r w:rsidRPr="001F2586">
        <w:rPr>
          <w:rFonts w:eastAsia="Calibri" w:hint="cs"/>
          <w:rtl/>
        </w:rPr>
        <w:t xml:space="preserve">. באתר של אחד </w:t>
      </w:r>
      <w:r w:rsidRPr="001F2586">
        <w:rPr>
          <w:rFonts w:eastAsia="Calibri" w:hint="cs"/>
          <w:rtl/>
        </w:rPr>
        <w:t>הגמ"חים</w:t>
      </w:r>
      <w:r w:rsidRPr="001F2586">
        <w:rPr>
          <w:rFonts w:eastAsia="Calibri" w:hint="cs"/>
          <w:rtl/>
        </w:rPr>
        <w:t xml:space="preserve"> עולה כי ניתן לקבל הלוואה של עד 320,000 ש"ח לזוג צעיר שהוריו הצטרפו לתכנית </w:t>
      </w:r>
      <w:r w:rsidRPr="001F2586">
        <w:rPr>
          <w:rFonts w:eastAsia="Calibri" w:hint="cs"/>
          <w:rtl/>
        </w:rPr>
        <w:t>הגמ"ח</w:t>
      </w:r>
      <w:r w:rsidRPr="001F2586">
        <w:rPr>
          <w:rFonts w:eastAsia="Calibri" w:hint="cs"/>
          <w:rtl/>
        </w:rPr>
        <w:t xml:space="preserve"> ומשלמים סכומים חודשיים למשך תקופה שנקבעה מראש. </w:t>
      </w:r>
      <w:r w:rsidRPr="001F2586">
        <w:rPr>
          <w:rFonts w:ascii="Open Sans Hebrew" w:eastAsia="Calibri" w:hAnsi="Open Sans Hebrew" w:hint="cs"/>
          <w:color w:val="000000"/>
          <w:shd w:val="clear" w:color="auto" w:fill="FFFFFF"/>
          <w:rtl/>
        </w:rPr>
        <w:t xml:space="preserve">בשנים 2023-2024 הצטרפו למסלולים השונים שמעניק </w:t>
      </w:r>
      <w:r w:rsidRPr="001F2586">
        <w:rPr>
          <w:rFonts w:ascii="Open Sans Hebrew" w:eastAsia="Calibri" w:hAnsi="Open Sans Hebrew" w:hint="cs"/>
          <w:color w:val="000000"/>
          <w:shd w:val="clear" w:color="auto" w:fill="FFFFFF"/>
          <w:rtl/>
        </w:rPr>
        <w:t>הגמ"ח</w:t>
      </w:r>
      <w:r w:rsidRPr="001F2586">
        <w:rPr>
          <w:rFonts w:ascii="Open Sans Hebrew" w:eastAsia="Calibri" w:hAnsi="Open Sans Hebrew" w:hint="cs"/>
          <w:color w:val="000000"/>
          <w:shd w:val="clear" w:color="auto" w:fill="FFFFFF"/>
          <w:rtl/>
        </w:rPr>
        <w:t xml:space="preserve"> כ-86,670 משפחות וניתנו 21,498 הלוואות. בהתאם למצוין באתר, באמצעות אחד </w:t>
      </w:r>
      <w:r w:rsidRPr="001F2586">
        <w:rPr>
          <w:rFonts w:ascii="Open Sans Hebrew" w:eastAsia="Calibri" w:hAnsi="Open Sans Hebrew" w:hint="cs"/>
          <w:color w:val="000000"/>
          <w:shd w:val="clear" w:color="auto" w:fill="FFFFFF"/>
          <w:rtl/>
        </w:rPr>
        <w:t>הגמ"חים</w:t>
      </w:r>
      <w:r w:rsidRPr="001F2586">
        <w:rPr>
          <w:rFonts w:ascii="Open Sans Hebrew" w:eastAsia="Calibri" w:hAnsi="Open Sans Hebrew" w:hint="cs"/>
          <w:color w:val="000000"/>
          <w:shd w:val="clear" w:color="auto" w:fill="FFFFFF"/>
          <w:rtl/>
        </w:rPr>
        <w:t xml:space="preserve"> חוסכות כ-</w:t>
      </w:r>
      <w:r w:rsidRPr="001F2586">
        <w:rPr>
          <w:rFonts w:ascii="Open Sans Hebrew" w:eastAsia="Calibri" w:hAnsi="Open Sans Hebrew"/>
          <w:color w:val="000000"/>
          <w:shd w:val="clear" w:color="auto" w:fill="FFFFFF"/>
          <w:rtl/>
        </w:rPr>
        <w:t xml:space="preserve">53 אלף משפחות. </w:t>
      </w:r>
      <w:r w:rsidRPr="001F2586">
        <w:rPr>
          <w:rFonts w:ascii="Open Sans Hebrew" w:eastAsia="Calibri" w:hAnsi="Open Sans Hebrew" w:hint="cs"/>
          <w:color w:val="000000"/>
          <w:shd w:val="clear" w:color="auto" w:fill="FFFFFF"/>
          <w:rtl/>
        </w:rPr>
        <w:t>נכון לשנת</w:t>
      </w:r>
      <w:r w:rsidRPr="001F2586">
        <w:rPr>
          <w:rFonts w:ascii="Open Sans Hebrew" w:eastAsia="Calibri" w:hAnsi="Open Sans Hebrew"/>
          <w:color w:val="000000"/>
          <w:shd w:val="clear" w:color="auto" w:fill="FFFFFF"/>
          <w:rtl/>
        </w:rPr>
        <w:t xml:space="preserve"> 2024 נתן </w:t>
      </w:r>
      <w:r w:rsidRPr="001F2586">
        <w:rPr>
          <w:rFonts w:ascii="Open Sans Hebrew" w:eastAsia="Calibri" w:hAnsi="Open Sans Hebrew"/>
          <w:color w:val="000000"/>
          <w:shd w:val="clear" w:color="auto" w:fill="FFFFFF"/>
          <w:rtl/>
        </w:rPr>
        <w:t>הגמ"ח</w:t>
      </w:r>
      <w:r w:rsidRPr="001F2586">
        <w:rPr>
          <w:rFonts w:ascii="Open Sans Hebrew" w:eastAsia="Calibri" w:hAnsi="Open Sans Hebrew"/>
          <w:color w:val="000000"/>
          <w:shd w:val="clear" w:color="auto" w:fill="FFFFFF"/>
          <w:rtl/>
        </w:rPr>
        <w:t xml:space="preserve"> הלוואות בהיקף של 3.3 מיליארד </w:t>
      </w:r>
      <w:r w:rsidRPr="001F2586">
        <w:rPr>
          <w:rFonts w:ascii="Open Sans Hebrew" w:eastAsia="Calibri" w:hAnsi="Open Sans Hebrew" w:hint="cs"/>
          <w:color w:val="000000"/>
          <w:shd w:val="clear" w:color="auto" w:fill="FFFFFF"/>
          <w:rtl/>
        </w:rPr>
        <w:t>ש"ח, כאשר כ</w:t>
      </w:r>
      <w:r w:rsidRPr="001F2586">
        <w:rPr>
          <w:rFonts w:ascii="Open Sans Hebrew" w:eastAsia="Calibri" w:hAnsi="Open Sans Hebrew"/>
          <w:color w:val="000000"/>
          <w:shd w:val="clear" w:color="auto" w:fill="FFFFFF"/>
          <w:rtl/>
        </w:rPr>
        <w:t>שליש מסכום זה כבר הוחזר</w:t>
      </w:r>
      <w:r w:rsidRPr="001F2586">
        <w:rPr>
          <w:rFonts w:ascii="Open Sans Hebrew" w:eastAsia="Calibri" w:hAnsi="Open Sans Hebrew"/>
          <w:color w:val="000000"/>
          <w:shd w:val="clear" w:color="auto" w:fill="FFFFFF"/>
        </w:rPr>
        <w:t>.</w:t>
      </w:r>
      <w:r w:rsidRPr="001F2586">
        <w:rPr>
          <w:rFonts w:eastAsia="Calibri" w:hint="cs"/>
          <w:rtl/>
        </w:rPr>
        <w:t xml:space="preserve"> מהדוחות הכספיים לשנת 2023 של אחד </w:t>
      </w:r>
      <w:r w:rsidRPr="001F2586">
        <w:rPr>
          <w:rFonts w:eastAsia="Calibri" w:hint="cs"/>
          <w:rtl/>
        </w:rPr>
        <w:t>הגמ"חים</w:t>
      </w:r>
      <w:r w:rsidRPr="001F2586">
        <w:rPr>
          <w:rFonts w:eastAsia="Calibri" w:hint="cs"/>
          <w:rtl/>
        </w:rPr>
        <w:t xml:space="preserve"> עולה כי הפעילות העיקרית של העמותה הינה במסגרת תכנית הורים, תכנית המסייעת בנישואי צאצאים באמצעות מתן הלוואות לטווח ארוך ללא ריבית וללא הצמדה. נכון ל-31.12.23 לעמותה יש הלוואות שניתנו לזמן ארוך העומדות על 970 מיליון ש"ח. </w:t>
      </w:r>
    </w:p>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rPr>
          <w:rFonts w:eastAsia="Calibri"/>
          <w:b/>
          <w:bCs/>
          <w:rtl/>
        </w:rPr>
      </w:pPr>
      <w:r w:rsidRPr="001F2586">
        <w:rPr>
          <w:rFonts w:eastAsia="Calibri"/>
          <w:b/>
          <w:bCs/>
          <w:rtl/>
        </w:rPr>
        <w:t xml:space="preserve">החוק </w:t>
      </w:r>
      <w:r w:rsidRPr="001F2586">
        <w:rPr>
          <w:rFonts w:eastAsia="Calibri"/>
          <w:b/>
          <w:bCs/>
          <w:rtl/>
        </w:rPr>
        <w:t>לאסדרת</w:t>
      </w:r>
      <w:r w:rsidRPr="001F2586">
        <w:rPr>
          <w:rFonts w:eastAsia="Calibri"/>
          <w:b/>
          <w:bCs/>
          <w:rtl/>
        </w:rPr>
        <w:t xml:space="preserve"> </w:t>
      </w:r>
      <w:r w:rsidRPr="001F2586">
        <w:rPr>
          <w:rFonts w:eastAsia="Calibri" w:hint="eastAsia"/>
          <w:b/>
          <w:bCs/>
          <w:rtl/>
        </w:rPr>
        <w:t>מתן</w:t>
      </w:r>
      <w:r w:rsidRPr="001F2586">
        <w:rPr>
          <w:rFonts w:eastAsia="Calibri"/>
          <w:b/>
          <w:bCs/>
          <w:rtl/>
        </w:rPr>
        <w:t xml:space="preserve"> </w:t>
      </w:r>
      <w:r w:rsidRPr="001F2586">
        <w:rPr>
          <w:rFonts w:eastAsia="Calibri" w:hint="eastAsia"/>
          <w:b/>
          <w:bCs/>
          <w:rtl/>
        </w:rPr>
        <w:t>שירותי</w:t>
      </w:r>
      <w:r w:rsidRPr="001F2586">
        <w:rPr>
          <w:rFonts w:eastAsia="Calibri"/>
          <w:b/>
          <w:bCs/>
          <w:rtl/>
        </w:rPr>
        <w:t xml:space="preserve"> </w:t>
      </w:r>
      <w:r w:rsidRPr="001F2586">
        <w:rPr>
          <w:rFonts w:eastAsia="Calibri" w:hint="eastAsia"/>
          <w:b/>
          <w:bCs/>
          <w:rtl/>
        </w:rPr>
        <w:t>פיקדון</w:t>
      </w:r>
      <w:r w:rsidRPr="001F2586">
        <w:rPr>
          <w:rFonts w:eastAsia="Calibri"/>
          <w:b/>
          <w:bCs/>
          <w:rtl/>
        </w:rPr>
        <w:t xml:space="preserve"> </w:t>
      </w:r>
      <w:r w:rsidRPr="001F2586">
        <w:rPr>
          <w:rFonts w:eastAsia="Calibri" w:hint="eastAsia"/>
          <w:b/>
          <w:bCs/>
          <w:rtl/>
        </w:rPr>
        <w:t>ואשראי</w:t>
      </w:r>
      <w:r w:rsidRPr="001F2586">
        <w:rPr>
          <w:rFonts w:eastAsia="Calibri"/>
          <w:b/>
          <w:bCs/>
          <w:rtl/>
        </w:rPr>
        <w:t xml:space="preserve"> </w:t>
      </w:r>
      <w:r w:rsidRPr="001F2586">
        <w:rPr>
          <w:rFonts w:eastAsia="Calibri" w:hint="eastAsia"/>
          <w:b/>
          <w:bCs/>
          <w:rtl/>
        </w:rPr>
        <w:t>בלא</w:t>
      </w:r>
      <w:r w:rsidRPr="001F2586">
        <w:rPr>
          <w:rFonts w:eastAsia="Calibri"/>
          <w:b/>
          <w:bCs/>
          <w:rtl/>
        </w:rPr>
        <w:t xml:space="preserve"> </w:t>
      </w:r>
      <w:r w:rsidRPr="001F2586">
        <w:rPr>
          <w:rFonts w:eastAsia="Calibri" w:hint="eastAsia"/>
          <w:b/>
          <w:bCs/>
          <w:rtl/>
        </w:rPr>
        <w:t>ריבית</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ידי</w:t>
      </w:r>
      <w:r w:rsidRPr="001F2586">
        <w:rPr>
          <w:rFonts w:eastAsia="Calibri"/>
          <w:b/>
          <w:bCs/>
          <w:rtl/>
        </w:rPr>
        <w:t xml:space="preserve"> </w:t>
      </w:r>
      <w:r w:rsidRPr="001F2586">
        <w:rPr>
          <w:rFonts w:eastAsia="Calibri" w:hint="eastAsia"/>
          <w:b/>
          <w:bCs/>
          <w:rtl/>
        </w:rPr>
        <w:t>מוסדות</w:t>
      </w:r>
      <w:r w:rsidRPr="001F2586">
        <w:rPr>
          <w:rFonts w:eastAsia="Calibri"/>
          <w:b/>
          <w:bCs/>
          <w:rtl/>
        </w:rPr>
        <w:t xml:space="preserve"> </w:t>
      </w:r>
      <w:r w:rsidRPr="001F2586">
        <w:rPr>
          <w:rFonts w:eastAsia="Calibri" w:hint="eastAsia"/>
          <w:b/>
          <w:bCs/>
          <w:rtl/>
        </w:rPr>
        <w:t>לגמילות</w:t>
      </w:r>
      <w:r w:rsidRPr="001F2586">
        <w:rPr>
          <w:rFonts w:eastAsia="Calibri"/>
          <w:b/>
          <w:bCs/>
          <w:rtl/>
        </w:rPr>
        <w:t xml:space="preserve"> </w:t>
      </w:r>
      <w:r w:rsidRPr="001F2586">
        <w:rPr>
          <w:rFonts w:eastAsia="Calibri" w:hint="eastAsia"/>
          <w:b/>
          <w:bCs/>
          <w:rtl/>
        </w:rPr>
        <w:t>חסדים</w:t>
      </w:r>
      <w:r w:rsidRPr="001F2586">
        <w:rPr>
          <w:rFonts w:eastAsia="Calibri"/>
          <w:b/>
          <w:bCs/>
          <w:rtl/>
        </w:rPr>
        <w:t xml:space="preserve">, </w:t>
      </w:r>
      <w:r w:rsidRPr="001F2586">
        <w:rPr>
          <w:rFonts w:eastAsia="Calibri" w:hint="eastAsia"/>
          <w:b/>
          <w:bCs/>
          <w:rtl/>
        </w:rPr>
        <w:t>התשע</w:t>
      </w:r>
      <w:r w:rsidRPr="001F2586">
        <w:rPr>
          <w:rFonts w:eastAsia="Calibri"/>
          <w:b/>
          <w:bCs/>
          <w:rtl/>
        </w:rPr>
        <w:t>"ט-2019 (להלן -</w:t>
      </w:r>
      <w:r w:rsidRPr="001F2586">
        <w:rPr>
          <w:rFonts w:eastAsia="Calibri" w:hint="cs"/>
          <w:b/>
          <w:bCs/>
          <w:rtl/>
        </w:rPr>
        <w:t xml:space="preserve"> </w:t>
      </w:r>
      <w:r w:rsidRPr="001F2586">
        <w:rPr>
          <w:rFonts w:eastAsia="Calibri" w:hint="eastAsia"/>
          <w:b/>
          <w:bCs/>
          <w:rtl/>
        </w:rPr>
        <w:t>החוק</w:t>
      </w:r>
      <w:r w:rsidRPr="001F2586">
        <w:rPr>
          <w:rFonts w:eastAsia="Calibri"/>
          <w:b/>
          <w:bCs/>
          <w:rtl/>
        </w:rPr>
        <w:t xml:space="preserve"> </w:t>
      </w:r>
      <w:r w:rsidRPr="001F2586">
        <w:rPr>
          <w:rFonts w:eastAsia="Calibri" w:hint="eastAsia"/>
          <w:b/>
          <w:bCs/>
          <w:rtl/>
        </w:rPr>
        <w:t>לאסדרת</w:t>
      </w:r>
      <w:r w:rsidRPr="001F2586">
        <w:rPr>
          <w:rFonts w:eastAsia="Calibri"/>
          <w:b/>
          <w:bCs/>
          <w:rtl/>
        </w:rPr>
        <w:t xml:space="preserve"> </w:t>
      </w:r>
      <w:r w:rsidRPr="001F2586">
        <w:rPr>
          <w:rFonts w:eastAsia="Calibri" w:hint="eastAsia"/>
          <w:b/>
          <w:bCs/>
          <w:rtl/>
        </w:rPr>
        <w:t>גמ</w:t>
      </w:r>
      <w:r w:rsidRPr="001F2586">
        <w:rPr>
          <w:rFonts w:eastAsia="Calibri"/>
          <w:b/>
          <w:bCs/>
          <w:rtl/>
        </w:rPr>
        <w:t>"חים</w:t>
      </w:r>
      <w:r w:rsidRPr="001F2586">
        <w:rPr>
          <w:rFonts w:eastAsia="Calibri"/>
          <w:b/>
          <w:bCs/>
          <w:rtl/>
        </w:rPr>
        <w:t>)</w:t>
      </w:r>
      <w:r w:rsidRPr="001F2586">
        <w:rPr>
          <w:rFonts w:eastAsia="Calibri" w:hint="cs"/>
          <w:b/>
          <w:bCs/>
          <w:rtl/>
        </w:rPr>
        <w:t xml:space="preserve"> </w:t>
      </w:r>
      <w:r w:rsidRPr="001F2586">
        <w:rPr>
          <w:rFonts w:eastAsia="Calibri" w:hint="eastAsia"/>
          <w:b/>
          <w:bCs/>
          <w:rtl/>
        </w:rPr>
        <w:t>פורסם</w:t>
      </w:r>
      <w:r w:rsidRPr="001F2586">
        <w:rPr>
          <w:rFonts w:eastAsia="Calibri"/>
          <w:b/>
          <w:bCs/>
          <w:rtl/>
        </w:rPr>
        <w:t xml:space="preserve"> </w:t>
      </w:r>
      <w:r w:rsidRPr="001F2586">
        <w:rPr>
          <w:rFonts w:eastAsia="Calibri" w:hint="eastAsia"/>
          <w:b/>
          <w:bCs/>
          <w:rtl/>
        </w:rPr>
        <w:t>ב</w:t>
      </w:r>
      <w:r w:rsidRPr="001F2586">
        <w:rPr>
          <w:rFonts w:eastAsia="Calibri"/>
          <w:b/>
          <w:bCs/>
          <w:rtl/>
        </w:rPr>
        <w:t xml:space="preserve">-13.1.19 </w:t>
      </w:r>
      <w:r w:rsidRPr="001F2586">
        <w:rPr>
          <w:rFonts w:eastAsia="Calibri" w:hint="eastAsia"/>
          <w:b/>
          <w:bCs/>
          <w:rtl/>
        </w:rPr>
        <w:t>והוא</w:t>
      </w:r>
      <w:r w:rsidRPr="001F2586">
        <w:rPr>
          <w:rFonts w:eastAsia="Calibri"/>
          <w:b/>
          <w:bCs/>
          <w:rtl/>
        </w:rPr>
        <w:t xml:space="preserve"> </w:t>
      </w:r>
      <w:r w:rsidRPr="001F2586">
        <w:rPr>
          <w:rFonts w:eastAsia="Calibri" w:hint="eastAsia"/>
          <w:b/>
          <w:bCs/>
          <w:rtl/>
        </w:rPr>
        <w:t>מסדיר</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פעילותם</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הגמ</w:t>
      </w:r>
      <w:r w:rsidRPr="001F2586">
        <w:rPr>
          <w:rFonts w:eastAsia="Calibri"/>
          <w:b/>
          <w:bCs/>
          <w:rtl/>
        </w:rPr>
        <w:t>"חים</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הרישוי</w:t>
      </w:r>
      <w:r w:rsidRPr="001F2586">
        <w:rPr>
          <w:rFonts w:eastAsia="Calibri"/>
          <w:b/>
          <w:bCs/>
          <w:rtl/>
        </w:rPr>
        <w:t xml:space="preserve"> </w:t>
      </w:r>
      <w:r w:rsidRPr="001F2586">
        <w:rPr>
          <w:rFonts w:eastAsia="Calibri" w:hint="eastAsia"/>
          <w:b/>
          <w:bCs/>
          <w:rtl/>
        </w:rPr>
        <w:t>שלהם</w:t>
      </w:r>
      <w:r w:rsidRPr="001F2586">
        <w:rPr>
          <w:rFonts w:eastAsia="Calibri"/>
          <w:b/>
          <w:bCs/>
          <w:rtl/>
        </w:rPr>
        <w:t xml:space="preserve"> </w:t>
      </w:r>
      <w:r w:rsidRPr="001F2586">
        <w:rPr>
          <w:rFonts w:eastAsia="Calibri" w:hint="eastAsia"/>
          <w:b/>
          <w:bCs/>
          <w:rtl/>
        </w:rPr>
        <w:t>ואת</w:t>
      </w:r>
      <w:r w:rsidRPr="001F2586">
        <w:rPr>
          <w:rFonts w:eastAsia="Calibri"/>
          <w:b/>
          <w:bCs/>
          <w:rtl/>
        </w:rPr>
        <w:t xml:space="preserve">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עליהם</w:t>
      </w:r>
      <w:r w:rsidRPr="001F2586">
        <w:rPr>
          <w:rFonts w:eastAsia="Calibri"/>
          <w:b/>
          <w:bCs/>
          <w:rtl/>
        </w:rPr>
        <w:t xml:space="preserve">. </w:t>
      </w:r>
      <w:r w:rsidRPr="001F2586">
        <w:rPr>
          <w:rFonts w:eastAsia="Calibri" w:hint="eastAsia"/>
          <w:b/>
          <w:bCs/>
          <w:rtl/>
        </w:rPr>
        <w:t>החוק</w:t>
      </w:r>
      <w:r w:rsidRPr="001F2586">
        <w:rPr>
          <w:rFonts w:eastAsia="Calibri"/>
          <w:b/>
          <w:bCs/>
          <w:rtl/>
        </w:rPr>
        <w:t xml:space="preserve"> </w:t>
      </w:r>
      <w:r w:rsidRPr="001F2586">
        <w:rPr>
          <w:rFonts w:eastAsia="Calibri" w:hint="eastAsia"/>
          <w:b/>
          <w:bCs/>
          <w:rtl/>
        </w:rPr>
        <w:t>קובע</w:t>
      </w:r>
      <w:r w:rsidRPr="001F2586">
        <w:rPr>
          <w:rFonts w:eastAsia="Calibri"/>
          <w:b/>
          <w:bCs/>
          <w:rtl/>
        </w:rPr>
        <w:t xml:space="preserve"> כי רשות שוק ההון תחל בפיקוח אחר </w:t>
      </w:r>
      <w:r w:rsidRPr="001F2586">
        <w:rPr>
          <w:rFonts w:eastAsia="Calibri" w:hint="eastAsia"/>
          <w:b/>
          <w:bCs/>
          <w:rtl/>
        </w:rPr>
        <w:t>הגמ</w:t>
      </w:r>
      <w:r w:rsidRPr="001F2586">
        <w:rPr>
          <w:rFonts w:eastAsia="Calibri"/>
          <w:b/>
          <w:bCs/>
          <w:rtl/>
        </w:rPr>
        <w:t>"חים</w:t>
      </w:r>
      <w:r w:rsidRPr="001F2586">
        <w:rPr>
          <w:rFonts w:eastAsia="Calibri"/>
          <w:b/>
          <w:bCs/>
          <w:rtl/>
        </w:rPr>
        <w:t xml:space="preserve"> השונים מ-13.07.22. בדצמבר 2025 התקיים דיון בוועדת הכספים של הכנסת</w:t>
      </w:r>
      <w:r>
        <w:rPr>
          <w:rFonts w:eastAsia="Calibri"/>
          <w:b/>
          <w:bCs/>
          <w:vertAlign w:val="superscript"/>
          <w:rtl/>
        </w:rPr>
        <w:footnoteReference w:id="363"/>
      </w:r>
      <w:r w:rsidRPr="001F2586">
        <w:rPr>
          <w:rFonts w:eastAsia="Calibri"/>
          <w:b/>
          <w:bCs/>
          <w:rtl/>
        </w:rPr>
        <w:t xml:space="preserve"> ובו התברר כי ישנן 170 בקשות הממתינות לקבלת רישיון </w:t>
      </w:r>
      <w:r w:rsidRPr="001F2586">
        <w:rPr>
          <w:rFonts w:eastAsia="Calibri" w:hint="eastAsia"/>
          <w:b/>
          <w:bCs/>
          <w:rtl/>
        </w:rPr>
        <w:t>לגמ</w:t>
      </w:r>
      <w:r w:rsidRPr="001F2586">
        <w:rPr>
          <w:rFonts w:eastAsia="Calibri"/>
          <w:b/>
          <w:bCs/>
          <w:rtl/>
        </w:rPr>
        <w:t>"חים</w:t>
      </w:r>
      <w:r w:rsidRPr="001F2586">
        <w:rPr>
          <w:rFonts w:eastAsia="Calibri"/>
          <w:b/>
          <w:bCs/>
          <w:rtl/>
        </w:rPr>
        <w:t xml:space="preserve">, כאשר 102 מהם מתנהלים על פי רישיון זמני, ואילו 68 </w:t>
      </w:r>
      <w:r w:rsidRPr="001F2586">
        <w:rPr>
          <w:rFonts w:eastAsia="Calibri" w:hint="eastAsia"/>
          <w:b/>
          <w:bCs/>
          <w:rtl/>
        </w:rPr>
        <w:t>גמ</w:t>
      </w:r>
      <w:r w:rsidRPr="001F2586">
        <w:rPr>
          <w:rFonts w:eastAsia="Calibri"/>
          <w:b/>
          <w:bCs/>
          <w:rtl/>
        </w:rPr>
        <w:t>"חים</w:t>
      </w:r>
      <w:r w:rsidRPr="001F2586">
        <w:rPr>
          <w:rFonts w:eastAsia="Calibri"/>
          <w:b/>
          <w:bCs/>
          <w:rtl/>
        </w:rPr>
        <w:t xml:space="preserve"> עובדים ללא רישיון. רשות שוק ההון העריכה בדיון כי כ-90%</w:t>
      </w:r>
      <w:r w:rsidRPr="001F2586">
        <w:rPr>
          <w:rFonts w:eastAsia="Calibri"/>
          <w:b/>
        </w:rPr>
        <w:t xml:space="preserve"> </w:t>
      </w:r>
      <w:r w:rsidRPr="001F2586">
        <w:rPr>
          <w:rFonts w:eastAsia="Calibri" w:hint="eastAsia"/>
          <w:b/>
          <w:bCs/>
          <w:rtl/>
        </w:rPr>
        <w:t>מהגמ</w:t>
      </w:r>
      <w:r w:rsidRPr="001F2586">
        <w:rPr>
          <w:rFonts w:eastAsia="Calibri"/>
          <w:b/>
          <w:bCs/>
          <w:rtl/>
        </w:rPr>
        <w:t>"חים</w:t>
      </w:r>
      <w:r w:rsidRPr="001F2586">
        <w:rPr>
          <w:rFonts w:eastAsia="Calibri"/>
          <w:b/>
          <w:bCs/>
          <w:rtl/>
        </w:rPr>
        <w:t xml:space="preserve"> אינם עומדים בדרישות הרישיו</w:t>
      </w:r>
      <w:r w:rsidRPr="001F2586">
        <w:rPr>
          <w:rFonts w:eastAsia="Calibri" w:hint="eastAsia"/>
          <w:b/>
          <w:bCs/>
          <w:rtl/>
        </w:rPr>
        <w:t>ן</w:t>
      </w:r>
      <w:r w:rsidRPr="001F2586">
        <w:rPr>
          <w:rFonts w:eastAsia="Calibri"/>
          <w:b/>
          <w:bCs/>
          <w:rtl/>
        </w:rPr>
        <w:t xml:space="preserve"> כפי שקבעה הרשות. </w:t>
      </w:r>
    </w:p>
    <w:p w:rsidR="00260379"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יצוין</w:t>
      </w:r>
      <w:r w:rsidRPr="001F2586">
        <w:rPr>
          <w:rFonts w:eastAsia="Calibri"/>
          <w:b/>
          <w:bCs/>
          <w:rtl/>
        </w:rPr>
        <w:t xml:space="preserve"> כי באוגוסט 2025 הוגשו לרשות שוק ההון שתי חוות </w:t>
      </w:r>
      <w:r w:rsidRPr="001F2586">
        <w:rPr>
          <w:rFonts w:eastAsia="Calibri" w:hint="eastAsia"/>
          <w:b/>
          <w:bCs/>
          <w:rtl/>
        </w:rPr>
        <w:t>דעת</w:t>
      </w:r>
      <w:r w:rsidRPr="001F2586">
        <w:rPr>
          <w:rFonts w:eastAsia="Calibri"/>
          <w:b/>
          <w:bCs/>
          <w:rtl/>
        </w:rPr>
        <w:t xml:space="preserve"> </w:t>
      </w:r>
      <w:r w:rsidRPr="001F2586">
        <w:rPr>
          <w:rFonts w:eastAsia="Calibri" w:hint="cs"/>
          <w:b/>
          <w:bCs/>
          <w:rtl/>
        </w:rPr>
        <w:t xml:space="preserve">כלכליות </w:t>
      </w:r>
      <w:r w:rsidRPr="001F2586">
        <w:rPr>
          <w:rFonts w:eastAsia="Calibri"/>
          <w:b/>
          <w:bCs/>
          <w:rtl/>
        </w:rPr>
        <w:t xml:space="preserve">בהן הובע חשש </w:t>
      </w:r>
      <w:r w:rsidRPr="001F2586">
        <w:rPr>
          <w:rFonts w:eastAsia="Calibri" w:hint="eastAsia"/>
          <w:b/>
          <w:bCs/>
          <w:rtl/>
        </w:rPr>
        <w:t>ש</w:t>
      </w:r>
      <w:r w:rsidRPr="001F2586">
        <w:rPr>
          <w:rFonts w:eastAsia="Calibri" w:hint="cs"/>
          <w:b/>
          <w:bCs/>
          <w:rtl/>
        </w:rPr>
        <w:t xml:space="preserve">אחד </w:t>
      </w:r>
      <w:r w:rsidRPr="001F2586">
        <w:rPr>
          <w:rFonts w:eastAsia="Calibri" w:hint="cs"/>
          <w:b/>
          <w:bCs/>
          <w:rtl/>
        </w:rPr>
        <w:t>ה</w:t>
      </w:r>
      <w:r w:rsidRPr="001F2586">
        <w:rPr>
          <w:rFonts w:eastAsia="Calibri" w:hint="eastAsia"/>
          <w:b/>
          <w:bCs/>
          <w:rtl/>
        </w:rPr>
        <w:t>גמ</w:t>
      </w:r>
      <w:r w:rsidRPr="001F2586">
        <w:rPr>
          <w:rFonts w:eastAsia="Calibri"/>
          <w:b/>
          <w:bCs/>
          <w:rtl/>
        </w:rPr>
        <w:t>"ח</w:t>
      </w:r>
      <w:r w:rsidRPr="001F2586">
        <w:rPr>
          <w:rFonts w:eastAsia="Calibri" w:hint="cs"/>
          <w:b/>
          <w:bCs/>
          <w:rtl/>
        </w:rPr>
        <w:t>ים</w:t>
      </w:r>
      <w:r w:rsidRPr="001F2586">
        <w:rPr>
          <w:rFonts w:eastAsia="Calibri"/>
          <w:b/>
          <w:bCs/>
          <w:rtl/>
        </w:rPr>
        <w:t>, מהמוסדות הכלכליים החשובים בחברה החרדית, לא יוכל לעמוד בהתחייבויותיו לחוסכים.</w:t>
      </w:r>
    </w:p>
    <w:p w:rsidR="001F2586" w:rsidRPr="001F2586" w:rsidP="001F2586">
      <w:pPr>
        <w:spacing w:line="269" w:lineRule="auto"/>
        <w:ind w:left="-567"/>
        <w:rPr>
          <w:rFonts w:eastAsia="Calibri"/>
          <w:rtl/>
        </w:rPr>
      </w:pPr>
    </w:p>
    <w:p w:rsidR="001F2586" w:rsidRPr="001F2586" w:rsidP="001F2586">
      <w:pPr>
        <w:spacing w:line="269" w:lineRule="auto"/>
        <w:rPr>
          <w:rFonts w:eastAsia="Calibri"/>
          <w:b/>
          <w:bCs/>
          <w:rtl/>
        </w:rPr>
      </w:pPr>
      <w:r w:rsidRPr="001F2586">
        <w:rPr>
          <w:rFonts w:eastAsia="Calibri"/>
          <w:b/>
          <w:bCs/>
          <w:rtl/>
        </w:rPr>
        <w:t xml:space="preserve">ממצאי הבדיקה </w:t>
      </w:r>
      <w:r w:rsidRPr="001F2586">
        <w:rPr>
          <w:rFonts w:eastAsia="Calibri" w:hint="cs"/>
          <w:b/>
          <w:bCs/>
          <w:rtl/>
        </w:rPr>
        <w:t xml:space="preserve">שערך משרד מבקר המדינה </w:t>
      </w:r>
      <w:r w:rsidRPr="001F2586">
        <w:rPr>
          <w:rFonts w:eastAsia="Calibri"/>
          <w:b/>
          <w:bCs/>
          <w:rtl/>
        </w:rPr>
        <w:t>מעלים כי מודל המימון במגזר החרדי נשען על מבנה תלת-שכבתי ייחודי, המבדל אותו מדפוסי הצריכה במגזר הכללי ומגביר את המורכבות בניהול הסיכונים הבנקאיים</w:t>
      </w:r>
      <w:r w:rsidRPr="001F2586">
        <w:rPr>
          <w:rFonts w:eastAsia="Calibri" w:hint="cs"/>
          <w:b/>
          <w:bCs/>
          <w:rtl/>
        </w:rPr>
        <w:t xml:space="preserve">: (א) </w:t>
      </w:r>
      <w:r w:rsidRPr="001F2586">
        <w:rPr>
          <w:rFonts w:eastAsia="Calibri"/>
          <w:b/>
          <w:bCs/>
          <w:rtl/>
        </w:rPr>
        <w:t>הנדבך המוסדי (המשכנתא)</w:t>
      </w:r>
      <w:r w:rsidRPr="001F2586">
        <w:rPr>
          <w:rFonts w:eastAsia="Calibri" w:hint="cs"/>
          <w:b/>
          <w:bCs/>
          <w:rtl/>
        </w:rPr>
        <w:t xml:space="preserve">; (ב) </w:t>
      </w:r>
      <w:r w:rsidRPr="001F2586">
        <w:rPr>
          <w:rFonts w:eastAsia="Calibri"/>
          <w:b/>
          <w:bCs/>
          <w:rtl/>
        </w:rPr>
        <w:t>הנדבך הקהילתי (</w:t>
      </w:r>
      <w:r w:rsidRPr="001F2586">
        <w:rPr>
          <w:rFonts w:eastAsia="Calibri"/>
          <w:b/>
          <w:bCs/>
          <w:rtl/>
        </w:rPr>
        <w:t>הגמ"ח</w:t>
      </w:r>
      <w:r w:rsidRPr="001F2586">
        <w:rPr>
          <w:rFonts w:eastAsia="Calibri"/>
          <w:b/>
          <w:bCs/>
          <w:rtl/>
        </w:rPr>
        <w:t>)</w:t>
      </w:r>
      <w:r w:rsidRPr="001F2586">
        <w:rPr>
          <w:rFonts w:eastAsia="Calibri" w:hint="cs"/>
          <w:b/>
          <w:bCs/>
          <w:rtl/>
        </w:rPr>
        <w:t>:</w:t>
      </w:r>
      <w:r w:rsidRPr="001F2586">
        <w:rPr>
          <w:rFonts w:eastAsia="Calibri"/>
          <w:b/>
          <w:bCs/>
        </w:rPr>
        <w:t xml:space="preserve"> </w:t>
      </w:r>
      <w:r w:rsidRPr="001F2586">
        <w:rPr>
          <w:rFonts w:eastAsia="Calibri"/>
          <w:b/>
          <w:bCs/>
          <w:rtl/>
        </w:rPr>
        <w:t xml:space="preserve">הלוואות ללא ריבית לטווח קצר, המאופיינות בהחזר חודשי גבוה במיוחד. אשראי זה אינו מדווח למערכת </w:t>
      </w:r>
      <w:r w:rsidRPr="001F2586">
        <w:rPr>
          <w:rFonts w:eastAsia="Calibri"/>
          <w:b/>
          <w:bCs/>
          <w:rtl/>
        </w:rPr>
        <w:t>נתוני האשראי ולפיכך הוא</w:t>
      </w:r>
      <w:r w:rsidRPr="001F2586">
        <w:rPr>
          <w:rFonts w:eastAsia="Calibri" w:hint="cs"/>
          <w:b/>
          <w:bCs/>
          <w:rtl/>
        </w:rPr>
        <w:t xml:space="preserve"> אינו מבוא לפני ה</w:t>
      </w:r>
      <w:r w:rsidRPr="001F2586">
        <w:rPr>
          <w:rFonts w:eastAsia="Calibri"/>
          <w:b/>
          <w:bCs/>
          <w:rtl/>
        </w:rPr>
        <w:t>מערכת הבנקאית בעת העמדת המשכנתא</w:t>
      </w:r>
      <w:r w:rsidRPr="001F2586">
        <w:rPr>
          <w:rFonts w:eastAsia="Calibri" w:hint="cs"/>
          <w:b/>
          <w:bCs/>
          <w:rtl/>
        </w:rPr>
        <w:t xml:space="preserve">; (ג) </w:t>
      </w:r>
      <w:r w:rsidRPr="001F2586">
        <w:rPr>
          <w:rFonts w:eastAsia="Calibri"/>
          <w:b/>
          <w:bCs/>
          <w:rtl/>
        </w:rPr>
        <w:t>הנדבך המשלים (אשראי חוץ-בנקאי)</w:t>
      </w:r>
      <w:r w:rsidRPr="001F2586">
        <w:rPr>
          <w:rFonts w:eastAsia="Calibri" w:hint="cs"/>
          <w:b/>
          <w:bCs/>
          <w:rtl/>
        </w:rPr>
        <w:t xml:space="preserve">: </w:t>
      </w:r>
      <w:r w:rsidRPr="001F2586">
        <w:rPr>
          <w:rFonts w:eastAsia="Calibri"/>
          <w:b/>
          <w:bCs/>
          <w:rtl/>
        </w:rPr>
        <w:t>הלוואות מחברות כרטיסי אשראי או גופי מימון חוץ-בנקאיים לצורך גישור על פערים שוטפים</w:t>
      </w:r>
      <w:r w:rsidRPr="001F2586">
        <w:rPr>
          <w:rFonts w:eastAsia="Calibri"/>
          <w:b/>
          <w:bCs/>
        </w:rPr>
        <w:t>.</w:t>
      </w:r>
    </w:p>
    <w:p w:rsidR="001F2586" w:rsidRPr="001F2586" w:rsidP="001F2586">
      <w:pPr>
        <w:spacing w:line="269" w:lineRule="auto"/>
        <w:ind w:left="-567"/>
        <w:rPr>
          <w:rFonts w:eastAsia="Calibri"/>
          <w:szCs w:val="20"/>
        </w:rPr>
      </w:pPr>
    </w:p>
    <w:p w:rsidR="001F2586" w:rsidRPr="001F2586" w:rsidP="001F2586">
      <w:pPr>
        <w:spacing w:line="269" w:lineRule="auto"/>
        <w:rPr>
          <w:rFonts w:eastAsia="Calibri"/>
          <w:b/>
          <w:bCs/>
          <w:rtl/>
        </w:rPr>
      </w:pPr>
      <w:r w:rsidRPr="001F2586">
        <w:rPr>
          <w:rFonts w:eastAsia="Calibri"/>
          <w:b/>
          <w:bCs/>
          <w:rtl/>
        </w:rPr>
        <w:t xml:space="preserve">שילוב שלושת המקורות יוצר מצב בו </w:t>
      </w:r>
      <w:r w:rsidRPr="001F2586">
        <w:rPr>
          <w:rFonts w:eastAsia="Calibri" w:hint="cs"/>
          <w:b/>
          <w:bCs/>
          <w:rtl/>
        </w:rPr>
        <w:t>שיעור המימון</w:t>
      </w:r>
      <w:r w:rsidRPr="001F2586">
        <w:rPr>
          <w:rFonts w:eastAsia="Calibri"/>
          <w:b/>
          <w:bCs/>
          <w:rtl/>
        </w:rPr>
        <w:t xml:space="preserve"> האמיתי של משק הבית </w:t>
      </w:r>
      <w:r w:rsidRPr="001F2586">
        <w:rPr>
          <w:rFonts w:eastAsia="Calibri" w:hint="cs"/>
          <w:b/>
          <w:bCs/>
          <w:rtl/>
        </w:rPr>
        <w:t xml:space="preserve">במגזר החרדי </w:t>
      </w:r>
      <w:r w:rsidRPr="001F2586">
        <w:rPr>
          <w:rFonts w:eastAsia="Calibri"/>
          <w:b/>
          <w:bCs/>
          <w:rtl/>
        </w:rPr>
        <w:t xml:space="preserve">עשוי לחרוג מהרף </w:t>
      </w:r>
      <w:r w:rsidRPr="001F2586">
        <w:rPr>
          <w:rFonts w:eastAsia="Calibri" w:hint="cs"/>
          <w:b/>
          <w:bCs/>
          <w:rtl/>
        </w:rPr>
        <w:t>שנקבע על ידי בנק ישראל</w:t>
      </w:r>
      <w:r w:rsidRPr="001F2586">
        <w:rPr>
          <w:rFonts w:eastAsia="Calibri"/>
          <w:b/>
          <w:bCs/>
          <w:rtl/>
        </w:rPr>
        <w:t xml:space="preserve"> של </w:t>
      </w:r>
      <w:r w:rsidRPr="001F2586">
        <w:rPr>
          <w:rFonts w:eastAsia="Calibri" w:hint="cs"/>
          <w:b/>
          <w:bCs/>
          <w:rtl/>
        </w:rPr>
        <w:t xml:space="preserve">75% </w:t>
      </w:r>
      <w:r w:rsidRPr="001F2586">
        <w:rPr>
          <w:rFonts w:eastAsia="Calibri" w:hint="cs"/>
          <w:b/>
          <w:bCs/>
          <w:rtl/>
        </w:rPr>
        <w:t>לרוכשי</w:t>
      </w:r>
      <w:r w:rsidRPr="001F2586">
        <w:rPr>
          <w:rFonts w:eastAsia="Calibri" w:hint="cs"/>
          <w:b/>
          <w:bCs/>
          <w:rtl/>
        </w:rPr>
        <w:t xml:space="preserve"> דירה יחידה ו-50%</w:t>
      </w:r>
      <w:r w:rsidRPr="001F2586">
        <w:rPr>
          <w:rFonts w:eastAsia="Calibri" w:hint="cs"/>
          <w:b/>
          <w:bCs/>
        </w:rPr>
        <w:t xml:space="preserve"> </w:t>
      </w:r>
      <w:r w:rsidRPr="001F2586">
        <w:rPr>
          <w:rFonts w:eastAsia="Calibri" w:hint="cs"/>
          <w:b/>
          <w:bCs/>
          <w:rtl/>
        </w:rPr>
        <w:t>לרוכשי</w:t>
      </w:r>
      <w:r w:rsidRPr="001F2586">
        <w:rPr>
          <w:rFonts w:eastAsia="Calibri" w:hint="cs"/>
          <w:b/>
          <w:bCs/>
          <w:rtl/>
        </w:rPr>
        <w:t xml:space="preserve"> דירה להשקעה. </w:t>
      </w:r>
      <w:r w:rsidRPr="001F2586">
        <w:rPr>
          <w:rFonts w:eastAsia="Calibri"/>
          <w:b/>
          <w:bCs/>
          <w:rtl/>
        </w:rPr>
        <w:t xml:space="preserve">בעוד שבמגזר הכללי הלוואות משלימות גלויות לרוב לבנק דרך מערכת נתוני האשראי, במגזר החרדי נדבך </w:t>
      </w:r>
      <w:r w:rsidRPr="001F2586">
        <w:rPr>
          <w:rFonts w:eastAsia="Calibri"/>
          <w:b/>
          <w:bCs/>
          <w:rtl/>
        </w:rPr>
        <w:t>הגמ"ח</w:t>
      </w:r>
      <w:r w:rsidRPr="001F2586">
        <w:rPr>
          <w:rFonts w:eastAsia="Calibri"/>
          <w:b/>
          <w:bCs/>
          <w:rtl/>
        </w:rPr>
        <w:t xml:space="preserve"> </w:t>
      </w:r>
      <w:r w:rsidRPr="001F2586">
        <w:rPr>
          <w:rFonts w:eastAsia="Calibri" w:hint="cs"/>
          <w:b/>
          <w:bCs/>
          <w:rtl/>
        </w:rPr>
        <w:t>שאינו מובא כאמור בפני המערכת הבנקאית, דבר המערים</w:t>
      </w:r>
      <w:r w:rsidRPr="001F2586">
        <w:rPr>
          <w:rFonts w:eastAsia="Calibri"/>
          <w:b/>
          <w:bCs/>
          <w:rtl/>
        </w:rPr>
        <w:t xml:space="preserve"> קושי על הבנקים (ועל בנק ישראל כרגולטור) לאמוד את רמת המינוף הריאלית ואת יכולת העמידות של משק הבית מול שינויים בריבית או בהכנסות</w:t>
      </w:r>
      <w:r w:rsidRPr="001F2586">
        <w:rPr>
          <w:rFonts w:eastAsia="Calibri"/>
          <w:b/>
          <w:bCs/>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Pr>
      </w:pPr>
      <w:bookmarkStart w:id="88" w:name="_Hlk225076264"/>
      <w:r w:rsidRPr="001F2586">
        <w:rPr>
          <w:rFonts w:eastAsia="Calibri" w:hint="cs"/>
          <w:b/>
          <w:bCs/>
          <w:rtl/>
        </w:rPr>
        <w:t>נמצא</w:t>
      </w:r>
      <w:r w:rsidRPr="001F2586">
        <w:rPr>
          <w:rFonts w:eastAsia="Calibri"/>
          <w:b/>
          <w:bCs/>
          <w:rtl/>
        </w:rPr>
        <w:t xml:space="preserve"> כי </w:t>
      </w:r>
      <w:r w:rsidRPr="001F2586">
        <w:rPr>
          <w:rFonts w:eastAsia="Calibri" w:hint="cs"/>
          <w:b/>
          <w:bCs/>
          <w:rtl/>
        </w:rPr>
        <w:t xml:space="preserve">על פי הערכת רשות שוק ההון מדצמבר 2025, כ-90% </w:t>
      </w:r>
      <w:r w:rsidRPr="001F2586">
        <w:rPr>
          <w:rFonts w:eastAsia="Calibri" w:hint="cs"/>
          <w:b/>
          <w:bCs/>
          <w:rtl/>
        </w:rPr>
        <w:t>מהגמ"חים</w:t>
      </w:r>
      <w:r w:rsidRPr="001F2586">
        <w:rPr>
          <w:rFonts w:eastAsia="Calibri" w:hint="cs"/>
          <w:b/>
          <w:bCs/>
          <w:rtl/>
        </w:rPr>
        <w:t xml:space="preserve"> אינם עומדים בדרישות הרישיון של הרשות. לפיכך, </w:t>
      </w:r>
      <w:r w:rsidRPr="001F2586">
        <w:rPr>
          <w:rFonts w:eastAsia="Calibri"/>
          <w:b/>
          <w:bCs/>
          <w:rtl/>
        </w:rPr>
        <w:t xml:space="preserve">למרות שחלפו למעלה משש שנים ממועד פרסום החוק </w:t>
      </w:r>
      <w:r w:rsidRPr="001F2586">
        <w:rPr>
          <w:rFonts w:eastAsia="Calibri"/>
          <w:b/>
          <w:bCs/>
          <w:rtl/>
        </w:rPr>
        <w:t>לאסדרת</w:t>
      </w:r>
      <w:r w:rsidRPr="001F2586">
        <w:rPr>
          <w:rFonts w:eastAsia="Calibri"/>
          <w:b/>
          <w:bCs/>
          <w:rtl/>
        </w:rPr>
        <w:t xml:space="preserve"> פעילותם של </w:t>
      </w:r>
      <w:r w:rsidRPr="001F2586">
        <w:rPr>
          <w:rFonts w:eastAsia="Calibri" w:hint="cs"/>
          <w:b/>
          <w:bCs/>
          <w:rtl/>
        </w:rPr>
        <w:t>הגמ"חים</w:t>
      </w:r>
      <w:r w:rsidRPr="001F2586">
        <w:rPr>
          <w:rFonts w:eastAsia="Calibri" w:hint="cs"/>
          <w:b/>
          <w:bCs/>
          <w:rtl/>
        </w:rPr>
        <w:t xml:space="preserve"> </w:t>
      </w:r>
      <w:r w:rsidRPr="001F2586">
        <w:rPr>
          <w:rFonts w:eastAsia="Calibri"/>
          <w:b/>
          <w:bCs/>
          <w:rtl/>
        </w:rPr>
        <w:t xml:space="preserve">(ינואר 2019), ושלוש שנים וחצי מהמועד שבו אמורה הייתה רשות שוק ההון להתחיל </w:t>
      </w:r>
      <w:r w:rsidRPr="001F2586">
        <w:rPr>
          <w:rFonts w:eastAsia="Calibri" w:hint="cs"/>
          <w:b/>
          <w:bCs/>
          <w:rtl/>
        </w:rPr>
        <w:t xml:space="preserve">להחיל עליהם </w:t>
      </w:r>
      <w:r w:rsidRPr="001F2586">
        <w:rPr>
          <w:rFonts w:eastAsia="Calibri"/>
          <w:b/>
          <w:bCs/>
          <w:rtl/>
        </w:rPr>
        <w:t xml:space="preserve">פיקוח בפועל (יולי 2022), הליך הסדרת הרישוי </w:t>
      </w:r>
      <w:r w:rsidRPr="001F2586">
        <w:rPr>
          <w:rFonts w:eastAsia="Calibri" w:hint="cs"/>
          <w:b/>
          <w:bCs/>
          <w:rtl/>
        </w:rPr>
        <w:t xml:space="preserve">של מוסדות אלה </w:t>
      </w:r>
      <w:r w:rsidRPr="001F2586">
        <w:rPr>
          <w:rFonts w:eastAsia="Calibri"/>
          <w:b/>
          <w:bCs/>
          <w:rtl/>
        </w:rPr>
        <w:t>רחוק מהשלמה</w:t>
      </w:r>
      <w:r w:rsidRPr="001F2586">
        <w:rPr>
          <w:rFonts w:eastAsia="Calibri"/>
          <w:b/>
          <w:bCs/>
        </w:rPr>
        <w:t>.</w:t>
      </w:r>
      <w:r w:rsidRPr="001F2586">
        <w:rPr>
          <w:rFonts w:eastAsia="Calibri" w:hint="cs"/>
          <w:b/>
          <w:bCs/>
          <w:rtl/>
        </w:rPr>
        <w:t xml:space="preserve"> </w:t>
      </w:r>
      <w:bookmarkEnd w:id="88"/>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מומלץ</w:t>
      </w:r>
      <w:r w:rsidRPr="001F2586">
        <w:rPr>
          <w:rFonts w:eastAsia="Calibri"/>
          <w:b/>
          <w:bCs/>
          <w:rtl/>
        </w:rPr>
        <w:t xml:space="preserve"> כי רשות שוק ההון </w:t>
      </w:r>
      <w:r w:rsidRPr="001F2586">
        <w:rPr>
          <w:rFonts w:eastAsia="Calibri" w:hint="eastAsia"/>
          <w:b/>
          <w:bCs/>
          <w:rtl/>
        </w:rPr>
        <w:t>תרכז</w:t>
      </w:r>
      <w:r w:rsidRPr="001F2586">
        <w:rPr>
          <w:rFonts w:eastAsia="Calibri"/>
          <w:b/>
          <w:bCs/>
          <w:rtl/>
        </w:rPr>
        <w:t xml:space="preserve"> את המידע על הלוואת </w:t>
      </w:r>
      <w:r w:rsidRPr="001F2586">
        <w:rPr>
          <w:rFonts w:eastAsia="Calibri" w:hint="eastAsia"/>
          <w:b/>
          <w:bCs/>
          <w:rtl/>
        </w:rPr>
        <w:t>הגמ</w:t>
      </w:r>
      <w:r w:rsidRPr="001F2586">
        <w:rPr>
          <w:rFonts w:eastAsia="Calibri"/>
          <w:b/>
          <w:bCs/>
          <w:rtl/>
        </w:rPr>
        <w:t>"חים</w:t>
      </w:r>
      <w:r w:rsidRPr="001F2586">
        <w:rPr>
          <w:rFonts w:eastAsia="Calibri"/>
          <w:b/>
          <w:bCs/>
          <w:rtl/>
        </w:rPr>
        <w:t xml:space="preserve"> בין היתר לדיור, וזאת בין היתר על מנת לאפשר לבנק ישראל לבחון את רמת הסיכון במגזר החרדי בצורה מלאה.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כמו</w:t>
      </w:r>
      <w:r w:rsidRPr="001F2586">
        <w:rPr>
          <w:rFonts w:eastAsia="Calibri"/>
          <w:b/>
          <w:bCs/>
          <w:rtl/>
        </w:rPr>
        <w:t xml:space="preserve"> </w:t>
      </w:r>
      <w:r w:rsidRPr="001F2586">
        <w:rPr>
          <w:rFonts w:eastAsia="Calibri" w:hint="eastAsia"/>
          <w:b/>
          <w:bCs/>
          <w:rtl/>
        </w:rPr>
        <w:t>כן</w:t>
      </w:r>
      <w:r w:rsidRPr="001F2586">
        <w:rPr>
          <w:rFonts w:eastAsia="Calibri"/>
          <w:b/>
          <w:bCs/>
          <w:rtl/>
        </w:rPr>
        <w:t>,</w:t>
      </w:r>
      <w:r w:rsidRPr="001F2586">
        <w:rPr>
          <w:rFonts w:eastAsia="Calibri" w:hint="cs"/>
          <w:b/>
          <w:bCs/>
          <w:rtl/>
        </w:rPr>
        <w:t xml:space="preserve"> נוכח היקפי ההלוואות שניתנות על ידי </w:t>
      </w:r>
      <w:r w:rsidRPr="001F2586">
        <w:rPr>
          <w:rFonts w:eastAsia="Calibri" w:hint="cs"/>
          <w:b/>
          <w:bCs/>
          <w:rtl/>
        </w:rPr>
        <w:t>הגמ"חים</w:t>
      </w:r>
      <w:r w:rsidRPr="001F2586">
        <w:rPr>
          <w:rFonts w:eastAsia="Calibri" w:hint="cs"/>
          <w:b/>
          <w:bCs/>
          <w:rtl/>
        </w:rPr>
        <w:t xml:space="preserve">, והשקעת כסף משמעותית על ידי הורים עבור דירת ילדיהם בעתיד, על רשות שוק ההון לוודא כי </w:t>
      </w:r>
      <w:r w:rsidRPr="001F2586">
        <w:rPr>
          <w:rFonts w:eastAsia="Calibri" w:hint="cs"/>
          <w:b/>
          <w:bCs/>
          <w:rtl/>
        </w:rPr>
        <w:t>לגמ"חים</w:t>
      </w:r>
      <w:r w:rsidRPr="001F2586">
        <w:rPr>
          <w:rFonts w:eastAsia="Calibri" w:hint="cs"/>
          <w:b/>
          <w:bCs/>
          <w:rtl/>
        </w:rPr>
        <w:t xml:space="preserve"> הנותנים את ההלוואות לרכישת דירה, יש תכנית עסקית ויציבות פיננסית שתאפשר להם לתת הלוואות גם להורים המצטרפים שילדיהם יצטרכו לקחת את ההלוואה רק בעוד כמה שנים, וכי אין חשש להונאות מעין "פירמידה</w:t>
      </w:r>
      <w:r>
        <w:rPr>
          <w:rFonts w:eastAsia="Calibri"/>
          <w:b/>
          <w:bCs/>
          <w:vertAlign w:val="superscript"/>
          <w:rtl/>
        </w:rPr>
        <w:footnoteReference w:id="364"/>
      </w:r>
      <w:r w:rsidRPr="001F2586">
        <w:rPr>
          <w:rFonts w:eastAsia="Calibri" w:hint="cs"/>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רשות שוק ההון ציינה בתשובתה ממאי 2026 (להלן - תשובת רשות שוק ההון) כי תחום </w:t>
      </w:r>
      <w:r w:rsidRPr="001F2586">
        <w:rPr>
          <w:rFonts w:eastAsia="Calibri" w:hint="cs"/>
          <w:rtl/>
        </w:rPr>
        <w:t>הגמ"חים</w:t>
      </w:r>
      <w:r w:rsidRPr="001F2586">
        <w:rPr>
          <w:rFonts w:eastAsia="Calibri" w:hint="cs"/>
          <w:rtl/>
        </w:rPr>
        <w:t xml:space="preserve"> הפיננסים הוסדר לראשונה רק עם חקיקת חוק </w:t>
      </w:r>
      <w:r w:rsidRPr="001F2586">
        <w:rPr>
          <w:rFonts w:eastAsia="Calibri" w:hint="cs"/>
          <w:rtl/>
        </w:rPr>
        <w:t>הג"מחים</w:t>
      </w:r>
      <w:r w:rsidRPr="001F2586">
        <w:rPr>
          <w:rFonts w:eastAsia="Calibri" w:hint="cs"/>
          <w:rtl/>
        </w:rPr>
        <w:t xml:space="preserve"> בשנת 2019 אשר יצר מסגרת רישוי ופיקוח ייעודית לתחום שפעל במשך שנים ללא אסדרה כוללת, ובכלל זה ללא תחולה של משטר איסור הלבנת הון ייעודי. יישום החוק עצמו נעשה באופן מדורג וכלל תקופות היערכות ושיהוי בכניסת הוראות שונות לתוקף, נוכח מאפייניו הייחודים של התחום והצורך בבניית תשתית רגולטורית מתאימה. בתוך כך, לאחרונה נחתם על ידי שר האוצר צו איסור הלבנת הון החל על </w:t>
      </w:r>
      <w:r w:rsidRPr="001F2586">
        <w:rPr>
          <w:rFonts w:eastAsia="Calibri" w:hint="cs"/>
          <w:rtl/>
        </w:rPr>
        <w:t>גמ"חים</w:t>
      </w:r>
      <w:r w:rsidRPr="001F2586">
        <w:rPr>
          <w:rFonts w:eastAsia="Calibri" w:hint="cs"/>
          <w:rtl/>
        </w:rPr>
        <w:t xml:space="preserve"> אשר תחילתו נקבעה לעוד כשנתיים, לצורך היערכות והטמעת הדרישות בקרב הגופים המפוקחים. אלו מהווים תשתית רגולטורית, פיקוחית </w:t>
      </w:r>
      <w:r w:rsidRPr="001F2586">
        <w:rPr>
          <w:rFonts w:eastAsia="Calibri" w:hint="cs"/>
          <w:rtl/>
        </w:rPr>
        <w:t>ואכיפתית</w:t>
      </w:r>
      <w:r w:rsidRPr="001F2586">
        <w:rPr>
          <w:rFonts w:eastAsia="Calibri" w:hint="cs"/>
          <w:rtl/>
        </w:rPr>
        <w:t xml:space="preserve"> שקידמה הרשות שמטרתה להחיל סטנדרטים של ניהול סיכונים, שקיפות וציות גם על פעילות זו, בהתאם למאפייניה הייחודים. </w:t>
      </w:r>
    </w:p>
    <w:p w:rsidR="00194C04" w:rsidP="001F2586">
      <w:pPr>
        <w:keepNext/>
        <w:keepLines/>
        <w:spacing w:line="269" w:lineRule="auto"/>
        <w:outlineLvl w:val="2"/>
        <w:rPr>
          <w:rFonts w:eastAsia="Times New Roman"/>
          <w:bCs/>
          <w:szCs w:val="28"/>
          <w:u w:val="single"/>
          <w:rtl/>
        </w:rPr>
      </w:pPr>
    </w:p>
    <w:p w:rsidR="001F2586" w:rsidRPr="001F2586" w:rsidP="001F2586">
      <w:pPr>
        <w:keepNext/>
        <w:keepLines/>
        <w:spacing w:line="269" w:lineRule="auto"/>
        <w:outlineLvl w:val="2"/>
        <w:rPr>
          <w:rFonts w:eastAsia="Times New Roman"/>
          <w:bCs/>
          <w:szCs w:val="28"/>
          <w:u w:val="single"/>
          <w:rtl/>
        </w:rPr>
      </w:pPr>
      <w:r w:rsidRPr="001F2586">
        <w:rPr>
          <w:rFonts w:eastAsia="Times New Roman" w:hint="cs"/>
          <w:bCs/>
          <w:szCs w:val="28"/>
          <w:u w:val="single"/>
          <w:rtl/>
        </w:rPr>
        <w:t>פעולות הסיוע בדיור</w:t>
      </w:r>
    </w:p>
    <w:p w:rsidR="001F2586" w:rsidRPr="001F2586" w:rsidP="001F2586">
      <w:pPr>
        <w:spacing w:line="269" w:lineRule="auto"/>
        <w:rPr>
          <w:rFonts w:eastAsia="Calibri"/>
          <w:rtl/>
        </w:rPr>
      </w:pPr>
    </w:p>
    <w:p w:rsidR="001F2586" w:rsidP="001F2586">
      <w:pPr>
        <w:spacing w:line="269" w:lineRule="auto"/>
        <w:rPr>
          <w:rFonts w:eastAsia="Calibri"/>
          <w:rtl/>
        </w:rPr>
      </w:pPr>
      <w:r w:rsidRPr="001F2586">
        <w:rPr>
          <w:rFonts w:eastAsia="Calibri" w:hint="cs"/>
          <w:rtl/>
        </w:rPr>
        <w:t>המינהל לסיוע בדיור (להלן - המינהל) במשרד הבינוי והשיכון (להלן - משב"ש) אמון על תכנון וקביעת מדיניות הסיוע בדיור, הפעלת תוכניות סיוע לדיור וביצוע בקרה ופיקוח בנושא</w:t>
      </w:r>
      <w:r>
        <w:rPr>
          <w:rFonts w:eastAsia="Calibri"/>
          <w:vertAlign w:val="superscript"/>
          <w:rtl/>
        </w:rPr>
        <w:footnoteReference w:id="365"/>
      </w:r>
      <w:r w:rsidRPr="001F2586">
        <w:rPr>
          <w:rFonts w:eastAsia="Calibri" w:hint="cs"/>
          <w:rtl/>
        </w:rPr>
        <w:t xml:space="preserve">, אגב התמקדות באוכלוסיות חסרות דירה ומשקי בית המצויים במצוקה כלכלית. </w:t>
      </w:r>
      <w:bookmarkStart w:id="89" w:name="_Hlk213837147"/>
      <w:r w:rsidRPr="001F2586">
        <w:rPr>
          <w:rFonts w:eastAsia="Calibri" w:hint="cs"/>
          <w:rtl/>
        </w:rPr>
        <w:t xml:space="preserve">פעולות הסיוע בדיור </w:t>
      </w:r>
      <w:bookmarkEnd w:id="89"/>
      <w:r w:rsidRPr="001F2586">
        <w:rPr>
          <w:rFonts w:eastAsia="Calibri" w:hint="cs"/>
          <w:rtl/>
        </w:rPr>
        <w:t>מגוונות וכוללות סיוע בשכר דירה, סיוע בדיור ציבורי, סיוע בדיור מוגן ציבורי לקשישים, סיוע במשכנתאות, סיוע לנכים להתאמת דירתם, סיוע בבניית ממ"ד וסיוע לרכישת דירה במחיר נמוך באזור המוגדר בעדיפות לאומית א'</w:t>
      </w:r>
      <w:r>
        <w:rPr>
          <w:rFonts w:eastAsia="Calibri"/>
          <w:vertAlign w:val="superscript"/>
          <w:rtl/>
        </w:rPr>
        <w:footnoteReference w:id="366"/>
      </w:r>
      <w:r w:rsidRPr="001F2586">
        <w:rPr>
          <w:rFonts w:eastAsia="Calibri" w:hint="cs"/>
          <w:rtl/>
        </w:rPr>
        <w:t>.</w:t>
      </w:r>
    </w:p>
    <w:p w:rsidR="008E15AB" w:rsidP="001F2586">
      <w:pPr>
        <w:spacing w:line="269" w:lineRule="auto"/>
        <w:rPr>
          <w:rFonts w:eastAsia="Calibri"/>
          <w:rtl/>
        </w:rPr>
      </w:pPr>
    </w:p>
    <w:p w:rsidR="008E15AB" w:rsidRPr="004C1CEF" w:rsidP="0070405E">
      <w:pPr>
        <w:pStyle w:val="a"/>
        <w:spacing w:line="269" w:lineRule="auto"/>
        <w:ind w:left="0"/>
        <w:rPr>
          <w:sz w:val="24"/>
          <w:szCs w:val="24"/>
          <w:rtl/>
        </w:rPr>
      </w:pPr>
      <w:r w:rsidRPr="004C1CEF">
        <w:rPr>
          <w:rFonts w:hint="eastAsia"/>
          <w:sz w:val="24"/>
          <w:szCs w:val="24"/>
          <w:rtl/>
        </w:rPr>
        <w:t>ה</w:t>
      </w:r>
      <w:r w:rsidRPr="004C1CEF">
        <w:rPr>
          <w:sz w:val="24"/>
          <w:szCs w:val="24"/>
          <w:rtl/>
        </w:rPr>
        <w:t xml:space="preserve">תרשים </w:t>
      </w:r>
      <w:r w:rsidR="00194C04">
        <w:rPr>
          <w:rFonts w:hint="cs"/>
          <w:sz w:val="24"/>
          <w:szCs w:val="24"/>
          <w:rtl/>
        </w:rPr>
        <w:t>ש</w:t>
      </w:r>
      <w:r w:rsidRPr="004C1CEF">
        <w:rPr>
          <w:sz w:val="24"/>
          <w:szCs w:val="24"/>
          <w:rtl/>
        </w:rPr>
        <w:t>להלן מציג את הקצאת המשאבים הכוללת לפעולות המינהל בשנים 2024-2022, בחלוקה בין תקציב הסיוע במשכנתאות לבין יתר פעילויות המינהל. יצוין כי כמחצית מהסכום המיועד לסיוע במשכנתאות מקורו בתאגידים הבנקאיים</w:t>
      </w:r>
      <w:r>
        <w:rPr>
          <w:rFonts w:hint="cs"/>
          <w:sz w:val="24"/>
          <w:szCs w:val="24"/>
          <w:rtl/>
        </w:rPr>
        <w:t>.</w:t>
      </w:r>
      <w:r w:rsidRPr="004C1CEF">
        <w:rPr>
          <w:sz w:val="24"/>
          <w:szCs w:val="24"/>
          <w:rtl/>
        </w:rPr>
        <w:t xml:space="preserve"> לפיכך, רכיב זה אינו נכלל במסגרת תקציב המדינ</w:t>
      </w:r>
      <w:r>
        <w:rPr>
          <w:rFonts w:hint="cs"/>
          <w:sz w:val="24"/>
          <w:szCs w:val="24"/>
          <w:rtl/>
        </w:rPr>
        <w:t>ה</w:t>
      </w:r>
      <w:r w:rsidRPr="004C1CEF">
        <w:rPr>
          <w:sz w:val="24"/>
          <w:szCs w:val="24"/>
        </w:rPr>
        <w:t xml:space="preserve"> </w:t>
      </w:r>
      <w:r w:rsidRPr="004C1CEF">
        <w:rPr>
          <w:sz w:val="24"/>
          <w:szCs w:val="24"/>
          <w:rtl/>
        </w:rPr>
        <w:t>כפי שיפורט בהמשך</w:t>
      </w:r>
      <w:r>
        <w:rPr>
          <w:rFonts w:hint="cs"/>
          <w:sz w:val="24"/>
          <w:szCs w:val="24"/>
          <w:rtl/>
        </w:rPr>
        <w:t>.</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b/>
          <w:bCs/>
          <w:rtl/>
        </w:rPr>
      </w:pPr>
      <w:bookmarkStart w:id="90" w:name="_Hlk215748846"/>
      <w:r w:rsidRPr="001F2586">
        <w:rPr>
          <w:rFonts w:eastAsia="Calibri" w:hint="cs"/>
          <w:rtl/>
        </w:rPr>
        <w:t xml:space="preserve">תרשים 59: </w:t>
      </w:r>
      <w:r w:rsidRPr="001F2586">
        <w:rPr>
          <w:rFonts w:eastAsia="Calibri" w:hint="cs"/>
          <w:b/>
          <w:bCs/>
          <w:rtl/>
        </w:rPr>
        <w:t>תקציב המינהל לסיוע בדיור בשנים 2022 - 2024, במיליארדי ש"ח</w:t>
      </w:r>
    </w:p>
    <w:p w:rsidR="001F2586" w:rsidRPr="001F2586" w:rsidP="001F2586">
      <w:pPr>
        <w:spacing w:line="269" w:lineRule="auto"/>
        <w:jc w:val="center"/>
        <w:rPr>
          <w:rFonts w:eastAsia="Calibri"/>
          <w:color w:val="FF0000"/>
        </w:rPr>
      </w:pPr>
      <w:r w:rsidRPr="001F2586">
        <w:rPr>
          <w:rFonts w:eastAsia="Calibri"/>
          <w:noProof/>
          <w:color w:val="FF0000"/>
        </w:rPr>
        <w:drawing>
          <wp:inline distT="0" distB="0" distL="0" distR="0">
            <wp:extent cx="4962285" cy="3129045"/>
            <wp:effectExtent l="0" t="0" r="0" b="0"/>
            <wp:docPr id="37" name="תמונה 37" descr="בשנת 2022 סך התקציב המינהל לסיוע בדיור עמד על 3.6 מיליארד ש&quot;ח - 1.3 מיליארד ש&quot;ח סיוע במשכנתאות (כ-36%) ו-2.3 מיליארד ש&quot;ח יתר תקציב המינהל לסיוע בדיור (כ-64%).&#10;&#10;בשנת 2023 סך התקציב המינהל לסיוע בדיור עמד על 3.8 מיליארד ש&quot;ח - 1.2 מיליארד ש&quot;ח סיוע במשכנתאות (כ-33%) ו-2.6 מיליארד ש&quot;ח יתר תקציב המינהל לסיוע בדיור (כ-67%).&#10;    &#10;בשנת 2024 סך התקציב המינהל לסיוע בדיור עמד על 4.1 מיליארד ש&quot;ח - 1.3 מיליארד ש&quot;ח סיוע במשכנתאות (כ-32%) ו-2.8 מיליארד ש&quot;ח יתר תקציב המינהל לסיוע בדיור (כ-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rcRect t="8844" b="5319"/>
                    <a:stretch>
                      <a:fillRect/>
                    </a:stretch>
                  </pic:blipFill>
                  <pic:spPr bwMode="auto">
                    <a:xfrm>
                      <a:off x="0" y="0"/>
                      <a:ext cx="4962525" cy="312919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jc w:val="left"/>
        <w:rPr>
          <w:rFonts w:eastAsia="Calibri"/>
          <w:sz w:val="16"/>
          <w:szCs w:val="20"/>
          <w:rtl/>
        </w:rPr>
      </w:pPr>
      <w:r w:rsidRPr="001F2586">
        <w:rPr>
          <w:rFonts w:eastAsia="Calibri" w:hint="cs"/>
          <w:sz w:val="16"/>
          <w:szCs w:val="20"/>
          <w:rtl/>
        </w:rPr>
        <w:t>על פי נתוני משרד הבינוי והשיכון, בעיבוד משרד מבקר המדינה.</w:t>
      </w:r>
    </w:p>
    <w:bookmarkEnd w:id="90"/>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ניתן</w:t>
      </w:r>
      <w:r w:rsidRPr="001F2586">
        <w:rPr>
          <w:rFonts w:eastAsia="Calibri"/>
          <w:b/>
          <w:bCs/>
          <w:rtl/>
        </w:rPr>
        <w:t xml:space="preserve"> לראות בתרשים כי הסכום המוקצה לפעילות </w:t>
      </w:r>
      <w:r w:rsidRPr="001F2586">
        <w:rPr>
          <w:rFonts w:eastAsia="Calibri" w:hint="eastAsia"/>
          <w:b/>
          <w:bCs/>
          <w:rtl/>
        </w:rPr>
        <w:t>המינהל</w:t>
      </w:r>
      <w:r w:rsidRPr="001F2586">
        <w:rPr>
          <w:rFonts w:eastAsia="Calibri"/>
          <w:b/>
          <w:bCs/>
          <w:rtl/>
        </w:rPr>
        <w:t xml:space="preserve"> גדל בהדרגה בין השנים 2022 ל-2024 מ-3.6 מיליארד </w:t>
      </w:r>
      <w:r w:rsidRPr="001F2586">
        <w:rPr>
          <w:rFonts w:eastAsia="Calibri" w:hint="cs"/>
          <w:b/>
          <w:bCs/>
          <w:rtl/>
        </w:rPr>
        <w:t>ש"ח</w:t>
      </w:r>
      <w:r w:rsidRPr="001F2586">
        <w:rPr>
          <w:rFonts w:eastAsia="Calibri"/>
          <w:b/>
          <w:bCs/>
          <w:rtl/>
        </w:rPr>
        <w:t xml:space="preserve"> ל-4.1 מיליארד </w:t>
      </w:r>
      <w:r w:rsidRPr="001F2586">
        <w:rPr>
          <w:rFonts w:eastAsia="Calibri" w:hint="cs"/>
          <w:b/>
          <w:bCs/>
          <w:rtl/>
        </w:rPr>
        <w:t>ש"ח</w:t>
      </w:r>
      <w:r w:rsidRPr="001F2586">
        <w:rPr>
          <w:rFonts w:eastAsia="Calibri"/>
          <w:b/>
          <w:bCs/>
          <w:rtl/>
        </w:rPr>
        <w:t xml:space="preserve"> (גידול של כ-14%), וכי חלק ניכר מתוכו (כשליש) מופנה לסיוע במשכנתאות. הסכום המוקצה לפעילות הסיוע במשכנתאות נותר יציב במהלך שלוש השנים האחרונות בהיקף של 1.2 עד 1.3 מיליארד ש"ח, אולם בשל הגידול בסכום המוקצה לפעילות </w:t>
      </w:r>
      <w:r w:rsidRPr="001F2586">
        <w:rPr>
          <w:rFonts w:eastAsia="Calibri" w:hint="eastAsia"/>
          <w:b/>
          <w:bCs/>
          <w:rtl/>
        </w:rPr>
        <w:t>המינהל</w:t>
      </w:r>
      <w:r w:rsidRPr="001F2586">
        <w:rPr>
          <w:rFonts w:eastAsia="Calibri"/>
          <w:b/>
          <w:bCs/>
          <w:rtl/>
        </w:rPr>
        <w:t xml:space="preserve"> חלקו קטן מ-36%</w:t>
      </w:r>
      <w:r w:rsidRPr="001F2586">
        <w:rPr>
          <w:rFonts w:eastAsia="Calibri"/>
          <w:b/>
        </w:rPr>
        <w:t xml:space="preserve"> </w:t>
      </w:r>
      <w:r w:rsidRPr="001F2586">
        <w:rPr>
          <w:rFonts w:eastAsia="Calibri" w:hint="eastAsia"/>
          <w:b/>
          <w:bCs/>
          <w:rtl/>
        </w:rPr>
        <w:t>בשנת</w:t>
      </w:r>
      <w:r w:rsidRPr="001F2586">
        <w:rPr>
          <w:rFonts w:eastAsia="Calibri"/>
          <w:b/>
          <w:bCs/>
          <w:rtl/>
        </w:rPr>
        <w:t xml:space="preserve"> 2022 </w:t>
      </w:r>
      <w:r w:rsidRPr="001F2586">
        <w:rPr>
          <w:rFonts w:eastAsia="Calibri" w:hint="eastAsia"/>
          <w:b/>
          <w:bCs/>
          <w:rtl/>
        </w:rPr>
        <w:t>ל</w:t>
      </w:r>
      <w:r w:rsidRPr="001F2586">
        <w:rPr>
          <w:rFonts w:eastAsia="Calibri"/>
          <w:b/>
          <w:bCs/>
          <w:rtl/>
        </w:rPr>
        <w:t xml:space="preserve">-32% </w:t>
      </w:r>
      <w:r w:rsidRPr="001F2586">
        <w:rPr>
          <w:rFonts w:eastAsia="Calibri" w:hint="eastAsia"/>
          <w:b/>
          <w:bCs/>
          <w:rtl/>
        </w:rPr>
        <w:t>בשנת</w:t>
      </w:r>
      <w:r w:rsidRPr="001F2586">
        <w:rPr>
          <w:rFonts w:eastAsia="Calibri"/>
          <w:b/>
          <w:bCs/>
          <w:rtl/>
        </w:rPr>
        <w:t xml:space="preserve"> 2024.</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לפי נתוני המינהל, במהלך שנת 2024 הוענק סיוע ליותר מחצי מיליון משקי בית. כלומר ניתן סיוע ל-1 מכל 6 משקי בית בישראל</w:t>
      </w:r>
      <w:r>
        <w:rPr>
          <w:rFonts w:eastAsia="Calibri"/>
          <w:vertAlign w:val="superscript"/>
          <w:rtl/>
        </w:rPr>
        <w:footnoteReference w:id="367"/>
      </w:r>
      <w:r w:rsidRPr="001F2586">
        <w:rPr>
          <w:rFonts w:eastAsia="Calibri" w:hint="cs"/>
          <w:rtl/>
        </w:rPr>
        <w:t xml:space="preserve">. סך מממשי הסיוע במשכנתאות היווה בשנת 2024 כ-2% (כ-10 אלפים משקי בית) בלבד מתוך סך מקבלי הסיוע מפעילויות המינהל השונות. לכן למרות מרכזיות הסיוע במשכנתאות בסכום המוקצה לפעילות המינהל מדובר על אפיק פעילות אחד מתוך פעילות מגוונת שמקיים המינהל לתמיכה במשקי בית רבים. </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הלוואות לזכאים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הלוואות לדיור לזכאים ניתנות מתוקף חוק הלוואות לדיור, התשנ"ב-1992 (להלן - חוק הלוואות לדיור) לאלה המוגדרים חסרי דירה</w:t>
      </w:r>
      <w:r>
        <w:rPr>
          <w:rFonts w:eastAsia="Calibri"/>
          <w:vertAlign w:val="superscript"/>
          <w:rtl/>
        </w:rPr>
        <w:footnoteReference w:id="368"/>
      </w:r>
      <w:r w:rsidRPr="001F2586">
        <w:rPr>
          <w:rFonts w:eastAsia="Calibri" w:hint="cs"/>
          <w:rtl/>
        </w:rPr>
        <w:t xml:space="preserve"> וזכאים לסיוע בדיור לפי כללי משב"ש לצורך רכישתה, בנייתה, הרחבתה או התאמתה לצרכים מיוחדים</w:t>
      </w:r>
      <w:r>
        <w:rPr>
          <w:rFonts w:eastAsia="Calibri"/>
          <w:vertAlign w:val="superscript"/>
          <w:rtl/>
        </w:rPr>
        <w:footnoteReference w:id="369"/>
      </w:r>
      <w:r w:rsidRPr="001F2586">
        <w:rPr>
          <w:rFonts w:eastAsia="Calibri" w:hint="cs"/>
          <w:rtl/>
        </w:rPr>
        <w:t xml:space="preserve"> (להלן - משכנתא לזכאים). הסיוע ניתן </w:t>
      </w:r>
      <w:r w:rsidRPr="001F2586">
        <w:rPr>
          <w:rFonts w:eastAsia="Calibri" w:hint="cs"/>
          <w:rtl/>
        </w:rPr>
        <w:t>באמצעות הלוואה לתקופה ארוכה ממקורות תקציב המדינה (להלן - הלוואות תקציביות) או מכספי תאגידים בנקאיים שיעמידו את ההלוואה (להלן - הלוואות בנק מסובסד)</w:t>
      </w:r>
      <w:r>
        <w:rPr>
          <w:rFonts w:eastAsia="Calibri"/>
          <w:vertAlign w:val="superscript"/>
          <w:rtl/>
        </w:rPr>
        <w:footnoteReference w:id="370"/>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בדברי ההסבר להצעת החוק נכתב כי "</w:t>
      </w:r>
      <w:r w:rsidRPr="001F2586">
        <w:rPr>
          <w:rFonts w:eastAsia="Calibri"/>
          <w:rtl/>
        </w:rPr>
        <w:t>אחד הגורמים המרכזיים למצוקת הדיור המחריפה, הוא אי יכולתן של משפחות ריבות לעמוד ב</w:t>
      </w:r>
      <w:r w:rsidRPr="001F2586">
        <w:rPr>
          <w:rFonts w:eastAsia="Calibri" w:hint="cs"/>
          <w:rtl/>
        </w:rPr>
        <w:t>ת</w:t>
      </w:r>
      <w:r w:rsidRPr="001F2586">
        <w:rPr>
          <w:rFonts w:eastAsia="Calibri"/>
          <w:rtl/>
        </w:rPr>
        <w:t>נאי ההחזר של המשכנתאות. ההחזרים צומחים בהתמדה בהתאם לעליות המדד ולשיעור הגבוה של הריבית, בעוד שהשכר מפגר אחר הגידול בהחזרי המשכנתאות</w:t>
      </w:r>
      <w:r w:rsidRPr="001F2586">
        <w:rPr>
          <w:rFonts w:eastAsia="Calibri"/>
        </w:rPr>
        <w:t>.</w:t>
      </w:r>
    </w:p>
    <w:p w:rsidR="001F2586" w:rsidRPr="001F2586" w:rsidP="001F2586">
      <w:pPr>
        <w:spacing w:line="269" w:lineRule="auto"/>
        <w:rPr>
          <w:rFonts w:eastAsia="Calibri"/>
          <w:rtl/>
        </w:rPr>
      </w:pPr>
      <w:r w:rsidRPr="001F2586">
        <w:rPr>
          <w:rFonts w:eastAsia="Calibri"/>
          <w:rtl/>
        </w:rPr>
        <w:t xml:space="preserve">כמו </w:t>
      </w:r>
      <w:r w:rsidRPr="001F2586">
        <w:rPr>
          <w:rFonts w:eastAsia="Calibri" w:hint="cs"/>
          <w:rtl/>
        </w:rPr>
        <w:t>כ</w:t>
      </w:r>
      <w:r w:rsidRPr="001F2586">
        <w:rPr>
          <w:rFonts w:eastAsia="Calibri"/>
          <w:rtl/>
        </w:rPr>
        <w:t>ן, גובה המשכנתאות המוצעות היום לזכאים, אינו ריאלי ביחס למחירי הדירות שהאמירו מאוד, והמשכנתאות בשיעוריהן הנוכחיים אינן מסוגלות להקנו</w:t>
      </w:r>
      <w:r w:rsidRPr="001F2586">
        <w:rPr>
          <w:rFonts w:eastAsia="Calibri" w:hint="cs"/>
          <w:rtl/>
        </w:rPr>
        <w:t>ת</w:t>
      </w:r>
      <w:r w:rsidRPr="001F2586">
        <w:rPr>
          <w:rFonts w:eastAsia="Calibri"/>
          <w:rtl/>
        </w:rPr>
        <w:t xml:space="preserve"> לחלק ניכר מן הזכאים את היכולת לרכוש דירה</w:t>
      </w:r>
      <w:r w:rsidRPr="001F2586">
        <w:rPr>
          <w:rFonts w:eastAsia="Calibri" w:hint="cs"/>
          <w:rtl/>
        </w:rPr>
        <w:t xml:space="preserve">. </w:t>
      </w:r>
      <w:r w:rsidRPr="001F2586">
        <w:rPr>
          <w:rFonts w:eastAsia="Calibri"/>
          <w:rtl/>
        </w:rPr>
        <w:t>הצעת החוק נועדה לפתור ש</w:t>
      </w:r>
      <w:r w:rsidRPr="001F2586">
        <w:rPr>
          <w:rFonts w:eastAsia="Calibri" w:hint="cs"/>
          <w:rtl/>
        </w:rPr>
        <w:t>ת</w:t>
      </w:r>
      <w:r w:rsidRPr="001F2586">
        <w:rPr>
          <w:rFonts w:eastAsia="Calibri"/>
          <w:rtl/>
        </w:rPr>
        <w:t>י בעיות אלן באמצעות הגדלת גובה המשכנתאות והקלת תנאי ההחזר שלה</w:t>
      </w:r>
      <w:r w:rsidRPr="001F2586">
        <w:rPr>
          <w:rFonts w:eastAsia="Calibri" w:hint="cs"/>
          <w:rtl/>
        </w:rPr>
        <w:t>"</w:t>
      </w:r>
      <w:r w:rsidRPr="001F2586">
        <w:rPr>
          <w:rFonts w:eastAsia="Calibri"/>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ככלל, הלוואות שמועמדות מכספי תאגידים בנקאיים הן בסיכון נמוך לכשל החזר אשראי ביחס לאלה שמעמידה המדינה. במטרה לקדם מטרות חברתיות וכלכליות, ובמיוחד תמיכה באוכלוסיות מעוטות יכולת כלכלית, המדינה לוקחת על עצמה את הסיכון בהעמדת הלוואות ללווים שהם בעלי סיכון גבוה לכשל החזר אשראי. התרשים להלן מציג את התפלגות הלוואות לזכאים בחלוקה להלוואות תקציביות ולהלוואות בנק מסובסד בין השנים 2017 - 2024. </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rtl/>
        </w:rPr>
      </w:pPr>
      <w:r w:rsidRPr="001F2586">
        <w:rPr>
          <w:rFonts w:eastAsia="Calibri" w:hint="cs"/>
          <w:rtl/>
        </w:rPr>
        <w:t xml:space="preserve">תרשים 60: </w:t>
      </w:r>
      <w:r w:rsidRPr="001F2586">
        <w:rPr>
          <w:rFonts w:eastAsia="Calibri" w:hint="cs"/>
          <w:b/>
          <w:bCs/>
          <w:rtl/>
        </w:rPr>
        <w:t xml:space="preserve">הלוואות שניתנו לזכאים, בחלוקה להלוואות תקציביות והלוואות בנק מסובסד, 2017 - 2024 </w:t>
      </w:r>
      <w:r w:rsidR="00194C04">
        <w:rPr>
          <w:rFonts w:eastAsia="Calibri" w:hint="cs"/>
          <w:b/>
          <w:bCs/>
          <w:rtl/>
        </w:rPr>
        <w:t>(</w:t>
      </w:r>
      <w:r w:rsidRPr="001F2586">
        <w:rPr>
          <w:rFonts w:eastAsia="Calibri" w:hint="cs"/>
          <w:b/>
          <w:bCs/>
          <w:rtl/>
        </w:rPr>
        <w:t>במיליארדי ש"ח*</w:t>
      </w:r>
      <w:r w:rsidR="00194C04">
        <w:rPr>
          <w:rFonts w:eastAsia="Calibri" w:hint="cs"/>
          <w:b/>
          <w:bCs/>
          <w:rtl/>
        </w:rPr>
        <w:t>)</w:t>
      </w:r>
    </w:p>
    <w:p w:rsidR="001F2586" w:rsidRPr="001F2586" w:rsidP="001F2586">
      <w:pPr>
        <w:spacing w:line="269" w:lineRule="auto"/>
        <w:jc w:val="center"/>
        <w:rPr>
          <w:rFonts w:eastAsia="Calibri"/>
          <w:color w:val="FF0000"/>
          <w:rtl/>
        </w:rPr>
      </w:pPr>
      <w:r w:rsidRPr="001F2586">
        <w:rPr>
          <w:rFonts w:eastAsia="Calibri"/>
          <w:noProof/>
          <w:color w:val="FF0000"/>
        </w:rPr>
        <w:drawing>
          <wp:inline distT="0" distB="0" distL="0" distR="0">
            <wp:extent cx="4983480" cy="2365000"/>
            <wp:effectExtent l="0" t="0" r="7620" b="0"/>
            <wp:docPr id="38" name="תמונה 38" descr="בין השנים 2017 – 2024 הועמדו הלוואות לזכאים (מתקציב המדינה וממקורות הבנקים) בטווח שבין 1.04 מיליארד ש&quot;ח ל-1.71 מיליארד ש&quot;ח. התפלגות המקורות להעמדת הלוואות לזכאים נחלקת באופן שווה בין הלוואות תקציביות להלוואות בנק מסובסד לאורך השנים. ההיקף הכולל של ההלוואות שניתנות לזכאים בשנים האחרונות עומד על כ-1.3 מיליארד ₪ ל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rcRect t="7841" b="4794"/>
                    <a:stretch>
                      <a:fillRect/>
                    </a:stretch>
                  </pic:blipFill>
                  <pic:spPr bwMode="auto">
                    <a:xfrm>
                      <a:off x="0" y="0"/>
                      <a:ext cx="4985823" cy="236611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rPr>
          <w:rFonts w:eastAsia="Calibri"/>
          <w:sz w:val="18"/>
          <w:szCs w:val="22"/>
          <w:rtl/>
        </w:rPr>
      </w:pPr>
      <w:r w:rsidRPr="001F2586">
        <w:rPr>
          <w:rFonts w:eastAsia="Calibri" w:hint="cs"/>
          <w:sz w:val="18"/>
          <w:szCs w:val="22"/>
          <w:rtl/>
        </w:rPr>
        <w:t>על פי נתוני המינהל לסיוע בדיור, בעיבוד משרד מבקר המדינה.</w:t>
      </w:r>
    </w:p>
    <w:p w:rsidR="001F2586" w:rsidP="001F2586">
      <w:pPr>
        <w:spacing w:line="269" w:lineRule="auto"/>
        <w:rPr>
          <w:rFonts w:eastAsia="Calibri"/>
          <w:sz w:val="18"/>
          <w:szCs w:val="22"/>
          <w:rtl/>
        </w:rPr>
      </w:pPr>
      <w:r w:rsidRPr="001F2586">
        <w:rPr>
          <w:rFonts w:eastAsia="Calibri" w:hint="cs"/>
          <w:sz w:val="18"/>
          <w:szCs w:val="22"/>
          <w:rtl/>
        </w:rPr>
        <w:t>* הנתונים המוצגים מעוגלים.</w:t>
      </w:r>
    </w:p>
    <w:p w:rsidR="00194C04" w:rsidRPr="001F2586" w:rsidP="001F2586">
      <w:pPr>
        <w:spacing w:line="269" w:lineRule="auto"/>
        <w:rPr>
          <w:rFonts w:eastAsia="Calibri"/>
          <w:sz w:val="18"/>
          <w:szCs w:val="22"/>
          <w:rtl/>
        </w:rPr>
      </w:pPr>
    </w:p>
    <w:p w:rsidR="001F2586" w:rsidRPr="001F2586" w:rsidP="001F2586">
      <w:pPr>
        <w:spacing w:line="269" w:lineRule="auto"/>
        <w:rPr>
          <w:rFonts w:eastAsia="Calibri"/>
          <w:b/>
          <w:bCs/>
          <w:rtl/>
        </w:rPr>
      </w:pPr>
      <w:r w:rsidRPr="001F2586">
        <w:rPr>
          <w:rFonts w:eastAsia="Calibri" w:hint="eastAsia"/>
          <w:b/>
          <w:bCs/>
          <w:rtl/>
        </w:rPr>
        <w:t>ניתן</w:t>
      </w:r>
      <w:r w:rsidRPr="001F2586">
        <w:rPr>
          <w:rFonts w:eastAsia="Calibri"/>
          <w:b/>
          <w:bCs/>
          <w:rtl/>
        </w:rPr>
        <w:t xml:space="preserve"> לראות בתרשים כי </w:t>
      </w:r>
      <w:bookmarkStart w:id="91" w:name="_Hlk225261195"/>
      <w:r w:rsidRPr="001F2586">
        <w:rPr>
          <w:rFonts w:eastAsia="Calibri"/>
          <w:b/>
          <w:bCs/>
          <w:rtl/>
        </w:rPr>
        <w:t xml:space="preserve">בין השנים 2017 </w:t>
      </w:r>
      <w:r w:rsidRPr="001F2586">
        <w:rPr>
          <w:rFonts w:eastAsia="Calibri" w:hint="cs"/>
          <w:b/>
          <w:bCs/>
          <w:rtl/>
        </w:rPr>
        <w:t>-</w:t>
      </w:r>
      <w:r w:rsidRPr="001F2586">
        <w:rPr>
          <w:rFonts w:eastAsia="Calibri"/>
          <w:b/>
          <w:bCs/>
          <w:rtl/>
        </w:rPr>
        <w:t xml:space="preserve"> 2024 הועמדו הלוואות לזכאים (מתקציב המדינה וממקורות הבנקים) בטווח שבין 1.04 מיליארד ש"ח ל-1.71 מיליארד ש"ח. </w:t>
      </w:r>
      <w:bookmarkEnd w:id="91"/>
      <w:r w:rsidRPr="001F2586">
        <w:rPr>
          <w:rFonts w:eastAsia="Calibri"/>
          <w:b/>
          <w:bCs/>
          <w:rtl/>
        </w:rPr>
        <w:t xml:space="preserve">התפלגות המקורות להעמדת הלוואות לזכאים נחלקת באופן שווה בין הלוואות תקציביות להלוואות בנק מסובסד לאורך השנים. ההיקף הכולל של ההלוואות שניתנות לזכאים בשנים האחרונות עומד על כ-1.3 מיליארד </w:t>
      </w:r>
      <w:r w:rsidR="00480481">
        <w:rPr>
          <w:rFonts w:eastAsia="Calibri"/>
          <w:b/>
          <w:bCs/>
          <w:rtl/>
        </w:rPr>
        <w:t>ש"ח</w:t>
      </w:r>
      <w:r w:rsidRPr="001F2586">
        <w:rPr>
          <w:rFonts w:eastAsia="Calibri"/>
          <w:b/>
          <w:bCs/>
          <w:rtl/>
        </w:rPr>
        <w:t xml:space="preserve"> לשנה. בניסיון לגוון ולהרחיב את מקורות האשראי דיווחו נציגי משב"ש </w:t>
      </w:r>
      <w:r w:rsidRPr="001F2586">
        <w:rPr>
          <w:rFonts w:eastAsia="Calibri" w:hint="cs"/>
          <w:b/>
          <w:bCs/>
          <w:rtl/>
        </w:rPr>
        <w:t xml:space="preserve">לצוות הביקורת כי </w:t>
      </w:r>
      <w:r w:rsidRPr="001F2586">
        <w:rPr>
          <w:rFonts w:eastAsia="Calibri"/>
          <w:b/>
          <w:bCs/>
          <w:rtl/>
        </w:rPr>
        <w:t>פנייה שביצעו לגופים חוץ-בנקאיים לא נענתה.</w:t>
      </w:r>
    </w:p>
    <w:p w:rsidR="001F2586" w:rsidRPr="001F2586" w:rsidP="001F2586">
      <w:pPr>
        <w:spacing w:line="269" w:lineRule="auto"/>
        <w:ind w:left="-567"/>
        <w:rPr>
          <w:rFonts w:eastAsia="Calibri"/>
          <w:szCs w:val="20"/>
          <w:rtl/>
        </w:rPr>
      </w:pPr>
    </w:p>
    <w:p w:rsidR="001F2586" w:rsidP="001F2586">
      <w:pPr>
        <w:spacing w:line="269" w:lineRule="auto"/>
        <w:rPr>
          <w:rFonts w:eastAsia="Calibri"/>
          <w:b/>
          <w:bCs/>
          <w:rtl/>
        </w:rPr>
      </w:pPr>
      <w:r w:rsidRPr="001F2586">
        <w:rPr>
          <w:rFonts w:eastAsia="Calibri" w:hint="cs"/>
          <w:b/>
          <w:bCs/>
          <w:rtl/>
        </w:rPr>
        <w:t>נמצא כי הסכמי ההתקשרות הגנרית של משב"ש אינם מתואמים לגופים החוץ בנקאים.</w:t>
      </w:r>
      <w:r w:rsidRPr="001F2586">
        <w:rPr>
          <w:rFonts w:eastAsia="Calibri"/>
          <w:b/>
          <w:bCs/>
          <w:rtl/>
        </w:rPr>
        <w:t xml:space="preserve"> קיים שוני מהותי בין תאגידים בנקאיים לגופים חוץ-בנקאיים בשני היבטים מרכזיים: במקורות המימון (פיקדונות הציבור מול הון עצמי ושוק ההון) ובמדיניות ניהול הסיכונים המכתיבה את </w:t>
      </w:r>
      <w:r w:rsidRPr="001F2586">
        <w:rPr>
          <w:rFonts w:eastAsia="Calibri"/>
          <w:b/>
          <w:bCs/>
          <w:rtl/>
        </w:rPr>
        <w:t>אופן מתן האשראי</w:t>
      </w:r>
      <w:r w:rsidRPr="001F2586">
        <w:rPr>
          <w:rFonts w:eastAsia="Calibri"/>
          <w:b/>
          <w:bCs/>
        </w:rPr>
        <w:t>.</w:t>
      </w:r>
      <w:r w:rsidRPr="001F2586">
        <w:rPr>
          <w:rFonts w:eastAsia="Calibri"/>
          <w:b/>
          <w:bCs/>
          <w:rtl/>
        </w:rPr>
        <w:t xml:space="preserve"> </w:t>
      </w:r>
      <w:r w:rsidRPr="001F2586">
        <w:rPr>
          <w:rFonts w:eastAsia="Calibri" w:hint="cs"/>
          <w:b/>
          <w:bCs/>
          <w:rtl/>
        </w:rPr>
        <w:t xml:space="preserve">נוכח האמור, </w:t>
      </w:r>
      <w:r w:rsidRPr="001F2586">
        <w:rPr>
          <w:rFonts w:eastAsia="Calibri"/>
          <w:b/>
          <w:bCs/>
          <w:rtl/>
        </w:rPr>
        <w:t xml:space="preserve">הסכמי התקשרות גנריים, המנוסחים לפי אמות מידה בנקאיות שמרניות, </w:t>
      </w:r>
      <w:r w:rsidRPr="001F2586">
        <w:rPr>
          <w:rFonts w:eastAsia="Calibri" w:hint="cs"/>
          <w:b/>
          <w:bCs/>
          <w:rtl/>
        </w:rPr>
        <w:t xml:space="preserve">שאינם מותאמים לגופים חוץ בנקאיים, </w:t>
      </w:r>
      <w:r w:rsidRPr="001F2586">
        <w:rPr>
          <w:rFonts w:eastAsia="Calibri"/>
          <w:b/>
          <w:bCs/>
          <w:rtl/>
        </w:rPr>
        <w:t>מהווים חסם כניסה עבור גופים חוץ-בנקאיים. מצב זה מצמצם את התחרות בשוק האשראי לדיור ומונע את הרחבת מעגל הזכאים שיכולים ליהנות ממקורות סיוע מגוונים</w:t>
      </w:r>
      <w:r w:rsidRPr="001F2586">
        <w:rPr>
          <w:rFonts w:eastAsia="Calibri"/>
          <w:b/>
          <w:bCs/>
        </w:rPr>
        <w:t>.</w:t>
      </w:r>
    </w:p>
    <w:p w:rsidR="00067934" w:rsidP="00067934">
      <w:pPr>
        <w:pStyle w:val="a"/>
        <w:ind w:left="0"/>
        <w:rPr>
          <w:b/>
          <w:bCs/>
          <w:sz w:val="24"/>
          <w:szCs w:val="24"/>
          <w:rtl/>
        </w:rPr>
      </w:pPr>
    </w:p>
    <w:p w:rsidR="00067934" w:rsidRPr="008D199B" w:rsidP="0070405E">
      <w:pPr>
        <w:pStyle w:val="a"/>
        <w:spacing w:line="269" w:lineRule="auto"/>
        <w:ind w:left="0"/>
        <w:rPr>
          <w:b/>
          <w:bCs/>
          <w:sz w:val="24"/>
          <w:szCs w:val="24"/>
          <w:rtl/>
        </w:rPr>
      </w:pPr>
      <w:r w:rsidRPr="008D199B">
        <w:rPr>
          <w:rFonts w:hint="cs"/>
          <w:b/>
          <w:bCs/>
          <w:sz w:val="24"/>
          <w:szCs w:val="24"/>
          <w:rtl/>
        </w:rPr>
        <w:t xml:space="preserve">מומלץ כי </w:t>
      </w:r>
      <w:r w:rsidRPr="008D199B">
        <w:rPr>
          <w:b/>
          <w:bCs/>
          <w:sz w:val="24"/>
          <w:szCs w:val="24"/>
          <w:rtl/>
        </w:rPr>
        <w:t xml:space="preserve">משרד הבינוי והשיכון, בשיתוף עם אגף החשב הכללי, </w:t>
      </w:r>
      <w:r w:rsidRPr="008D199B">
        <w:rPr>
          <w:rFonts w:hint="cs"/>
          <w:b/>
          <w:bCs/>
          <w:sz w:val="24"/>
          <w:szCs w:val="24"/>
          <w:rtl/>
        </w:rPr>
        <w:t xml:space="preserve">יבחנו גיבוש </w:t>
      </w:r>
      <w:r w:rsidRPr="008D199B">
        <w:rPr>
          <w:b/>
          <w:bCs/>
          <w:sz w:val="24"/>
          <w:szCs w:val="24"/>
          <w:rtl/>
        </w:rPr>
        <w:t xml:space="preserve">מודל התקשרות דיפרנציאלי המותאם למאפיינים הייחודיים של המגזר החוץ-בנקאי. </w:t>
      </w:r>
      <w:r w:rsidRPr="008D199B">
        <w:rPr>
          <w:rFonts w:hint="eastAsia"/>
          <w:b/>
          <w:bCs/>
          <w:sz w:val="24"/>
          <w:szCs w:val="24"/>
          <w:rtl/>
        </w:rPr>
        <w:t>על</w:t>
      </w:r>
      <w:r w:rsidRPr="008D199B">
        <w:rPr>
          <w:b/>
          <w:bCs/>
          <w:sz w:val="24"/>
          <w:szCs w:val="24"/>
          <w:rtl/>
        </w:rPr>
        <w:t xml:space="preserve"> מנת להגדיל את היצע המקורות הכספיים העומדים לרשות הציבו</w:t>
      </w:r>
      <w:r w:rsidRPr="008D199B">
        <w:rPr>
          <w:rFonts w:hint="cs"/>
          <w:b/>
          <w:bCs/>
          <w:sz w:val="24"/>
          <w:szCs w:val="24"/>
          <w:rtl/>
        </w:rPr>
        <w:t>ר.</w:t>
      </w:r>
    </w:p>
    <w:p w:rsidR="001F2586" w:rsidRPr="001F2586" w:rsidP="001F2586">
      <w:pPr>
        <w:spacing w:line="269" w:lineRule="auto"/>
        <w:ind w:left="-567"/>
        <w:rPr>
          <w:rFonts w:eastAsia="Calibri"/>
          <w:szCs w:val="20"/>
          <w:rtl/>
        </w:rPr>
      </w:pPr>
    </w:p>
    <w:p w:rsidR="00260379" w:rsidP="001F2586">
      <w:pPr>
        <w:spacing w:line="269" w:lineRule="auto"/>
        <w:rPr>
          <w:rFonts w:eastAsia="Calibri"/>
        </w:rPr>
      </w:pPr>
      <w:r w:rsidRPr="001F2586">
        <w:rPr>
          <w:rFonts w:eastAsia="Calibri" w:hint="cs"/>
          <w:rtl/>
        </w:rPr>
        <w:t xml:space="preserve">משרד הבינוי והשיכון ציין בתשובתו כי סוגיות אלו נגזרות ממדיניות ממשלתית ומהחלטות רוחב הנקבעות בשיתוף משרד האוצר והגורמים הרלוונטיים. </w:t>
      </w:r>
    </w:p>
    <w:p w:rsidR="001F2586" w:rsidRPr="001F2586" w:rsidP="001F2586">
      <w:pPr>
        <w:spacing w:line="269" w:lineRule="auto"/>
        <w:ind w:hanging="568"/>
        <w:rPr>
          <w:rFonts w:eastAsia="Calibri"/>
          <w:rtl/>
        </w:rPr>
      </w:pPr>
    </w:p>
    <w:p w:rsidR="001F2586" w:rsidRPr="001F2586" w:rsidP="001F2586">
      <w:pPr>
        <w:spacing w:line="269" w:lineRule="auto"/>
        <w:rPr>
          <w:rFonts w:eastAsia="Calibri"/>
          <w:rtl/>
        </w:rPr>
      </w:pPr>
      <w:r w:rsidRPr="001F2586">
        <w:rPr>
          <w:rFonts w:eastAsia="Calibri" w:hint="eastAsia"/>
          <w:rtl/>
        </w:rPr>
        <w:t>התרשים</w:t>
      </w:r>
      <w:r w:rsidRPr="001F2586">
        <w:rPr>
          <w:rFonts w:eastAsia="Calibri"/>
          <w:rtl/>
        </w:rPr>
        <w:t xml:space="preserve"> </w:t>
      </w:r>
      <w:r w:rsidRPr="001F2586">
        <w:rPr>
          <w:rFonts w:eastAsia="Calibri" w:hint="eastAsia"/>
          <w:rtl/>
        </w:rPr>
        <w:t>להלן</w:t>
      </w:r>
      <w:r w:rsidRPr="001F2586">
        <w:rPr>
          <w:rFonts w:eastAsia="Calibri"/>
          <w:rtl/>
        </w:rPr>
        <w:t xml:space="preserve"> </w:t>
      </w:r>
      <w:r w:rsidRPr="001F2586">
        <w:rPr>
          <w:rFonts w:eastAsia="Calibri" w:hint="eastAsia"/>
          <w:rtl/>
        </w:rPr>
        <w:t>מציג</w:t>
      </w:r>
      <w:r w:rsidRPr="001F2586">
        <w:rPr>
          <w:rFonts w:eastAsia="Calibri"/>
          <w:rtl/>
        </w:rPr>
        <w:t xml:space="preserve"> </w:t>
      </w:r>
      <w:r w:rsidRPr="001F2586">
        <w:rPr>
          <w:rFonts w:eastAsia="Calibri" w:hint="eastAsia"/>
          <w:rtl/>
        </w:rPr>
        <w:t>את</w:t>
      </w:r>
      <w:r w:rsidRPr="001F2586">
        <w:rPr>
          <w:rFonts w:eastAsia="Calibri"/>
          <w:rtl/>
        </w:rPr>
        <w:t xml:space="preserve"> </w:t>
      </w:r>
      <w:r w:rsidRPr="001F2586">
        <w:rPr>
          <w:rFonts w:eastAsia="Calibri" w:hint="eastAsia"/>
          <w:rtl/>
        </w:rPr>
        <w:t>יתרת</w:t>
      </w:r>
      <w:r w:rsidRPr="001F2586">
        <w:rPr>
          <w:rFonts w:eastAsia="Calibri"/>
          <w:rtl/>
        </w:rPr>
        <w:t xml:space="preserve"> </w:t>
      </w:r>
      <w:r w:rsidRPr="001F2586">
        <w:rPr>
          <w:rFonts w:eastAsia="Calibri" w:hint="eastAsia"/>
          <w:rtl/>
        </w:rPr>
        <w:t>ההלוואות</w:t>
      </w:r>
      <w:r w:rsidRPr="001F2586">
        <w:rPr>
          <w:rFonts w:eastAsia="Calibri"/>
          <w:rtl/>
        </w:rPr>
        <w:t xml:space="preserve"> </w:t>
      </w:r>
      <w:r w:rsidRPr="001F2586">
        <w:rPr>
          <w:rFonts w:eastAsia="Calibri" w:hint="eastAsia"/>
          <w:rtl/>
        </w:rPr>
        <w:t>לזכאים</w:t>
      </w:r>
      <w:r w:rsidRPr="001F2586">
        <w:rPr>
          <w:rFonts w:eastAsia="Calibri"/>
          <w:rtl/>
        </w:rPr>
        <w:t xml:space="preserve"> </w:t>
      </w:r>
      <w:r w:rsidRPr="001F2586">
        <w:rPr>
          <w:rFonts w:eastAsia="Calibri" w:hint="eastAsia"/>
          <w:rtl/>
        </w:rPr>
        <w:t>שהועמדו</w:t>
      </w:r>
      <w:r w:rsidRPr="001F2586">
        <w:rPr>
          <w:rFonts w:eastAsia="Calibri"/>
          <w:rtl/>
        </w:rPr>
        <w:t xml:space="preserve"> </w:t>
      </w:r>
      <w:r w:rsidRPr="001F2586">
        <w:rPr>
          <w:rFonts w:eastAsia="Calibri" w:hint="eastAsia"/>
          <w:rtl/>
        </w:rPr>
        <w:t>מתוך</w:t>
      </w:r>
      <w:r w:rsidRPr="001F2586">
        <w:rPr>
          <w:rFonts w:eastAsia="Calibri"/>
          <w:rtl/>
        </w:rPr>
        <w:t xml:space="preserve"> </w:t>
      </w:r>
      <w:r w:rsidRPr="001F2586">
        <w:rPr>
          <w:rFonts w:eastAsia="Calibri" w:hint="eastAsia"/>
          <w:rtl/>
        </w:rPr>
        <w:t>מקורות</w:t>
      </w:r>
      <w:r w:rsidRPr="001F2586">
        <w:rPr>
          <w:rFonts w:eastAsia="Calibri"/>
          <w:rtl/>
        </w:rPr>
        <w:t xml:space="preserve"> </w:t>
      </w:r>
      <w:r w:rsidRPr="001F2586">
        <w:rPr>
          <w:rFonts w:eastAsia="Calibri" w:hint="eastAsia"/>
          <w:rtl/>
        </w:rPr>
        <w:t>המדינה</w:t>
      </w:r>
      <w:r w:rsidRPr="001F2586">
        <w:rPr>
          <w:rFonts w:eastAsia="Calibri"/>
          <w:rtl/>
        </w:rPr>
        <w:t xml:space="preserve"> </w:t>
      </w:r>
      <w:r w:rsidRPr="001F2586">
        <w:rPr>
          <w:rFonts w:eastAsia="Calibri" w:hint="eastAsia"/>
          <w:rtl/>
        </w:rPr>
        <w:t>בין</w:t>
      </w:r>
      <w:r w:rsidRPr="001F2586">
        <w:rPr>
          <w:rFonts w:eastAsia="Calibri"/>
          <w:rtl/>
        </w:rPr>
        <w:t xml:space="preserve"> </w:t>
      </w:r>
      <w:r w:rsidRPr="001F2586">
        <w:rPr>
          <w:rFonts w:eastAsia="Calibri" w:hint="eastAsia"/>
          <w:rtl/>
        </w:rPr>
        <w:t>השנים</w:t>
      </w:r>
      <w:r w:rsidRPr="001F2586">
        <w:rPr>
          <w:rFonts w:eastAsia="Calibri"/>
          <w:rtl/>
        </w:rPr>
        <w:t xml:space="preserve"> 2006 </w:t>
      </w:r>
      <w:r w:rsidRPr="001F2586">
        <w:rPr>
          <w:rFonts w:eastAsia="Calibri" w:hint="eastAsia"/>
          <w:rtl/>
        </w:rPr>
        <w:t>ל</w:t>
      </w:r>
      <w:r w:rsidRPr="001F2586">
        <w:rPr>
          <w:rFonts w:eastAsia="Calibri"/>
          <w:rtl/>
        </w:rPr>
        <w:t>-2024.</w:t>
      </w:r>
    </w:p>
    <w:p w:rsidR="001F2586" w:rsidRPr="001F2586" w:rsidP="001F2586">
      <w:pPr>
        <w:spacing w:line="269" w:lineRule="auto"/>
        <w:ind w:hanging="426"/>
        <w:rPr>
          <w:rFonts w:eastAsia="Calibri"/>
          <w:rtl/>
        </w:rPr>
      </w:pPr>
    </w:p>
    <w:p w:rsidR="001F2586" w:rsidRPr="001F2586" w:rsidP="001F2586">
      <w:pPr>
        <w:keepNext/>
        <w:keepLines/>
        <w:spacing w:line="269" w:lineRule="auto"/>
        <w:jc w:val="center"/>
        <w:rPr>
          <w:rFonts w:eastAsia="Calibri"/>
          <w:b/>
          <w:bCs/>
          <w:rtl/>
        </w:rPr>
      </w:pPr>
      <w:r w:rsidRPr="001F2586">
        <w:rPr>
          <w:rFonts w:eastAsia="Calibri" w:hint="eastAsia"/>
          <w:rtl/>
        </w:rPr>
        <w:t>תרשים</w:t>
      </w:r>
      <w:r w:rsidRPr="001F2586">
        <w:rPr>
          <w:rFonts w:eastAsia="Calibri"/>
          <w:b/>
          <w:bCs/>
          <w:rtl/>
        </w:rPr>
        <w:t xml:space="preserve"> </w:t>
      </w:r>
      <w:r w:rsidRPr="001F2586">
        <w:rPr>
          <w:rFonts w:eastAsia="Calibri" w:hint="cs"/>
          <w:b/>
          <w:rtl/>
        </w:rPr>
        <w:t>61</w:t>
      </w:r>
      <w:r w:rsidRPr="001F2586">
        <w:rPr>
          <w:rFonts w:eastAsia="Calibri"/>
          <w:b/>
          <w:rtl/>
        </w:rPr>
        <w:t>:</w:t>
      </w:r>
      <w:r w:rsidRPr="001F2586">
        <w:rPr>
          <w:rFonts w:eastAsia="Calibri"/>
          <w:b/>
          <w:bCs/>
          <w:rtl/>
        </w:rPr>
        <w:t xml:space="preserve"> </w:t>
      </w:r>
      <w:r w:rsidRPr="001F2586">
        <w:rPr>
          <w:rFonts w:eastAsia="Calibri" w:hint="cs"/>
          <w:b/>
          <w:bCs/>
          <w:rtl/>
        </w:rPr>
        <w:t>יתרת הלוואות לזכאים שהועמדו ממקורות המדינה בשנים 2006 - 2024, במיליארדי ש"ח</w:t>
      </w:r>
    </w:p>
    <w:p w:rsidR="001F2586" w:rsidRPr="001F2586" w:rsidP="001F2586">
      <w:pPr>
        <w:spacing w:line="269" w:lineRule="auto"/>
        <w:rPr>
          <w:rFonts w:eastAsia="Calibri"/>
          <w:b/>
        </w:rPr>
      </w:pPr>
      <w:r w:rsidRPr="001F2586">
        <w:rPr>
          <w:rFonts w:eastAsia="Calibri"/>
          <w:b/>
          <w:noProof/>
        </w:rPr>
        <w:drawing>
          <wp:inline distT="0" distB="0" distL="0" distR="0">
            <wp:extent cx="5059128" cy="2842912"/>
            <wp:effectExtent l="0" t="0" r="8255" b="0"/>
            <wp:docPr id="39" name="תמונה 39" descr="יתרת הלוואות לזכאים הניתנות מתקציב המדינה פחתה באופן רציף ומשמעותי (ב-88%) במהלך השנים מכ-42 מיליארד ש&quot;ח בשנת 2006 לכ-5 מיליארד ש&quot;ח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tretch>
                      <a:fillRect/>
                    </a:stretch>
                  </pic:blipFill>
                  <pic:spPr bwMode="auto">
                    <a:xfrm>
                      <a:off x="0" y="0"/>
                      <a:ext cx="5069674" cy="2848838"/>
                    </a:xfrm>
                    <a:prstGeom prst="rect">
                      <a:avLst/>
                    </a:prstGeom>
                    <a:noFill/>
                  </pic:spPr>
                </pic:pic>
              </a:graphicData>
            </a:graphic>
          </wp:inline>
        </w:drawing>
      </w:r>
    </w:p>
    <w:p w:rsidR="001F2586" w:rsidRPr="001F2586" w:rsidP="001F2586">
      <w:pPr>
        <w:spacing w:line="269" w:lineRule="auto"/>
        <w:rPr>
          <w:rFonts w:eastAsia="Calibri"/>
          <w:sz w:val="18"/>
          <w:szCs w:val="22"/>
          <w:rtl/>
        </w:rPr>
      </w:pPr>
      <w:r w:rsidRPr="001F2586">
        <w:rPr>
          <w:rFonts w:eastAsia="Calibri" w:hint="eastAsia"/>
          <w:sz w:val="18"/>
          <w:szCs w:val="22"/>
          <w:rtl/>
        </w:rPr>
        <w:t>נתוני</w:t>
      </w:r>
      <w:r w:rsidRPr="001F2586">
        <w:rPr>
          <w:rFonts w:eastAsia="Calibri"/>
          <w:sz w:val="18"/>
          <w:szCs w:val="22"/>
          <w:rtl/>
        </w:rPr>
        <w:t xml:space="preserve"> </w:t>
      </w:r>
      <w:r w:rsidRPr="001F2586">
        <w:rPr>
          <w:rFonts w:eastAsia="Calibri" w:hint="eastAsia"/>
          <w:sz w:val="18"/>
          <w:szCs w:val="22"/>
          <w:rtl/>
        </w:rPr>
        <w:t>הדוחות</w:t>
      </w:r>
      <w:r w:rsidRPr="001F2586">
        <w:rPr>
          <w:rFonts w:eastAsia="Calibri"/>
          <w:sz w:val="18"/>
          <w:szCs w:val="22"/>
          <w:rtl/>
        </w:rPr>
        <w:t xml:space="preserve"> </w:t>
      </w:r>
      <w:r w:rsidRPr="001F2586">
        <w:rPr>
          <w:rFonts w:eastAsia="Calibri" w:hint="eastAsia"/>
          <w:sz w:val="18"/>
          <w:szCs w:val="22"/>
          <w:rtl/>
        </w:rPr>
        <w:t>הכספיים</w:t>
      </w:r>
      <w:r w:rsidRPr="001F2586">
        <w:rPr>
          <w:rFonts w:eastAsia="Calibri"/>
          <w:sz w:val="18"/>
          <w:szCs w:val="22"/>
          <w:rtl/>
        </w:rPr>
        <w:t xml:space="preserve"> </w:t>
      </w:r>
      <w:r w:rsidRPr="001F2586">
        <w:rPr>
          <w:rFonts w:eastAsia="Calibri" w:hint="eastAsia"/>
          <w:sz w:val="18"/>
          <w:szCs w:val="22"/>
          <w:rtl/>
        </w:rPr>
        <w:t>של</w:t>
      </w:r>
      <w:r w:rsidRPr="001F2586">
        <w:rPr>
          <w:rFonts w:eastAsia="Calibri"/>
          <w:sz w:val="18"/>
          <w:szCs w:val="22"/>
          <w:rtl/>
        </w:rPr>
        <w:t xml:space="preserve"> </w:t>
      </w:r>
      <w:r w:rsidRPr="001F2586">
        <w:rPr>
          <w:rFonts w:eastAsia="Calibri" w:hint="eastAsia"/>
          <w:sz w:val="18"/>
          <w:szCs w:val="22"/>
          <w:rtl/>
        </w:rPr>
        <w:t>מדינת</w:t>
      </w:r>
      <w:r w:rsidRPr="001F2586">
        <w:rPr>
          <w:rFonts w:eastAsia="Calibri"/>
          <w:sz w:val="18"/>
          <w:szCs w:val="22"/>
          <w:rtl/>
        </w:rPr>
        <w:t xml:space="preserve"> </w:t>
      </w:r>
      <w:r w:rsidRPr="001F2586">
        <w:rPr>
          <w:rFonts w:eastAsia="Calibri" w:hint="eastAsia"/>
          <w:sz w:val="18"/>
          <w:szCs w:val="22"/>
          <w:rtl/>
        </w:rPr>
        <w:t>ישראל</w:t>
      </w:r>
      <w:r w:rsidRPr="001F2586">
        <w:rPr>
          <w:rFonts w:eastAsia="Calibri"/>
          <w:sz w:val="18"/>
          <w:szCs w:val="22"/>
          <w:rtl/>
        </w:rPr>
        <w:t xml:space="preserve"> </w:t>
      </w:r>
      <w:r w:rsidRPr="001F2586">
        <w:rPr>
          <w:rFonts w:eastAsia="Calibri" w:hint="eastAsia"/>
          <w:sz w:val="18"/>
          <w:szCs w:val="22"/>
          <w:rtl/>
        </w:rPr>
        <w:t>בעיבוד</w:t>
      </w:r>
      <w:r w:rsidRPr="001F2586">
        <w:rPr>
          <w:rFonts w:eastAsia="Calibri"/>
          <w:sz w:val="18"/>
          <w:szCs w:val="22"/>
          <w:rtl/>
        </w:rPr>
        <w:t xml:space="preserve"> </w:t>
      </w:r>
      <w:r w:rsidRPr="001F2586">
        <w:rPr>
          <w:rFonts w:eastAsia="Calibri" w:hint="eastAsia"/>
          <w:sz w:val="18"/>
          <w:szCs w:val="22"/>
          <w:rtl/>
        </w:rPr>
        <w:t>משרד</w:t>
      </w:r>
      <w:r w:rsidRPr="001F2586">
        <w:rPr>
          <w:rFonts w:eastAsia="Calibri"/>
          <w:sz w:val="18"/>
          <w:szCs w:val="22"/>
          <w:rtl/>
        </w:rPr>
        <w:t xml:space="preserve"> </w:t>
      </w:r>
      <w:r w:rsidRPr="001F2586">
        <w:rPr>
          <w:rFonts w:eastAsia="Calibri" w:hint="eastAsia"/>
          <w:sz w:val="18"/>
          <w:szCs w:val="22"/>
          <w:rtl/>
        </w:rPr>
        <w:t>מבקר</w:t>
      </w:r>
      <w:r w:rsidRPr="001F2586">
        <w:rPr>
          <w:rFonts w:eastAsia="Calibri"/>
          <w:sz w:val="18"/>
          <w:szCs w:val="22"/>
          <w:rtl/>
        </w:rPr>
        <w:t xml:space="preserve"> </w:t>
      </w:r>
      <w:r w:rsidRPr="001F2586">
        <w:rPr>
          <w:rFonts w:eastAsia="Calibri" w:hint="eastAsia"/>
          <w:sz w:val="18"/>
          <w:szCs w:val="22"/>
          <w:rtl/>
        </w:rPr>
        <w:t>המדינה</w:t>
      </w:r>
      <w:r w:rsidRPr="001F2586">
        <w:rPr>
          <w:rFonts w:eastAsia="Calibri" w:hint="cs"/>
          <w:sz w:val="18"/>
          <w:szCs w:val="22"/>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בתרשים</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יתרת</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לזכאים</w:t>
      </w:r>
      <w:r w:rsidRPr="001F2586">
        <w:rPr>
          <w:rFonts w:eastAsia="Calibri"/>
          <w:b/>
          <w:bCs/>
          <w:rtl/>
        </w:rPr>
        <w:t xml:space="preserve"> </w:t>
      </w:r>
      <w:r w:rsidRPr="001F2586">
        <w:rPr>
          <w:rFonts w:eastAsia="Calibri" w:hint="eastAsia"/>
          <w:b/>
          <w:bCs/>
          <w:rtl/>
        </w:rPr>
        <w:t>הניתנות</w:t>
      </w:r>
      <w:r w:rsidRPr="001F2586">
        <w:rPr>
          <w:rFonts w:eastAsia="Calibri"/>
          <w:b/>
          <w:bCs/>
          <w:rtl/>
        </w:rPr>
        <w:t xml:space="preserve"> </w:t>
      </w:r>
      <w:r w:rsidRPr="001F2586">
        <w:rPr>
          <w:rFonts w:eastAsia="Calibri" w:hint="eastAsia"/>
          <w:b/>
          <w:bCs/>
          <w:rtl/>
        </w:rPr>
        <w:t>מתקציב</w:t>
      </w:r>
      <w:r w:rsidRPr="001F2586">
        <w:rPr>
          <w:rFonts w:eastAsia="Calibri"/>
          <w:b/>
          <w:bCs/>
          <w:rtl/>
        </w:rPr>
        <w:t xml:space="preserve"> </w:t>
      </w:r>
      <w:r w:rsidRPr="001F2586">
        <w:rPr>
          <w:rFonts w:eastAsia="Calibri" w:hint="eastAsia"/>
          <w:b/>
          <w:bCs/>
          <w:rtl/>
        </w:rPr>
        <w:t>המדינה</w:t>
      </w:r>
      <w:r w:rsidRPr="001F2586">
        <w:rPr>
          <w:rFonts w:eastAsia="Calibri"/>
          <w:b/>
          <w:bCs/>
          <w:rtl/>
        </w:rPr>
        <w:t xml:space="preserve"> </w:t>
      </w:r>
      <w:r w:rsidRPr="001F2586">
        <w:rPr>
          <w:rFonts w:eastAsia="Calibri" w:hint="eastAsia"/>
          <w:b/>
          <w:bCs/>
          <w:rtl/>
        </w:rPr>
        <w:t>פחתה</w:t>
      </w:r>
      <w:r w:rsidRPr="001F2586">
        <w:rPr>
          <w:rFonts w:eastAsia="Calibri"/>
          <w:b/>
          <w:bCs/>
          <w:rtl/>
        </w:rPr>
        <w:t xml:space="preserve"> </w:t>
      </w:r>
      <w:r w:rsidRPr="001F2586">
        <w:rPr>
          <w:rFonts w:eastAsia="Calibri" w:hint="eastAsia"/>
          <w:b/>
          <w:bCs/>
          <w:rtl/>
        </w:rPr>
        <w:t>באופן</w:t>
      </w:r>
      <w:r w:rsidRPr="001F2586">
        <w:rPr>
          <w:rFonts w:eastAsia="Calibri"/>
          <w:b/>
          <w:bCs/>
          <w:rtl/>
        </w:rPr>
        <w:t xml:space="preserve"> </w:t>
      </w:r>
      <w:r w:rsidRPr="001F2586">
        <w:rPr>
          <w:rFonts w:eastAsia="Calibri" w:hint="eastAsia"/>
          <w:b/>
          <w:bCs/>
          <w:rtl/>
        </w:rPr>
        <w:t>רציף</w:t>
      </w:r>
      <w:r w:rsidRPr="001F2586">
        <w:rPr>
          <w:rFonts w:eastAsia="Calibri"/>
          <w:b/>
          <w:bCs/>
          <w:rtl/>
        </w:rPr>
        <w:t xml:space="preserve"> </w:t>
      </w:r>
      <w:r w:rsidRPr="001F2586">
        <w:rPr>
          <w:rFonts w:eastAsia="Calibri" w:hint="eastAsia"/>
          <w:b/>
          <w:bCs/>
          <w:rtl/>
        </w:rPr>
        <w:t>ומשמעותי</w:t>
      </w:r>
      <w:r w:rsidRPr="001F2586">
        <w:rPr>
          <w:rFonts w:eastAsia="Calibri"/>
          <w:b/>
          <w:bCs/>
          <w:rtl/>
        </w:rPr>
        <w:t xml:space="preserve"> (ב-88%) </w:t>
      </w:r>
      <w:r w:rsidRPr="001F2586">
        <w:rPr>
          <w:rFonts w:eastAsia="Calibri" w:hint="eastAsia"/>
          <w:b/>
          <w:bCs/>
          <w:rtl/>
        </w:rPr>
        <w:t>במהלך</w:t>
      </w:r>
      <w:r w:rsidRPr="001F2586">
        <w:rPr>
          <w:rFonts w:eastAsia="Calibri"/>
          <w:b/>
          <w:bCs/>
          <w:rtl/>
        </w:rPr>
        <w:t xml:space="preserve"> </w:t>
      </w:r>
      <w:r w:rsidRPr="001F2586">
        <w:rPr>
          <w:rFonts w:eastAsia="Calibri" w:hint="eastAsia"/>
          <w:b/>
          <w:bCs/>
          <w:rtl/>
        </w:rPr>
        <w:t>השנים</w:t>
      </w:r>
      <w:r w:rsidRPr="001F2586">
        <w:rPr>
          <w:rFonts w:eastAsia="Calibri"/>
          <w:b/>
          <w:bCs/>
          <w:rtl/>
        </w:rPr>
        <w:t xml:space="preserve"> </w:t>
      </w:r>
      <w:r w:rsidRPr="001F2586">
        <w:rPr>
          <w:rFonts w:eastAsia="Calibri" w:hint="eastAsia"/>
          <w:b/>
          <w:bCs/>
          <w:rtl/>
        </w:rPr>
        <w:t>מכ</w:t>
      </w:r>
      <w:r w:rsidRPr="001F2586">
        <w:rPr>
          <w:rFonts w:eastAsia="Calibri"/>
          <w:b/>
          <w:bCs/>
          <w:rtl/>
        </w:rPr>
        <w:t xml:space="preserve">-42 </w:t>
      </w:r>
      <w:r w:rsidRPr="001F2586">
        <w:rPr>
          <w:rFonts w:eastAsia="Calibri" w:hint="eastAsia"/>
          <w:b/>
          <w:bCs/>
          <w:rtl/>
        </w:rPr>
        <w:t>מיליארד</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בשנת</w:t>
      </w:r>
      <w:r w:rsidRPr="001F2586">
        <w:rPr>
          <w:rFonts w:eastAsia="Calibri"/>
          <w:b/>
          <w:bCs/>
          <w:rtl/>
        </w:rPr>
        <w:t xml:space="preserve"> 2006 </w:t>
      </w:r>
      <w:r w:rsidRPr="001F2586">
        <w:rPr>
          <w:rFonts w:eastAsia="Calibri" w:hint="eastAsia"/>
          <w:b/>
          <w:bCs/>
          <w:rtl/>
        </w:rPr>
        <w:t>לכ</w:t>
      </w:r>
      <w:r w:rsidRPr="001F2586">
        <w:rPr>
          <w:rFonts w:eastAsia="Calibri"/>
          <w:b/>
          <w:bCs/>
          <w:rtl/>
        </w:rPr>
        <w:t xml:space="preserve">-5 </w:t>
      </w:r>
      <w:r w:rsidRPr="001F2586">
        <w:rPr>
          <w:rFonts w:eastAsia="Calibri" w:hint="eastAsia"/>
          <w:b/>
          <w:bCs/>
          <w:rtl/>
        </w:rPr>
        <w:t>מיליארד</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בשנת</w:t>
      </w:r>
      <w:r w:rsidRPr="001F2586">
        <w:rPr>
          <w:rFonts w:eastAsia="Calibri"/>
          <w:b/>
          <w:bCs/>
          <w:rtl/>
        </w:rPr>
        <w:t xml:space="preserve"> 2024. </w:t>
      </w:r>
      <w:r w:rsidRPr="001F2586">
        <w:rPr>
          <w:rFonts w:eastAsia="Calibri" w:hint="eastAsia"/>
          <w:b/>
          <w:bCs/>
          <w:rtl/>
        </w:rPr>
        <w:t>ירידה</w:t>
      </w:r>
      <w:r w:rsidRPr="001F2586">
        <w:rPr>
          <w:rFonts w:eastAsia="Calibri"/>
          <w:b/>
          <w:bCs/>
          <w:rtl/>
        </w:rPr>
        <w:t xml:space="preserve"> </w:t>
      </w:r>
      <w:r w:rsidRPr="001F2586">
        <w:rPr>
          <w:rFonts w:eastAsia="Calibri" w:hint="eastAsia"/>
          <w:b/>
          <w:bCs/>
          <w:rtl/>
        </w:rPr>
        <w:t>זו</w:t>
      </w:r>
      <w:r w:rsidRPr="001F2586">
        <w:rPr>
          <w:rFonts w:eastAsia="Calibri"/>
          <w:b/>
          <w:bCs/>
          <w:rtl/>
        </w:rPr>
        <w:t xml:space="preserve"> </w:t>
      </w:r>
      <w:r w:rsidRPr="001F2586">
        <w:rPr>
          <w:rFonts w:eastAsia="Calibri" w:hint="eastAsia"/>
          <w:b/>
          <w:bCs/>
          <w:rtl/>
        </w:rPr>
        <w:t>נבעה</w:t>
      </w:r>
      <w:r w:rsidRPr="001F2586">
        <w:rPr>
          <w:rFonts w:eastAsia="Calibri"/>
          <w:b/>
          <w:bCs/>
          <w:rtl/>
        </w:rPr>
        <w:t xml:space="preserve"> </w:t>
      </w:r>
      <w:r w:rsidRPr="001F2586">
        <w:rPr>
          <w:rFonts w:eastAsia="Calibri" w:hint="eastAsia"/>
          <w:b/>
          <w:bCs/>
          <w:rtl/>
        </w:rPr>
        <w:t>ברובה</w:t>
      </w:r>
      <w:r w:rsidRPr="001F2586">
        <w:rPr>
          <w:rFonts w:eastAsia="Calibri"/>
          <w:b/>
          <w:bCs/>
          <w:rtl/>
        </w:rPr>
        <w:t xml:space="preserve"> </w:t>
      </w:r>
      <w:r w:rsidRPr="001F2586">
        <w:rPr>
          <w:rFonts w:eastAsia="Calibri" w:hint="eastAsia"/>
          <w:b/>
          <w:bCs/>
          <w:rtl/>
        </w:rPr>
        <w:t>מירידה</w:t>
      </w:r>
      <w:r w:rsidRPr="001F2586">
        <w:rPr>
          <w:rFonts w:eastAsia="Calibri"/>
          <w:b/>
          <w:bCs/>
          <w:rtl/>
        </w:rPr>
        <w:t xml:space="preserve"> </w:t>
      </w:r>
      <w:r w:rsidRPr="001F2586">
        <w:rPr>
          <w:rFonts w:eastAsia="Calibri" w:hint="eastAsia"/>
          <w:b/>
          <w:bCs/>
          <w:rtl/>
        </w:rPr>
        <w:t>באטרקטיביות</w:t>
      </w:r>
      <w:r w:rsidRPr="001F2586">
        <w:rPr>
          <w:rFonts w:eastAsia="Calibri"/>
          <w:b/>
          <w:bCs/>
          <w:rtl/>
        </w:rPr>
        <w:t xml:space="preserve"> </w:t>
      </w:r>
      <w:r w:rsidRPr="001F2586">
        <w:rPr>
          <w:rFonts w:eastAsia="Calibri" w:hint="eastAsia"/>
          <w:b/>
          <w:bCs/>
          <w:rtl/>
        </w:rPr>
        <w:t>הריבית</w:t>
      </w:r>
      <w:r w:rsidRPr="001F2586">
        <w:rPr>
          <w:rFonts w:eastAsia="Calibri"/>
          <w:b/>
          <w:bCs/>
          <w:rtl/>
        </w:rPr>
        <w:t xml:space="preserve"> </w:t>
      </w:r>
      <w:r w:rsidRPr="001F2586">
        <w:rPr>
          <w:rFonts w:eastAsia="Calibri" w:hint="eastAsia"/>
          <w:b/>
          <w:bCs/>
          <w:rtl/>
        </w:rPr>
        <w:t>המוצעת</w:t>
      </w:r>
      <w:r w:rsidRPr="001F2586">
        <w:rPr>
          <w:rFonts w:eastAsia="Calibri"/>
          <w:b/>
          <w:bCs/>
          <w:rtl/>
        </w:rPr>
        <w:t xml:space="preserve"> </w:t>
      </w:r>
      <w:r w:rsidRPr="001F2586">
        <w:rPr>
          <w:rFonts w:eastAsia="Calibri" w:hint="eastAsia"/>
          <w:b/>
          <w:bCs/>
          <w:rtl/>
        </w:rPr>
        <w:t>בהלוואות</w:t>
      </w:r>
      <w:r w:rsidRPr="001F2586">
        <w:rPr>
          <w:rFonts w:eastAsia="Calibri"/>
          <w:b/>
          <w:bCs/>
          <w:rtl/>
        </w:rPr>
        <w:t xml:space="preserve"> </w:t>
      </w:r>
      <w:r w:rsidRPr="001F2586">
        <w:rPr>
          <w:rFonts w:eastAsia="Calibri" w:hint="eastAsia"/>
          <w:b/>
          <w:bCs/>
          <w:rtl/>
        </w:rPr>
        <w:t>לזכאים</w:t>
      </w:r>
      <w:r w:rsidRPr="001F2586">
        <w:rPr>
          <w:rFonts w:eastAsia="Calibri"/>
          <w:b/>
          <w:bCs/>
          <w:rtl/>
        </w:rPr>
        <w:t xml:space="preserve"> </w:t>
      </w:r>
      <w:r w:rsidRPr="001F2586">
        <w:rPr>
          <w:rFonts w:eastAsia="Calibri" w:hint="eastAsia"/>
          <w:b/>
          <w:bCs/>
          <w:rtl/>
        </w:rPr>
        <w:t>מול</w:t>
      </w:r>
      <w:r w:rsidRPr="001F2586">
        <w:rPr>
          <w:rFonts w:eastAsia="Calibri"/>
          <w:b/>
          <w:bCs/>
          <w:rtl/>
        </w:rPr>
        <w:t xml:space="preserve"> </w:t>
      </w:r>
      <w:r w:rsidRPr="001F2586">
        <w:rPr>
          <w:rFonts w:eastAsia="Calibri" w:hint="eastAsia"/>
          <w:b/>
          <w:bCs/>
          <w:rtl/>
        </w:rPr>
        <w:t>הריביות</w:t>
      </w:r>
      <w:r w:rsidRPr="001F2586">
        <w:rPr>
          <w:rFonts w:eastAsia="Calibri"/>
          <w:b/>
          <w:bCs/>
          <w:rtl/>
        </w:rPr>
        <w:t xml:space="preserve"> </w:t>
      </w:r>
      <w:r w:rsidRPr="001F2586">
        <w:rPr>
          <w:rFonts w:eastAsia="Calibri" w:hint="eastAsia"/>
          <w:b/>
          <w:bCs/>
          <w:rtl/>
        </w:rPr>
        <w:t>הנמוכות</w:t>
      </w:r>
      <w:r w:rsidRPr="001F2586">
        <w:rPr>
          <w:rFonts w:eastAsia="Calibri"/>
          <w:b/>
          <w:bCs/>
          <w:rtl/>
        </w:rPr>
        <w:t xml:space="preserve"> </w:t>
      </w:r>
      <w:r w:rsidRPr="001F2586">
        <w:rPr>
          <w:rFonts w:eastAsia="Calibri" w:hint="eastAsia"/>
          <w:b/>
          <w:bCs/>
          <w:rtl/>
        </w:rPr>
        <w:t>שהוצעו</w:t>
      </w:r>
      <w:r w:rsidRPr="001F2586">
        <w:rPr>
          <w:rFonts w:eastAsia="Calibri"/>
          <w:b/>
          <w:bCs/>
          <w:rtl/>
        </w:rPr>
        <w:t xml:space="preserve"> </w:t>
      </w:r>
      <w:r w:rsidRPr="001F2586">
        <w:rPr>
          <w:rFonts w:eastAsia="Calibri" w:hint="eastAsia"/>
          <w:b/>
          <w:bCs/>
          <w:rtl/>
        </w:rPr>
        <w:t>בשוק</w:t>
      </w:r>
      <w:r w:rsidRPr="001F2586">
        <w:rPr>
          <w:rFonts w:eastAsia="Calibri"/>
          <w:b/>
          <w:bCs/>
          <w:rtl/>
        </w:rPr>
        <w:t xml:space="preserve">, </w:t>
      </w:r>
      <w:r w:rsidRPr="001F2586">
        <w:rPr>
          <w:rFonts w:eastAsia="Calibri" w:hint="eastAsia"/>
          <w:b/>
          <w:bCs/>
          <w:rtl/>
        </w:rPr>
        <w:t>בין</w:t>
      </w:r>
      <w:r w:rsidRPr="001F2586">
        <w:rPr>
          <w:rFonts w:eastAsia="Calibri"/>
          <w:b/>
          <w:bCs/>
          <w:rtl/>
        </w:rPr>
        <w:t xml:space="preserve"> </w:t>
      </w:r>
      <w:r w:rsidRPr="001F2586">
        <w:rPr>
          <w:rFonts w:eastAsia="Calibri" w:hint="eastAsia"/>
          <w:b/>
          <w:bCs/>
          <w:rtl/>
        </w:rPr>
        <w:t>היתר</w:t>
      </w:r>
      <w:r w:rsidRPr="001F2586">
        <w:rPr>
          <w:rFonts w:eastAsia="Calibri"/>
          <w:b/>
          <w:bCs/>
          <w:rtl/>
        </w:rPr>
        <w:t xml:space="preserve"> </w:t>
      </w:r>
      <w:r w:rsidRPr="001F2586">
        <w:rPr>
          <w:rFonts w:eastAsia="Calibri" w:hint="eastAsia"/>
          <w:b/>
          <w:bCs/>
          <w:rtl/>
        </w:rPr>
        <w:t>כתוצאה</w:t>
      </w:r>
      <w:r w:rsidRPr="001F2586">
        <w:rPr>
          <w:rFonts w:eastAsia="Calibri"/>
          <w:b/>
          <w:bCs/>
          <w:rtl/>
        </w:rPr>
        <w:t xml:space="preserve"> </w:t>
      </w:r>
      <w:r w:rsidRPr="001F2586">
        <w:rPr>
          <w:rFonts w:eastAsia="Calibri" w:hint="eastAsia"/>
          <w:b/>
          <w:bCs/>
          <w:rtl/>
        </w:rPr>
        <w:t>משכלול</w:t>
      </w:r>
      <w:r w:rsidRPr="001F2586">
        <w:rPr>
          <w:rFonts w:eastAsia="Calibri"/>
          <w:b/>
          <w:bCs/>
          <w:rtl/>
        </w:rPr>
        <w:t xml:space="preserve"> </w:t>
      </w:r>
      <w:r w:rsidRPr="001F2586">
        <w:rPr>
          <w:rFonts w:eastAsia="Calibri" w:hint="eastAsia"/>
          <w:b/>
          <w:bCs/>
          <w:rtl/>
        </w:rPr>
        <w:t>שוק</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w:t>
      </w:r>
      <w:r w:rsidRPr="001F2586">
        <w:rPr>
          <w:rFonts w:eastAsia="Calibri" w:hint="eastAsia"/>
          <w:b/>
          <w:bCs/>
          <w:rtl/>
        </w:rPr>
        <w:t>והתגברות</w:t>
      </w:r>
      <w:r w:rsidRPr="001F2586">
        <w:rPr>
          <w:rFonts w:eastAsia="Calibri"/>
          <w:b/>
          <w:bCs/>
          <w:rtl/>
        </w:rPr>
        <w:t xml:space="preserve"> </w:t>
      </w:r>
      <w:r w:rsidRPr="001F2586">
        <w:rPr>
          <w:rFonts w:eastAsia="Calibri" w:hint="eastAsia"/>
          <w:b/>
          <w:bCs/>
          <w:rtl/>
        </w:rPr>
        <w:t>התחרות</w:t>
      </w:r>
      <w:r w:rsidRPr="001F2586">
        <w:rPr>
          <w:rFonts w:eastAsia="Calibri"/>
          <w:b/>
          <w:bCs/>
          <w:rtl/>
        </w:rPr>
        <w:t xml:space="preserve"> </w:t>
      </w:r>
      <w:r w:rsidRPr="001F2586">
        <w:rPr>
          <w:rFonts w:eastAsia="Calibri" w:hint="eastAsia"/>
          <w:b/>
          <w:bCs/>
          <w:rtl/>
        </w:rPr>
        <w:t>בין</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כתוצאה</w:t>
      </w:r>
      <w:r w:rsidRPr="001F2586">
        <w:rPr>
          <w:rFonts w:eastAsia="Calibri"/>
          <w:b/>
          <w:bCs/>
          <w:rtl/>
        </w:rPr>
        <w:t xml:space="preserve"> </w:t>
      </w:r>
      <w:r w:rsidRPr="001F2586">
        <w:rPr>
          <w:rFonts w:eastAsia="Calibri" w:hint="eastAsia"/>
          <w:b/>
          <w:bCs/>
          <w:rtl/>
        </w:rPr>
        <w:t>מכך</w:t>
      </w:r>
      <w:r w:rsidRPr="001F2586">
        <w:rPr>
          <w:rFonts w:eastAsia="Calibri"/>
          <w:b/>
          <w:bCs/>
          <w:rtl/>
        </w:rPr>
        <w:t xml:space="preserve"> </w:t>
      </w:r>
      <w:r w:rsidRPr="001F2586">
        <w:rPr>
          <w:rFonts w:eastAsia="Calibri" w:hint="eastAsia"/>
          <w:b/>
          <w:bCs/>
          <w:rtl/>
        </w:rPr>
        <w:t>סך</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שנפרעו</w:t>
      </w:r>
      <w:r w:rsidRPr="001F2586">
        <w:rPr>
          <w:rFonts w:eastAsia="Calibri"/>
          <w:b/>
          <w:bCs/>
          <w:rtl/>
        </w:rPr>
        <w:t xml:space="preserve"> </w:t>
      </w:r>
      <w:r w:rsidRPr="001F2586">
        <w:rPr>
          <w:rFonts w:eastAsia="Calibri" w:hint="eastAsia"/>
          <w:b/>
          <w:bCs/>
          <w:rtl/>
        </w:rPr>
        <w:t>לאורך</w:t>
      </w:r>
      <w:r w:rsidRPr="001F2586">
        <w:rPr>
          <w:rFonts w:eastAsia="Calibri"/>
          <w:b/>
          <w:bCs/>
          <w:rtl/>
        </w:rPr>
        <w:t xml:space="preserve"> </w:t>
      </w:r>
      <w:r w:rsidRPr="001F2586">
        <w:rPr>
          <w:rFonts w:eastAsia="Calibri" w:hint="eastAsia"/>
          <w:b/>
          <w:bCs/>
          <w:rtl/>
        </w:rPr>
        <w:t>השנים</w:t>
      </w:r>
      <w:r w:rsidRPr="001F2586">
        <w:rPr>
          <w:rFonts w:eastAsia="Calibri"/>
          <w:b/>
          <w:bCs/>
          <w:rtl/>
        </w:rPr>
        <w:t xml:space="preserve"> </w:t>
      </w:r>
      <w:r w:rsidRPr="001F2586">
        <w:rPr>
          <w:rFonts w:eastAsia="Calibri" w:hint="eastAsia"/>
          <w:b/>
          <w:bCs/>
          <w:rtl/>
        </w:rPr>
        <w:t>היה</w:t>
      </w:r>
      <w:r w:rsidRPr="001F2586">
        <w:rPr>
          <w:rFonts w:eastAsia="Calibri"/>
          <w:b/>
          <w:bCs/>
          <w:rtl/>
        </w:rPr>
        <w:t xml:space="preserve"> </w:t>
      </w:r>
      <w:r w:rsidRPr="001F2586">
        <w:rPr>
          <w:rFonts w:eastAsia="Calibri" w:hint="eastAsia"/>
          <w:b/>
          <w:bCs/>
          <w:rtl/>
        </w:rPr>
        <w:t>גדול</w:t>
      </w:r>
      <w:r w:rsidRPr="001F2586">
        <w:rPr>
          <w:rFonts w:eastAsia="Calibri"/>
          <w:b/>
          <w:bCs/>
          <w:rtl/>
        </w:rPr>
        <w:t xml:space="preserve"> </w:t>
      </w:r>
      <w:r w:rsidRPr="001F2586">
        <w:rPr>
          <w:rFonts w:eastAsia="Calibri" w:hint="eastAsia"/>
          <w:b/>
          <w:bCs/>
          <w:rtl/>
        </w:rPr>
        <w:t>מסך</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החדשות</w:t>
      </w:r>
      <w:r w:rsidRPr="001F2586">
        <w:rPr>
          <w:rFonts w:eastAsia="Calibri"/>
          <w:b/>
          <w:bCs/>
          <w:rtl/>
        </w:rPr>
        <w:t xml:space="preserve"> </w:t>
      </w:r>
      <w:r w:rsidRPr="001F2586">
        <w:rPr>
          <w:rFonts w:eastAsia="Calibri" w:hint="eastAsia"/>
          <w:b/>
          <w:bCs/>
          <w:rtl/>
        </w:rPr>
        <w:t>שהועמדו</w:t>
      </w:r>
      <w:r w:rsidRPr="001F2586">
        <w:rPr>
          <w:rFonts w:eastAsia="Calibri"/>
          <w:b/>
          <w:bCs/>
          <w:rtl/>
        </w:rPr>
        <w:t xml:space="preserve">, </w:t>
      </w:r>
      <w:r w:rsidRPr="001F2586">
        <w:rPr>
          <w:rFonts w:eastAsia="Calibri" w:hint="eastAsia"/>
          <w:b/>
          <w:bCs/>
          <w:rtl/>
        </w:rPr>
        <w:t>כך</w:t>
      </w:r>
      <w:r w:rsidRPr="001F2586">
        <w:rPr>
          <w:rFonts w:eastAsia="Calibri"/>
          <w:b/>
          <w:bCs/>
          <w:rtl/>
        </w:rPr>
        <w:t xml:space="preserve"> </w:t>
      </w:r>
      <w:r w:rsidRPr="001F2586">
        <w:rPr>
          <w:rFonts w:eastAsia="Calibri" w:hint="eastAsia"/>
          <w:b/>
          <w:bCs/>
          <w:rtl/>
        </w:rPr>
        <w:t>שיתרת</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פחתה</w:t>
      </w:r>
      <w:r w:rsidRPr="001F2586">
        <w:rPr>
          <w:rFonts w:eastAsia="Calibri"/>
          <w:b/>
          <w:bCs/>
          <w:rtl/>
        </w:rPr>
        <w:t xml:space="preserve"> </w:t>
      </w:r>
      <w:r w:rsidRPr="001F2586">
        <w:rPr>
          <w:rFonts w:eastAsia="Calibri" w:hint="eastAsia"/>
          <w:b/>
          <w:bCs/>
          <w:rtl/>
        </w:rPr>
        <w:t>באופן</w:t>
      </w:r>
      <w:r w:rsidRPr="001F2586">
        <w:rPr>
          <w:rFonts w:eastAsia="Calibri"/>
          <w:b/>
          <w:bCs/>
          <w:rtl/>
        </w:rPr>
        <w:t xml:space="preserve"> </w:t>
      </w:r>
      <w:r w:rsidRPr="001F2586">
        <w:rPr>
          <w:rFonts w:eastAsia="Calibri" w:hint="eastAsia"/>
          <w:b/>
          <w:bCs/>
          <w:rtl/>
        </w:rPr>
        <w:t>הדרגתי</w:t>
      </w:r>
      <w:r w:rsidRPr="001F2586">
        <w:rPr>
          <w:rFonts w:eastAsia="Calibri"/>
          <w:b/>
          <w:bCs/>
          <w:rtl/>
        </w:rPr>
        <w:t xml:space="preserve"> </w:t>
      </w:r>
      <w:r w:rsidRPr="001F2586">
        <w:rPr>
          <w:rFonts w:eastAsia="Calibri" w:hint="eastAsia"/>
          <w:b/>
          <w:bCs/>
          <w:rtl/>
        </w:rPr>
        <w:t>ורציף</w:t>
      </w:r>
      <w:r w:rsidRPr="001F2586">
        <w:rPr>
          <w:rFonts w:eastAsia="Calibri"/>
          <w:b/>
          <w:bCs/>
          <w:rtl/>
        </w:rPr>
        <w:t xml:space="preserve">. </w:t>
      </w:r>
      <w:r w:rsidRPr="001F2586">
        <w:rPr>
          <w:rFonts w:eastAsia="Calibri" w:hint="eastAsia"/>
          <w:b/>
          <w:bCs/>
          <w:rtl/>
        </w:rPr>
        <w:t>עוד</w:t>
      </w:r>
      <w:r w:rsidRPr="001F2586">
        <w:rPr>
          <w:rFonts w:eastAsia="Calibri"/>
          <w:b/>
          <w:bCs/>
          <w:rtl/>
        </w:rPr>
        <w:t xml:space="preserve"> </w:t>
      </w: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בתרשים</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בשנים</w:t>
      </w:r>
      <w:r w:rsidRPr="001F2586">
        <w:rPr>
          <w:rFonts w:eastAsia="Calibri"/>
          <w:b/>
          <w:bCs/>
          <w:rtl/>
        </w:rPr>
        <w:t xml:space="preserve"> </w:t>
      </w:r>
      <w:r w:rsidRPr="001F2586">
        <w:rPr>
          <w:rFonts w:eastAsia="Calibri" w:hint="eastAsia"/>
          <w:b/>
          <w:bCs/>
          <w:rtl/>
        </w:rPr>
        <w:t>האחרונות</w:t>
      </w:r>
      <w:r w:rsidRPr="001F2586">
        <w:rPr>
          <w:rFonts w:eastAsia="Calibri"/>
          <w:b/>
          <w:bCs/>
          <w:rtl/>
        </w:rPr>
        <w:t xml:space="preserve"> </w:t>
      </w:r>
      <w:r w:rsidRPr="001F2586">
        <w:rPr>
          <w:rFonts w:eastAsia="Calibri" w:hint="eastAsia"/>
          <w:b/>
          <w:bCs/>
          <w:rtl/>
        </w:rPr>
        <w:t>אין</w:t>
      </w:r>
      <w:r w:rsidRPr="001F2586">
        <w:rPr>
          <w:rFonts w:eastAsia="Calibri"/>
          <w:b/>
          <w:bCs/>
          <w:rtl/>
        </w:rPr>
        <w:t xml:space="preserve"> </w:t>
      </w:r>
      <w:r w:rsidRPr="001F2586">
        <w:rPr>
          <w:rFonts w:eastAsia="Calibri" w:hint="eastAsia"/>
          <w:b/>
          <w:bCs/>
          <w:rtl/>
        </w:rPr>
        <w:t>ירידה</w:t>
      </w:r>
      <w:r w:rsidRPr="001F2586">
        <w:rPr>
          <w:rFonts w:eastAsia="Calibri"/>
          <w:b/>
          <w:bCs/>
          <w:rtl/>
        </w:rPr>
        <w:t xml:space="preserve"> </w:t>
      </w:r>
      <w:r w:rsidRPr="001F2586">
        <w:rPr>
          <w:rFonts w:eastAsia="Calibri" w:hint="eastAsia"/>
          <w:b/>
          <w:bCs/>
          <w:rtl/>
        </w:rPr>
        <w:t>משמעותית</w:t>
      </w:r>
      <w:r w:rsidRPr="001F2586">
        <w:rPr>
          <w:rFonts w:eastAsia="Calibri"/>
          <w:b/>
          <w:bCs/>
          <w:rtl/>
        </w:rPr>
        <w:t xml:space="preserve"> </w:t>
      </w:r>
      <w:r w:rsidRPr="001F2586">
        <w:rPr>
          <w:rFonts w:eastAsia="Calibri" w:hint="eastAsia"/>
          <w:b/>
          <w:bCs/>
          <w:rtl/>
        </w:rPr>
        <w:t>ביתרת</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כך</w:t>
      </w:r>
      <w:r w:rsidRPr="001F2586">
        <w:rPr>
          <w:rFonts w:eastAsia="Calibri"/>
          <w:b/>
          <w:bCs/>
          <w:rtl/>
        </w:rPr>
        <w:t xml:space="preserve"> </w:t>
      </w:r>
      <w:r w:rsidRPr="001F2586">
        <w:rPr>
          <w:rFonts w:eastAsia="Calibri" w:hint="eastAsia"/>
          <w:b/>
          <w:bCs/>
          <w:rtl/>
        </w:rPr>
        <w:t>שמתקיים</w:t>
      </w:r>
      <w:r w:rsidRPr="001F2586">
        <w:rPr>
          <w:rFonts w:eastAsia="Calibri"/>
          <w:b/>
          <w:bCs/>
          <w:rtl/>
        </w:rPr>
        <w:t xml:space="preserve"> </w:t>
      </w:r>
      <w:r w:rsidRPr="001F2586">
        <w:rPr>
          <w:rFonts w:eastAsia="Calibri" w:hint="eastAsia"/>
          <w:b/>
          <w:bCs/>
          <w:rtl/>
        </w:rPr>
        <w:t>איזון</w:t>
      </w:r>
      <w:r w:rsidRPr="001F2586">
        <w:rPr>
          <w:rFonts w:eastAsia="Calibri"/>
          <w:b/>
          <w:bCs/>
          <w:rtl/>
        </w:rPr>
        <w:t xml:space="preserve"> </w:t>
      </w:r>
      <w:r w:rsidRPr="001F2586">
        <w:rPr>
          <w:rFonts w:eastAsia="Calibri" w:hint="eastAsia"/>
          <w:b/>
          <w:bCs/>
          <w:rtl/>
        </w:rPr>
        <w:t>בין</w:t>
      </w:r>
      <w:r w:rsidRPr="001F2586">
        <w:rPr>
          <w:rFonts w:eastAsia="Calibri"/>
          <w:b/>
          <w:bCs/>
          <w:rtl/>
        </w:rPr>
        <w:t xml:space="preserve"> </w:t>
      </w:r>
      <w:r w:rsidRPr="001F2586">
        <w:rPr>
          <w:rFonts w:eastAsia="Calibri" w:hint="eastAsia"/>
          <w:b/>
          <w:bCs/>
          <w:rtl/>
        </w:rPr>
        <w:t>סך</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המועמדות</w:t>
      </w:r>
      <w:r w:rsidRPr="001F2586">
        <w:rPr>
          <w:rFonts w:eastAsia="Calibri"/>
          <w:b/>
          <w:bCs/>
          <w:rtl/>
        </w:rPr>
        <w:t xml:space="preserve"> </w:t>
      </w:r>
      <w:r w:rsidRPr="001F2586">
        <w:rPr>
          <w:rFonts w:eastAsia="Calibri" w:hint="eastAsia"/>
          <w:b/>
          <w:bCs/>
          <w:rtl/>
        </w:rPr>
        <w:t>לאלו</w:t>
      </w:r>
      <w:r w:rsidRPr="001F2586">
        <w:rPr>
          <w:rFonts w:eastAsia="Calibri"/>
          <w:b/>
          <w:bCs/>
          <w:rtl/>
        </w:rPr>
        <w:t xml:space="preserve"> </w:t>
      </w:r>
      <w:r w:rsidRPr="001F2586">
        <w:rPr>
          <w:rFonts w:eastAsia="Calibri" w:hint="eastAsia"/>
          <w:b/>
          <w:bCs/>
          <w:rtl/>
        </w:rPr>
        <w:t>הנפרעות</w:t>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rtl/>
        </w:rPr>
        <w:t>נציגי</w:t>
      </w:r>
      <w:r w:rsidRPr="001F2586">
        <w:rPr>
          <w:rFonts w:eastAsia="Calibri"/>
          <w:rtl/>
        </w:rPr>
        <w:t xml:space="preserve"> </w:t>
      </w:r>
      <w:r w:rsidRPr="001F2586">
        <w:rPr>
          <w:rFonts w:eastAsia="Calibri" w:hint="eastAsia"/>
          <w:rtl/>
        </w:rPr>
        <w:t>החשכ</w:t>
      </w:r>
      <w:r w:rsidRPr="001F2586">
        <w:rPr>
          <w:rFonts w:eastAsia="Calibri"/>
          <w:rtl/>
        </w:rPr>
        <w:t>"ל</w:t>
      </w:r>
      <w:r w:rsidRPr="001F2586">
        <w:rPr>
          <w:rFonts w:eastAsia="Calibri"/>
          <w:rtl/>
        </w:rPr>
        <w:t xml:space="preserve"> </w:t>
      </w:r>
      <w:r w:rsidRPr="001F2586">
        <w:rPr>
          <w:rFonts w:eastAsia="Calibri" w:hint="eastAsia"/>
          <w:rtl/>
        </w:rPr>
        <w:t>ציינו</w:t>
      </w:r>
      <w:r w:rsidRPr="001F2586">
        <w:rPr>
          <w:rFonts w:eastAsia="Calibri"/>
          <w:rtl/>
        </w:rPr>
        <w:t xml:space="preserve"> </w:t>
      </w:r>
      <w:r w:rsidRPr="001F2586">
        <w:rPr>
          <w:rFonts w:eastAsia="Calibri" w:hint="eastAsia"/>
          <w:rtl/>
        </w:rPr>
        <w:t>בפני</w:t>
      </w:r>
      <w:r w:rsidRPr="001F2586">
        <w:rPr>
          <w:rFonts w:eastAsia="Calibri"/>
          <w:rtl/>
        </w:rPr>
        <w:t xml:space="preserve"> </w:t>
      </w:r>
      <w:r w:rsidRPr="001F2586">
        <w:rPr>
          <w:rFonts w:eastAsia="Calibri" w:hint="eastAsia"/>
          <w:rtl/>
        </w:rPr>
        <w:t>צוות</w:t>
      </w:r>
      <w:r w:rsidRPr="001F2586">
        <w:rPr>
          <w:rFonts w:eastAsia="Calibri"/>
          <w:rtl/>
        </w:rPr>
        <w:t xml:space="preserve"> </w:t>
      </w:r>
      <w:r w:rsidRPr="001F2586">
        <w:rPr>
          <w:rFonts w:eastAsia="Calibri" w:hint="eastAsia"/>
          <w:rtl/>
        </w:rPr>
        <w:t>הביקורת</w:t>
      </w:r>
      <w:r w:rsidRPr="001F2586">
        <w:rPr>
          <w:rFonts w:eastAsia="Calibri"/>
          <w:rtl/>
        </w:rPr>
        <w:t xml:space="preserve"> </w:t>
      </w:r>
      <w:r w:rsidRPr="001F2586">
        <w:rPr>
          <w:rFonts w:eastAsia="Calibri" w:hint="eastAsia"/>
          <w:rtl/>
        </w:rPr>
        <w:t>כי</w:t>
      </w:r>
      <w:r w:rsidRPr="001F2586">
        <w:rPr>
          <w:rFonts w:eastAsia="Calibri"/>
          <w:rtl/>
        </w:rPr>
        <w:t xml:space="preserve"> </w:t>
      </w:r>
      <w:r w:rsidRPr="001F2586">
        <w:rPr>
          <w:rFonts w:eastAsia="Calibri" w:hint="eastAsia"/>
          <w:rtl/>
        </w:rPr>
        <w:t>למרות</w:t>
      </w:r>
      <w:r w:rsidRPr="001F2586">
        <w:rPr>
          <w:rFonts w:eastAsia="Calibri"/>
          <w:rtl/>
        </w:rPr>
        <w:t xml:space="preserve"> </w:t>
      </w:r>
      <w:r w:rsidRPr="001F2586">
        <w:rPr>
          <w:rFonts w:eastAsia="Calibri" w:hint="eastAsia"/>
          <w:rtl/>
        </w:rPr>
        <w:t>הירידה</w:t>
      </w:r>
      <w:r w:rsidRPr="001F2586">
        <w:rPr>
          <w:rFonts w:eastAsia="Calibri"/>
          <w:rtl/>
        </w:rPr>
        <w:t xml:space="preserve"> </w:t>
      </w:r>
      <w:r w:rsidRPr="001F2586">
        <w:rPr>
          <w:rFonts w:eastAsia="Calibri" w:hint="eastAsia"/>
          <w:rtl/>
        </w:rPr>
        <w:t>בביקוש</w:t>
      </w:r>
      <w:r w:rsidRPr="001F2586">
        <w:rPr>
          <w:rFonts w:eastAsia="Calibri"/>
          <w:rtl/>
        </w:rPr>
        <w:t xml:space="preserve">, </w:t>
      </w:r>
      <w:r w:rsidRPr="001F2586">
        <w:rPr>
          <w:rFonts w:eastAsia="Calibri" w:hint="eastAsia"/>
          <w:rtl/>
        </w:rPr>
        <w:t>המתווה</w:t>
      </w:r>
      <w:r w:rsidRPr="001F2586">
        <w:rPr>
          <w:rFonts w:eastAsia="Calibri"/>
          <w:rtl/>
        </w:rPr>
        <w:t xml:space="preserve"> </w:t>
      </w:r>
      <w:r w:rsidRPr="001F2586">
        <w:rPr>
          <w:rFonts w:eastAsia="Calibri" w:hint="eastAsia"/>
          <w:rtl/>
        </w:rPr>
        <w:t>משמש</w:t>
      </w:r>
      <w:r w:rsidRPr="001F2586">
        <w:rPr>
          <w:rFonts w:eastAsia="Calibri"/>
          <w:rtl/>
        </w:rPr>
        <w:t xml:space="preserve"> </w:t>
      </w:r>
      <w:r w:rsidRPr="001F2586">
        <w:rPr>
          <w:rFonts w:eastAsia="Calibri" w:hint="eastAsia"/>
          <w:rtl/>
        </w:rPr>
        <w:t>למתן</w:t>
      </w:r>
      <w:r w:rsidRPr="001F2586">
        <w:rPr>
          <w:rFonts w:eastAsia="Calibri"/>
          <w:rtl/>
        </w:rPr>
        <w:t xml:space="preserve"> </w:t>
      </w:r>
      <w:r w:rsidRPr="001F2586">
        <w:rPr>
          <w:rFonts w:eastAsia="Calibri" w:hint="eastAsia"/>
          <w:rtl/>
        </w:rPr>
        <w:t>סיוע</w:t>
      </w:r>
      <w:r w:rsidRPr="001F2586">
        <w:rPr>
          <w:rFonts w:eastAsia="Calibri"/>
          <w:rtl/>
        </w:rPr>
        <w:t xml:space="preserve"> </w:t>
      </w:r>
      <w:r w:rsidRPr="001F2586">
        <w:rPr>
          <w:rFonts w:eastAsia="Calibri" w:hint="eastAsia"/>
          <w:rtl/>
        </w:rPr>
        <w:t>לקבוצות</w:t>
      </w:r>
      <w:r w:rsidRPr="001F2586">
        <w:rPr>
          <w:rFonts w:eastAsia="Calibri"/>
          <w:rtl/>
        </w:rPr>
        <w:t xml:space="preserve"> </w:t>
      </w:r>
      <w:r w:rsidRPr="001F2586">
        <w:rPr>
          <w:rFonts w:eastAsia="Calibri" w:hint="eastAsia"/>
          <w:rtl/>
        </w:rPr>
        <w:t>אוכלוסייה</w:t>
      </w:r>
      <w:r w:rsidRPr="001F2586">
        <w:rPr>
          <w:rFonts w:eastAsia="Calibri"/>
          <w:rtl/>
        </w:rPr>
        <w:t xml:space="preserve"> </w:t>
      </w:r>
      <w:r w:rsidRPr="001F2586">
        <w:rPr>
          <w:rFonts w:eastAsia="Calibri" w:hint="eastAsia"/>
          <w:rtl/>
        </w:rPr>
        <w:t>שונות</w:t>
      </w:r>
      <w:r w:rsidRPr="001F2586">
        <w:rPr>
          <w:rFonts w:eastAsia="Calibri"/>
          <w:rtl/>
        </w:rPr>
        <w:t xml:space="preserve"> </w:t>
      </w:r>
      <w:r w:rsidRPr="001F2586">
        <w:rPr>
          <w:rFonts w:eastAsia="Calibri" w:hint="eastAsia"/>
          <w:rtl/>
        </w:rPr>
        <w:t>ולמתן</w:t>
      </w:r>
      <w:r w:rsidRPr="001F2586">
        <w:rPr>
          <w:rFonts w:eastAsia="Calibri"/>
          <w:rtl/>
        </w:rPr>
        <w:t xml:space="preserve"> </w:t>
      </w:r>
      <w:r w:rsidRPr="001F2586">
        <w:rPr>
          <w:rFonts w:eastAsia="Calibri" w:hint="eastAsia"/>
          <w:rtl/>
        </w:rPr>
        <w:t>מענה</w:t>
      </w:r>
      <w:r w:rsidRPr="001F2586">
        <w:rPr>
          <w:rFonts w:eastAsia="Calibri"/>
          <w:rtl/>
        </w:rPr>
        <w:t xml:space="preserve"> </w:t>
      </w:r>
      <w:r w:rsidRPr="001F2586">
        <w:rPr>
          <w:rFonts w:eastAsia="Calibri" w:hint="eastAsia"/>
          <w:rtl/>
        </w:rPr>
        <w:t>מהיר</w:t>
      </w:r>
      <w:r w:rsidRPr="001F2586">
        <w:rPr>
          <w:rFonts w:eastAsia="Calibri"/>
          <w:rtl/>
        </w:rPr>
        <w:t xml:space="preserve"> </w:t>
      </w:r>
      <w:r w:rsidRPr="001F2586">
        <w:rPr>
          <w:rFonts w:eastAsia="Calibri" w:hint="eastAsia"/>
          <w:rtl/>
        </w:rPr>
        <w:t>לסיוע</w:t>
      </w:r>
      <w:r w:rsidRPr="001F2586">
        <w:rPr>
          <w:rFonts w:eastAsia="Calibri"/>
          <w:rtl/>
        </w:rPr>
        <w:t xml:space="preserve"> </w:t>
      </w:r>
      <w:r w:rsidRPr="001F2586">
        <w:rPr>
          <w:rFonts w:eastAsia="Calibri" w:hint="eastAsia"/>
          <w:rtl/>
        </w:rPr>
        <w:t>הנדרש</w:t>
      </w:r>
      <w:r w:rsidRPr="001F2586">
        <w:rPr>
          <w:rFonts w:eastAsia="Calibri"/>
          <w:rtl/>
        </w:rPr>
        <w:t xml:space="preserve"> </w:t>
      </w:r>
      <w:r w:rsidRPr="001F2586">
        <w:rPr>
          <w:rFonts w:eastAsia="Calibri" w:hint="eastAsia"/>
          <w:rtl/>
        </w:rPr>
        <w:t>בהתאם</w:t>
      </w:r>
      <w:r w:rsidRPr="001F2586">
        <w:rPr>
          <w:rFonts w:eastAsia="Calibri"/>
          <w:rtl/>
        </w:rPr>
        <w:t xml:space="preserve"> </w:t>
      </w:r>
      <w:r w:rsidRPr="001F2586">
        <w:rPr>
          <w:rFonts w:eastAsia="Calibri" w:hint="eastAsia"/>
          <w:rtl/>
        </w:rPr>
        <w:t>למדיניות</w:t>
      </w:r>
      <w:r w:rsidRPr="001F2586">
        <w:rPr>
          <w:rFonts w:eastAsia="Calibri"/>
          <w:rtl/>
        </w:rPr>
        <w:t xml:space="preserve"> </w:t>
      </w:r>
      <w:r w:rsidRPr="001F2586">
        <w:rPr>
          <w:rFonts w:eastAsia="Calibri" w:hint="eastAsia"/>
          <w:rtl/>
        </w:rPr>
        <w:t>הממשלתית</w:t>
      </w:r>
      <w:r w:rsidRPr="001F2586">
        <w:rPr>
          <w:rFonts w:eastAsia="Calibri"/>
          <w:rtl/>
        </w:rPr>
        <w:t xml:space="preserve"> </w:t>
      </w:r>
      <w:r w:rsidRPr="001F2586">
        <w:rPr>
          <w:rFonts w:eastAsia="Calibri" w:hint="eastAsia"/>
          <w:rtl/>
        </w:rPr>
        <w:t>המשתנה</w:t>
      </w:r>
      <w:r w:rsidRPr="001F2586">
        <w:rPr>
          <w:rFonts w:eastAsia="Calibri"/>
          <w:rtl/>
        </w:rPr>
        <w:t xml:space="preserve"> </w:t>
      </w:r>
      <w:r w:rsidRPr="001F2586">
        <w:rPr>
          <w:rFonts w:eastAsia="Calibri" w:hint="eastAsia"/>
          <w:rtl/>
        </w:rPr>
        <w:t>מעת</w:t>
      </w:r>
      <w:r w:rsidRPr="001F2586">
        <w:rPr>
          <w:rFonts w:eastAsia="Calibri"/>
          <w:rtl/>
        </w:rPr>
        <w:t xml:space="preserve"> </w:t>
      </w:r>
      <w:r w:rsidRPr="001F2586">
        <w:rPr>
          <w:rFonts w:eastAsia="Calibri" w:hint="eastAsia"/>
          <w:rtl/>
        </w:rPr>
        <w:t>לעת</w:t>
      </w:r>
      <w:r w:rsidRPr="001F2586">
        <w:rPr>
          <w:rFonts w:eastAsia="Calibri"/>
          <w:rtl/>
        </w:rPr>
        <w:t>.</w:t>
      </w:r>
      <w:r w:rsidRPr="001F2586">
        <w:rPr>
          <w:rFonts w:eastAsia="Calibri"/>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משב"ש הפעיל בשנים האחרונות כמה תוכניות נוספות המתבססות על מתווה הלוואות לזכאים כדי לתמוך בקבוצות אוכלוסייה שונות בהתאם למדיניות הממשלתית והוראות החוק. להלן כמה דוגמאות: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Times New Roman" w:hint="cs"/>
          <w:bCs/>
          <w:spacing w:val="40"/>
          <w:rtl/>
        </w:rPr>
        <w:t>תוכניות הלוואות לדיור למשפחות יוצאי אתיופיה:</w:t>
      </w:r>
      <w:r w:rsidRPr="001F2586">
        <w:rPr>
          <w:rFonts w:eastAsia="Calibri" w:hint="cs"/>
          <w:rtl/>
        </w:rPr>
        <w:t xml:space="preserve"> בהחלטת ממשלה 2253 מיום 5.1.17 הוחלט על כמה צעדי מדיניות ממשלתית לקידום שילובם המיטבי של יוצאי אתיופיה בחברה. במסגרת זו הוחלט בין היתר כי במשך ארבע שנים יהיו זכאיות בכל שנה 200 משפחות יוצאי אתיופיה להלוואה לדיור בסך של 600 אלף ש"ח לתקופה של 25 שנה שתוחזר בהחזרים חודשיים מיטביים</w:t>
      </w:r>
      <w:r>
        <w:rPr>
          <w:rFonts w:eastAsia="Calibri"/>
          <w:vertAlign w:val="superscript"/>
          <w:rtl/>
        </w:rPr>
        <w:footnoteReference w:id="371"/>
      </w:r>
      <w:r w:rsidRPr="001F2586">
        <w:rPr>
          <w:rFonts w:eastAsia="Calibri" w:hint="cs"/>
          <w:rtl/>
        </w:rPr>
        <w:t>. בשנים 2017 - 2020 העניק משב"ש כ-800 הלוואות לדיור בתנאים מיטיבים אלה במסגרת התוכנית. בנוסף לכך, בהחלטת ממשלה 1103 מיום 31.1.22 שתוקפה הוא עד סוף שנת 2031 הוחלט על תוכנית מענקי דיור לעולים מאתיופיה המתגוררים במרכזי קליטה או אתרי קליטה כדי לסייע ברכישת דירה ראשונה. במסגרת זו זכאים העולים לסכומי מענקים הנקבעים לפי הרכבם המשפחתי ובטווח שבין 90 אלף ש"ח ל-650 אלף ש"ח.</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Times New Roman" w:hint="cs"/>
          <w:bCs/>
          <w:spacing w:val="40"/>
          <w:rtl/>
        </w:rPr>
        <w:t xml:space="preserve">תוכנית </w:t>
      </w:r>
      <w:r w:rsidRPr="001F2586">
        <w:rPr>
          <w:rFonts w:eastAsia="Times New Roman" w:hint="cs"/>
          <w:bCs/>
          <w:spacing w:val="40"/>
          <w:rtl/>
        </w:rPr>
        <w:t>לרוכשי</w:t>
      </w:r>
      <w:r w:rsidRPr="001F2586">
        <w:rPr>
          <w:rFonts w:eastAsia="Times New Roman" w:hint="cs"/>
          <w:bCs/>
          <w:spacing w:val="40"/>
          <w:rtl/>
        </w:rPr>
        <w:t xml:space="preserve"> דירה בפריפריה:</w:t>
      </w:r>
      <w:r w:rsidRPr="001F2586">
        <w:rPr>
          <w:rFonts w:eastAsia="Calibri" w:hint="cs"/>
          <w:rtl/>
        </w:rPr>
        <w:t xml:space="preserve"> </w:t>
      </w:r>
      <w:r w:rsidRPr="001F2586">
        <w:rPr>
          <w:rFonts w:eastAsia="Calibri" w:hint="cs"/>
          <w:rtl/>
        </w:rPr>
        <w:t>רוכשי</w:t>
      </w:r>
      <w:r w:rsidRPr="001F2586">
        <w:rPr>
          <w:rFonts w:eastAsia="Calibri" w:hint="cs"/>
          <w:rtl/>
        </w:rPr>
        <w:t xml:space="preserve"> דירה בפריפריה במסגרת תוכנית דירה בהנחה</w:t>
      </w:r>
      <w:r>
        <w:rPr>
          <w:rFonts w:eastAsia="Calibri"/>
          <w:vertAlign w:val="superscript"/>
          <w:rtl/>
        </w:rPr>
        <w:footnoteReference w:id="372"/>
      </w:r>
      <w:r w:rsidRPr="001F2586">
        <w:rPr>
          <w:rFonts w:eastAsia="Calibri" w:hint="cs"/>
          <w:rtl/>
        </w:rPr>
        <w:t xml:space="preserve"> זכאים למענק מותנה בסך 40 אלף ש"ח. המענק ניתן כהלוואה שהלווים אינם נדרשים להחזיר עד תום תקופה מוגדרת, ובסיומה ההלוואה מומרת למענק.</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Times New Roman" w:hint="cs"/>
          <w:bCs/>
          <w:spacing w:val="40"/>
          <w:rtl/>
        </w:rPr>
        <w:t>תוכנית מענק ביטחוני:</w:t>
      </w:r>
      <w:r w:rsidRPr="001F2586">
        <w:rPr>
          <w:rFonts w:eastAsia="Calibri" w:hint="cs"/>
          <w:rtl/>
        </w:rPr>
        <w:t xml:space="preserve"> מתוקף חוק הלוואות לדיור ניתנים מענקים ביטחוניים ליישובי קו העימות עבור דרישות מיגון מיוחדות. המענקים ניתנים לדירות חדשות ולהרחבת דירות קיימות לבניית מרחב מוגן דירתי (ממ"ד). רשימת היישובים הזכאים נקבעת בהתאם להחלטת פיקוד העורף ועשויים להשתנות מעת לעת. גובה המענקים נקבע בהתאם לסוג הדירה - ברכישת דירה חדשה בבניין בן שתי קומות לפחות או הרחבת דירה בבניין כזה המענק הוא 9,100 ש"ח בבנייה עצמית או ברכישת דירה בבנייה צמוד קרקע או הרחבת דירה בבית צמוד קרקע המענק הוא 10,400 ש"ח.</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Times New Roman" w:hint="cs"/>
          <w:bCs/>
          <w:spacing w:val="40"/>
          <w:rtl/>
        </w:rPr>
        <w:t>תוכנית למוגבלים בתנועה:</w:t>
      </w:r>
      <w:r w:rsidRPr="001F2586">
        <w:rPr>
          <w:rFonts w:eastAsia="Calibri" w:hint="cs"/>
          <w:rtl/>
        </w:rPr>
        <w:t xml:space="preserve"> מוגבלים בתנועה זכאים לסיוע לצורך מימון שינויים או שיפוצים פנימיים או שיפוצים חיצוניים החיוניים לניידותם בדירתם ובדרכי הגישה אליה. הסיוע ניתן ככלל לצורך הרחבת פתחים ובהתאמתם לצורך מעבר עגלת נכים, לשינוי במבנה שירותים סניטריים, לבניית שביל גישה ולהתקנת משטחי גישה לנכים (רמפות), מעקות, תמיכות ומעלונים. הסיוע יכול להינתן כמענק או כהלוואה</w:t>
      </w:r>
      <w:r>
        <w:rPr>
          <w:rFonts w:eastAsia="Calibri"/>
          <w:vertAlign w:val="superscript"/>
          <w:rtl/>
        </w:rPr>
        <w:footnoteReference w:id="373"/>
      </w:r>
      <w:r w:rsidRPr="001F2586">
        <w:rPr>
          <w:rFonts w:eastAsia="Calibri" w:hint="cs"/>
          <w:rtl/>
        </w:rPr>
        <w:t xml:space="preserve"> בהתאם לכושר ההשתכרות וגובהו יושפע מהרכב המשפחה והכנסותיה. גובה הסיוע הוא עד 65 אלף ש"ח עבור שינויים פנימיים או חיצוניים בדירה וסיוע נוסף של עד 130 אלף ש"ח הניתן לצורך התקנת מעלון.</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b/>
          <w:bCs/>
          <w:rtl/>
        </w:rPr>
      </w:pPr>
      <w:r w:rsidRPr="001F2586">
        <w:rPr>
          <w:rFonts w:ascii="David" w:eastAsia="Calibri" w:hAnsi="David" w:hint="cs"/>
          <w:b/>
          <w:bCs/>
          <w:rtl/>
        </w:rPr>
        <w:t>יתרת</w:t>
      </w:r>
      <w:r w:rsidRPr="001F2586">
        <w:rPr>
          <w:rFonts w:ascii="David" w:eastAsia="Calibri" w:hAnsi="David"/>
          <w:b/>
          <w:bCs/>
          <w:rtl/>
        </w:rPr>
        <w:t xml:space="preserve"> הלוואות לזכאים </w:t>
      </w:r>
      <w:r w:rsidRPr="001F2586">
        <w:rPr>
          <w:rFonts w:ascii="David" w:eastAsia="Calibri" w:hAnsi="David" w:hint="cs"/>
          <w:b/>
          <w:bCs/>
          <w:rtl/>
        </w:rPr>
        <w:t xml:space="preserve">הניתנות ממקורות המדינה </w:t>
      </w:r>
      <w:r w:rsidRPr="001F2586">
        <w:rPr>
          <w:rFonts w:ascii="David" w:eastAsia="Calibri" w:hAnsi="David"/>
          <w:b/>
          <w:bCs/>
          <w:rtl/>
        </w:rPr>
        <w:t>פחת</w:t>
      </w:r>
      <w:r w:rsidRPr="001F2586">
        <w:rPr>
          <w:rFonts w:ascii="David" w:eastAsia="Calibri" w:hAnsi="David" w:hint="cs"/>
          <w:b/>
          <w:bCs/>
          <w:rtl/>
        </w:rPr>
        <w:t>ה</w:t>
      </w:r>
      <w:r w:rsidRPr="001F2586">
        <w:rPr>
          <w:rFonts w:ascii="David" w:eastAsia="Calibri" w:hAnsi="David"/>
          <w:b/>
          <w:bCs/>
          <w:rtl/>
        </w:rPr>
        <w:t xml:space="preserve"> בהדרגה עם השנים בעקבות</w:t>
      </w:r>
      <w:r w:rsidRPr="001F2586">
        <w:rPr>
          <w:rFonts w:ascii="David" w:eastAsia="Calibri" w:hAnsi="David" w:hint="cs"/>
          <w:b/>
          <w:bCs/>
          <w:rtl/>
        </w:rPr>
        <w:t xml:space="preserve"> ירידת הריבית ו</w:t>
      </w:r>
      <w:r w:rsidRPr="001F2586">
        <w:rPr>
          <w:rFonts w:ascii="David" w:eastAsia="Calibri" w:hAnsi="David"/>
          <w:b/>
          <w:bCs/>
          <w:rtl/>
        </w:rPr>
        <w:t xml:space="preserve">שכלול שוק המשכנתאות </w:t>
      </w:r>
      <w:r w:rsidRPr="001F2586">
        <w:rPr>
          <w:rFonts w:ascii="David" w:eastAsia="Calibri" w:hAnsi="David" w:hint="cs"/>
          <w:b/>
          <w:bCs/>
          <w:rtl/>
        </w:rPr>
        <w:t xml:space="preserve">ולנוכח </w:t>
      </w:r>
      <w:r w:rsidRPr="001F2586">
        <w:rPr>
          <w:rFonts w:ascii="David" w:eastAsia="Calibri" w:hAnsi="David"/>
          <w:b/>
          <w:bCs/>
          <w:rtl/>
        </w:rPr>
        <w:t>התגברות התחרות</w:t>
      </w:r>
      <w:r w:rsidRPr="001F2586">
        <w:rPr>
          <w:rFonts w:ascii="David" w:eastAsia="Calibri" w:hAnsi="David" w:hint="cs"/>
          <w:b/>
          <w:bCs/>
          <w:rtl/>
        </w:rPr>
        <w:t xml:space="preserve"> במערכת הבנקאית, מכ-42 מיליארד ש"ח בשנת 2006 לכ-5 מיליארד ש"ח בשנת 2024. אף על פי כן לדעת אגף </w:t>
      </w:r>
      <w:r w:rsidRPr="001F2586">
        <w:rPr>
          <w:rFonts w:ascii="David" w:eastAsia="Calibri" w:hAnsi="David" w:hint="cs"/>
          <w:b/>
          <w:bCs/>
          <w:rtl/>
        </w:rPr>
        <w:t>החשכ"ל</w:t>
      </w:r>
      <w:r w:rsidRPr="001F2586">
        <w:rPr>
          <w:rFonts w:ascii="David" w:eastAsia="Calibri" w:hAnsi="David" w:hint="cs"/>
          <w:b/>
          <w:bCs/>
          <w:rtl/>
        </w:rPr>
        <w:t xml:space="preserve"> המתווה משמש כלי מהיר למתן הקלות וסיוע לקבוצות אוכלוסייה שונות, בהתאם למדיניות הממשלתית המשתנה על פני זמן. זאת מאחר</w:t>
      </w:r>
      <w:r w:rsidRPr="001F2586">
        <w:rPr>
          <w:rFonts w:eastAsia="Calibri"/>
          <w:b/>
          <w:bCs/>
          <w:rtl/>
        </w:rPr>
        <w:t xml:space="preserve"> שמתווה ההלוואות ממשיך לשמש כלי חשוב למתן הקלות וסיוע לקבוצות אוכלוסייה שונות, ובמיוחד לאותן אוכלוסיות הזקוקות לתמיכה כלכלית במצבים של קשיים כלכליים </w:t>
      </w:r>
      <w:r w:rsidRPr="001F2586">
        <w:rPr>
          <w:rFonts w:eastAsia="Calibri" w:hint="eastAsia"/>
          <w:b/>
          <w:bCs/>
          <w:rtl/>
        </w:rPr>
        <w:t>וחווים</w:t>
      </w:r>
      <w:r w:rsidRPr="001F2586">
        <w:rPr>
          <w:rFonts w:eastAsia="Calibri"/>
          <w:b/>
          <w:bCs/>
          <w:rtl/>
        </w:rPr>
        <w:t xml:space="preserve"> מכשולים </w:t>
      </w:r>
      <w:r w:rsidRPr="001F2586">
        <w:rPr>
          <w:rFonts w:eastAsia="Calibri" w:hint="cs"/>
          <w:b/>
          <w:bCs/>
          <w:rtl/>
        </w:rPr>
        <w:t>למול ה</w:t>
      </w:r>
      <w:r w:rsidRPr="001F2586">
        <w:rPr>
          <w:rFonts w:eastAsia="Calibri"/>
          <w:b/>
          <w:bCs/>
          <w:rtl/>
        </w:rPr>
        <w:t>מערכת הפיננסית</w:t>
      </w:r>
      <w:r w:rsidRPr="001F2586">
        <w:rPr>
          <w:rFonts w:eastAsia="Calibri"/>
          <w:b/>
          <w:bCs/>
        </w:rPr>
        <w:t>.</w:t>
      </w:r>
      <w:r w:rsidRPr="001F2586">
        <w:rPr>
          <w:rFonts w:ascii="David" w:eastAsia="Calibri" w:hAnsi="David"/>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ascii="David" w:eastAsia="Calibri" w:hAnsi="David" w:hint="eastAsia"/>
          <w:rtl/>
        </w:rPr>
        <w:t>זיהוי</w:t>
      </w:r>
      <w:r w:rsidRPr="001F2586">
        <w:rPr>
          <w:rFonts w:ascii="David" w:eastAsia="Calibri" w:hAnsi="David"/>
          <w:rtl/>
        </w:rPr>
        <w:t xml:space="preserve"> מאפייני מבקשי הסיוע בהלוואות לזכאים נחוץ להתאמת תנאי ההלוואות וייעול התהליך וכדי להבטיח שכספי המימון הציבורי יגיעו לאלה הזקוקים לו. התרשים </w:t>
      </w:r>
      <w:r w:rsidRPr="001F2586">
        <w:rPr>
          <w:rFonts w:ascii="David" w:eastAsia="Calibri" w:hAnsi="David" w:hint="eastAsia"/>
          <w:rtl/>
        </w:rPr>
        <w:t>ל</w:t>
      </w:r>
      <w:r w:rsidRPr="001F2586">
        <w:rPr>
          <w:rFonts w:eastAsia="Calibri" w:hint="eastAsia"/>
          <w:rtl/>
        </w:rPr>
        <w:t>הלן</w:t>
      </w:r>
      <w:r w:rsidRPr="001F2586">
        <w:rPr>
          <w:rFonts w:eastAsia="Calibri"/>
          <w:rtl/>
        </w:rPr>
        <w:t xml:space="preserve"> </w:t>
      </w:r>
      <w:r w:rsidRPr="001F2586">
        <w:rPr>
          <w:rFonts w:eastAsia="Calibri" w:hint="eastAsia"/>
          <w:rtl/>
        </w:rPr>
        <w:t>מציג</w:t>
      </w:r>
      <w:r w:rsidRPr="001F2586">
        <w:rPr>
          <w:rFonts w:eastAsia="Calibri"/>
          <w:rtl/>
        </w:rPr>
        <w:t xml:space="preserve"> </w:t>
      </w:r>
      <w:r w:rsidRPr="001F2586">
        <w:rPr>
          <w:rFonts w:eastAsia="Calibri" w:hint="eastAsia"/>
          <w:rtl/>
        </w:rPr>
        <w:t>את</w:t>
      </w:r>
      <w:r w:rsidRPr="001F2586">
        <w:rPr>
          <w:rFonts w:eastAsia="Calibri"/>
          <w:rtl/>
        </w:rPr>
        <w:t xml:space="preserve"> </w:t>
      </w:r>
      <w:r w:rsidRPr="001F2586">
        <w:rPr>
          <w:rFonts w:eastAsia="Calibri" w:hint="eastAsia"/>
          <w:rtl/>
        </w:rPr>
        <w:t>התפלגות</w:t>
      </w:r>
      <w:r w:rsidRPr="001F2586">
        <w:rPr>
          <w:rFonts w:eastAsia="Calibri"/>
          <w:rtl/>
        </w:rPr>
        <w:t xml:space="preserve"> </w:t>
      </w:r>
      <w:r w:rsidRPr="001F2586">
        <w:rPr>
          <w:rFonts w:eastAsia="Calibri" w:hint="eastAsia"/>
          <w:rtl/>
        </w:rPr>
        <w:t>היקף</w:t>
      </w:r>
      <w:r w:rsidRPr="001F2586">
        <w:rPr>
          <w:rFonts w:eastAsia="Calibri"/>
          <w:rtl/>
        </w:rPr>
        <w:t xml:space="preserve"> </w:t>
      </w:r>
      <w:r w:rsidRPr="001F2586">
        <w:rPr>
          <w:rFonts w:eastAsia="Calibri" w:hint="eastAsia"/>
          <w:rtl/>
        </w:rPr>
        <w:t>מממשי</w:t>
      </w:r>
      <w:r w:rsidRPr="001F2586">
        <w:rPr>
          <w:rFonts w:eastAsia="Calibri"/>
          <w:rtl/>
        </w:rPr>
        <w:t xml:space="preserve"> </w:t>
      </w:r>
      <w:r w:rsidRPr="001F2586">
        <w:rPr>
          <w:rFonts w:eastAsia="Calibri" w:hint="eastAsia"/>
          <w:rtl/>
        </w:rPr>
        <w:t>הלוואות</w:t>
      </w:r>
      <w:r w:rsidRPr="001F2586">
        <w:rPr>
          <w:rFonts w:eastAsia="Calibri"/>
          <w:rtl/>
        </w:rPr>
        <w:t xml:space="preserve"> </w:t>
      </w:r>
      <w:r w:rsidRPr="001F2586">
        <w:rPr>
          <w:rFonts w:eastAsia="Calibri" w:hint="eastAsia"/>
          <w:rtl/>
        </w:rPr>
        <w:t>לזכאים</w:t>
      </w:r>
      <w:r w:rsidRPr="001F2586">
        <w:rPr>
          <w:rFonts w:eastAsia="Calibri"/>
          <w:rtl/>
        </w:rPr>
        <w:t xml:space="preserve"> </w:t>
      </w:r>
      <w:r w:rsidRPr="001F2586">
        <w:rPr>
          <w:rFonts w:eastAsia="Calibri" w:hint="eastAsia"/>
          <w:rtl/>
        </w:rPr>
        <w:t>בחלוקה</w:t>
      </w:r>
      <w:r w:rsidRPr="001F2586">
        <w:rPr>
          <w:rFonts w:eastAsia="Calibri"/>
          <w:rtl/>
        </w:rPr>
        <w:t xml:space="preserve"> </w:t>
      </w:r>
      <w:r w:rsidRPr="001F2586">
        <w:rPr>
          <w:rFonts w:eastAsia="Calibri" w:hint="eastAsia"/>
          <w:rtl/>
        </w:rPr>
        <w:t>למאפייני</w:t>
      </w:r>
      <w:r w:rsidRPr="001F2586">
        <w:rPr>
          <w:rFonts w:eastAsia="Calibri"/>
          <w:rtl/>
        </w:rPr>
        <w:t xml:space="preserve"> </w:t>
      </w:r>
      <w:r w:rsidRPr="001F2586">
        <w:rPr>
          <w:rFonts w:eastAsia="Calibri" w:hint="eastAsia"/>
          <w:rtl/>
        </w:rPr>
        <w:t>הדירה</w:t>
      </w:r>
      <w:r w:rsidRPr="001F2586">
        <w:rPr>
          <w:rFonts w:eastAsia="Calibri"/>
          <w:rtl/>
        </w:rPr>
        <w:t xml:space="preserve"> </w:t>
      </w:r>
      <w:r w:rsidRPr="001F2586">
        <w:rPr>
          <w:rFonts w:eastAsia="Calibri" w:hint="eastAsia"/>
          <w:rtl/>
        </w:rPr>
        <w:t>בין</w:t>
      </w:r>
      <w:r w:rsidRPr="001F2586">
        <w:rPr>
          <w:rFonts w:eastAsia="Calibri"/>
          <w:rtl/>
        </w:rPr>
        <w:t xml:space="preserve"> </w:t>
      </w:r>
      <w:r w:rsidRPr="001F2586">
        <w:rPr>
          <w:rFonts w:eastAsia="Calibri" w:hint="eastAsia"/>
          <w:rtl/>
        </w:rPr>
        <w:t>השנים</w:t>
      </w:r>
      <w:r w:rsidRPr="001F2586">
        <w:rPr>
          <w:rFonts w:eastAsia="Calibri"/>
          <w:rtl/>
        </w:rPr>
        <w:t xml:space="preserve"> 2021 - 2024.</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rtl/>
        </w:rPr>
      </w:pPr>
      <w:r w:rsidRPr="001F2586">
        <w:rPr>
          <w:rFonts w:eastAsia="Calibri" w:hint="cs"/>
          <w:rtl/>
        </w:rPr>
        <w:t xml:space="preserve">תרשים 62: </w:t>
      </w:r>
      <w:r w:rsidRPr="001F2586">
        <w:rPr>
          <w:rFonts w:eastAsia="Calibri" w:hint="cs"/>
          <w:b/>
          <w:bCs/>
          <w:rtl/>
        </w:rPr>
        <w:t>התפלגות היקף מממשי הלוואות לזכאים בחלוקה למאפייני הדירה, 2021 -</w:t>
      </w:r>
      <w:r w:rsidRPr="001F2586">
        <w:rPr>
          <w:rFonts w:eastAsia="Calibri" w:hint="cs"/>
          <w:rtl/>
        </w:rPr>
        <w:t xml:space="preserve"> </w:t>
      </w:r>
      <w:r w:rsidRPr="001F2586">
        <w:rPr>
          <w:rFonts w:eastAsia="Calibri" w:hint="cs"/>
          <w:b/>
          <w:bCs/>
          <w:rtl/>
        </w:rPr>
        <w:t>2024</w:t>
      </w:r>
    </w:p>
    <w:p w:rsidR="001F2586" w:rsidRPr="001F2586" w:rsidP="001F2586">
      <w:pPr>
        <w:spacing w:line="269" w:lineRule="auto"/>
        <w:jc w:val="center"/>
        <w:rPr>
          <w:rFonts w:eastAsia="Calibri"/>
          <w:color w:val="FF0000"/>
          <w:rtl/>
        </w:rPr>
      </w:pPr>
      <w:r w:rsidRPr="001F2586">
        <w:rPr>
          <w:rFonts w:eastAsia="Calibri"/>
          <w:noProof/>
        </w:rPr>
        <w:drawing>
          <wp:inline distT="0" distB="0" distL="0" distR="0">
            <wp:extent cx="5220335" cy="2706370"/>
            <wp:effectExtent l="0" t="0" r="0" b="0"/>
            <wp:docPr id="79" name="תמונה 79" descr="מספר מממשי הלוואות לזכאים פחת בהדרגה בין השנים 2021 ל-2023 מ-11,968 ל-8,802 (ירידה של כ-26%) ואילו בשנת 2024 עלה בכ-12% ביחס לשנת 2023. עלייה זו נבעה מגידול חד בכמות ההלוואות שהועמדו לקבוצת הלווים לרכישת דירה יד-שנייה. עוד ניתן לראות בתרשים כי חלק ניכר מהלוואות לזכאים (כ-49% בממוצע) מועמדות במסגרת פרויקטים של דירה בהנחה ויתר ההלוואות מועמדות לרכישת דירות מיד שנייה (כ-29% בממוצע), לרכישת דירות חדשות (כ-11% בממוצע) ולבנייה עצמית (כ-5% בממוצ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xmlns:r="http://schemas.openxmlformats.org/officeDocument/2006/relationships" r:embed="rId78"/>
                    <a:stretch>
                      <a:fillRect/>
                    </a:stretch>
                  </pic:blipFill>
                  <pic:spPr>
                    <a:xfrm>
                      <a:off x="0" y="0"/>
                      <a:ext cx="5220335" cy="2706370"/>
                    </a:xfrm>
                    <a:prstGeom prst="rect">
                      <a:avLst/>
                    </a:prstGeom>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מנהל הסיוע בדיור, בעבוד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בתרשים</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מספר</w:t>
      </w:r>
      <w:r w:rsidRPr="001F2586">
        <w:rPr>
          <w:rFonts w:eastAsia="Calibri"/>
          <w:b/>
          <w:bCs/>
          <w:rtl/>
        </w:rPr>
        <w:t xml:space="preserve"> </w:t>
      </w:r>
      <w:r w:rsidRPr="001F2586">
        <w:rPr>
          <w:rFonts w:eastAsia="Calibri" w:hint="eastAsia"/>
          <w:b/>
          <w:bCs/>
          <w:rtl/>
        </w:rPr>
        <w:t>מממשי</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לזכאים</w:t>
      </w:r>
      <w:r w:rsidRPr="001F2586">
        <w:rPr>
          <w:rFonts w:eastAsia="Calibri"/>
          <w:b/>
          <w:bCs/>
          <w:rtl/>
        </w:rPr>
        <w:t xml:space="preserve"> </w:t>
      </w:r>
      <w:r w:rsidRPr="001F2586">
        <w:rPr>
          <w:rFonts w:eastAsia="Calibri" w:hint="eastAsia"/>
          <w:b/>
          <w:bCs/>
          <w:rtl/>
        </w:rPr>
        <w:t>פחת</w:t>
      </w:r>
      <w:r w:rsidRPr="001F2586">
        <w:rPr>
          <w:rFonts w:eastAsia="Calibri"/>
          <w:b/>
          <w:bCs/>
          <w:rtl/>
        </w:rPr>
        <w:t xml:space="preserve"> </w:t>
      </w:r>
      <w:r w:rsidRPr="001F2586">
        <w:rPr>
          <w:rFonts w:eastAsia="Calibri" w:hint="eastAsia"/>
          <w:b/>
          <w:bCs/>
          <w:rtl/>
        </w:rPr>
        <w:t>בהדרגה</w:t>
      </w:r>
      <w:r w:rsidRPr="001F2586">
        <w:rPr>
          <w:rFonts w:eastAsia="Calibri"/>
          <w:b/>
          <w:bCs/>
          <w:rtl/>
        </w:rPr>
        <w:t xml:space="preserve"> </w:t>
      </w:r>
      <w:r w:rsidRPr="001F2586">
        <w:rPr>
          <w:rFonts w:eastAsia="Calibri" w:hint="eastAsia"/>
          <w:b/>
          <w:bCs/>
          <w:rtl/>
        </w:rPr>
        <w:t>בין</w:t>
      </w:r>
      <w:r w:rsidRPr="001F2586">
        <w:rPr>
          <w:rFonts w:eastAsia="Calibri"/>
          <w:b/>
          <w:bCs/>
          <w:rtl/>
        </w:rPr>
        <w:t xml:space="preserve"> </w:t>
      </w:r>
      <w:r w:rsidRPr="001F2586">
        <w:rPr>
          <w:rFonts w:eastAsia="Calibri" w:hint="eastAsia"/>
          <w:b/>
          <w:bCs/>
          <w:rtl/>
        </w:rPr>
        <w:t>השנים</w:t>
      </w:r>
      <w:r w:rsidRPr="001F2586">
        <w:rPr>
          <w:rFonts w:eastAsia="Calibri"/>
          <w:b/>
          <w:bCs/>
          <w:rtl/>
        </w:rPr>
        <w:t xml:space="preserve"> 2021 </w:t>
      </w:r>
      <w:r w:rsidRPr="001F2586">
        <w:rPr>
          <w:rFonts w:eastAsia="Calibri" w:hint="eastAsia"/>
          <w:b/>
          <w:bCs/>
          <w:rtl/>
        </w:rPr>
        <w:t>ל</w:t>
      </w:r>
      <w:r w:rsidRPr="001F2586">
        <w:rPr>
          <w:rFonts w:eastAsia="Calibri"/>
          <w:b/>
          <w:bCs/>
          <w:rtl/>
        </w:rPr>
        <w:t xml:space="preserve">-2023 </w:t>
      </w:r>
      <w:r w:rsidRPr="001F2586">
        <w:rPr>
          <w:rFonts w:eastAsia="Calibri" w:hint="eastAsia"/>
          <w:b/>
          <w:bCs/>
          <w:rtl/>
        </w:rPr>
        <w:t>מ</w:t>
      </w:r>
      <w:r w:rsidRPr="001F2586">
        <w:rPr>
          <w:rFonts w:eastAsia="Calibri"/>
          <w:b/>
          <w:bCs/>
          <w:rtl/>
        </w:rPr>
        <w:t xml:space="preserve">-11,968 </w:t>
      </w:r>
      <w:r w:rsidRPr="001F2586">
        <w:rPr>
          <w:rFonts w:eastAsia="Calibri" w:hint="eastAsia"/>
          <w:b/>
          <w:bCs/>
          <w:rtl/>
        </w:rPr>
        <w:t>ל</w:t>
      </w:r>
      <w:r w:rsidRPr="001F2586">
        <w:rPr>
          <w:rFonts w:eastAsia="Calibri"/>
          <w:b/>
          <w:bCs/>
          <w:rtl/>
        </w:rPr>
        <w:t xml:space="preserve">-8,802 (ירידה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-26%) </w:t>
      </w:r>
      <w:r w:rsidRPr="001F2586">
        <w:rPr>
          <w:rFonts w:eastAsia="Calibri" w:hint="eastAsia"/>
          <w:b/>
          <w:bCs/>
          <w:rtl/>
        </w:rPr>
        <w:t>ואילו</w:t>
      </w:r>
      <w:r w:rsidRPr="001F2586">
        <w:rPr>
          <w:rFonts w:eastAsia="Calibri"/>
          <w:b/>
          <w:bCs/>
          <w:rtl/>
        </w:rPr>
        <w:t xml:space="preserve"> </w:t>
      </w:r>
      <w:r w:rsidRPr="001F2586">
        <w:rPr>
          <w:rFonts w:eastAsia="Calibri" w:hint="eastAsia"/>
          <w:b/>
          <w:bCs/>
          <w:rtl/>
        </w:rPr>
        <w:t>בשנת</w:t>
      </w:r>
      <w:r w:rsidRPr="001F2586">
        <w:rPr>
          <w:rFonts w:eastAsia="Calibri"/>
          <w:b/>
          <w:bCs/>
          <w:rtl/>
        </w:rPr>
        <w:t xml:space="preserve"> 2024 </w:t>
      </w:r>
      <w:r w:rsidRPr="001F2586">
        <w:rPr>
          <w:rFonts w:eastAsia="Calibri" w:hint="eastAsia"/>
          <w:b/>
          <w:bCs/>
          <w:rtl/>
        </w:rPr>
        <w:t>עלה</w:t>
      </w:r>
      <w:r w:rsidRPr="001F2586">
        <w:rPr>
          <w:rFonts w:eastAsia="Calibri"/>
          <w:b/>
          <w:bCs/>
          <w:rtl/>
        </w:rPr>
        <w:t xml:space="preserve"> </w:t>
      </w:r>
      <w:r w:rsidRPr="001F2586">
        <w:rPr>
          <w:rFonts w:eastAsia="Calibri" w:hint="eastAsia"/>
          <w:b/>
          <w:bCs/>
          <w:rtl/>
        </w:rPr>
        <w:t>בכ</w:t>
      </w:r>
      <w:r w:rsidRPr="001F2586">
        <w:rPr>
          <w:rFonts w:eastAsia="Calibri"/>
          <w:b/>
          <w:bCs/>
          <w:rtl/>
        </w:rPr>
        <w:t xml:space="preserve">-12% </w:t>
      </w:r>
      <w:r w:rsidRPr="001F2586">
        <w:rPr>
          <w:rFonts w:eastAsia="Calibri" w:hint="eastAsia"/>
          <w:b/>
          <w:bCs/>
          <w:rtl/>
        </w:rPr>
        <w:t>ביחס</w:t>
      </w:r>
      <w:r w:rsidRPr="001F2586">
        <w:rPr>
          <w:rFonts w:eastAsia="Calibri"/>
          <w:b/>
          <w:bCs/>
          <w:rtl/>
        </w:rPr>
        <w:t xml:space="preserve"> </w:t>
      </w:r>
      <w:r w:rsidRPr="001F2586">
        <w:rPr>
          <w:rFonts w:eastAsia="Calibri" w:hint="eastAsia"/>
          <w:b/>
          <w:bCs/>
          <w:rtl/>
        </w:rPr>
        <w:t>לשנת</w:t>
      </w:r>
      <w:r w:rsidRPr="001F2586">
        <w:rPr>
          <w:rFonts w:eastAsia="Calibri"/>
          <w:b/>
          <w:bCs/>
          <w:rtl/>
        </w:rPr>
        <w:t xml:space="preserve"> 2023. </w:t>
      </w:r>
      <w:r w:rsidRPr="001F2586">
        <w:rPr>
          <w:rFonts w:eastAsia="Calibri" w:hint="eastAsia"/>
          <w:b/>
          <w:bCs/>
          <w:rtl/>
        </w:rPr>
        <w:t>עלייה</w:t>
      </w:r>
      <w:r w:rsidRPr="001F2586">
        <w:rPr>
          <w:rFonts w:eastAsia="Calibri"/>
          <w:b/>
          <w:bCs/>
          <w:rtl/>
        </w:rPr>
        <w:t xml:space="preserve"> </w:t>
      </w:r>
      <w:r w:rsidRPr="001F2586">
        <w:rPr>
          <w:rFonts w:eastAsia="Calibri" w:hint="eastAsia"/>
          <w:b/>
          <w:bCs/>
          <w:rtl/>
        </w:rPr>
        <w:t>זו</w:t>
      </w:r>
      <w:r w:rsidRPr="001F2586">
        <w:rPr>
          <w:rFonts w:eastAsia="Calibri"/>
          <w:b/>
          <w:bCs/>
          <w:rtl/>
        </w:rPr>
        <w:t xml:space="preserve"> </w:t>
      </w:r>
      <w:r w:rsidRPr="001F2586">
        <w:rPr>
          <w:rFonts w:eastAsia="Calibri" w:hint="eastAsia"/>
          <w:b/>
          <w:bCs/>
          <w:rtl/>
        </w:rPr>
        <w:t>נבעה</w:t>
      </w:r>
      <w:r w:rsidRPr="001F2586">
        <w:rPr>
          <w:rFonts w:eastAsia="Calibri"/>
          <w:b/>
          <w:bCs/>
          <w:rtl/>
        </w:rPr>
        <w:t xml:space="preserve"> </w:t>
      </w:r>
      <w:r w:rsidRPr="001F2586">
        <w:rPr>
          <w:rFonts w:eastAsia="Calibri" w:hint="eastAsia"/>
          <w:b/>
          <w:bCs/>
          <w:rtl/>
        </w:rPr>
        <w:t>מגידול</w:t>
      </w:r>
      <w:r w:rsidRPr="001F2586">
        <w:rPr>
          <w:rFonts w:eastAsia="Calibri"/>
          <w:b/>
          <w:bCs/>
          <w:rtl/>
        </w:rPr>
        <w:t xml:space="preserve"> </w:t>
      </w:r>
      <w:r w:rsidRPr="001F2586">
        <w:rPr>
          <w:rFonts w:eastAsia="Calibri" w:hint="eastAsia"/>
          <w:b/>
          <w:bCs/>
          <w:rtl/>
        </w:rPr>
        <w:t>חד</w:t>
      </w:r>
      <w:r w:rsidRPr="001F2586">
        <w:rPr>
          <w:rFonts w:eastAsia="Calibri"/>
          <w:b/>
          <w:bCs/>
          <w:rtl/>
        </w:rPr>
        <w:t xml:space="preserve"> </w:t>
      </w:r>
      <w:r w:rsidRPr="001F2586">
        <w:rPr>
          <w:rFonts w:eastAsia="Calibri" w:hint="eastAsia"/>
          <w:b/>
          <w:bCs/>
          <w:rtl/>
        </w:rPr>
        <w:t>בכמות</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שהועמדו</w:t>
      </w:r>
      <w:r w:rsidRPr="001F2586">
        <w:rPr>
          <w:rFonts w:eastAsia="Calibri"/>
          <w:b/>
          <w:bCs/>
          <w:rtl/>
        </w:rPr>
        <w:t xml:space="preserve"> </w:t>
      </w:r>
      <w:r w:rsidRPr="001F2586">
        <w:rPr>
          <w:rFonts w:eastAsia="Calibri" w:hint="eastAsia"/>
          <w:b/>
          <w:bCs/>
          <w:rtl/>
        </w:rPr>
        <w:t>לקבוצת</w:t>
      </w:r>
      <w:r w:rsidRPr="001F2586">
        <w:rPr>
          <w:rFonts w:eastAsia="Calibri"/>
          <w:b/>
          <w:bCs/>
          <w:rtl/>
        </w:rPr>
        <w:t xml:space="preserve"> </w:t>
      </w:r>
      <w:r w:rsidRPr="001F2586">
        <w:rPr>
          <w:rFonts w:eastAsia="Calibri" w:hint="eastAsia"/>
          <w:b/>
          <w:bCs/>
          <w:rtl/>
        </w:rPr>
        <w:t>הלווים</w:t>
      </w:r>
      <w:r w:rsidRPr="001F2586">
        <w:rPr>
          <w:rFonts w:eastAsia="Calibri"/>
          <w:b/>
          <w:bCs/>
          <w:rtl/>
        </w:rPr>
        <w:t xml:space="preserve"> </w:t>
      </w:r>
      <w:r w:rsidRPr="001F2586">
        <w:rPr>
          <w:rFonts w:eastAsia="Calibri" w:hint="eastAsia"/>
          <w:b/>
          <w:bCs/>
          <w:rtl/>
        </w:rPr>
        <w:t>לרכישת</w:t>
      </w:r>
      <w:r w:rsidRPr="001F2586">
        <w:rPr>
          <w:rFonts w:eastAsia="Calibri"/>
          <w:b/>
          <w:bCs/>
          <w:rtl/>
        </w:rPr>
        <w:t xml:space="preserve"> </w:t>
      </w:r>
      <w:r w:rsidRPr="001F2586">
        <w:rPr>
          <w:rFonts w:eastAsia="Calibri" w:hint="eastAsia"/>
          <w:b/>
          <w:bCs/>
          <w:rtl/>
        </w:rPr>
        <w:t>דירה</w:t>
      </w:r>
      <w:r w:rsidRPr="001F2586">
        <w:rPr>
          <w:rFonts w:eastAsia="Calibri"/>
          <w:b/>
          <w:bCs/>
          <w:rtl/>
        </w:rPr>
        <w:t xml:space="preserve"> </w:t>
      </w:r>
      <w:r w:rsidRPr="001F2586">
        <w:rPr>
          <w:rFonts w:eastAsia="Calibri" w:hint="eastAsia"/>
          <w:b/>
          <w:bCs/>
          <w:rtl/>
        </w:rPr>
        <w:t>יד</w:t>
      </w:r>
      <w:r w:rsidRPr="001F2586">
        <w:rPr>
          <w:rFonts w:eastAsia="Calibri"/>
          <w:b/>
          <w:bCs/>
          <w:rtl/>
        </w:rPr>
        <w:t xml:space="preserve">-שנייה. </w:t>
      </w:r>
      <w:r w:rsidRPr="001F2586">
        <w:rPr>
          <w:rFonts w:eastAsia="Calibri" w:hint="eastAsia"/>
          <w:b/>
          <w:bCs/>
          <w:rtl/>
        </w:rPr>
        <w:t>עוד</w:t>
      </w:r>
      <w:r w:rsidRPr="001F2586">
        <w:rPr>
          <w:rFonts w:eastAsia="Calibri"/>
          <w:b/>
          <w:bCs/>
          <w:rtl/>
        </w:rPr>
        <w:t xml:space="preserve"> </w:t>
      </w: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בתרשים</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חלק</w:t>
      </w:r>
      <w:r w:rsidRPr="001F2586">
        <w:rPr>
          <w:rFonts w:eastAsia="Calibri"/>
          <w:b/>
          <w:bCs/>
          <w:rtl/>
        </w:rPr>
        <w:t xml:space="preserve"> </w:t>
      </w:r>
      <w:r w:rsidRPr="001F2586">
        <w:rPr>
          <w:rFonts w:eastAsia="Calibri" w:hint="eastAsia"/>
          <w:b/>
          <w:bCs/>
          <w:rtl/>
        </w:rPr>
        <w:t>ניכר</w:t>
      </w:r>
      <w:r w:rsidRPr="001F2586">
        <w:rPr>
          <w:rFonts w:eastAsia="Calibri"/>
          <w:b/>
          <w:bCs/>
          <w:rtl/>
        </w:rPr>
        <w:t xml:space="preserve"> </w:t>
      </w:r>
      <w:r w:rsidRPr="001F2586">
        <w:rPr>
          <w:rFonts w:eastAsia="Calibri" w:hint="eastAsia"/>
          <w:b/>
          <w:bCs/>
          <w:rtl/>
        </w:rPr>
        <w:t>מהלוואות</w:t>
      </w:r>
      <w:r w:rsidRPr="001F2586">
        <w:rPr>
          <w:rFonts w:eastAsia="Calibri"/>
          <w:b/>
          <w:bCs/>
          <w:rtl/>
        </w:rPr>
        <w:t xml:space="preserve"> </w:t>
      </w:r>
      <w:r w:rsidRPr="001F2586">
        <w:rPr>
          <w:rFonts w:eastAsia="Calibri" w:hint="eastAsia"/>
          <w:b/>
          <w:bCs/>
          <w:rtl/>
        </w:rPr>
        <w:t>לזכאים</w:t>
      </w:r>
      <w:r w:rsidRPr="001F2586">
        <w:rPr>
          <w:rFonts w:eastAsia="Calibri"/>
          <w:b/>
          <w:bCs/>
          <w:rtl/>
        </w:rPr>
        <w:t xml:space="preserve"> (כ-49% </w:t>
      </w:r>
      <w:r w:rsidRPr="001F2586">
        <w:rPr>
          <w:rFonts w:eastAsia="Calibri" w:hint="eastAsia"/>
          <w:b/>
          <w:bCs/>
          <w:rtl/>
        </w:rPr>
        <w:t>בממוצע</w:t>
      </w:r>
      <w:r w:rsidRPr="001F2586">
        <w:rPr>
          <w:rFonts w:eastAsia="Calibri"/>
          <w:b/>
          <w:bCs/>
          <w:rtl/>
        </w:rPr>
        <w:t xml:space="preserve">) </w:t>
      </w:r>
      <w:r w:rsidRPr="001F2586">
        <w:rPr>
          <w:rFonts w:eastAsia="Calibri" w:hint="eastAsia"/>
          <w:b/>
          <w:bCs/>
          <w:rtl/>
        </w:rPr>
        <w:t>מועמדות</w:t>
      </w:r>
      <w:r w:rsidRPr="001F2586">
        <w:rPr>
          <w:rFonts w:eastAsia="Calibri"/>
          <w:b/>
          <w:bCs/>
          <w:rtl/>
        </w:rPr>
        <w:t xml:space="preserve"> </w:t>
      </w:r>
      <w:r w:rsidRPr="001F2586">
        <w:rPr>
          <w:rFonts w:eastAsia="Calibri" w:hint="eastAsia"/>
          <w:b/>
          <w:bCs/>
          <w:rtl/>
        </w:rPr>
        <w:t>במסגרת</w:t>
      </w:r>
      <w:r w:rsidRPr="001F2586">
        <w:rPr>
          <w:rFonts w:eastAsia="Calibri"/>
          <w:b/>
          <w:bCs/>
          <w:rtl/>
        </w:rPr>
        <w:t xml:space="preserve"> </w:t>
      </w:r>
      <w:r w:rsidRPr="001F2586">
        <w:rPr>
          <w:rFonts w:eastAsia="Calibri" w:hint="eastAsia"/>
          <w:b/>
          <w:bCs/>
          <w:rtl/>
        </w:rPr>
        <w:t>פרויקטים</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דירה</w:t>
      </w:r>
      <w:r w:rsidRPr="001F2586">
        <w:rPr>
          <w:rFonts w:eastAsia="Calibri"/>
          <w:b/>
          <w:bCs/>
          <w:rtl/>
        </w:rPr>
        <w:t xml:space="preserve"> </w:t>
      </w:r>
      <w:r w:rsidRPr="001F2586">
        <w:rPr>
          <w:rFonts w:eastAsia="Calibri" w:hint="eastAsia"/>
          <w:b/>
          <w:bCs/>
          <w:rtl/>
        </w:rPr>
        <w:t>בהנחה</w:t>
      </w:r>
      <w:r w:rsidRPr="001F2586">
        <w:rPr>
          <w:rFonts w:eastAsia="Calibri"/>
          <w:b/>
          <w:bCs/>
          <w:rtl/>
        </w:rPr>
        <w:t xml:space="preserve"> </w:t>
      </w:r>
      <w:r w:rsidRPr="001F2586">
        <w:rPr>
          <w:rFonts w:eastAsia="Calibri" w:hint="eastAsia"/>
          <w:b/>
          <w:bCs/>
          <w:rtl/>
        </w:rPr>
        <w:t>ויתר</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מועמדות</w:t>
      </w:r>
      <w:r w:rsidRPr="001F2586">
        <w:rPr>
          <w:rFonts w:eastAsia="Calibri"/>
          <w:b/>
          <w:bCs/>
          <w:rtl/>
        </w:rPr>
        <w:t xml:space="preserve"> </w:t>
      </w:r>
      <w:r w:rsidRPr="001F2586">
        <w:rPr>
          <w:rFonts w:eastAsia="Calibri" w:hint="eastAsia"/>
          <w:b/>
          <w:bCs/>
          <w:rtl/>
        </w:rPr>
        <w:t>לרכישת</w:t>
      </w:r>
      <w:r w:rsidRPr="001F2586">
        <w:rPr>
          <w:rFonts w:eastAsia="Calibri"/>
          <w:b/>
          <w:bCs/>
          <w:rtl/>
        </w:rPr>
        <w:t xml:space="preserve"> </w:t>
      </w:r>
      <w:r w:rsidRPr="001F2586">
        <w:rPr>
          <w:rFonts w:eastAsia="Calibri" w:hint="eastAsia"/>
          <w:b/>
          <w:bCs/>
          <w:rtl/>
        </w:rPr>
        <w:t>דירות</w:t>
      </w:r>
      <w:r w:rsidRPr="001F2586">
        <w:rPr>
          <w:rFonts w:eastAsia="Calibri"/>
          <w:b/>
          <w:bCs/>
          <w:rtl/>
        </w:rPr>
        <w:t xml:space="preserve"> </w:t>
      </w:r>
      <w:r w:rsidRPr="001F2586">
        <w:rPr>
          <w:rFonts w:eastAsia="Calibri" w:hint="eastAsia"/>
          <w:b/>
          <w:bCs/>
          <w:rtl/>
        </w:rPr>
        <w:t>מיד</w:t>
      </w:r>
      <w:r w:rsidRPr="001F2586">
        <w:rPr>
          <w:rFonts w:eastAsia="Calibri"/>
          <w:b/>
          <w:bCs/>
          <w:rtl/>
        </w:rPr>
        <w:t xml:space="preserve"> </w:t>
      </w:r>
      <w:r w:rsidRPr="001F2586">
        <w:rPr>
          <w:rFonts w:eastAsia="Calibri" w:hint="eastAsia"/>
          <w:b/>
          <w:bCs/>
          <w:rtl/>
        </w:rPr>
        <w:t>שנייה</w:t>
      </w:r>
      <w:r w:rsidRPr="001F2586">
        <w:rPr>
          <w:rFonts w:eastAsia="Calibri"/>
          <w:b/>
          <w:bCs/>
          <w:rtl/>
        </w:rPr>
        <w:t xml:space="preserve"> (כ-29% </w:t>
      </w:r>
      <w:r w:rsidRPr="001F2586">
        <w:rPr>
          <w:rFonts w:eastAsia="Calibri" w:hint="eastAsia"/>
          <w:b/>
          <w:bCs/>
          <w:rtl/>
        </w:rPr>
        <w:t>בממוצע</w:t>
      </w:r>
      <w:r w:rsidRPr="001F2586">
        <w:rPr>
          <w:rFonts w:eastAsia="Calibri"/>
          <w:b/>
          <w:bCs/>
          <w:rtl/>
        </w:rPr>
        <w:t xml:space="preserve">), </w:t>
      </w:r>
      <w:r w:rsidRPr="001F2586">
        <w:rPr>
          <w:rFonts w:eastAsia="Calibri" w:hint="eastAsia"/>
          <w:b/>
          <w:bCs/>
          <w:rtl/>
        </w:rPr>
        <w:t>לרכישת</w:t>
      </w:r>
      <w:r w:rsidRPr="001F2586">
        <w:rPr>
          <w:rFonts w:eastAsia="Calibri"/>
          <w:b/>
          <w:bCs/>
          <w:rtl/>
        </w:rPr>
        <w:t xml:space="preserve"> </w:t>
      </w:r>
      <w:r w:rsidRPr="001F2586">
        <w:rPr>
          <w:rFonts w:eastAsia="Calibri" w:hint="eastAsia"/>
          <w:b/>
          <w:bCs/>
          <w:rtl/>
        </w:rPr>
        <w:t>דירות</w:t>
      </w:r>
      <w:r w:rsidRPr="001F2586">
        <w:rPr>
          <w:rFonts w:eastAsia="Calibri"/>
          <w:b/>
          <w:bCs/>
          <w:rtl/>
        </w:rPr>
        <w:t xml:space="preserve"> </w:t>
      </w:r>
      <w:r w:rsidRPr="001F2586">
        <w:rPr>
          <w:rFonts w:eastAsia="Calibri" w:hint="eastAsia"/>
          <w:b/>
          <w:bCs/>
          <w:rtl/>
        </w:rPr>
        <w:t>חדשות</w:t>
      </w:r>
      <w:r w:rsidRPr="001F2586">
        <w:rPr>
          <w:rFonts w:eastAsia="Calibri"/>
          <w:b/>
          <w:bCs/>
          <w:rtl/>
        </w:rPr>
        <w:t xml:space="preserve"> (כ-11% </w:t>
      </w:r>
      <w:r w:rsidRPr="001F2586">
        <w:rPr>
          <w:rFonts w:eastAsia="Calibri" w:hint="eastAsia"/>
          <w:b/>
          <w:bCs/>
          <w:rtl/>
        </w:rPr>
        <w:t>בממוצע</w:t>
      </w:r>
      <w:r w:rsidRPr="001F2586">
        <w:rPr>
          <w:rFonts w:eastAsia="Calibri"/>
          <w:b/>
          <w:bCs/>
          <w:rtl/>
        </w:rPr>
        <w:t xml:space="preserve">) </w:t>
      </w:r>
      <w:r w:rsidRPr="001F2586">
        <w:rPr>
          <w:rFonts w:eastAsia="Calibri" w:hint="eastAsia"/>
          <w:b/>
          <w:bCs/>
          <w:rtl/>
        </w:rPr>
        <w:t>ולבנייה</w:t>
      </w:r>
      <w:r w:rsidRPr="001F2586">
        <w:rPr>
          <w:rFonts w:eastAsia="Calibri"/>
          <w:b/>
          <w:bCs/>
          <w:rtl/>
        </w:rPr>
        <w:t xml:space="preserve"> </w:t>
      </w:r>
      <w:r w:rsidRPr="001F2586">
        <w:rPr>
          <w:rFonts w:eastAsia="Calibri" w:hint="eastAsia"/>
          <w:b/>
          <w:bCs/>
          <w:rtl/>
        </w:rPr>
        <w:t>עצמית</w:t>
      </w:r>
      <w:r w:rsidRPr="001F2586">
        <w:rPr>
          <w:rFonts w:eastAsia="Calibri"/>
          <w:b/>
          <w:bCs/>
          <w:rtl/>
        </w:rPr>
        <w:t xml:space="preserve"> (כ-5% </w:t>
      </w:r>
      <w:r w:rsidRPr="001F2586">
        <w:rPr>
          <w:rFonts w:eastAsia="Calibri" w:hint="eastAsia"/>
          <w:b/>
          <w:bCs/>
          <w:rtl/>
        </w:rPr>
        <w:t>בממוצע</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הביקורת העלתה כי משרד הבינוי והשיכון אינו עוקב אחר נתוני התפלגות מממשי הלוואות לזכאים בחלוקה לאזורי מימוש. מידע כאמור יכול לעזור בבחינת הצורך בהתאמת</w:t>
      </w:r>
      <w:r w:rsidRPr="001F2586">
        <w:rPr>
          <w:rFonts w:eastAsia="Calibri"/>
          <w:b/>
          <w:bCs/>
          <w:rtl/>
        </w:rPr>
        <w:t xml:space="preserve"> ה</w:t>
      </w:r>
      <w:r w:rsidRPr="001F2586">
        <w:rPr>
          <w:rFonts w:eastAsia="Calibri" w:hint="cs"/>
          <w:b/>
          <w:bCs/>
          <w:rtl/>
        </w:rPr>
        <w:t>סיוע</w:t>
      </w:r>
      <w:r w:rsidRPr="001F2586">
        <w:rPr>
          <w:rFonts w:eastAsia="Calibri"/>
          <w:b/>
          <w:bCs/>
          <w:rtl/>
        </w:rPr>
        <w:t xml:space="preserve"> </w:t>
      </w:r>
      <w:r w:rsidRPr="001F2586">
        <w:rPr>
          <w:rFonts w:eastAsia="Calibri" w:hint="cs"/>
          <w:b/>
          <w:bCs/>
          <w:rtl/>
        </w:rPr>
        <w:t>הניתן מכספי ציבור כדי לתמוך באוכלוסיות ראויות לקידום ובהתאם ליעדי הסיוע</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מומלץ כי משרד הבינוי והשיכון יבצע מעקב אחר התפלגות אזורי מימוש הלוואות לזכאים כדי לבחון את הצורך בשינוי המתווה לתמיכה באוכלוסיות ראויות לקידום.</w:t>
      </w:r>
    </w:p>
    <w:p w:rsidR="001F2586" w:rsidRPr="001F2586" w:rsidP="001F2586">
      <w:pPr>
        <w:spacing w:line="269" w:lineRule="auto"/>
        <w:rPr>
          <w:rFonts w:eastAsia="Calibri"/>
          <w:b/>
          <w:bCs/>
          <w:rtl/>
        </w:rPr>
      </w:pPr>
    </w:p>
    <w:p w:rsidR="001F2586" w:rsidRPr="001F2586" w:rsidP="001F2586">
      <w:pPr>
        <w:spacing w:line="269" w:lineRule="auto"/>
        <w:rPr>
          <w:rFonts w:eastAsia="Calibri"/>
          <w:rtl/>
        </w:rPr>
      </w:pPr>
      <w:r w:rsidRPr="001F2586">
        <w:rPr>
          <w:rFonts w:eastAsia="Calibri" w:hint="cs"/>
          <w:rtl/>
        </w:rPr>
        <w:t>משרד הבינוי והשיכון ציין בתשובתו כי למשרד קיימים נתונים רבים ומפורטים בנושא והמשרד מבצע מעקב שוטף באמצעות מערכות המידע וה-</w:t>
      </w:r>
      <w:r w:rsidRPr="001F2586">
        <w:rPr>
          <w:rFonts w:eastAsia="Calibri" w:hint="cs"/>
        </w:rPr>
        <w:t>BI</w:t>
      </w:r>
      <w:r w:rsidRPr="001F2586">
        <w:rPr>
          <w:rFonts w:eastAsia="Calibri" w:hint="cs"/>
          <w:rtl/>
        </w:rPr>
        <w:t xml:space="preserve"> המשרדיות. בין היתר, מצויים בידי המשרד נתונים בדבר יישוב הרכישה, מחיר הדירה, גודל משק הבית, גיל המבקשים ומאפיינים נוספים והמידע נגיש לצורכי בקרה, ניתוח וקבלת החלטות.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בעקבות</w:t>
      </w:r>
      <w:r w:rsidRPr="001F2586">
        <w:rPr>
          <w:rFonts w:eastAsia="Calibri"/>
          <w:b/>
          <w:bCs/>
          <w:rtl/>
        </w:rPr>
        <w:t xml:space="preserve"> </w:t>
      </w:r>
      <w:r w:rsidRPr="001F2586">
        <w:rPr>
          <w:rFonts w:eastAsia="Calibri" w:hint="eastAsia"/>
          <w:b/>
          <w:bCs/>
          <w:rtl/>
        </w:rPr>
        <w:t>מלחמת</w:t>
      </w:r>
      <w:r w:rsidRPr="001F2586">
        <w:rPr>
          <w:rFonts w:eastAsia="Calibri"/>
          <w:b/>
          <w:bCs/>
          <w:rtl/>
        </w:rPr>
        <w:t xml:space="preserve"> 'חרבות </w:t>
      </w:r>
      <w:r w:rsidRPr="001F2586">
        <w:rPr>
          <w:rFonts w:eastAsia="Calibri" w:hint="eastAsia"/>
          <w:b/>
          <w:bCs/>
          <w:rtl/>
        </w:rPr>
        <w:t>ברזל</w:t>
      </w:r>
      <w:r w:rsidRPr="001F2586">
        <w:rPr>
          <w:rFonts w:eastAsia="Calibri"/>
          <w:b/>
          <w:bCs/>
          <w:rtl/>
        </w:rPr>
        <w:t xml:space="preserve">' </w:t>
      </w:r>
      <w:r w:rsidRPr="001F2586">
        <w:rPr>
          <w:rFonts w:eastAsia="Calibri" w:hint="eastAsia"/>
          <w:b/>
          <w:bCs/>
          <w:rtl/>
        </w:rPr>
        <w:t>נדרשה</w:t>
      </w:r>
      <w:r w:rsidRPr="001F2586">
        <w:rPr>
          <w:rFonts w:eastAsia="Calibri"/>
          <w:b/>
          <w:bCs/>
          <w:rtl/>
        </w:rPr>
        <w:t xml:space="preserve"> </w:t>
      </w:r>
      <w:r w:rsidRPr="001F2586">
        <w:rPr>
          <w:rFonts w:eastAsia="Calibri" w:hint="eastAsia"/>
          <w:b/>
          <w:bCs/>
          <w:rtl/>
        </w:rPr>
        <w:t>המדינה</w:t>
      </w:r>
      <w:r w:rsidRPr="001F2586">
        <w:rPr>
          <w:rFonts w:eastAsia="Calibri"/>
          <w:b/>
          <w:bCs/>
          <w:rtl/>
        </w:rPr>
        <w:t xml:space="preserve"> </w:t>
      </w:r>
      <w:r w:rsidRPr="001F2586">
        <w:rPr>
          <w:rFonts w:eastAsia="Calibri" w:hint="eastAsia"/>
          <w:b/>
          <w:bCs/>
          <w:rtl/>
        </w:rPr>
        <w:t>לקדם</w:t>
      </w:r>
      <w:r w:rsidRPr="001F2586">
        <w:rPr>
          <w:rFonts w:eastAsia="Calibri"/>
          <w:b/>
          <w:bCs/>
          <w:rtl/>
        </w:rPr>
        <w:t xml:space="preserve"> </w:t>
      </w:r>
      <w:r w:rsidRPr="001F2586">
        <w:rPr>
          <w:rFonts w:eastAsia="Calibri" w:hint="eastAsia"/>
          <w:b/>
          <w:bCs/>
          <w:rtl/>
        </w:rPr>
        <w:t>פעולות</w:t>
      </w:r>
      <w:r w:rsidRPr="001F2586">
        <w:rPr>
          <w:rFonts w:eastAsia="Calibri"/>
          <w:b/>
          <w:bCs/>
          <w:rtl/>
        </w:rPr>
        <w:t xml:space="preserve"> </w:t>
      </w:r>
      <w:r w:rsidRPr="001F2586">
        <w:rPr>
          <w:rFonts w:eastAsia="Calibri" w:hint="eastAsia"/>
          <w:b/>
          <w:bCs/>
          <w:rtl/>
        </w:rPr>
        <w:t>לשיקום</w:t>
      </w:r>
      <w:r w:rsidRPr="001F2586">
        <w:rPr>
          <w:rFonts w:eastAsia="Calibri"/>
          <w:b/>
          <w:bCs/>
          <w:rtl/>
        </w:rPr>
        <w:t xml:space="preserve"> </w:t>
      </w:r>
      <w:r w:rsidRPr="001F2586">
        <w:rPr>
          <w:rFonts w:eastAsia="Calibri" w:hint="eastAsia"/>
          <w:b/>
          <w:bCs/>
          <w:rtl/>
        </w:rPr>
        <w:t>אזור</w:t>
      </w:r>
      <w:r w:rsidRPr="001F2586">
        <w:rPr>
          <w:rFonts w:eastAsia="Calibri"/>
          <w:b/>
          <w:bCs/>
          <w:rtl/>
        </w:rPr>
        <w:t xml:space="preserve"> </w:t>
      </w:r>
      <w:r w:rsidRPr="001F2586">
        <w:rPr>
          <w:rFonts w:eastAsia="Calibri" w:hint="eastAsia"/>
          <w:b/>
          <w:bCs/>
          <w:rtl/>
        </w:rPr>
        <w:t>הצפון</w:t>
      </w:r>
      <w:r w:rsidRPr="001F2586">
        <w:rPr>
          <w:rFonts w:eastAsia="Calibri"/>
          <w:b/>
          <w:bCs/>
          <w:rtl/>
        </w:rPr>
        <w:t xml:space="preserve">. </w:t>
      </w:r>
      <w:r w:rsidRPr="001F2586">
        <w:rPr>
          <w:rFonts w:eastAsia="Calibri" w:hint="eastAsia"/>
          <w:b/>
          <w:bCs/>
          <w:rtl/>
        </w:rPr>
        <w:t>בהחלטת</w:t>
      </w:r>
      <w:r w:rsidRPr="001F2586">
        <w:rPr>
          <w:rFonts w:eastAsia="Calibri"/>
          <w:b/>
          <w:bCs/>
          <w:rtl/>
        </w:rPr>
        <w:t xml:space="preserve"> </w:t>
      </w:r>
      <w:r w:rsidRPr="001F2586">
        <w:rPr>
          <w:rFonts w:eastAsia="Calibri" w:hint="eastAsia"/>
          <w:b/>
          <w:bCs/>
          <w:rtl/>
        </w:rPr>
        <w:t>ממשלה</w:t>
      </w:r>
      <w:r w:rsidRPr="001F2586">
        <w:rPr>
          <w:rFonts w:eastAsia="Calibri"/>
          <w:b/>
          <w:bCs/>
          <w:rtl/>
        </w:rPr>
        <w:t xml:space="preserve"> </w:t>
      </w:r>
      <w:r w:rsidRPr="001F2586">
        <w:rPr>
          <w:rFonts w:eastAsia="Calibri" w:hint="eastAsia"/>
          <w:b/>
          <w:bCs/>
          <w:rtl/>
        </w:rPr>
        <w:t>מיום</w:t>
      </w:r>
      <w:r w:rsidRPr="001F2586">
        <w:rPr>
          <w:rFonts w:eastAsia="Calibri"/>
          <w:b/>
          <w:bCs/>
          <w:rtl/>
        </w:rPr>
        <w:t xml:space="preserve"> 31.10.24</w:t>
      </w:r>
      <w:r>
        <w:rPr>
          <w:rFonts w:eastAsia="Calibri"/>
          <w:b/>
          <w:bCs/>
          <w:vertAlign w:val="superscript"/>
          <w:rtl/>
        </w:rPr>
        <w:footnoteReference w:id="374"/>
      </w:r>
      <w:r w:rsidRPr="001F2586">
        <w:rPr>
          <w:rFonts w:eastAsia="Calibri"/>
          <w:b/>
          <w:bCs/>
          <w:rtl/>
        </w:rPr>
        <w:t xml:space="preserve"> נקבע בין היתר על קידום הצעה מפורטת לתוכנית רב-שנתית לשיקום ולפיתוח הצפון בעלות תקציבית של 15 מיליארד ש"ח, שתכלול את פירוט המקורות לתוכנית </w:t>
      </w:r>
      <w:r w:rsidRPr="001F2586">
        <w:rPr>
          <w:rFonts w:eastAsia="Calibri" w:hint="eastAsia"/>
          <w:b/>
          <w:bCs/>
          <w:rtl/>
        </w:rPr>
        <w:t>והשימוש</w:t>
      </w:r>
      <w:r w:rsidRPr="001F2586">
        <w:rPr>
          <w:rFonts w:eastAsia="Calibri"/>
          <w:b/>
          <w:bCs/>
          <w:rtl/>
        </w:rPr>
        <w:t xml:space="preserve"> </w:t>
      </w:r>
      <w:r w:rsidRPr="001F2586">
        <w:rPr>
          <w:rFonts w:eastAsia="Calibri" w:hint="eastAsia"/>
          <w:b/>
          <w:bCs/>
          <w:rtl/>
        </w:rPr>
        <w:t>בהם</w:t>
      </w:r>
      <w:r w:rsidRPr="001F2586">
        <w:rPr>
          <w:rFonts w:eastAsia="Calibri"/>
          <w:b/>
          <w:bCs/>
          <w:rtl/>
        </w:rPr>
        <w:t xml:space="preserve"> </w:t>
      </w:r>
      <w:r w:rsidRPr="001F2586">
        <w:rPr>
          <w:rFonts w:eastAsia="Calibri" w:hint="eastAsia"/>
          <w:b/>
          <w:bCs/>
          <w:rtl/>
        </w:rPr>
        <w:t>בשים</w:t>
      </w:r>
      <w:r w:rsidRPr="001F2586">
        <w:rPr>
          <w:rFonts w:eastAsia="Calibri"/>
          <w:b/>
          <w:bCs/>
          <w:rtl/>
        </w:rPr>
        <w:t xml:space="preserve"> </w:t>
      </w:r>
      <w:r w:rsidRPr="001F2586">
        <w:rPr>
          <w:rFonts w:eastAsia="Calibri" w:hint="eastAsia"/>
          <w:b/>
          <w:bCs/>
          <w:rtl/>
        </w:rPr>
        <w:t>לב</w:t>
      </w:r>
      <w:r w:rsidRPr="001F2586">
        <w:rPr>
          <w:rFonts w:eastAsia="Calibri"/>
          <w:b/>
          <w:bCs/>
          <w:rtl/>
        </w:rPr>
        <w:t xml:space="preserve"> </w:t>
      </w:r>
      <w:r w:rsidRPr="001F2586">
        <w:rPr>
          <w:rFonts w:eastAsia="Calibri" w:hint="eastAsia"/>
          <w:b/>
          <w:bCs/>
          <w:rtl/>
        </w:rPr>
        <w:t>למרחק</w:t>
      </w:r>
      <w:r w:rsidRPr="001F2586">
        <w:rPr>
          <w:rFonts w:eastAsia="Calibri"/>
          <w:b/>
          <w:bCs/>
          <w:rtl/>
        </w:rPr>
        <w:t xml:space="preserve"> </w:t>
      </w:r>
      <w:r w:rsidRPr="001F2586">
        <w:rPr>
          <w:rFonts w:eastAsia="Calibri" w:hint="eastAsia"/>
          <w:b/>
          <w:bCs/>
          <w:rtl/>
        </w:rPr>
        <w:t>מהגבול</w:t>
      </w:r>
      <w:r w:rsidRPr="001F2586">
        <w:rPr>
          <w:rFonts w:eastAsia="Calibri"/>
          <w:b/>
          <w:bCs/>
          <w:rtl/>
        </w:rPr>
        <w:t xml:space="preserve">. </w:t>
      </w:r>
      <w:r w:rsidRPr="001F2586">
        <w:rPr>
          <w:rFonts w:eastAsia="Calibri" w:hint="eastAsia"/>
          <w:b/>
          <w:bCs/>
          <w:rtl/>
        </w:rPr>
        <w:t>בהחלטת</w:t>
      </w:r>
      <w:r w:rsidRPr="001F2586">
        <w:rPr>
          <w:rFonts w:eastAsia="Calibri"/>
          <w:b/>
          <w:bCs/>
          <w:rtl/>
        </w:rPr>
        <w:t xml:space="preserve"> </w:t>
      </w:r>
      <w:r w:rsidRPr="001F2586">
        <w:rPr>
          <w:rFonts w:eastAsia="Calibri" w:hint="eastAsia"/>
          <w:b/>
          <w:bCs/>
          <w:rtl/>
        </w:rPr>
        <w:t>ממשלה</w:t>
      </w:r>
      <w:r w:rsidRPr="001F2586">
        <w:rPr>
          <w:rFonts w:eastAsia="Calibri"/>
          <w:b/>
          <w:bCs/>
          <w:rtl/>
        </w:rPr>
        <w:t xml:space="preserve"> </w:t>
      </w:r>
      <w:r w:rsidRPr="001F2586">
        <w:rPr>
          <w:rFonts w:eastAsia="Calibri" w:hint="eastAsia"/>
          <w:b/>
          <w:bCs/>
          <w:rtl/>
        </w:rPr>
        <w:t>מיום</w:t>
      </w:r>
      <w:r w:rsidRPr="001F2586">
        <w:rPr>
          <w:rFonts w:eastAsia="Calibri"/>
          <w:b/>
          <w:bCs/>
          <w:rtl/>
        </w:rPr>
        <w:t xml:space="preserve"> 20.7.25</w:t>
      </w:r>
      <w:r>
        <w:rPr>
          <w:rFonts w:eastAsia="Calibri"/>
          <w:b/>
          <w:bCs/>
          <w:vertAlign w:val="superscript"/>
          <w:rtl/>
        </w:rPr>
        <w:footnoteReference w:id="375"/>
      </w:r>
      <w:r w:rsidRPr="001F2586">
        <w:rPr>
          <w:rFonts w:eastAsia="Calibri"/>
          <w:b/>
          <w:bCs/>
          <w:rtl/>
        </w:rPr>
        <w:t xml:space="preserve"> הוחלט להכריז על אזור הצפון הסמוך לגבול לבנון כאזור עדיפות לאומית לשנים 2025 - 2026 ולאשר תוכנית סיוע כלכלית לאזור בסך של כ-610 מיליוני ש"ח</w:t>
      </w:r>
      <w:r>
        <w:rPr>
          <w:rFonts w:eastAsia="Calibri"/>
          <w:b/>
          <w:bCs/>
          <w:vertAlign w:val="superscript"/>
          <w:rtl/>
        </w:rPr>
        <w:footnoteReference w:id="376"/>
      </w:r>
      <w:r w:rsidRPr="001F2586">
        <w:rPr>
          <w:rFonts w:eastAsia="Calibri"/>
          <w:b/>
          <w:bCs/>
          <w:rtl/>
        </w:rPr>
        <w:t xml:space="preserve">. </w:t>
      </w:r>
      <w:r w:rsidRPr="001F2586">
        <w:rPr>
          <w:rFonts w:eastAsia="Calibri" w:hint="eastAsia"/>
          <w:b/>
          <w:bCs/>
          <w:rtl/>
        </w:rPr>
        <w:t>זאת</w:t>
      </w:r>
      <w:r w:rsidRPr="001F2586">
        <w:rPr>
          <w:rFonts w:eastAsia="Calibri"/>
          <w:b/>
          <w:bCs/>
          <w:rtl/>
        </w:rPr>
        <w:t xml:space="preserve"> </w:t>
      </w:r>
      <w:r w:rsidRPr="001F2586">
        <w:rPr>
          <w:rFonts w:eastAsia="Calibri" w:hint="eastAsia"/>
          <w:b/>
          <w:bCs/>
          <w:rtl/>
        </w:rPr>
        <w:t>כדי</w:t>
      </w:r>
      <w:r w:rsidRPr="001F2586">
        <w:rPr>
          <w:rFonts w:eastAsia="Calibri"/>
          <w:b/>
          <w:bCs/>
          <w:rtl/>
        </w:rPr>
        <w:t xml:space="preserve"> </w:t>
      </w:r>
      <w:r w:rsidRPr="001F2586">
        <w:rPr>
          <w:rFonts w:eastAsia="Calibri" w:hint="eastAsia"/>
          <w:b/>
          <w:bCs/>
          <w:rtl/>
        </w:rPr>
        <w:t>להביא</w:t>
      </w:r>
      <w:r w:rsidRPr="001F2586">
        <w:rPr>
          <w:rFonts w:eastAsia="Calibri"/>
          <w:b/>
          <w:bCs/>
          <w:rtl/>
        </w:rPr>
        <w:t xml:space="preserve"> </w:t>
      </w:r>
      <w:r w:rsidRPr="001F2586">
        <w:rPr>
          <w:rFonts w:eastAsia="Calibri" w:hint="eastAsia"/>
          <w:b/>
          <w:bCs/>
          <w:rtl/>
        </w:rPr>
        <w:t>להאצה</w:t>
      </w:r>
      <w:r w:rsidRPr="001F2586">
        <w:rPr>
          <w:rFonts w:eastAsia="Calibri"/>
          <w:b/>
          <w:bCs/>
          <w:rtl/>
        </w:rPr>
        <w:t xml:space="preserve"> </w:t>
      </w:r>
      <w:r w:rsidRPr="001F2586">
        <w:rPr>
          <w:rFonts w:eastAsia="Calibri" w:hint="eastAsia"/>
          <w:b/>
          <w:bCs/>
          <w:rtl/>
        </w:rPr>
        <w:t>ופיתוח</w:t>
      </w:r>
      <w:r w:rsidRPr="001F2586">
        <w:rPr>
          <w:rFonts w:eastAsia="Calibri"/>
          <w:b/>
          <w:bCs/>
          <w:rtl/>
        </w:rPr>
        <w:t xml:space="preserve"> </w:t>
      </w:r>
      <w:r w:rsidRPr="001F2586">
        <w:rPr>
          <w:rFonts w:eastAsia="Calibri" w:hint="eastAsia"/>
          <w:b/>
          <w:bCs/>
          <w:rtl/>
        </w:rPr>
        <w:t>כלכלי</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אזור</w:t>
      </w:r>
      <w:r w:rsidRPr="001F2586">
        <w:rPr>
          <w:rFonts w:eastAsia="Calibri"/>
          <w:b/>
          <w:bCs/>
          <w:rtl/>
        </w:rPr>
        <w:t xml:space="preserve"> </w:t>
      </w:r>
      <w:r w:rsidRPr="001F2586">
        <w:rPr>
          <w:rFonts w:eastAsia="Calibri" w:hint="eastAsia"/>
          <w:b/>
          <w:bCs/>
          <w:rtl/>
        </w:rPr>
        <w:t>הצפון</w:t>
      </w:r>
      <w:r w:rsidRPr="001F2586">
        <w:rPr>
          <w:rFonts w:eastAsia="Calibri"/>
          <w:b/>
          <w:bCs/>
          <w:rtl/>
        </w:rPr>
        <w:t xml:space="preserve"> </w:t>
      </w:r>
      <w:r w:rsidRPr="001F2586">
        <w:rPr>
          <w:rFonts w:eastAsia="Calibri" w:hint="eastAsia"/>
          <w:b/>
          <w:bCs/>
          <w:rtl/>
        </w:rPr>
        <w:t>הסמוך</w:t>
      </w:r>
      <w:r w:rsidRPr="001F2586">
        <w:rPr>
          <w:rFonts w:eastAsia="Calibri"/>
          <w:b/>
          <w:bCs/>
          <w:rtl/>
        </w:rPr>
        <w:t xml:space="preserve"> </w:t>
      </w:r>
      <w:r w:rsidRPr="001F2586">
        <w:rPr>
          <w:rFonts w:eastAsia="Calibri" w:hint="eastAsia"/>
          <w:b/>
          <w:bCs/>
          <w:rtl/>
        </w:rPr>
        <w:t>לגבול</w:t>
      </w:r>
      <w:r w:rsidRPr="001F2586">
        <w:rPr>
          <w:rFonts w:eastAsia="Calibri"/>
          <w:b/>
          <w:bCs/>
          <w:rtl/>
        </w:rPr>
        <w:t xml:space="preserve"> </w:t>
      </w:r>
      <w:r w:rsidRPr="001F2586">
        <w:rPr>
          <w:rFonts w:eastAsia="Calibri" w:hint="eastAsia"/>
          <w:b/>
          <w:bCs/>
          <w:rtl/>
        </w:rPr>
        <w:t>וכן</w:t>
      </w:r>
      <w:r w:rsidRPr="001F2586">
        <w:rPr>
          <w:rFonts w:eastAsia="Calibri"/>
          <w:b/>
          <w:bCs/>
          <w:rtl/>
        </w:rPr>
        <w:t xml:space="preserve"> </w:t>
      </w:r>
      <w:r w:rsidRPr="001F2586">
        <w:rPr>
          <w:rFonts w:eastAsia="Calibri" w:hint="eastAsia"/>
          <w:b/>
          <w:bCs/>
          <w:rtl/>
        </w:rPr>
        <w:t>לצמיחה</w:t>
      </w:r>
      <w:r w:rsidRPr="001F2586">
        <w:rPr>
          <w:rFonts w:eastAsia="Calibri"/>
          <w:b/>
          <w:bCs/>
          <w:rtl/>
        </w:rPr>
        <w:t xml:space="preserve"> </w:t>
      </w:r>
      <w:r w:rsidRPr="001F2586">
        <w:rPr>
          <w:rFonts w:eastAsia="Calibri" w:hint="eastAsia"/>
          <w:b/>
          <w:bCs/>
          <w:rtl/>
        </w:rPr>
        <w:t>כלכלית</w:t>
      </w:r>
      <w:r w:rsidRPr="001F2586">
        <w:rPr>
          <w:rFonts w:eastAsia="Calibri"/>
          <w:b/>
          <w:bCs/>
          <w:rtl/>
        </w:rPr>
        <w:t xml:space="preserve"> </w:t>
      </w:r>
      <w:r w:rsidRPr="001F2586">
        <w:rPr>
          <w:rFonts w:eastAsia="Calibri" w:hint="eastAsia"/>
          <w:b/>
          <w:bCs/>
          <w:rtl/>
        </w:rPr>
        <w:t>משמעותית</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התעשייה</w:t>
      </w:r>
      <w:r w:rsidRPr="001F2586">
        <w:rPr>
          <w:rFonts w:eastAsia="Calibri"/>
          <w:b/>
          <w:bCs/>
          <w:rtl/>
        </w:rPr>
        <w:t xml:space="preserve"> </w:t>
      </w:r>
      <w:r w:rsidRPr="001F2586">
        <w:rPr>
          <w:rFonts w:eastAsia="Calibri" w:hint="eastAsia"/>
          <w:b/>
          <w:bCs/>
          <w:rtl/>
        </w:rPr>
        <w:t>והעסקים</w:t>
      </w:r>
      <w:r w:rsidRPr="001F2586">
        <w:rPr>
          <w:rFonts w:eastAsia="Calibri"/>
          <w:b/>
          <w:bCs/>
          <w:rtl/>
        </w:rPr>
        <w:t xml:space="preserve"> </w:t>
      </w:r>
      <w:r w:rsidRPr="001F2586">
        <w:rPr>
          <w:rFonts w:eastAsia="Calibri" w:hint="eastAsia"/>
          <w:b/>
          <w:bCs/>
          <w:rtl/>
        </w:rPr>
        <w:t>באמצעות</w:t>
      </w:r>
      <w:r w:rsidRPr="001F2586">
        <w:rPr>
          <w:rFonts w:eastAsia="Calibri"/>
          <w:b/>
          <w:bCs/>
          <w:rtl/>
        </w:rPr>
        <w:t xml:space="preserve">, </w:t>
      </w:r>
      <w:r w:rsidRPr="001F2586">
        <w:rPr>
          <w:rFonts w:eastAsia="Calibri" w:hint="eastAsia"/>
          <w:b/>
          <w:bCs/>
          <w:rtl/>
        </w:rPr>
        <w:t>בין</w:t>
      </w:r>
      <w:r w:rsidRPr="001F2586">
        <w:rPr>
          <w:rFonts w:eastAsia="Calibri"/>
          <w:b/>
          <w:bCs/>
          <w:rtl/>
        </w:rPr>
        <w:t xml:space="preserve"> </w:t>
      </w:r>
      <w:r w:rsidRPr="001F2586">
        <w:rPr>
          <w:rFonts w:eastAsia="Calibri" w:hint="eastAsia"/>
          <w:b/>
          <w:bCs/>
          <w:rtl/>
        </w:rPr>
        <w:t>היתר</w:t>
      </w:r>
      <w:r w:rsidRPr="001F2586">
        <w:rPr>
          <w:rFonts w:eastAsia="Calibri"/>
          <w:b/>
          <w:bCs/>
          <w:rtl/>
        </w:rPr>
        <w:t xml:space="preserve">, </w:t>
      </w:r>
      <w:r w:rsidRPr="001F2586">
        <w:rPr>
          <w:rFonts w:eastAsia="Calibri" w:hint="eastAsia"/>
          <w:b/>
          <w:bCs/>
          <w:rtl/>
        </w:rPr>
        <w:t>משיכת</w:t>
      </w:r>
      <w:r w:rsidRPr="001F2586">
        <w:rPr>
          <w:rFonts w:eastAsia="Calibri"/>
          <w:b/>
          <w:bCs/>
          <w:rtl/>
        </w:rPr>
        <w:t xml:space="preserve"> </w:t>
      </w:r>
      <w:r w:rsidRPr="001F2586">
        <w:rPr>
          <w:rFonts w:eastAsia="Calibri" w:hint="eastAsia"/>
          <w:b/>
          <w:bCs/>
          <w:rtl/>
        </w:rPr>
        <w:t>קרקעות</w:t>
      </w:r>
      <w:r w:rsidRPr="001F2586">
        <w:rPr>
          <w:rFonts w:eastAsia="Calibri"/>
          <w:b/>
          <w:bCs/>
          <w:rtl/>
        </w:rPr>
        <w:t xml:space="preserve">, </w:t>
      </w:r>
      <w:r w:rsidRPr="001F2586">
        <w:rPr>
          <w:rFonts w:eastAsia="Calibri" w:hint="eastAsia"/>
          <w:b/>
          <w:bCs/>
          <w:rtl/>
        </w:rPr>
        <w:t>חיזוק</w:t>
      </w:r>
      <w:r w:rsidRPr="001F2586">
        <w:rPr>
          <w:rFonts w:eastAsia="Calibri"/>
          <w:b/>
          <w:bCs/>
          <w:rtl/>
        </w:rPr>
        <w:t xml:space="preserve"> </w:t>
      </w:r>
      <w:r w:rsidRPr="001F2586">
        <w:rPr>
          <w:rFonts w:eastAsia="Calibri" w:hint="eastAsia"/>
          <w:b/>
          <w:bCs/>
          <w:rtl/>
        </w:rPr>
        <w:t>ההון</w:t>
      </w:r>
      <w:r w:rsidRPr="001F2586">
        <w:rPr>
          <w:rFonts w:eastAsia="Calibri"/>
          <w:b/>
          <w:bCs/>
          <w:rtl/>
        </w:rPr>
        <w:t xml:space="preserve"> </w:t>
      </w:r>
      <w:r w:rsidRPr="001F2586">
        <w:rPr>
          <w:rFonts w:eastAsia="Calibri" w:hint="eastAsia"/>
          <w:b/>
          <w:bCs/>
          <w:rtl/>
        </w:rPr>
        <w:t>האנושי</w:t>
      </w:r>
      <w:r w:rsidRPr="001F2586">
        <w:rPr>
          <w:rFonts w:eastAsia="Calibri"/>
          <w:b/>
          <w:bCs/>
          <w:rtl/>
        </w:rPr>
        <w:t xml:space="preserve">, </w:t>
      </w:r>
      <w:r w:rsidRPr="001F2586">
        <w:rPr>
          <w:rFonts w:eastAsia="Calibri" w:hint="eastAsia"/>
          <w:b/>
          <w:bCs/>
          <w:rtl/>
        </w:rPr>
        <w:t>החזרת</w:t>
      </w:r>
      <w:r w:rsidRPr="001F2586">
        <w:rPr>
          <w:rFonts w:eastAsia="Calibri"/>
          <w:b/>
          <w:bCs/>
          <w:rtl/>
        </w:rPr>
        <w:t xml:space="preserve"> </w:t>
      </w:r>
      <w:r w:rsidRPr="001F2586">
        <w:rPr>
          <w:rFonts w:eastAsia="Calibri" w:hint="eastAsia"/>
          <w:b/>
          <w:bCs/>
          <w:rtl/>
        </w:rPr>
        <w:t>פעילות</w:t>
      </w:r>
      <w:r w:rsidRPr="001F2586">
        <w:rPr>
          <w:rFonts w:eastAsia="Calibri"/>
          <w:b/>
          <w:bCs/>
          <w:rtl/>
        </w:rPr>
        <w:t xml:space="preserve"> </w:t>
      </w:r>
      <w:r w:rsidRPr="001F2586">
        <w:rPr>
          <w:rFonts w:eastAsia="Calibri" w:hint="eastAsia"/>
          <w:b/>
          <w:bCs/>
          <w:rtl/>
        </w:rPr>
        <w:t>עסקית</w:t>
      </w:r>
      <w:r w:rsidRPr="001F2586">
        <w:rPr>
          <w:rFonts w:eastAsia="Calibri"/>
          <w:b/>
          <w:bCs/>
          <w:rtl/>
        </w:rPr>
        <w:t xml:space="preserve">, </w:t>
      </w:r>
      <w:r w:rsidRPr="001F2586">
        <w:rPr>
          <w:rFonts w:eastAsia="Calibri" w:hint="eastAsia"/>
          <w:b/>
          <w:bCs/>
          <w:rtl/>
        </w:rPr>
        <w:t>העלאת</w:t>
      </w:r>
      <w:r w:rsidRPr="001F2586">
        <w:rPr>
          <w:rFonts w:eastAsia="Calibri"/>
          <w:b/>
          <w:bCs/>
          <w:rtl/>
        </w:rPr>
        <w:t xml:space="preserve"> </w:t>
      </w:r>
      <w:r w:rsidRPr="001F2586">
        <w:rPr>
          <w:rFonts w:eastAsia="Calibri" w:hint="eastAsia"/>
          <w:b/>
          <w:bCs/>
          <w:rtl/>
        </w:rPr>
        <w:t>פריון</w:t>
      </w:r>
      <w:r w:rsidRPr="001F2586">
        <w:rPr>
          <w:rFonts w:eastAsia="Calibri"/>
          <w:b/>
          <w:bCs/>
          <w:rtl/>
        </w:rPr>
        <w:t xml:space="preserve"> </w:t>
      </w:r>
      <w:r w:rsidRPr="001F2586">
        <w:rPr>
          <w:rFonts w:eastAsia="Calibri" w:hint="eastAsia"/>
          <w:b/>
          <w:bCs/>
          <w:rtl/>
        </w:rPr>
        <w:t>ופיתוח</w:t>
      </w:r>
      <w:r w:rsidRPr="001F2586">
        <w:rPr>
          <w:rFonts w:eastAsia="Calibri"/>
          <w:b/>
          <w:bCs/>
          <w:rtl/>
        </w:rPr>
        <w:t xml:space="preserve"> </w:t>
      </w:r>
      <w:r w:rsidRPr="001F2586">
        <w:rPr>
          <w:rFonts w:eastAsia="Calibri" w:hint="eastAsia"/>
          <w:b/>
          <w:bCs/>
          <w:rtl/>
        </w:rPr>
        <w:t>מנועי</w:t>
      </w:r>
      <w:r w:rsidRPr="001F2586">
        <w:rPr>
          <w:rFonts w:eastAsia="Calibri"/>
          <w:b/>
          <w:bCs/>
          <w:rtl/>
        </w:rPr>
        <w:t xml:space="preserve"> </w:t>
      </w:r>
      <w:r w:rsidRPr="001F2586">
        <w:rPr>
          <w:rFonts w:eastAsia="Calibri" w:hint="eastAsia"/>
          <w:b/>
          <w:bCs/>
          <w:rtl/>
        </w:rPr>
        <w:t>צמיחה</w:t>
      </w:r>
      <w:r w:rsidRPr="001F2586">
        <w:rPr>
          <w:rFonts w:eastAsia="Calibri"/>
          <w:b/>
          <w:bCs/>
          <w:rtl/>
        </w:rPr>
        <w:t>.</w:t>
      </w:r>
    </w:p>
    <w:p w:rsidR="001F2586" w:rsidRPr="001F2586" w:rsidP="001F2586">
      <w:pPr>
        <w:spacing w:line="269" w:lineRule="auto"/>
        <w:ind w:left="-567"/>
        <w:rPr>
          <w:rFonts w:eastAsia="Calibri"/>
          <w:szCs w:val="20"/>
          <w:rtl/>
          <w:lang w:eastAsia="he-IL"/>
        </w:rPr>
      </w:pPr>
    </w:p>
    <w:p w:rsidR="001F2586" w:rsidP="001F2586">
      <w:pPr>
        <w:spacing w:line="269" w:lineRule="auto"/>
        <w:rPr>
          <w:rFonts w:eastAsia="Calibri"/>
          <w:b/>
          <w:bCs/>
          <w:rtl/>
        </w:rPr>
      </w:pPr>
      <w:r w:rsidRPr="001F2586">
        <w:rPr>
          <w:rFonts w:ascii="David" w:eastAsia="Calibri" w:hAnsi="David"/>
          <w:b/>
          <w:bCs/>
          <w:rtl/>
          <w:lang w:eastAsia="he-IL"/>
        </w:rPr>
        <w:t xml:space="preserve">מתווה הסיוע </w:t>
      </w:r>
      <w:r w:rsidRPr="001F2586">
        <w:rPr>
          <w:rFonts w:ascii="David" w:eastAsia="Calibri" w:hAnsi="David" w:hint="cs"/>
          <w:b/>
          <w:bCs/>
          <w:rtl/>
          <w:lang w:eastAsia="he-IL"/>
        </w:rPr>
        <w:t xml:space="preserve">שגובש במלחמת 'חרבות ברזל' </w:t>
      </w:r>
      <w:r w:rsidRPr="001F2586">
        <w:rPr>
          <w:rFonts w:ascii="David" w:eastAsia="Calibri" w:hAnsi="David"/>
          <w:b/>
          <w:bCs/>
          <w:rtl/>
          <w:lang w:eastAsia="he-IL"/>
        </w:rPr>
        <w:t xml:space="preserve">משמש פלטפורמה מהירה למימוש יעדי הממשלה למתן הנחות והטבות לאוכלוסיות בהתאם ליעדי הממשלה. עם זאת, </w:t>
      </w:r>
      <w:r w:rsidRPr="001F2586">
        <w:rPr>
          <w:rFonts w:ascii="David" w:eastAsia="Calibri" w:hAnsi="David" w:hint="cs"/>
          <w:b/>
          <w:bCs/>
          <w:rtl/>
          <w:lang w:eastAsia="he-IL"/>
        </w:rPr>
        <w:t>בתוכנית הסיוע הכלכלית שגיבשה הממשלה לאזור הצפון ביולי 2025 לא נכלל</w:t>
      </w:r>
      <w:r w:rsidRPr="001F2586">
        <w:rPr>
          <w:rFonts w:ascii="David" w:eastAsia="Calibri" w:hAnsi="David"/>
          <w:b/>
          <w:bCs/>
          <w:rtl/>
          <w:lang w:eastAsia="he-IL"/>
        </w:rPr>
        <w:t xml:space="preserve"> מתווה</w:t>
      </w:r>
      <w:r w:rsidRPr="001F2586">
        <w:rPr>
          <w:rFonts w:ascii="David" w:eastAsia="Calibri" w:hAnsi="David" w:hint="cs"/>
          <w:b/>
          <w:bCs/>
          <w:rtl/>
          <w:lang w:eastAsia="he-IL"/>
        </w:rPr>
        <w:t xml:space="preserve"> סיוע של הלוואות לזכאים</w:t>
      </w:r>
      <w:r w:rsidRPr="001F2586">
        <w:rPr>
          <w:rFonts w:ascii="David" w:eastAsia="Calibri" w:hAnsi="David"/>
          <w:b/>
          <w:bCs/>
          <w:rtl/>
          <w:lang w:eastAsia="he-IL"/>
        </w:rPr>
        <w:t xml:space="preserve"> במסגרת מתן הקלות לציבור</w:t>
      </w:r>
      <w:r w:rsidRPr="001F2586">
        <w:rPr>
          <w:rFonts w:ascii="David" w:eastAsia="Calibri" w:hAnsi="David" w:hint="cs"/>
          <w:b/>
          <w:bCs/>
          <w:rtl/>
          <w:lang w:eastAsia="he-IL"/>
        </w:rPr>
        <w:t>, למרות השימוש האפשרי בו לסיוע לשכבות רחבות של אוכלוסייה כדי להבטיח קורת גג או לשפר תנאי דיור ירודים.</w:t>
      </w:r>
    </w:p>
    <w:p w:rsidR="00B3004B" w:rsidP="001F2586">
      <w:pPr>
        <w:spacing w:line="269" w:lineRule="auto"/>
        <w:rPr>
          <w:rFonts w:eastAsia="Calibri"/>
          <w:b/>
          <w:bCs/>
          <w:rtl/>
        </w:rPr>
      </w:pPr>
    </w:p>
    <w:p w:rsidR="00B3004B" w:rsidRPr="00731ED5" w:rsidP="0070405E">
      <w:pPr>
        <w:pStyle w:val="a"/>
        <w:spacing w:line="269" w:lineRule="auto"/>
        <w:ind w:left="0"/>
        <w:rPr>
          <w:b/>
          <w:bCs/>
          <w:sz w:val="24"/>
          <w:szCs w:val="24"/>
          <w:rtl/>
        </w:rPr>
      </w:pPr>
      <w:r w:rsidRPr="00731ED5">
        <w:rPr>
          <w:b/>
          <w:bCs/>
          <w:sz w:val="24"/>
          <w:szCs w:val="24"/>
          <w:rtl/>
        </w:rPr>
        <w:t xml:space="preserve">לאור היתרונות הגלומים במתווה ההלוואות לזכאים ככלי ממשלתי גמיש ומהיר למתן סיוע כלכלי, </w:t>
      </w:r>
      <w:r w:rsidRPr="00731ED5">
        <w:rPr>
          <w:rFonts w:hint="cs"/>
          <w:b/>
          <w:bCs/>
          <w:sz w:val="24"/>
          <w:szCs w:val="24"/>
          <w:rtl/>
        </w:rPr>
        <w:t xml:space="preserve">ובעיקר לאוכלוסיות </w:t>
      </w:r>
      <w:r w:rsidRPr="00731ED5">
        <w:rPr>
          <w:rFonts w:hint="eastAsia"/>
          <w:b/>
          <w:bCs/>
          <w:sz w:val="24"/>
          <w:szCs w:val="24"/>
          <w:rtl/>
        </w:rPr>
        <w:t>ראויות</w:t>
      </w:r>
      <w:r w:rsidRPr="00731ED5">
        <w:rPr>
          <w:b/>
          <w:bCs/>
          <w:sz w:val="24"/>
          <w:szCs w:val="24"/>
          <w:rtl/>
        </w:rPr>
        <w:t xml:space="preserve"> </w:t>
      </w:r>
      <w:r w:rsidRPr="00731ED5">
        <w:rPr>
          <w:rFonts w:hint="eastAsia"/>
          <w:b/>
          <w:bCs/>
          <w:sz w:val="24"/>
          <w:szCs w:val="24"/>
          <w:rtl/>
        </w:rPr>
        <w:t>לקידום</w:t>
      </w:r>
      <w:r w:rsidRPr="00731ED5">
        <w:rPr>
          <w:rFonts w:hint="cs"/>
          <w:b/>
          <w:bCs/>
          <w:sz w:val="24"/>
          <w:szCs w:val="24"/>
          <w:rtl/>
        </w:rPr>
        <w:t xml:space="preserve">, </w:t>
      </w:r>
      <w:r w:rsidRPr="00731ED5">
        <w:rPr>
          <w:b/>
          <w:bCs/>
          <w:sz w:val="24"/>
          <w:szCs w:val="24"/>
          <w:rtl/>
        </w:rPr>
        <w:t>מומלץ לבחון את שילובו גם במסגרת תוכניות סיוע עתידיות, ובפרט בתוכניות המיועדות לאזורים המתמודדים עם השלכות ביטחוניות וכלכליות. שילוב מתווה זה עשוי לאפשר לממשלה להעניק פתרונות מימון נגישים בתנאים מועדפים לאוכלוסיות הזקוקות לכך, ובכך לסייע בהבטחת קורת גג ראויה, בשיפור תנאי הדיור ובהפחתת הנטל הכלכלי על משקי הבית. בנוסף, הפעלת המתווה יכולה להרחיב את מגוון כלי המדיניות העומדים לרשות הממשלה ולחזק את יכולתה לתת מענה ממוקד ומהיר לצורכי הציבור בתקופות של משבר או שיקום אזור</w:t>
      </w:r>
      <w:r w:rsidRPr="00731ED5">
        <w:rPr>
          <w:rFonts w:hint="cs"/>
          <w:b/>
          <w:bCs/>
          <w:sz w:val="24"/>
          <w:szCs w:val="24"/>
          <w:rtl/>
        </w:rPr>
        <w:t>י</w:t>
      </w:r>
      <w:r>
        <w:rPr>
          <w:rFonts w:hint="cs"/>
          <w:b/>
          <w:bCs/>
          <w:sz w:val="24"/>
          <w:szCs w:val="24"/>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משרד הבינוי והשיכון ציין בתשובתו כי הקריטריוני</w:t>
      </w:r>
      <w:r w:rsidRPr="001F2586">
        <w:rPr>
          <w:rFonts w:eastAsia="Calibri" w:hint="eastAsia"/>
          <w:rtl/>
        </w:rPr>
        <w:t>ם</w:t>
      </w:r>
      <w:r w:rsidRPr="001F2586">
        <w:rPr>
          <w:rFonts w:eastAsia="Calibri" w:hint="cs"/>
          <w:rtl/>
        </w:rPr>
        <w:t xml:space="preserve"> לקביעת זכאות להלוואה בדיור נבחנו ועודכנו בשנת 1998 בהמלצת ועדת ציבורית שמונתה לבדיקת עקרונות הסיוע בדיור וגיבוש קווים מנחים למדיניות הסיוע בשיכון על ידי הממשלה. נוכח חלוף השנים והשינויים שחלו בתנאים החברתיים והמשקיים במדינה, משרד הבינוי והשיכון מבצע בתקופה האחרונה עבודת מטה לבחינת מדיניות הסיוע ולעדכון אופן חישוב גובה הסיוע לזכאים. במסגרת זו פועל המשרד להקמת צוות בין משרדי לבחינת הנושא, אשר המלצותיו יובאו בפני שר הבינוי והשיכון. </w:t>
      </w:r>
    </w:p>
    <w:p w:rsidR="001F2586" w:rsidRPr="001F2586" w:rsidP="001F2586">
      <w:pPr>
        <w:spacing w:line="269" w:lineRule="auto"/>
        <w:ind w:left="-567"/>
        <w:rPr>
          <w:rFonts w:eastAsia="Calibri"/>
          <w:szCs w:val="20"/>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תהליך העמדת הלוואות לזכאים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בנקים למשכנתאות מטפלים ישירות בכל מבקשי הסיוע, ובכלל זה בכל ההליכים לקבלת תעודת הזכאות </w:t>
      </w:r>
      <w:r w:rsidRPr="001F2586">
        <w:rPr>
          <w:rFonts w:eastAsia="Calibri" w:hint="cs"/>
          <w:rtl/>
        </w:rPr>
        <w:t>ממשב"ש</w:t>
      </w:r>
      <w:r w:rsidRPr="001F2586">
        <w:rPr>
          <w:rFonts w:eastAsia="Calibri" w:hint="cs"/>
          <w:rtl/>
        </w:rPr>
        <w:t>, בהתאם להסדרים שנקבעו עם אגף החשב הכללי במשרד האוצר</w:t>
      </w:r>
      <w:r>
        <w:rPr>
          <w:rFonts w:eastAsia="Calibri"/>
          <w:vertAlign w:val="superscript"/>
          <w:rtl/>
        </w:rPr>
        <w:footnoteReference w:id="377"/>
      </w:r>
      <w:r w:rsidRPr="001F2586">
        <w:rPr>
          <w:rFonts w:eastAsia="Calibri" w:hint="cs"/>
          <w:rtl/>
        </w:rPr>
        <w:t>. תעודת הזכאות, המופקת על סמך נתוני מבקשי ההלוואות וקריטריונים שהגדיר משב"ש, משמשת אסמכתא לביצוע הלוואות לזכאים וקובעת בין היתר את סכום ההלוואה לכל זכאי.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גובה הלוואות לזכאים נקבע ככלל בהתאם לשיטת ניקוד, לפיה ניקוד גבוה מאפשר ליטול הלוואה בסכום גבוה מניקוד נמוך. מבקש שאינו חסר דירה על פי ההגדרה אינו זכאי להלוואה לפי שיטת הניקוד, אך ייתכן שיהיה זכאי להלוואה ייעודית לאוכלוסיות מסוימות. הניקוד מורכב מכמה רכיבים המשתנים בין קבוצות אוכלוסייה שונות</w:t>
      </w:r>
      <w:r>
        <w:rPr>
          <w:rFonts w:eastAsia="Calibri"/>
          <w:vertAlign w:val="superscript"/>
          <w:rtl/>
        </w:rPr>
        <w:footnoteReference w:id="378"/>
      </w:r>
      <w:r w:rsidRPr="001F2586">
        <w:rPr>
          <w:rFonts w:eastAsia="Calibri" w:hint="cs"/>
          <w:rtl/>
        </w:rPr>
        <w:t xml:space="preserve"> ומוגבל לניקוד מרבי המזכה בהעמדת הלוואה לזכאים בסך של כ-162 אלף ש"ח (להלן - הסכום הבסיסי). ישנם רכיבים נוספים המאפשרים ליטול סכום נוסף לזה המתקבל בהתאם לניקוד המרבי, בהם חודשי שירות חובה, מגורים ביישובי נגב הזכאים לסיוע נוסף</w:t>
      </w:r>
      <w:r>
        <w:rPr>
          <w:rFonts w:eastAsia="Calibri"/>
          <w:vertAlign w:val="superscript"/>
          <w:rtl/>
        </w:rPr>
        <w:footnoteReference w:id="379"/>
      </w:r>
      <w:r w:rsidRPr="001F2586">
        <w:rPr>
          <w:rFonts w:eastAsia="Calibri" w:hint="cs"/>
          <w:rtl/>
        </w:rPr>
        <w:t xml:space="preserve"> ובעלי הכנסה נמוכה</w:t>
      </w:r>
      <w:r>
        <w:rPr>
          <w:rFonts w:eastAsia="Calibri"/>
          <w:vertAlign w:val="superscript"/>
          <w:rtl/>
        </w:rPr>
        <w:footnoteReference w:id="380"/>
      </w:r>
      <w:r w:rsidRPr="001F2586">
        <w:rPr>
          <w:rFonts w:eastAsia="Calibri" w:hint="cs"/>
          <w:rtl/>
        </w:rPr>
        <w:t>. כך שהסכום הכולל הניתן ללוות במשכנתא לזכאים יכול להגיע עד לסכום מרבי של כ-500 אלף ש"ח (להלן - הסכום המרבי). מחשבון לחישוב גובה משכנתא לזכאים מוצג לטובת הציבור במרשתת</w:t>
      </w:r>
      <w:r>
        <w:rPr>
          <w:rFonts w:eastAsia="Calibri"/>
          <w:vertAlign w:val="superscript"/>
          <w:rtl/>
        </w:rPr>
        <w:footnoteReference w:id="381"/>
      </w:r>
      <w:r w:rsidRPr="001F2586">
        <w:rPr>
          <w:rFonts w:eastAsia="Calibri" w:hint="cs"/>
          <w:rtl/>
        </w:rPr>
        <w:t>.</w:t>
      </w:r>
    </w:p>
    <w:p w:rsidR="001F2586" w:rsidRPr="001F2586" w:rsidP="001F2586">
      <w:pPr>
        <w:spacing w:line="269" w:lineRule="auto"/>
        <w:rPr>
          <w:rFonts w:eastAsia="Calibri"/>
          <w:rtl/>
        </w:rPr>
      </w:pPr>
      <w:r w:rsidRPr="001F2586">
        <w:rPr>
          <w:rFonts w:eastAsia="Calibri" w:hint="cs"/>
          <w:rtl/>
        </w:rPr>
        <w:t>הלוואות לזכאים מכסות רק חלק ממחיר הדירה ועל הזכאים לגייס את יתר המקורות בעצמם, כך שהלוואות לזכאים משמשות מקור מימון נוסף לגיוון תמהיל המשכנתא ובעלות תועלת כלכלית במצבים מסוימים</w:t>
      </w:r>
      <w:r>
        <w:rPr>
          <w:rFonts w:eastAsia="Calibri"/>
          <w:vertAlign w:val="superscript"/>
          <w:rtl/>
        </w:rPr>
        <w:footnoteReference w:id="382"/>
      </w:r>
      <w:r w:rsidRPr="001F2586">
        <w:rPr>
          <w:rFonts w:eastAsia="Calibri" w:hint="cs"/>
          <w:rtl/>
        </w:rPr>
        <w:t>. הטבלה להלן מציגה את המחיר הממוצע לדירות ואת סך ההלוואה הממוצעת שהועמדה לזכאים בין השנים 2017 - 2024.</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rtl/>
        </w:rPr>
      </w:pPr>
      <w:r w:rsidRPr="001F2586">
        <w:rPr>
          <w:rFonts w:eastAsia="Calibri" w:hint="cs"/>
          <w:rtl/>
        </w:rPr>
        <w:t>לוח 10:</w:t>
      </w:r>
      <w:r w:rsidRPr="001F2586">
        <w:rPr>
          <w:rFonts w:eastAsia="Calibri" w:hint="cs"/>
          <w:b/>
          <w:bCs/>
          <w:rtl/>
        </w:rPr>
        <w:t xml:space="preserve"> המחיר הממוצע של דירות וסך ההלוואה הממוצעת לזכאים בשנים 2017 - 2024, באלפי ש"ח</w:t>
      </w:r>
    </w:p>
    <w:tbl>
      <w:tblPr>
        <w:tblStyle w:val="GridTable5DarkAccent1"/>
        <w:bidiVisual/>
        <w:tblW w:w="0" w:type="auto"/>
        <w:tblLook w:val="04A0"/>
      </w:tblPr>
      <w:tblGrid>
        <w:gridCol w:w="1131"/>
        <w:gridCol w:w="1985"/>
        <w:gridCol w:w="1984"/>
        <w:gridCol w:w="3110"/>
      </w:tblGrid>
      <w:tr w:rsidTr="001F2586">
        <w:tblPrEx>
          <w:tblW w:w="0" w:type="auto"/>
          <w:tblLook w:val="04A0"/>
        </w:tblPrEx>
        <w:tc>
          <w:tcPr>
            <w:tcW w:w="1132"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שנה</w:t>
            </w:r>
          </w:p>
        </w:tc>
        <w:tc>
          <w:tcPr>
            <w:tcW w:w="1985"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מחיר ממוצע של דירות</w:t>
            </w:r>
          </w:p>
        </w:tc>
        <w:tc>
          <w:tcPr>
            <w:tcW w:w="1984"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סך הלוואה לזכאים ממוצעת שהועמדה</w:t>
            </w:r>
          </w:p>
        </w:tc>
        <w:tc>
          <w:tcPr>
            <w:tcW w:w="3110"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שיעור הלוואה לזכאים ממוצעת ממחיר ממוצע של דירות</w:t>
            </w:r>
          </w:p>
        </w:tc>
      </w:tr>
      <w:tr w:rsidTr="001F2586">
        <w:tblPrEx>
          <w:tblW w:w="0" w:type="auto"/>
          <w:tblLook w:val="04A0"/>
        </w:tblPrEx>
        <w:tc>
          <w:tcPr>
            <w:tcW w:w="1132"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2024</w:t>
            </w:r>
          </w:p>
        </w:tc>
        <w:tc>
          <w:tcPr>
            <w:tcW w:w="1985"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2,340.3</w:t>
            </w:r>
          </w:p>
        </w:tc>
        <w:tc>
          <w:tcPr>
            <w:tcW w:w="1984"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 xml:space="preserve"> 131.6 </w:t>
            </w:r>
          </w:p>
        </w:tc>
        <w:tc>
          <w:tcPr>
            <w:tcW w:w="3110"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5.6%</w:t>
            </w:r>
          </w:p>
        </w:tc>
      </w:tr>
      <w:tr w:rsidTr="001F2586">
        <w:tblPrEx>
          <w:tblW w:w="0" w:type="auto"/>
          <w:tblLook w:val="04A0"/>
        </w:tblPrEx>
        <w:tc>
          <w:tcPr>
            <w:tcW w:w="1132"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2023</w:t>
            </w:r>
          </w:p>
        </w:tc>
        <w:tc>
          <w:tcPr>
            <w:tcW w:w="1985"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2,109.1</w:t>
            </w:r>
          </w:p>
        </w:tc>
        <w:tc>
          <w:tcPr>
            <w:tcW w:w="1984"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 xml:space="preserve"> 140.1 </w:t>
            </w:r>
          </w:p>
        </w:tc>
        <w:tc>
          <w:tcPr>
            <w:tcW w:w="3110"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6.6%</w:t>
            </w:r>
          </w:p>
        </w:tc>
      </w:tr>
      <w:tr w:rsidTr="001F2586">
        <w:tblPrEx>
          <w:tblW w:w="0" w:type="auto"/>
          <w:tblLook w:val="04A0"/>
        </w:tblPrEx>
        <w:tc>
          <w:tcPr>
            <w:tcW w:w="1132"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2022</w:t>
            </w:r>
          </w:p>
        </w:tc>
        <w:tc>
          <w:tcPr>
            <w:tcW w:w="1985"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1,951.0</w:t>
            </w:r>
          </w:p>
        </w:tc>
        <w:tc>
          <w:tcPr>
            <w:tcW w:w="1984" w:type="dxa"/>
            <w:shd w:val="clear" w:color="auto" w:fill="DBE5F1"/>
          </w:tcPr>
          <w:p w:rsidR="001F2586" w:rsidRPr="001F2586" w:rsidP="001F2586">
            <w:pPr>
              <w:spacing w:line="269" w:lineRule="auto"/>
              <w:rPr>
                <w:rFonts w:ascii="David" w:eastAsia="Calibri" w:hAnsi="David"/>
                <w:sz w:val="22"/>
                <w:szCs w:val="22"/>
                <w:rtl/>
              </w:rPr>
            </w:pPr>
            <w:r w:rsidRPr="001F2586">
              <w:rPr>
                <w:rFonts w:ascii="David" w:eastAsia="Calibri" w:hAnsi="David"/>
                <w:sz w:val="22"/>
                <w:szCs w:val="22"/>
              </w:rPr>
              <w:t xml:space="preserve"> 133.2 </w:t>
            </w:r>
          </w:p>
        </w:tc>
        <w:tc>
          <w:tcPr>
            <w:tcW w:w="3110"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6.8%</w:t>
            </w:r>
          </w:p>
        </w:tc>
      </w:tr>
      <w:tr w:rsidTr="001F2586">
        <w:tblPrEx>
          <w:tblW w:w="0" w:type="auto"/>
          <w:tblLook w:val="04A0"/>
        </w:tblPrEx>
        <w:tc>
          <w:tcPr>
            <w:tcW w:w="1132"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2021</w:t>
            </w:r>
          </w:p>
        </w:tc>
        <w:tc>
          <w:tcPr>
            <w:tcW w:w="1985"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1,728.7</w:t>
            </w:r>
          </w:p>
        </w:tc>
        <w:tc>
          <w:tcPr>
            <w:tcW w:w="1984"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 xml:space="preserve"> 127.8 </w:t>
            </w:r>
          </w:p>
        </w:tc>
        <w:tc>
          <w:tcPr>
            <w:tcW w:w="3110"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7.4%</w:t>
            </w:r>
          </w:p>
        </w:tc>
      </w:tr>
      <w:tr w:rsidTr="001F2586">
        <w:tblPrEx>
          <w:tblW w:w="0" w:type="auto"/>
          <w:tblLook w:val="04A0"/>
        </w:tblPrEx>
        <w:tc>
          <w:tcPr>
            <w:tcW w:w="1132"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2020</w:t>
            </w:r>
          </w:p>
        </w:tc>
        <w:tc>
          <w:tcPr>
            <w:tcW w:w="1985"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1,574.0</w:t>
            </w:r>
          </w:p>
        </w:tc>
        <w:tc>
          <w:tcPr>
            <w:tcW w:w="1984"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 xml:space="preserve"> 136.8 </w:t>
            </w:r>
          </w:p>
        </w:tc>
        <w:tc>
          <w:tcPr>
            <w:tcW w:w="3110"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8.7%</w:t>
            </w:r>
          </w:p>
        </w:tc>
      </w:tr>
      <w:tr w:rsidTr="001F2586">
        <w:tblPrEx>
          <w:tblW w:w="0" w:type="auto"/>
          <w:tblLook w:val="04A0"/>
        </w:tblPrEx>
        <w:tc>
          <w:tcPr>
            <w:tcW w:w="1132"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2019</w:t>
            </w:r>
          </w:p>
        </w:tc>
        <w:tc>
          <w:tcPr>
            <w:tcW w:w="1985"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1,544.3</w:t>
            </w:r>
          </w:p>
        </w:tc>
        <w:tc>
          <w:tcPr>
            <w:tcW w:w="1984"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 xml:space="preserve"> 147.4 </w:t>
            </w:r>
          </w:p>
        </w:tc>
        <w:tc>
          <w:tcPr>
            <w:tcW w:w="3110"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9.5%</w:t>
            </w:r>
          </w:p>
        </w:tc>
      </w:tr>
      <w:tr w:rsidTr="001F2586">
        <w:tblPrEx>
          <w:tblW w:w="0" w:type="auto"/>
          <w:tblLook w:val="04A0"/>
        </w:tblPrEx>
        <w:tc>
          <w:tcPr>
            <w:tcW w:w="1132"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2018</w:t>
            </w:r>
          </w:p>
        </w:tc>
        <w:tc>
          <w:tcPr>
            <w:tcW w:w="1985"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1,534.4</w:t>
            </w:r>
          </w:p>
        </w:tc>
        <w:tc>
          <w:tcPr>
            <w:tcW w:w="1984" w:type="dxa"/>
            <w:shd w:val="clear" w:color="auto" w:fill="DBE5F1"/>
          </w:tcPr>
          <w:p w:rsidR="001F2586" w:rsidRPr="001F2586" w:rsidP="001F2586">
            <w:pPr>
              <w:spacing w:line="269" w:lineRule="auto"/>
              <w:rPr>
                <w:rFonts w:ascii="David" w:eastAsia="Calibri" w:hAnsi="David"/>
                <w:sz w:val="22"/>
                <w:szCs w:val="22"/>
              </w:rPr>
            </w:pPr>
            <w:r w:rsidRPr="001F2586">
              <w:rPr>
                <w:rFonts w:ascii="David" w:eastAsia="Calibri" w:hAnsi="David"/>
                <w:sz w:val="22"/>
                <w:szCs w:val="22"/>
              </w:rPr>
              <w:t xml:space="preserve"> 139.5 </w:t>
            </w:r>
          </w:p>
        </w:tc>
        <w:tc>
          <w:tcPr>
            <w:tcW w:w="3110" w:type="dxa"/>
            <w:shd w:val="clear" w:color="auto" w:fill="DBE5F1"/>
          </w:tcPr>
          <w:p w:rsidR="001F2586" w:rsidRPr="001F2586" w:rsidP="001F2586">
            <w:pPr>
              <w:spacing w:line="269" w:lineRule="auto"/>
              <w:rPr>
                <w:rFonts w:ascii="David" w:eastAsia="Calibri" w:hAnsi="David"/>
                <w:sz w:val="22"/>
                <w:szCs w:val="22"/>
                <w:rtl/>
              </w:rPr>
            </w:pPr>
            <w:r w:rsidRPr="001F2586">
              <w:rPr>
                <w:rFonts w:ascii="David" w:eastAsia="Calibri" w:hAnsi="David"/>
                <w:sz w:val="22"/>
                <w:szCs w:val="22"/>
              </w:rPr>
              <w:t>9.1%</w:t>
            </w:r>
          </w:p>
        </w:tc>
      </w:tr>
      <w:tr w:rsidTr="001F2586">
        <w:tblPrEx>
          <w:tblW w:w="0" w:type="auto"/>
          <w:tblLook w:val="04A0"/>
        </w:tblPrEx>
        <w:tc>
          <w:tcPr>
            <w:tcW w:w="1132" w:type="dxa"/>
            <w:shd w:val="clear" w:color="auto" w:fill="DBE5F1"/>
          </w:tcPr>
          <w:p w:rsidR="001F2586" w:rsidRPr="001F2586" w:rsidP="001F2586">
            <w:pPr>
              <w:spacing w:line="269" w:lineRule="auto"/>
              <w:jc w:val="center"/>
              <w:rPr>
                <w:rFonts w:eastAsia="Calibri"/>
                <w:color w:val="FFFFFF"/>
                <w:sz w:val="18"/>
                <w:szCs w:val="22"/>
                <w:rtl/>
              </w:rPr>
            </w:pPr>
            <w:r w:rsidRPr="001F2586">
              <w:rPr>
                <w:rFonts w:eastAsia="Calibri" w:hint="cs"/>
                <w:color w:val="FFFFFF"/>
                <w:sz w:val="18"/>
                <w:szCs w:val="22"/>
                <w:rtl/>
              </w:rPr>
              <w:t>2017</w:t>
            </w:r>
          </w:p>
        </w:tc>
        <w:tc>
          <w:tcPr>
            <w:tcW w:w="1985"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1,531.5</w:t>
            </w:r>
          </w:p>
        </w:tc>
        <w:tc>
          <w:tcPr>
            <w:tcW w:w="1984"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138.1</w:t>
            </w:r>
          </w:p>
        </w:tc>
        <w:tc>
          <w:tcPr>
            <w:tcW w:w="3110" w:type="dxa"/>
            <w:shd w:val="clear" w:color="auto" w:fill="DBE5F1"/>
          </w:tcPr>
          <w:p w:rsidR="001F2586" w:rsidRPr="001F2586" w:rsidP="001F2586">
            <w:pPr>
              <w:spacing w:line="269" w:lineRule="auto"/>
              <w:rPr>
                <w:rFonts w:eastAsia="Calibri"/>
                <w:sz w:val="22"/>
                <w:szCs w:val="22"/>
                <w:rtl/>
              </w:rPr>
            </w:pPr>
            <w:r w:rsidRPr="001F2586">
              <w:rPr>
                <w:rFonts w:eastAsia="Calibri" w:hint="cs"/>
                <w:sz w:val="22"/>
                <w:szCs w:val="22"/>
                <w:rtl/>
              </w:rPr>
              <w:t>9.0%</w:t>
            </w:r>
          </w:p>
        </w:tc>
      </w:tr>
    </w:tbl>
    <w:p w:rsidR="001F2586" w:rsidRPr="001F2586" w:rsidP="001F2586">
      <w:pPr>
        <w:spacing w:line="269" w:lineRule="auto"/>
        <w:rPr>
          <w:rFonts w:ascii="David" w:eastAsia="Calibri" w:hAnsi="David"/>
          <w:sz w:val="16"/>
          <w:szCs w:val="20"/>
          <w:rtl/>
        </w:rPr>
      </w:pPr>
      <w:bookmarkStart w:id="92" w:name="_Hlk215748871"/>
      <w:r w:rsidRPr="001F2586">
        <w:rPr>
          <w:rFonts w:ascii="David" w:eastAsia="Calibri" w:hAnsi="David" w:hint="cs"/>
          <w:sz w:val="16"/>
          <w:szCs w:val="20"/>
          <w:rtl/>
        </w:rPr>
        <w:t>נתוני הלשכה המרכזית לסטטיסטיקה ומשרד הבינוי והשיכון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בטבלה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במהלך</w:t>
      </w:r>
      <w:r w:rsidRPr="001F2586">
        <w:rPr>
          <w:rFonts w:eastAsia="Calibri"/>
          <w:b/>
          <w:bCs/>
          <w:rtl/>
        </w:rPr>
        <w:t xml:space="preserve"> </w:t>
      </w:r>
      <w:r w:rsidRPr="001F2586">
        <w:rPr>
          <w:rFonts w:eastAsia="Calibri" w:hint="eastAsia"/>
          <w:b/>
          <w:bCs/>
          <w:rtl/>
        </w:rPr>
        <w:t>השנים</w:t>
      </w:r>
      <w:r w:rsidRPr="001F2586">
        <w:rPr>
          <w:rFonts w:eastAsia="Calibri"/>
          <w:b/>
          <w:bCs/>
          <w:rtl/>
        </w:rPr>
        <w:t xml:space="preserve"> 2017 - 2024 </w:t>
      </w:r>
      <w:r w:rsidRPr="001F2586">
        <w:rPr>
          <w:rFonts w:eastAsia="Calibri" w:hint="eastAsia"/>
          <w:b/>
          <w:bCs/>
          <w:rtl/>
        </w:rPr>
        <w:t>הועמדו</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לזכאים</w:t>
      </w:r>
      <w:r w:rsidRPr="001F2586">
        <w:rPr>
          <w:rFonts w:eastAsia="Calibri"/>
          <w:b/>
          <w:bCs/>
          <w:rtl/>
        </w:rPr>
        <w:t xml:space="preserve"> </w:t>
      </w:r>
      <w:r w:rsidRPr="001F2586">
        <w:rPr>
          <w:rFonts w:eastAsia="Calibri" w:hint="eastAsia"/>
          <w:b/>
          <w:bCs/>
          <w:rtl/>
        </w:rPr>
        <w:t>בסכום</w:t>
      </w:r>
      <w:r w:rsidRPr="001F2586">
        <w:rPr>
          <w:rFonts w:eastAsia="Calibri"/>
          <w:b/>
          <w:bCs/>
          <w:rtl/>
        </w:rPr>
        <w:t xml:space="preserve"> </w:t>
      </w:r>
      <w:r w:rsidRPr="001F2586">
        <w:rPr>
          <w:rFonts w:eastAsia="Calibri" w:hint="eastAsia"/>
          <w:b/>
          <w:bCs/>
          <w:rtl/>
        </w:rPr>
        <w:t>ממוצע</w:t>
      </w:r>
      <w:r w:rsidRPr="001F2586">
        <w:rPr>
          <w:rFonts w:eastAsia="Calibri"/>
          <w:b/>
          <w:bCs/>
          <w:rtl/>
        </w:rPr>
        <w:t xml:space="preserve"> </w:t>
      </w:r>
      <w:r w:rsidRPr="001F2586">
        <w:rPr>
          <w:rFonts w:eastAsia="Calibri" w:hint="eastAsia"/>
          <w:b/>
          <w:bCs/>
          <w:rtl/>
        </w:rPr>
        <w:t>בטווח</w:t>
      </w:r>
      <w:r w:rsidRPr="001F2586">
        <w:rPr>
          <w:rFonts w:eastAsia="Calibri"/>
          <w:b/>
          <w:bCs/>
          <w:rtl/>
        </w:rPr>
        <w:t xml:space="preserve"> </w:t>
      </w:r>
      <w:r w:rsidRPr="001F2586">
        <w:rPr>
          <w:rFonts w:eastAsia="Calibri" w:hint="eastAsia"/>
          <w:b/>
          <w:bCs/>
          <w:rtl/>
        </w:rPr>
        <w:t>שבין</w:t>
      </w:r>
      <w:r w:rsidRPr="001F2586">
        <w:rPr>
          <w:rFonts w:eastAsia="Calibri"/>
          <w:b/>
          <w:bCs/>
          <w:rtl/>
        </w:rPr>
        <w:t xml:space="preserve"> </w:t>
      </w:r>
      <w:r w:rsidRPr="001F2586">
        <w:rPr>
          <w:rFonts w:eastAsia="Calibri" w:hint="eastAsia"/>
          <w:b/>
          <w:bCs/>
          <w:rtl/>
        </w:rPr>
        <w:t>כ</w:t>
      </w:r>
      <w:r w:rsidRPr="001F2586">
        <w:rPr>
          <w:rFonts w:eastAsia="Calibri"/>
          <w:b/>
          <w:bCs/>
          <w:rtl/>
        </w:rPr>
        <w:t xml:space="preserve">-128 </w:t>
      </w:r>
      <w:r w:rsidRPr="001F2586">
        <w:rPr>
          <w:rFonts w:eastAsia="Calibri" w:hint="eastAsia"/>
          <w:b/>
          <w:bCs/>
          <w:rtl/>
        </w:rPr>
        <w:t>אלף</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לכ</w:t>
      </w:r>
      <w:r w:rsidRPr="001F2586">
        <w:rPr>
          <w:rFonts w:eastAsia="Calibri"/>
          <w:b/>
          <w:bCs/>
          <w:rtl/>
        </w:rPr>
        <w:t xml:space="preserve">-147 </w:t>
      </w:r>
      <w:r w:rsidRPr="001F2586">
        <w:rPr>
          <w:rFonts w:eastAsia="Calibri" w:hint="eastAsia"/>
          <w:b/>
          <w:bCs/>
          <w:rtl/>
        </w:rPr>
        <w:t>אלף</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סכומים</w:t>
      </w:r>
      <w:r w:rsidRPr="001F2586">
        <w:rPr>
          <w:rFonts w:eastAsia="Calibri"/>
          <w:b/>
          <w:bCs/>
          <w:rtl/>
        </w:rPr>
        <w:t xml:space="preserve"> </w:t>
      </w:r>
      <w:r w:rsidRPr="001F2586">
        <w:rPr>
          <w:rFonts w:eastAsia="Calibri" w:hint="eastAsia"/>
          <w:b/>
          <w:bCs/>
          <w:rtl/>
        </w:rPr>
        <w:t>אלה</w:t>
      </w:r>
      <w:r w:rsidRPr="001F2586">
        <w:rPr>
          <w:rFonts w:eastAsia="Calibri"/>
          <w:b/>
          <w:bCs/>
          <w:rtl/>
        </w:rPr>
        <w:t xml:space="preserve"> </w:t>
      </w:r>
      <w:r w:rsidRPr="001F2586">
        <w:rPr>
          <w:rFonts w:eastAsia="Calibri" w:hint="eastAsia"/>
          <w:b/>
          <w:bCs/>
          <w:rtl/>
        </w:rPr>
        <w:t>משקפים</w:t>
      </w:r>
      <w:r w:rsidRPr="001F2586">
        <w:rPr>
          <w:rFonts w:eastAsia="Calibri"/>
          <w:b/>
          <w:bCs/>
          <w:rtl/>
        </w:rPr>
        <w:t xml:space="preserve"> </w:t>
      </w:r>
      <w:r w:rsidRPr="001F2586">
        <w:rPr>
          <w:rFonts w:eastAsia="Calibri" w:hint="eastAsia"/>
          <w:b/>
          <w:bCs/>
          <w:rtl/>
        </w:rPr>
        <w:t>ניצול</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-80% </w:t>
      </w:r>
      <w:r w:rsidRPr="001F2586">
        <w:rPr>
          <w:rFonts w:eastAsia="Calibri" w:hint="eastAsia"/>
          <w:b/>
          <w:bCs/>
          <w:rtl/>
        </w:rPr>
        <w:t>עד</w:t>
      </w:r>
      <w:r w:rsidRPr="001F2586">
        <w:rPr>
          <w:rFonts w:eastAsia="Calibri"/>
          <w:b/>
          <w:bCs/>
          <w:rtl/>
        </w:rPr>
        <w:t xml:space="preserve"> </w:t>
      </w:r>
      <w:r w:rsidRPr="001F2586">
        <w:rPr>
          <w:rFonts w:eastAsia="Calibri" w:hint="eastAsia"/>
          <w:b/>
          <w:bCs/>
          <w:rtl/>
        </w:rPr>
        <w:t>כ</w:t>
      </w:r>
      <w:r w:rsidRPr="001F2586">
        <w:rPr>
          <w:rFonts w:eastAsia="Calibri"/>
          <w:b/>
          <w:bCs/>
          <w:rtl/>
        </w:rPr>
        <w:t xml:space="preserve">-92% </w:t>
      </w:r>
      <w:r w:rsidRPr="001F2586">
        <w:rPr>
          <w:rFonts w:eastAsia="Calibri" w:hint="eastAsia"/>
          <w:b/>
          <w:bCs/>
          <w:rtl/>
        </w:rPr>
        <w:t>מהסכום</w:t>
      </w:r>
      <w:r w:rsidRPr="001F2586">
        <w:rPr>
          <w:rFonts w:eastAsia="Calibri"/>
          <w:b/>
          <w:bCs/>
          <w:rtl/>
        </w:rPr>
        <w:t xml:space="preserve"> </w:t>
      </w:r>
      <w:r w:rsidRPr="001F2586">
        <w:rPr>
          <w:rFonts w:eastAsia="Calibri" w:hint="eastAsia"/>
          <w:b/>
          <w:bCs/>
          <w:rtl/>
        </w:rPr>
        <w:t>הבסיסי</w:t>
      </w:r>
      <w:r w:rsidRPr="001F2586">
        <w:rPr>
          <w:rFonts w:eastAsia="Calibri"/>
          <w:b/>
          <w:bCs/>
          <w:rtl/>
        </w:rPr>
        <w:t xml:space="preserve"> </w:t>
      </w:r>
      <w:r w:rsidRPr="001F2586">
        <w:rPr>
          <w:rFonts w:eastAsia="Calibri" w:hint="eastAsia"/>
          <w:b/>
          <w:bCs/>
          <w:rtl/>
        </w:rPr>
        <w:t>וכ</w:t>
      </w:r>
      <w:r w:rsidRPr="001F2586">
        <w:rPr>
          <w:rFonts w:eastAsia="Calibri"/>
          <w:b/>
          <w:bCs/>
          <w:rtl/>
        </w:rPr>
        <w:t xml:space="preserve">-26% </w:t>
      </w:r>
      <w:r w:rsidRPr="001F2586">
        <w:rPr>
          <w:rFonts w:eastAsia="Calibri" w:hint="eastAsia"/>
          <w:b/>
          <w:bCs/>
          <w:rtl/>
        </w:rPr>
        <w:t>עד</w:t>
      </w:r>
      <w:r w:rsidRPr="001F2586">
        <w:rPr>
          <w:rFonts w:eastAsia="Calibri"/>
          <w:b/>
          <w:bCs/>
          <w:rtl/>
        </w:rPr>
        <w:t xml:space="preserve"> </w:t>
      </w:r>
      <w:r w:rsidRPr="001F2586">
        <w:rPr>
          <w:rFonts w:eastAsia="Calibri" w:hint="eastAsia"/>
          <w:b/>
          <w:bCs/>
          <w:rtl/>
        </w:rPr>
        <w:t>כ</w:t>
      </w:r>
      <w:r w:rsidRPr="001F2586">
        <w:rPr>
          <w:rFonts w:eastAsia="Calibri"/>
          <w:b/>
          <w:bCs/>
          <w:rtl/>
        </w:rPr>
        <w:t xml:space="preserve">-29% </w:t>
      </w:r>
      <w:r w:rsidRPr="001F2586">
        <w:rPr>
          <w:rFonts w:eastAsia="Calibri" w:hint="eastAsia"/>
          <w:b/>
          <w:bCs/>
          <w:rtl/>
        </w:rPr>
        <w:t>מהסכום</w:t>
      </w:r>
      <w:r w:rsidRPr="001F2586">
        <w:rPr>
          <w:rFonts w:eastAsia="Calibri"/>
          <w:b/>
          <w:bCs/>
          <w:rtl/>
        </w:rPr>
        <w:t xml:space="preserve"> </w:t>
      </w:r>
      <w:r w:rsidRPr="001F2586">
        <w:rPr>
          <w:rFonts w:eastAsia="Calibri" w:hint="eastAsia"/>
          <w:b/>
          <w:bCs/>
          <w:rtl/>
        </w:rPr>
        <w:t>המרבי</w:t>
      </w:r>
      <w:r w:rsidRPr="001F2586">
        <w:rPr>
          <w:rFonts w:eastAsia="Calibri"/>
          <w:b/>
          <w:bCs/>
          <w:rtl/>
        </w:rPr>
        <w:t xml:space="preserve">, </w:t>
      </w:r>
      <w:r w:rsidRPr="001F2586">
        <w:rPr>
          <w:rFonts w:eastAsia="Calibri" w:hint="eastAsia"/>
          <w:b/>
          <w:bCs/>
          <w:rtl/>
        </w:rPr>
        <w:t>השמור</w:t>
      </w:r>
      <w:r w:rsidRPr="001F2586">
        <w:rPr>
          <w:rFonts w:eastAsia="Calibri"/>
          <w:b/>
          <w:bCs/>
          <w:rtl/>
        </w:rPr>
        <w:t xml:space="preserve"> </w:t>
      </w:r>
      <w:r w:rsidRPr="001F2586">
        <w:rPr>
          <w:rFonts w:eastAsia="Calibri" w:hint="eastAsia"/>
          <w:b/>
          <w:bCs/>
          <w:rtl/>
        </w:rPr>
        <w:t>לאוכלוסיות</w:t>
      </w:r>
      <w:r w:rsidRPr="001F2586">
        <w:rPr>
          <w:rFonts w:eastAsia="Calibri"/>
          <w:b/>
          <w:bCs/>
          <w:rtl/>
        </w:rPr>
        <w:t xml:space="preserve"> </w:t>
      </w:r>
      <w:r w:rsidRPr="001F2586">
        <w:rPr>
          <w:rFonts w:eastAsia="Calibri" w:hint="eastAsia"/>
          <w:b/>
          <w:bCs/>
          <w:rtl/>
        </w:rPr>
        <w:t>בעלות</w:t>
      </w:r>
      <w:r w:rsidRPr="001F2586">
        <w:rPr>
          <w:rFonts w:eastAsia="Calibri"/>
          <w:b/>
          <w:bCs/>
          <w:rtl/>
        </w:rPr>
        <w:t xml:space="preserve"> </w:t>
      </w:r>
      <w:r w:rsidRPr="001F2586">
        <w:rPr>
          <w:rFonts w:eastAsia="Calibri" w:hint="eastAsia"/>
          <w:b/>
          <w:bCs/>
          <w:rtl/>
        </w:rPr>
        <w:t>מאפיינים</w:t>
      </w:r>
      <w:r w:rsidRPr="001F2586">
        <w:rPr>
          <w:rFonts w:eastAsia="Calibri"/>
          <w:b/>
          <w:bCs/>
          <w:rtl/>
        </w:rPr>
        <w:t xml:space="preserve"> </w:t>
      </w:r>
      <w:r w:rsidRPr="001F2586">
        <w:rPr>
          <w:rFonts w:eastAsia="Calibri" w:hint="eastAsia"/>
          <w:b/>
          <w:bCs/>
          <w:rtl/>
        </w:rPr>
        <w:t>מיוחדים</w:t>
      </w:r>
      <w:r w:rsidRPr="001F2586">
        <w:rPr>
          <w:rFonts w:eastAsia="Calibri"/>
          <w:b/>
          <w:bCs/>
          <w:rtl/>
        </w:rPr>
        <w:t xml:space="preserve"> </w:t>
      </w:r>
      <w:r w:rsidRPr="001F2586">
        <w:rPr>
          <w:rFonts w:eastAsia="Calibri" w:hint="eastAsia"/>
          <w:b/>
          <w:bCs/>
          <w:rtl/>
        </w:rPr>
        <w:t>מתוך</w:t>
      </w:r>
      <w:r w:rsidRPr="001F2586">
        <w:rPr>
          <w:rFonts w:eastAsia="Calibri"/>
          <w:b/>
          <w:bCs/>
          <w:rtl/>
        </w:rPr>
        <w:t xml:space="preserve"> </w:t>
      </w:r>
      <w:r w:rsidRPr="001F2586">
        <w:rPr>
          <w:rFonts w:eastAsia="Calibri" w:hint="eastAsia"/>
          <w:b/>
          <w:bCs/>
          <w:rtl/>
        </w:rPr>
        <w:t>אוכלוסיית</w:t>
      </w:r>
      <w:r w:rsidRPr="001F2586">
        <w:rPr>
          <w:rFonts w:eastAsia="Calibri"/>
          <w:b/>
          <w:bCs/>
          <w:rtl/>
        </w:rPr>
        <w:t xml:space="preserve"> </w:t>
      </w:r>
      <w:r w:rsidRPr="001F2586">
        <w:rPr>
          <w:rFonts w:eastAsia="Calibri" w:hint="eastAsia"/>
          <w:b/>
          <w:bCs/>
          <w:rtl/>
        </w:rPr>
        <w:t>הזכאים</w:t>
      </w:r>
      <w:r w:rsidRPr="001F2586">
        <w:rPr>
          <w:rFonts w:eastAsia="Calibri"/>
          <w:b/>
          <w:bCs/>
          <w:rtl/>
        </w:rPr>
        <w:t xml:space="preserve">, </w:t>
      </w:r>
      <w:r w:rsidRPr="001F2586">
        <w:rPr>
          <w:rFonts w:eastAsia="Calibri" w:hint="eastAsia"/>
          <w:b/>
          <w:bCs/>
          <w:rtl/>
        </w:rPr>
        <w:t>כפי</w:t>
      </w:r>
      <w:r w:rsidRPr="001F2586">
        <w:rPr>
          <w:rFonts w:eastAsia="Calibri"/>
          <w:b/>
          <w:bCs/>
          <w:rtl/>
        </w:rPr>
        <w:t xml:space="preserve"> </w:t>
      </w:r>
      <w:r w:rsidRPr="001F2586">
        <w:rPr>
          <w:rFonts w:eastAsia="Calibri" w:hint="eastAsia"/>
          <w:b/>
          <w:bCs/>
          <w:rtl/>
        </w:rPr>
        <w:t>שהוגדרו</w:t>
      </w:r>
      <w:r w:rsidRPr="001F2586">
        <w:rPr>
          <w:rFonts w:eastAsia="Calibri"/>
          <w:b/>
          <w:bCs/>
          <w:rtl/>
        </w:rPr>
        <w:t xml:space="preserve"> </w:t>
      </w:r>
      <w:r w:rsidRPr="001F2586">
        <w:rPr>
          <w:rFonts w:eastAsia="Calibri" w:hint="eastAsia"/>
          <w:b/>
          <w:bCs/>
          <w:rtl/>
        </w:rPr>
        <w:t>בידי</w:t>
      </w:r>
      <w:r w:rsidRPr="001F2586">
        <w:rPr>
          <w:rFonts w:eastAsia="Calibri"/>
          <w:b/>
          <w:bCs/>
          <w:rtl/>
        </w:rPr>
        <w:t xml:space="preserve"> </w:t>
      </w:r>
      <w:r w:rsidRPr="001F2586">
        <w:rPr>
          <w:rFonts w:eastAsia="Calibri" w:hint="eastAsia"/>
          <w:b/>
          <w:bCs/>
          <w:rtl/>
        </w:rPr>
        <w:t>משב</w:t>
      </w:r>
      <w:r w:rsidRPr="001F2586">
        <w:rPr>
          <w:rFonts w:eastAsia="Calibri"/>
          <w:b/>
          <w:bCs/>
          <w:rtl/>
        </w:rPr>
        <w:t xml:space="preserve">"ש </w:t>
      </w:r>
      <w:r w:rsidRPr="001F2586">
        <w:rPr>
          <w:rFonts w:eastAsia="Calibri" w:hint="eastAsia"/>
          <w:b/>
          <w:bCs/>
          <w:rtl/>
        </w:rPr>
        <w:t>ומשרד</w:t>
      </w:r>
      <w:r w:rsidRPr="001F2586">
        <w:rPr>
          <w:rFonts w:eastAsia="Calibri"/>
          <w:b/>
          <w:bCs/>
          <w:rtl/>
        </w:rPr>
        <w:t xml:space="preserve"> </w:t>
      </w:r>
      <w:r w:rsidRPr="001F2586">
        <w:rPr>
          <w:rFonts w:eastAsia="Calibri" w:hint="eastAsia"/>
          <w:b/>
          <w:bCs/>
          <w:rtl/>
        </w:rPr>
        <w:t>האוצר</w:t>
      </w:r>
      <w:r w:rsidRPr="001F2586">
        <w:rPr>
          <w:rFonts w:eastAsia="Calibri"/>
          <w:b/>
          <w:bCs/>
          <w:rtl/>
        </w:rPr>
        <w:t xml:space="preserve">. </w:t>
      </w:r>
      <w:r w:rsidRPr="001F2586">
        <w:rPr>
          <w:rFonts w:eastAsia="Calibri" w:hint="eastAsia"/>
          <w:b/>
          <w:bCs/>
          <w:rtl/>
        </w:rPr>
        <w:t>עוד</w:t>
      </w:r>
      <w:r w:rsidRPr="001F2586">
        <w:rPr>
          <w:rFonts w:eastAsia="Calibri"/>
          <w:b/>
          <w:bCs/>
          <w:rtl/>
        </w:rPr>
        <w:t xml:space="preserve"> </w:t>
      </w:r>
      <w:r w:rsidRPr="001F2586">
        <w:rPr>
          <w:rFonts w:eastAsia="Calibri" w:hint="eastAsia"/>
          <w:b/>
          <w:bCs/>
          <w:rtl/>
        </w:rPr>
        <w:t>ניתן</w:t>
      </w:r>
      <w:r w:rsidRPr="001F2586">
        <w:rPr>
          <w:rFonts w:eastAsia="Calibri"/>
          <w:b/>
          <w:bCs/>
          <w:rtl/>
        </w:rPr>
        <w:t xml:space="preserve"> </w:t>
      </w:r>
      <w:r w:rsidRPr="001F2586">
        <w:rPr>
          <w:rFonts w:eastAsia="Calibri" w:hint="eastAsia"/>
          <w:b/>
          <w:bCs/>
          <w:rtl/>
        </w:rPr>
        <w:t>לראות</w:t>
      </w:r>
      <w:r w:rsidRPr="001F2586">
        <w:rPr>
          <w:rFonts w:eastAsia="Calibri"/>
          <w:b/>
          <w:bCs/>
          <w:rtl/>
        </w:rPr>
        <w:t xml:space="preserve"> </w:t>
      </w:r>
      <w:r w:rsidRPr="001F2586">
        <w:rPr>
          <w:rFonts w:eastAsia="Calibri" w:hint="eastAsia"/>
          <w:b/>
          <w:bCs/>
          <w:rtl/>
        </w:rPr>
        <w:t>בטבלה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למרות</w:t>
      </w:r>
      <w:r w:rsidRPr="001F2586">
        <w:rPr>
          <w:rFonts w:eastAsia="Calibri"/>
          <w:b/>
          <w:bCs/>
          <w:rtl/>
        </w:rPr>
        <w:t xml:space="preserve"> </w:t>
      </w:r>
      <w:r w:rsidRPr="001F2586">
        <w:rPr>
          <w:rFonts w:eastAsia="Calibri" w:hint="eastAsia"/>
          <w:b/>
          <w:bCs/>
          <w:rtl/>
        </w:rPr>
        <w:t>שלא</w:t>
      </w:r>
      <w:r w:rsidRPr="001F2586">
        <w:rPr>
          <w:rFonts w:eastAsia="Calibri"/>
          <w:b/>
          <w:bCs/>
          <w:rtl/>
        </w:rPr>
        <w:t xml:space="preserve"> </w:t>
      </w:r>
      <w:r w:rsidRPr="001F2586">
        <w:rPr>
          <w:rFonts w:eastAsia="Calibri" w:hint="eastAsia"/>
          <w:b/>
          <w:bCs/>
          <w:rtl/>
        </w:rPr>
        <w:t>חלו</w:t>
      </w:r>
      <w:r w:rsidRPr="001F2586">
        <w:rPr>
          <w:rFonts w:eastAsia="Calibri"/>
          <w:b/>
          <w:bCs/>
          <w:rtl/>
        </w:rPr>
        <w:t xml:space="preserve"> </w:t>
      </w:r>
      <w:r w:rsidRPr="001F2586">
        <w:rPr>
          <w:rFonts w:eastAsia="Calibri" w:hint="eastAsia"/>
          <w:b/>
          <w:bCs/>
          <w:rtl/>
        </w:rPr>
        <w:t>שינויים</w:t>
      </w:r>
      <w:r w:rsidRPr="001F2586">
        <w:rPr>
          <w:rFonts w:eastAsia="Calibri"/>
          <w:b/>
          <w:bCs/>
          <w:rtl/>
        </w:rPr>
        <w:t xml:space="preserve"> </w:t>
      </w:r>
      <w:r w:rsidRPr="001F2586">
        <w:rPr>
          <w:rFonts w:eastAsia="Calibri" w:hint="eastAsia"/>
          <w:b/>
          <w:bCs/>
          <w:rtl/>
        </w:rPr>
        <w:t>מהותיים</w:t>
      </w:r>
      <w:r w:rsidRPr="001F2586">
        <w:rPr>
          <w:rFonts w:eastAsia="Calibri"/>
          <w:b/>
          <w:bCs/>
          <w:rtl/>
        </w:rPr>
        <w:t xml:space="preserve"> </w:t>
      </w:r>
      <w:r w:rsidRPr="001F2586">
        <w:rPr>
          <w:rFonts w:eastAsia="Calibri" w:hint="eastAsia"/>
          <w:b/>
          <w:bCs/>
          <w:rtl/>
        </w:rPr>
        <w:t>בסכום</w:t>
      </w:r>
      <w:r w:rsidRPr="001F2586">
        <w:rPr>
          <w:rFonts w:eastAsia="Calibri"/>
          <w:b/>
          <w:bCs/>
          <w:rtl/>
        </w:rPr>
        <w:t xml:space="preserve"> </w:t>
      </w:r>
      <w:r w:rsidRPr="001F2586">
        <w:rPr>
          <w:rFonts w:eastAsia="Calibri" w:hint="eastAsia"/>
          <w:b/>
          <w:bCs/>
          <w:rtl/>
        </w:rPr>
        <w:t>ההלוואה</w:t>
      </w:r>
      <w:r w:rsidRPr="001F2586">
        <w:rPr>
          <w:rFonts w:eastAsia="Calibri"/>
          <w:b/>
          <w:bCs/>
          <w:rtl/>
        </w:rPr>
        <w:t xml:space="preserve"> </w:t>
      </w:r>
      <w:r w:rsidRPr="001F2586">
        <w:rPr>
          <w:rFonts w:eastAsia="Calibri" w:hint="eastAsia"/>
          <w:b/>
          <w:bCs/>
          <w:rtl/>
        </w:rPr>
        <w:t>הממוצעת</w:t>
      </w:r>
      <w:r w:rsidRPr="001F2586">
        <w:rPr>
          <w:rFonts w:eastAsia="Calibri"/>
          <w:b/>
          <w:bCs/>
          <w:rtl/>
        </w:rPr>
        <w:t xml:space="preserve"> </w:t>
      </w:r>
      <w:r w:rsidRPr="001F2586">
        <w:rPr>
          <w:rFonts w:eastAsia="Calibri" w:hint="eastAsia"/>
          <w:b/>
          <w:bCs/>
          <w:rtl/>
        </w:rPr>
        <w:t>לזכאים</w:t>
      </w:r>
      <w:r w:rsidRPr="001F2586">
        <w:rPr>
          <w:rFonts w:eastAsia="Calibri"/>
          <w:b/>
          <w:bCs/>
          <w:rtl/>
        </w:rPr>
        <w:t xml:space="preserve"> </w:t>
      </w:r>
      <w:r w:rsidRPr="001F2586">
        <w:rPr>
          <w:rFonts w:eastAsia="Calibri" w:hint="eastAsia"/>
          <w:b/>
          <w:bCs/>
          <w:rtl/>
        </w:rPr>
        <w:t>במהלך</w:t>
      </w:r>
      <w:r w:rsidRPr="001F2586">
        <w:rPr>
          <w:rFonts w:eastAsia="Calibri"/>
          <w:b/>
          <w:bCs/>
          <w:rtl/>
        </w:rPr>
        <w:t xml:space="preserve"> </w:t>
      </w:r>
      <w:r w:rsidRPr="001F2586">
        <w:rPr>
          <w:rFonts w:eastAsia="Calibri" w:hint="eastAsia"/>
          <w:b/>
          <w:bCs/>
          <w:rtl/>
        </w:rPr>
        <w:t>התקופה</w:t>
      </w:r>
      <w:r w:rsidRPr="001F2586">
        <w:rPr>
          <w:rFonts w:eastAsia="Calibri"/>
          <w:b/>
          <w:bCs/>
          <w:rtl/>
        </w:rPr>
        <w:t xml:space="preserve"> (פער </w:t>
      </w:r>
      <w:r w:rsidRPr="001F2586">
        <w:rPr>
          <w:rFonts w:eastAsia="Calibri" w:hint="eastAsia"/>
          <w:b/>
          <w:bCs/>
          <w:rtl/>
        </w:rPr>
        <w:t>מרבי</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-19 </w:t>
      </w:r>
      <w:r w:rsidRPr="001F2586">
        <w:rPr>
          <w:rFonts w:eastAsia="Calibri" w:hint="eastAsia"/>
          <w:b/>
          <w:bCs/>
          <w:rtl/>
        </w:rPr>
        <w:t>אלף</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לזכאים</w:t>
      </w:r>
      <w:r w:rsidRPr="001F2586">
        <w:rPr>
          <w:rFonts w:eastAsia="Calibri"/>
          <w:b/>
          <w:bCs/>
          <w:rtl/>
        </w:rPr>
        <w:t xml:space="preserve"> </w:t>
      </w:r>
      <w:r w:rsidRPr="001F2586">
        <w:rPr>
          <w:rFonts w:eastAsia="Calibri" w:hint="eastAsia"/>
          <w:b/>
          <w:bCs/>
          <w:rtl/>
        </w:rPr>
        <w:t>ממחיר</w:t>
      </w:r>
      <w:r w:rsidRPr="001F2586">
        <w:rPr>
          <w:rFonts w:eastAsia="Calibri"/>
          <w:b/>
          <w:bCs/>
          <w:rtl/>
        </w:rPr>
        <w:t xml:space="preserve"> </w:t>
      </w:r>
      <w:r w:rsidRPr="001F2586">
        <w:rPr>
          <w:rFonts w:eastAsia="Calibri" w:hint="eastAsia"/>
          <w:b/>
          <w:bCs/>
          <w:rtl/>
        </w:rPr>
        <w:t>הדירה</w:t>
      </w:r>
      <w:r w:rsidRPr="001F2586">
        <w:rPr>
          <w:rFonts w:eastAsia="Calibri"/>
          <w:b/>
          <w:bCs/>
          <w:rtl/>
        </w:rPr>
        <w:t xml:space="preserve"> </w:t>
      </w:r>
      <w:r w:rsidRPr="001F2586">
        <w:rPr>
          <w:rFonts w:eastAsia="Calibri" w:hint="eastAsia"/>
          <w:b/>
          <w:bCs/>
          <w:rtl/>
        </w:rPr>
        <w:t>הממוצע</w:t>
      </w:r>
      <w:r w:rsidRPr="001F2586">
        <w:rPr>
          <w:rFonts w:eastAsia="Calibri"/>
          <w:b/>
          <w:bCs/>
          <w:rtl/>
        </w:rPr>
        <w:t xml:space="preserve"> </w:t>
      </w:r>
      <w:r w:rsidRPr="001F2586">
        <w:rPr>
          <w:rFonts w:eastAsia="Calibri" w:hint="eastAsia"/>
          <w:b/>
          <w:bCs/>
          <w:rtl/>
        </w:rPr>
        <w:t>פחת</w:t>
      </w:r>
      <w:r w:rsidRPr="001F2586">
        <w:rPr>
          <w:rFonts w:eastAsia="Calibri"/>
          <w:b/>
          <w:bCs/>
          <w:rtl/>
        </w:rPr>
        <w:t xml:space="preserve"> </w:t>
      </w:r>
      <w:r w:rsidRPr="001F2586">
        <w:rPr>
          <w:rFonts w:eastAsia="Calibri" w:hint="eastAsia"/>
          <w:b/>
          <w:bCs/>
          <w:rtl/>
        </w:rPr>
        <w:t>בצורה</w:t>
      </w:r>
      <w:r w:rsidRPr="001F2586">
        <w:rPr>
          <w:rFonts w:eastAsia="Calibri"/>
          <w:b/>
          <w:bCs/>
          <w:rtl/>
        </w:rPr>
        <w:t xml:space="preserve"> </w:t>
      </w:r>
      <w:r w:rsidRPr="001F2586">
        <w:rPr>
          <w:rFonts w:eastAsia="Calibri" w:hint="eastAsia"/>
          <w:b/>
          <w:bCs/>
          <w:rtl/>
        </w:rPr>
        <w:t>משמעותית</w:t>
      </w:r>
      <w:r w:rsidRPr="001F2586">
        <w:rPr>
          <w:rFonts w:eastAsia="Calibri"/>
          <w:b/>
          <w:bCs/>
          <w:rtl/>
        </w:rPr>
        <w:t xml:space="preserve"> </w:t>
      </w:r>
      <w:r w:rsidRPr="001F2586">
        <w:rPr>
          <w:rFonts w:eastAsia="Calibri" w:hint="eastAsia"/>
          <w:b/>
          <w:bCs/>
          <w:rtl/>
        </w:rPr>
        <w:t>במהלך</w:t>
      </w:r>
      <w:r w:rsidRPr="001F2586">
        <w:rPr>
          <w:rFonts w:eastAsia="Calibri"/>
          <w:b/>
          <w:bCs/>
          <w:rtl/>
        </w:rPr>
        <w:t xml:space="preserve"> </w:t>
      </w:r>
      <w:r w:rsidRPr="001F2586">
        <w:rPr>
          <w:rFonts w:eastAsia="Calibri" w:hint="eastAsia"/>
          <w:b/>
          <w:bCs/>
          <w:rtl/>
        </w:rPr>
        <w:t>השנים</w:t>
      </w:r>
      <w:r w:rsidRPr="001F2586">
        <w:rPr>
          <w:rFonts w:eastAsia="Calibri"/>
          <w:b/>
          <w:bCs/>
          <w:rtl/>
        </w:rPr>
        <w:t xml:space="preserve">, </w:t>
      </w:r>
      <w:r w:rsidRPr="001F2586">
        <w:rPr>
          <w:rFonts w:eastAsia="Calibri" w:hint="eastAsia"/>
          <w:b/>
          <w:bCs/>
          <w:rtl/>
        </w:rPr>
        <w:t>מ</w:t>
      </w:r>
      <w:r w:rsidRPr="001F2586">
        <w:rPr>
          <w:rFonts w:eastAsia="Calibri"/>
          <w:b/>
          <w:bCs/>
          <w:rtl/>
        </w:rPr>
        <w:t xml:space="preserve">-9% </w:t>
      </w:r>
      <w:r w:rsidRPr="001F2586">
        <w:rPr>
          <w:rFonts w:eastAsia="Calibri" w:hint="eastAsia"/>
          <w:b/>
          <w:bCs/>
          <w:rtl/>
        </w:rPr>
        <w:t>בשנת</w:t>
      </w:r>
      <w:r w:rsidRPr="001F2586">
        <w:rPr>
          <w:rFonts w:eastAsia="Calibri"/>
          <w:b/>
          <w:bCs/>
          <w:rtl/>
        </w:rPr>
        <w:t xml:space="preserve"> 2017 </w:t>
      </w:r>
      <w:r w:rsidRPr="001F2586">
        <w:rPr>
          <w:rFonts w:eastAsia="Calibri" w:hint="eastAsia"/>
          <w:b/>
          <w:bCs/>
          <w:rtl/>
        </w:rPr>
        <w:t>ל</w:t>
      </w:r>
      <w:r w:rsidRPr="001F2586">
        <w:rPr>
          <w:rFonts w:eastAsia="Calibri"/>
          <w:b/>
          <w:bCs/>
          <w:rtl/>
        </w:rPr>
        <w:t xml:space="preserve">-5.6% </w:t>
      </w:r>
      <w:r w:rsidRPr="001F2586">
        <w:rPr>
          <w:rFonts w:eastAsia="Calibri" w:hint="eastAsia"/>
          <w:b/>
          <w:bCs/>
          <w:rtl/>
        </w:rPr>
        <w:t>בשנת</w:t>
      </w:r>
      <w:r w:rsidRPr="001F2586">
        <w:rPr>
          <w:rFonts w:eastAsia="Calibri"/>
          <w:b/>
          <w:bCs/>
          <w:rtl/>
        </w:rPr>
        <w:t xml:space="preserve"> 2024. </w:t>
      </w:r>
      <w:r w:rsidRPr="001F2586">
        <w:rPr>
          <w:rFonts w:eastAsia="Calibri" w:hint="eastAsia"/>
          <w:b/>
          <w:bCs/>
          <w:rtl/>
        </w:rPr>
        <w:t>זאת</w:t>
      </w:r>
      <w:r w:rsidRPr="001F2586">
        <w:rPr>
          <w:rFonts w:eastAsia="Calibri"/>
          <w:b/>
          <w:bCs/>
          <w:rtl/>
        </w:rPr>
        <w:t xml:space="preserve"> </w:t>
      </w:r>
      <w:r w:rsidRPr="001F2586">
        <w:rPr>
          <w:rFonts w:eastAsia="Calibri" w:hint="eastAsia"/>
          <w:b/>
          <w:bCs/>
          <w:rtl/>
        </w:rPr>
        <w:t>כתוצאה</w:t>
      </w:r>
      <w:r w:rsidRPr="001F2586">
        <w:rPr>
          <w:rFonts w:eastAsia="Calibri"/>
          <w:b/>
          <w:bCs/>
          <w:rtl/>
        </w:rPr>
        <w:t xml:space="preserve"> </w:t>
      </w:r>
      <w:r w:rsidRPr="001F2586">
        <w:rPr>
          <w:rFonts w:eastAsia="Calibri" w:hint="eastAsia"/>
          <w:b/>
          <w:bCs/>
          <w:rtl/>
        </w:rPr>
        <w:t>מעליית</w:t>
      </w:r>
      <w:r w:rsidRPr="001F2586">
        <w:rPr>
          <w:rFonts w:eastAsia="Calibri"/>
          <w:b/>
          <w:bCs/>
          <w:rtl/>
        </w:rPr>
        <w:t xml:space="preserve"> </w:t>
      </w:r>
      <w:r w:rsidRPr="001F2586">
        <w:rPr>
          <w:rFonts w:eastAsia="Calibri" w:hint="eastAsia"/>
          <w:b/>
          <w:bCs/>
          <w:rtl/>
        </w:rPr>
        <w:t>מחירי</w:t>
      </w:r>
      <w:r w:rsidRPr="001F2586">
        <w:rPr>
          <w:rFonts w:eastAsia="Calibri"/>
          <w:b/>
          <w:bCs/>
        </w:rPr>
        <w:t xml:space="preserve"> </w:t>
      </w:r>
      <w:r w:rsidRPr="001F2586">
        <w:rPr>
          <w:rFonts w:eastAsia="Calibri" w:hint="eastAsia"/>
          <w:b/>
          <w:bCs/>
          <w:rtl/>
        </w:rPr>
        <w:t>הדירות</w:t>
      </w:r>
      <w:r w:rsidRPr="001F2586">
        <w:rPr>
          <w:rFonts w:eastAsia="Calibri"/>
          <w:b/>
          <w:bCs/>
          <w:rtl/>
        </w:rPr>
        <w:t xml:space="preserve"> </w:t>
      </w:r>
      <w:r w:rsidRPr="001F2586">
        <w:rPr>
          <w:rFonts w:eastAsia="Calibri" w:hint="eastAsia"/>
          <w:b/>
          <w:bCs/>
          <w:rtl/>
        </w:rPr>
        <w:t>בשיעור</w:t>
      </w:r>
      <w:r w:rsidRPr="001F2586">
        <w:rPr>
          <w:rFonts w:eastAsia="Calibri"/>
          <w:b/>
          <w:bCs/>
          <w:rtl/>
        </w:rPr>
        <w:t xml:space="preserve"> </w:t>
      </w:r>
      <w:r w:rsidRPr="001F2586">
        <w:rPr>
          <w:rFonts w:eastAsia="Calibri" w:hint="eastAsia"/>
          <w:b/>
          <w:bCs/>
          <w:rtl/>
        </w:rPr>
        <w:t>ממוצע</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53% </w:t>
      </w:r>
      <w:r w:rsidRPr="001F2586">
        <w:rPr>
          <w:rFonts w:eastAsia="Calibri" w:hint="eastAsia"/>
          <w:b/>
          <w:bCs/>
          <w:rtl/>
        </w:rPr>
        <w:t>שתועדה</w:t>
      </w:r>
      <w:r w:rsidRPr="001F2586">
        <w:rPr>
          <w:rFonts w:eastAsia="Calibri"/>
          <w:b/>
          <w:bCs/>
          <w:rtl/>
        </w:rPr>
        <w:t xml:space="preserve"> </w:t>
      </w:r>
      <w:r w:rsidRPr="001F2586">
        <w:rPr>
          <w:rFonts w:eastAsia="Calibri" w:hint="eastAsia"/>
          <w:b/>
          <w:bCs/>
          <w:rtl/>
        </w:rPr>
        <w:t>במהלך</w:t>
      </w:r>
      <w:r w:rsidRPr="001F2586">
        <w:rPr>
          <w:rFonts w:eastAsia="Calibri"/>
          <w:b/>
          <w:bCs/>
          <w:rtl/>
        </w:rPr>
        <w:t xml:space="preserve"> </w:t>
      </w:r>
      <w:r w:rsidRPr="001F2586">
        <w:rPr>
          <w:rFonts w:eastAsia="Calibri" w:hint="eastAsia"/>
          <w:b/>
          <w:bCs/>
          <w:rtl/>
        </w:rPr>
        <w:t>תקופה</w:t>
      </w:r>
      <w:r w:rsidRPr="001F2586">
        <w:rPr>
          <w:rFonts w:eastAsia="Calibri"/>
          <w:b/>
          <w:bCs/>
          <w:rtl/>
        </w:rPr>
        <w:t xml:space="preserve"> </w:t>
      </w:r>
      <w:r w:rsidRPr="001F2586">
        <w:rPr>
          <w:rFonts w:eastAsia="Calibri" w:hint="eastAsia"/>
          <w:b/>
          <w:bCs/>
          <w:rtl/>
        </w:rPr>
        <w:t>זו</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בשנים האחרונות הועמדו הלוואות לזכאים בסכום ממוצע דומה ובשיעור גבוה מתוך הסכום הבסיסי להעמדתן (כ-80% עד כ-92%). עם זאת שיעורן מסך מחירי הדירות הממוצעים פחת באופן משמעותי במהלך השנים (מ-9%</w:t>
      </w:r>
      <w:r w:rsidRPr="001F2586">
        <w:rPr>
          <w:rFonts w:eastAsia="Calibri" w:hint="cs"/>
          <w:b/>
          <w:bCs/>
        </w:rPr>
        <w:t xml:space="preserve"> </w:t>
      </w:r>
      <w:r w:rsidRPr="001F2586">
        <w:rPr>
          <w:rFonts w:eastAsia="Calibri" w:hint="cs"/>
          <w:b/>
          <w:bCs/>
          <w:rtl/>
        </w:rPr>
        <w:t>בשנת 2017 ל-5.6% בשנת 2024). נתונים אלה מעלים חשש לפגיעה במקורות המימון של הזכאים ולצמצום ההטבות המוצעות בהעמדתן.</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ב-28.6.21 הונחה על שולחן הכנסת לדיון מוקדם (קריאה טרומית) הצעת חוק פרטית הלוואות לדיור (תיקון - הלוואה כהון עצמי)(הוראת שעה), התשפ"א-2021</w:t>
      </w:r>
      <w:r>
        <w:rPr>
          <w:rFonts w:eastAsia="Calibri"/>
          <w:vertAlign w:val="superscript"/>
          <w:rtl/>
        </w:rPr>
        <w:footnoteReference w:id="383"/>
      </w:r>
      <w:r w:rsidRPr="001F2586">
        <w:rPr>
          <w:rFonts w:eastAsia="Calibri" w:hint="cs"/>
          <w:rtl/>
        </w:rPr>
        <w:t>. בדברי ההסבר להצעת החוק נכתב כי ירידה ניכרת בהיקף מימוש הלוואות לזכאים נובעת בין היתר מחוסר יכולתם לגייס הון עצמי התחלתי נדרש. לפיכך ההצעה נועדה לסייע לזכאים בהגדלת ההון העצמי הנדרש באמצעות הכללת סכום משכנתא לזכאים כחלק מההון העצמי</w:t>
      </w:r>
      <w:r>
        <w:rPr>
          <w:rFonts w:eastAsia="Calibri"/>
          <w:vertAlign w:val="superscript"/>
          <w:rtl/>
        </w:rPr>
        <w:footnoteReference w:id="384"/>
      </w:r>
      <w:r w:rsidRPr="001F2586">
        <w:rPr>
          <w:rFonts w:eastAsia="Calibri" w:hint="cs"/>
          <w:rtl/>
        </w:rPr>
        <w:t>. עם זאת הצעת החוק לא קודמה ואף לא התקיים דיון בעניינה במליאת הכנסת.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מומלץ כי משרד הבינוי והשיכון ומשרד האוצר יקבעו במשותף את הסכום הבסיסי והסכום המרבי שניתן ללוות בהעמדת הלוואות לזכאים לנוכח הגידול המשמעותי במחירי הדירות הממוצעים וכדי לתמוך בהשגת יעדי מתן הסיוע.</w:t>
      </w:r>
      <w:bookmarkEnd w:id="92"/>
    </w:p>
    <w:p w:rsidR="001F2586" w:rsidRPr="001F2586" w:rsidP="001F2586">
      <w:pPr>
        <w:spacing w:line="269" w:lineRule="auto"/>
        <w:rPr>
          <w:rFonts w:eastAsia="Calibri"/>
          <w:b/>
          <w:bCs/>
          <w:rtl/>
        </w:rPr>
      </w:pPr>
    </w:p>
    <w:p w:rsidR="00194C04">
      <w:pPr>
        <w:bidi w:val="0"/>
        <w:spacing w:after="200" w:line="276" w:lineRule="auto"/>
        <w:rPr>
          <w:rFonts w:eastAsia="Times New Roman"/>
          <w:bCs/>
          <w:spacing w:val="40"/>
          <w:rtl/>
        </w:rPr>
      </w:pPr>
      <w:r>
        <w:rPr>
          <w:rFonts w:eastAsia="Times New Roman"/>
          <w:bCs/>
          <w:spacing w:val="40"/>
          <w:rtl/>
        </w:rPr>
        <w:br w:type="page"/>
      </w: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התנאים המסחריים של הלוואות לזכאים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בהתאם לחוק הלוואות לדיור הריבית על משכנתא לזכאים עומדת על 0.5% פחות מהריבית הממוצעת על משכנתאות צמודות למדד המחירים לצרכן (להלן - המדד) בריבית קבועה, כפי שמפרסם בנק ישראל מדי חודש, ולא יותר מ-3%. באפשרות הזכאים לבחור תקופות שונות להחזר ההלוואה ובטווח של 10 עד 30 שנים. הטבות משמעותיות נוספת של הלוואות לזכאים הן פטור מקנסות בפירעון מוקדם</w:t>
      </w:r>
      <w:r>
        <w:rPr>
          <w:rFonts w:eastAsia="Calibri"/>
          <w:vertAlign w:val="superscript"/>
          <w:rtl/>
        </w:rPr>
        <w:footnoteReference w:id="385"/>
      </w:r>
      <w:r w:rsidRPr="001F2586">
        <w:rPr>
          <w:rFonts w:eastAsia="Calibri" w:hint="cs"/>
          <w:rtl/>
        </w:rPr>
        <w:t xml:space="preserve">, שמאות לנכס בתעריף מופחת, והנחת שכר טרחת עורך דין הנשכר לטיפול בגביית חוב במקרים בהם הלווה מפגר בתשלומי ההלוואה. עם זאת בהינתן שוק משוכלל ותחרותי, התועלת הגלומה בתנאי הסיוע בהלוואות לזכאים יכולה להשתנות ונדרשת להיבחן באופן מתמיד ביחס לתנאי השוק.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במהלך שני העשורים האחרונים תועדו תנודות רבות בשיעורי הריבית הממוצעת על משכנתאות צמודות למדד בריבית קבועה. קיימת השפעה כלכלית מהותית למועד נטילת</w:t>
      </w:r>
      <w:r w:rsidRPr="001F2586">
        <w:rPr>
          <w:rFonts w:eastAsia="Calibri" w:cs="Arial" w:hint="cs"/>
          <w:rtl/>
        </w:rPr>
        <w:t xml:space="preserve"> </w:t>
      </w:r>
      <w:r w:rsidRPr="001F2586">
        <w:rPr>
          <w:rFonts w:eastAsia="Calibri" w:hint="cs"/>
          <w:rtl/>
        </w:rPr>
        <w:t>הלוואות לדיור, ובמיוחד למועד נטילת הלוואות לזכאים בשל הגבלתן לרף עליון של 3% ריבית בחוק. ככל שהריבית הממוצעת על משכנתאות צמודות למדד גבוהה מ-3.5%, כך פער הריביות בין הלוואות לזכאים להלוואות צמודות מדד בשוק החופשי גדל. התרשים להלן מציג בצדו הימני את שיעור הריבית השנתית הממוצעת שהועמדה בהלוואות לזכאים בין השנים 2003 ל-2025. בצדו השמאלי של התרשים מוצג פער הריביות בין הלוואות לזכאים לממוצע הלוואות צמודות מדד שהועמדו לציבור בתקופה זו.</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rtl/>
        </w:rPr>
      </w:pPr>
      <w:r w:rsidRPr="001F2586">
        <w:rPr>
          <w:rFonts w:eastAsia="Calibri" w:hint="cs"/>
          <w:rtl/>
        </w:rPr>
        <w:t xml:space="preserve">תרשים 63: </w:t>
      </w:r>
      <w:r w:rsidRPr="001F2586">
        <w:rPr>
          <w:rFonts w:eastAsia="Calibri" w:hint="cs"/>
          <w:b/>
          <w:bCs/>
          <w:rtl/>
        </w:rPr>
        <w:t>הריבית השנתית בהלוואות לזכאים והפער ביחס לממוצע הלוואות צמודות מדד לפי תקופות זמן שונות לפירעון, 2003 - 2025</w:t>
      </w:r>
    </w:p>
    <w:p w:rsidR="001F2586" w:rsidRPr="001F2586" w:rsidP="00194C04">
      <w:pPr>
        <w:spacing w:line="269" w:lineRule="auto"/>
        <w:jc w:val="center"/>
        <w:rPr>
          <w:rFonts w:eastAsia="Calibri"/>
          <w:rtl/>
        </w:rPr>
      </w:pPr>
      <w:r w:rsidRPr="001F2586">
        <w:rPr>
          <w:rFonts w:eastAsia="Calibri"/>
          <w:noProof/>
        </w:rPr>
        <w:drawing>
          <wp:inline distT="0" distB="0" distL="0" distR="0">
            <wp:extent cx="4885055" cy="2596486"/>
            <wp:effectExtent l="0" t="0" r="0" b="0"/>
            <wp:docPr id="40" name="תמונה 40" descr="בתרשים הימני ניתן לראות כי הלוואות לזכאים הועמדו במהלך השנים 2003 עד 2025 בשיעורי ריבית ממוצעת שנעה בין כ-1.2% ל-3%, תלוי באורך תקופת ההלוואה ובמועד העמדתה. הלוואות לזכאים שהועמדו לתקופה קצרה ניתנו, ככלל, בשיעורי ריבית נמוכים מאלה שהועמדו לתקופה ארוכה. בשנים 2008 עד 2022 תועדו שיעורי ריבית בהלוואות לזכאים הנמוכים מ-3%, זאת בהתאם לשיעורי הריבית הנמוכים ששררו במשק בתקופה זו. בתרשים השמאלי בצדו השמאלי של התרשים ניתן לראות כי בין השנים 2003 עד 2009 תועדו פערי ריביות גבוהים בין הלוואות לזכאים לממוצע ההלוואות שהועמדו לציבור בידי המערכת הבנקא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
                    <pic:cNvPicPr>
                      <a:picLocks noChangeAspect="1" noChangeArrowheads="1"/>
                    </pic:cNvPicPr>
                  </pic:nvPicPr>
                  <pic:blipFill>
                    <a:blip xmlns:r="http://schemas.openxmlformats.org/officeDocument/2006/relationships" r:embed="rId79">
                      <a:extLst>
                        <a:ext xmlns:a="http://schemas.openxmlformats.org/drawingml/2006/main" uri="{28A0092B-C50C-407E-A947-70E740481C1C}">
                          <a14:useLocalDpi xmlns:a14="http://schemas.microsoft.com/office/drawing/2010/main" val="0"/>
                        </a:ext>
                      </a:extLst>
                    </a:blip>
                    <a:stretch>
                      <a:fillRect/>
                    </a:stretch>
                  </pic:blipFill>
                  <pic:spPr bwMode="auto">
                    <a:xfrm>
                      <a:off x="0" y="0"/>
                      <a:ext cx="4896958" cy="2602812"/>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rPr>
          <w:rFonts w:eastAsia="Calibri"/>
          <w:sz w:val="16"/>
          <w:szCs w:val="20"/>
          <w:rtl/>
        </w:rPr>
      </w:pPr>
    </w:p>
    <w:p w:rsidR="001F2586" w:rsidRPr="001F2586" w:rsidP="001F2586">
      <w:pPr>
        <w:spacing w:line="269" w:lineRule="auto"/>
        <w:rPr>
          <w:rFonts w:eastAsia="Calibri"/>
          <w:rtl/>
        </w:rPr>
      </w:pPr>
      <w:r w:rsidRPr="001F2586">
        <w:rPr>
          <w:rFonts w:eastAsia="Calibri" w:hint="cs"/>
          <w:rtl/>
        </w:rPr>
        <w:t>ניתן לראות בצדו הימני של התרשים כי הלוואות לזכאים הועמדו במהלך השנים 2003 עד 2025 בשיעורי ריבית ממוצעת שנעה בין כ-1.2% ל-3%, תלוי באורך תקופת ההלוואה ובמועד העמדתה. הלוואות לזכאים שהועמדו לתקופה קצרה ניתנו, ככלל, בשיעורי ריבית נמוכים מאלה שהועמדו לתקופה ארוכה. בשנים 2008 עד 2022 תועדו שיעורי ריבית בהלוואות לזכאים הנמוכים מ-3%, זאת בהתאם לשיעורי הריבית הנמוכים ששררו במשק בתקופה זו. בצדו השמאלי של התרשים ניתן לראות כי בין השנים 2003 עד 2009 תועדו פערי ריביות גבוהים בין הלוואות לזכאים לממוצע ההלוואות שהועמדו לציבור בידי המערכת הבנקאית. פערים אלה יצרו תועלת כלכלית בנטילת הלוואות לזכאים בתקופה זו. עם זאת, בחלוף השנים פחת פער הריביות בעקבות ירידה בשיעור הריבית</w:t>
      </w:r>
      <w:r>
        <w:rPr>
          <w:rFonts w:eastAsia="Calibri"/>
          <w:vertAlign w:val="superscript"/>
          <w:rtl/>
        </w:rPr>
        <w:footnoteReference w:id="386"/>
      </w:r>
      <w:r w:rsidRPr="001F2586">
        <w:rPr>
          <w:rFonts w:eastAsia="Calibri" w:hint="cs"/>
          <w:rtl/>
        </w:rPr>
        <w:t>, לכן פחתה הכדאיות הכלכלית הטמונה בנטילת הלוואות לזכאים על פני השנים.</w:t>
      </w:r>
    </w:p>
    <w:p w:rsidR="001F2586" w:rsidRPr="001F2586" w:rsidP="001F2586">
      <w:pPr>
        <w:spacing w:line="269" w:lineRule="auto"/>
        <w:rPr>
          <w:rFonts w:eastAsia="Calibri"/>
          <w:rtl/>
        </w:rPr>
      </w:pPr>
      <w:r w:rsidRPr="001F2586">
        <w:rPr>
          <w:rFonts w:eastAsia="Calibri" w:hint="cs"/>
          <w:rtl/>
        </w:rPr>
        <w:t>בהתאם לשיטת לוח הסילוקין של ההלוואות הנהוגה בבנקים (שפיצר), לפיה כל התשלומים קבועים לאורך תקופת ההלוואה, החלק הארי של תשלום המשכנתא נועד בשנים הראשונות לפירעון ריבית ורק מיעוטו לסילוק קרן ההלוואה</w:t>
      </w:r>
      <w:r>
        <w:rPr>
          <w:rFonts w:eastAsia="Calibri"/>
          <w:vertAlign w:val="superscript"/>
          <w:rtl/>
        </w:rPr>
        <w:footnoteReference w:id="387"/>
      </w:r>
      <w:r w:rsidRPr="001F2586">
        <w:rPr>
          <w:rFonts w:eastAsia="Calibri" w:hint="cs"/>
          <w:rtl/>
        </w:rPr>
        <w:t xml:space="preserve">. יתרת תשלום ההלוואה מוצמדת למדד מדי חיוב ובעלת השפעה מהותית על סך התשלומים שישלמו </w:t>
      </w:r>
      <w:r w:rsidRPr="001F2586">
        <w:rPr>
          <w:rFonts w:eastAsia="Calibri" w:hint="cs"/>
          <w:rtl/>
        </w:rPr>
        <w:t>נוטלי</w:t>
      </w:r>
      <w:r w:rsidRPr="001F2586">
        <w:rPr>
          <w:rFonts w:eastAsia="Calibri" w:hint="cs"/>
          <w:rtl/>
        </w:rPr>
        <w:t xml:space="preserve"> הלוואות לדיור עד לפירעונן.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הצמדת הלוואה למדד מתבססת על הנחה כללית לפיה גם השכר מוצמד, פחות או יותר, לשינויים במדד באמצעות תוספות שכר עתיות. עם זאת בתקופות של מיתון ואבטלה ובתקופות של מדיניות כלכלית הפוגעת בשכר הריאלי הנחת יסוד זו עלולה שלא להתקיים. הנחת היסוד מתערערת במיוחד לגבי אוכלוסיות מסוימות, בעיקר משכבות אוכלוסייה ראויות לקידום ולגבי זכאים שבמהלך השנים חל שינוי במצבם המשפחתי, זאת אף אם הכנסתם הריאלית נותרה בעינה ואפילו גדלה מעט.</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יעד האינפלציה, שנקבע בידי הממשלה, מגדיר את שיעור השינוי השנתי הרצוי במדד בטווח בין 1%</w:t>
      </w:r>
      <w:r w:rsidRPr="001F2586">
        <w:rPr>
          <w:rFonts w:eastAsia="Calibri"/>
        </w:rPr>
        <w:t xml:space="preserve"> </w:t>
      </w:r>
      <w:r w:rsidRPr="001F2586">
        <w:rPr>
          <w:rFonts w:eastAsia="Calibri" w:hint="eastAsia"/>
          <w:rtl/>
        </w:rPr>
        <w:t>ל</w:t>
      </w:r>
      <w:r w:rsidRPr="001F2586">
        <w:rPr>
          <w:rFonts w:eastAsia="Calibri"/>
          <w:rtl/>
        </w:rPr>
        <w:t xml:space="preserve">-3%. עם זאת במהלך שני העשורים האחרונים המדד חרג מיעד האינפלציה ברוב השנים, כפי שניתן לראות בצדו השמאלי של התרשים מטה. במקרים בהם המדד שלילי תפחת יתרת ההלוואה באופן שיטיב עם </w:t>
      </w:r>
      <w:r w:rsidRPr="001F2586">
        <w:rPr>
          <w:rFonts w:eastAsia="Calibri" w:hint="eastAsia"/>
          <w:rtl/>
        </w:rPr>
        <w:t>נוטלי</w:t>
      </w:r>
      <w:r w:rsidRPr="001F2586">
        <w:rPr>
          <w:rFonts w:eastAsia="Calibri"/>
          <w:rtl/>
        </w:rPr>
        <w:t xml:space="preserve"> המשכנתאות, ואילו בשיעורי אינפלציה גבוהים תגדל יתרת התשלום של </w:t>
      </w:r>
      <w:r w:rsidRPr="001F2586">
        <w:rPr>
          <w:rFonts w:eastAsia="Calibri" w:hint="eastAsia"/>
          <w:rtl/>
        </w:rPr>
        <w:t>נוטלי</w:t>
      </w:r>
      <w:r w:rsidRPr="001F2586">
        <w:rPr>
          <w:rFonts w:eastAsia="Calibri"/>
          <w:rtl/>
        </w:rPr>
        <w:t xml:space="preserve"> ההלוואות ותרע את מצבם. </w:t>
      </w:r>
      <w:r w:rsidRPr="001F2586">
        <w:rPr>
          <w:rFonts w:eastAsia="Calibri" w:hint="eastAsia"/>
          <w:rtl/>
        </w:rPr>
        <w:t>יתכנו</w:t>
      </w:r>
      <w:r w:rsidRPr="001F2586">
        <w:rPr>
          <w:rFonts w:eastAsia="Calibri"/>
          <w:rtl/>
        </w:rPr>
        <w:t xml:space="preserve"> </w:t>
      </w:r>
      <w:r w:rsidRPr="001F2586">
        <w:rPr>
          <w:rFonts w:eastAsia="Calibri" w:hint="eastAsia"/>
          <w:rtl/>
        </w:rPr>
        <w:t>אף</w:t>
      </w:r>
      <w:r w:rsidRPr="001F2586">
        <w:rPr>
          <w:rFonts w:eastAsia="Calibri"/>
          <w:rtl/>
        </w:rPr>
        <w:t xml:space="preserve"> </w:t>
      </w:r>
      <w:r w:rsidRPr="001F2586">
        <w:rPr>
          <w:rFonts w:eastAsia="Calibri" w:hint="eastAsia"/>
          <w:rtl/>
        </w:rPr>
        <w:t>מקרים</w:t>
      </w:r>
      <w:r w:rsidRPr="001F2586">
        <w:rPr>
          <w:rFonts w:eastAsia="Calibri"/>
          <w:rtl/>
        </w:rPr>
        <w:t xml:space="preserve"> </w:t>
      </w:r>
      <w:r w:rsidRPr="001F2586">
        <w:rPr>
          <w:rFonts w:eastAsia="Calibri" w:hint="eastAsia"/>
          <w:rtl/>
        </w:rPr>
        <w:t>מסוימים</w:t>
      </w:r>
      <w:r w:rsidRPr="001F2586">
        <w:rPr>
          <w:rFonts w:eastAsia="Calibri"/>
          <w:rtl/>
        </w:rPr>
        <w:t xml:space="preserve"> </w:t>
      </w:r>
      <w:r w:rsidRPr="001F2586">
        <w:rPr>
          <w:rFonts w:eastAsia="Calibri" w:hint="eastAsia"/>
          <w:rtl/>
        </w:rPr>
        <w:t>בהם</w:t>
      </w:r>
      <w:r w:rsidRPr="001F2586">
        <w:rPr>
          <w:rFonts w:eastAsia="Calibri"/>
          <w:rtl/>
        </w:rPr>
        <w:t xml:space="preserve"> </w:t>
      </w:r>
      <w:r w:rsidRPr="001F2586">
        <w:rPr>
          <w:rFonts w:eastAsia="Calibri" w:hint="eastAsia"/>
          <w:rtl/>
        </w:rPr>
        <w:t>ההחזר</w:t>
      </w:r>
      <w:r w:rsidRPr="001F2586">
        <w:rPr>
          <w:rFonts w:eastAsia="Calibri"/>
          <w:rtl/>
        </w:rPr>
        <w:t xml:space="preserve"> </w:t>
      </w:r>
      <w:r w:rsidRPr="001F2586">
        <w:rPr>
          <w:rFonts w:eastAsia="Calibri" w:hint="eastAsia"/>
          <w:rtl/>
        </w:rPr>
        <w:t>התקופתי</w:t>
      </w:r>
      <w:r w:rsidRPr="001F2586">
        <w:rPr>
          <w:rFonts w:eastAsia="Calibri"/>
          <w:rtl/>
        </w:rPr>
        <w:t xml:space="preserve"> </w:t>
      </w:r>
      <w:r w:rsidRPr="001F2586">
        <w:rPr>
          <w:rFonts w:eastAsia="Calibri" w:hint="eastAsia"/>
          <w:rtl/>
        </w:rPr>
        <w:t>עלול</w:t>
      </w:r>
      <w:r w:rsidRPr="001F2586">
        <w:rPr>
          <w:rFonts w:eastAsia="Calibri"/>
          <w:rtl/>
        </w:rPr>
        <w:t xml:space="preserve"> </w:t>
      </w:r>
      <w:r w:rsidRPr="001F2586">
        <w:rPr>
          <w:rFonts w:eastAsia="Calibri" w:hint="eastAsia"/>
          <w:rtl/>
        </w:rPr>
        <w:t>להיות</w:t>
      </w:r>
      <w:r w:rsidRPr="001F2586">
        <w:rPr>
          <w:rFonts w:eastAsia="Calibri"/>
          <w:rtl/>
        </w:rPr>
        <w:t xml:space="preserve"> </w:t>
      </w:r>
      <w:r w:rsidRPr="001F2586">
        <w:rPr>
          <w:rFonts w:eastAsia="Calibri" w:hint="eastAsia"/>
          <w:rtl/>
        </w:rPr>
        <w:t>נמוך</w:t>
      </w:r>
      <w:r w:rsidRPr="001F2586">
        <w:rPr>
          <w:rFonts w:eastAsia="Calibri"/>
          <w:rtl/>
        </w:rPr>
        <w:t xml:space="preserve"> </w:t>
      </w:r>
      <w:r w:rsidRPr="001F2586">
        <w:rPr>
          <w:rFonts w:eastAsia="Calibri" w:hint="eastAsia"/>
          <w:rtl/>
        </w:rPr>
        <w:t>מגובה</w:t>
      </w:r>
      <w:r w:rsidRPr="001F2586">
        <w:rPr>
          <w:rFonts w:eastAsia="Calibri"/>
          <w:rtl/>
        </w:rPr>
        <w:t xml:space="preserve"> </w:t>
      </w:r>
      <w:r w:rsidRPr="001F2586">
        <w:rPr>
          <w:rFonts w:eastAsia="Calibri" w:hint="eastAsia"/>
          <w:rtl/>
        </w:rPr>
        <w:t>ההצמדה</w:t>
      </w:r>
      <w:r w:rsidRPr="001F2586">
        <w:rPr>
          <w:rFonts w:eastAsia="Calibri"/>
          <w:rtl/>
        </w:rPr>
        <w:t xml:space="preserve">, </w:t>
      </w:r>
      <w:r w:rsidRPr="001F2586">
        <w:rPr>
          <w:rFonts w:eastAsia="Calibri" w:hint="eastAsia"/>
          <w:rtl/>
        </w:rPr>
        <w:t>כך</w:t>
      </w:r>
      <w:r w:rsidRPr="001F2586">
        <w:rPr>
          <w:rFonts w:eastAsia="Calibri"/>
          <w:rtl/>
        </w:rPr>
        <w:t xml:space="preserve"> </w:t>
      </w:r>
      <w:r w:rsidRPr="001F2586">
        <w:rPr>
          <w:rFonts w:eastAsia="Calibri" w:hint="eastAsia"/>
          <w:rtl/>
        </w:rPr>
        <w:t>שלאחר</w:t>
      </w:r>
      <w:r w:rsidRPr="001F2586">
        <w:rPr>
          <w:rFonts w:eastAsia="Calibri"/>
          <w:rtl/>
        </w:rPr>
        <w:t xml:space="preserve"> </w:t>
      </w:r>
      <w:r w:rsidRPr="001F2586">
        <w:rPr>
          <w:rFonts w:eastAsia="Calibri" w:hint="eastAsia"/>
          <w:rtl/>
        </w:rPr>
        <w:t>ביצוע</w:t>
      </w:r>
      <w:r w:rsidRPr="001F2586">
        <w:rPr>
          <w:rFonts w:eastAsia="Calibri"/>
          <w:rtl/>
        </w:rPr>
        <w:t xml:space="preserve"> </w:t>
      </w:r>
      <w:r w:rsidRPr="001F2586">
        <w:rPr>
          <w:rFonts w:eastAsia="Calibri" w:hint="eastAsia"/>
          <w:rtl/>
        </w:rPr>
        <w:t>התשלום</w:t>
      </w:r>
      <w:r w:rsidRPr="001F2586">
        <w:rPr>
          <w:rFonts w:eastAsia="Calibri"/>
          <w:rtl/>
        </w:rPr>
        <w:t xml:space="preserve"> </w:t>
      </w:r>
      <w:r w:rsidRPr="001F2586">
        <w:rPr>
          <w:rFonts w:eastAsia="Calibri" w:hint="eastAsia"/>
          <w:rtl/>
        </w:rPr>
        <w:t>תגדל</w:t>
      </w:r>
      <w:r w:rsidRPr="001F2586">
        <w:rPr>
          <w:rFonts w:eastAsia="Calibri"/>
          <w:rtl/>
        </w:rPr>
        <w:t xml:space="preserve"> </w:t>
      </w:r>
      <w:r w:rsidRPr="001F2586">
        <w:rPr>
          <w:rFonts w:eastAsia="Calibri" w:hint="eastAsia"/>
          <w:rtl/>
        </w:rPr>
        <w:t>יתרת</w:t>
      </w:r>
      <w:r w:rsidRPr="001F2586">
        <w:rPr>
          <w:rFonts w:eastAsia="Calibri"/>
          <w:rtl/>
        </w:rPr>
        <w:t xml:space="preserve"> </w:t>
      </w:r>
      <w:r w:rsidRPr="001F2586">
        <w:rPr>
          <w:rFonts w:eastAsia="Calibri" w:hint="eastAsia"/>
          <w:rtl/>
        </w:rPr>
        <w:t>תשלום</w:t>
      </w:r>
      <w:r w:rsidRPr="001F2586">
        <w:rPr>
          <w:rFonts w:eastAsia="Calibri"/>
          <w:rtl/>
        </w:rPr>
        <w:t xml:space="preserve"> </w:t>
      </w:r>
      <w:r w:rsidRPr="001F2586">
        <w:rPr>
          <w:rFonts w:eastAsia="Calibri" w:hint="eastAsia"/>
          <w:rtl/>
        </w:rPr>
        <w:t>ההלוואה</w:t>
      </w:r>
      <w:r w:rsidRPr="001F2586">
        <w:rPr>
          <w:rFonts w:eastAsia="Calibri"/>
          <w:rtl/>
        </w:rPr>
        <w:t xml:space="preserve">. </w:t>
      </w:r>
      <w:r w:rsidRPr="001F2586">
        <w:rPr>
          <w:rFonts w:eastAsia="Calibri" w:hint="eastAsia"/>
          <w:rtl/>
        </w:rPr>
        <w:t>לכן</w:t>
      </w:r>
      <w:r w:rsidRPr="001F2586">
        <w:rPr>
          <w:rFonts w:eastAsia="Calibri"/>
          <w:rtl/>
        </w:rPr>
        <w:t xml:space="preserve"> </w:t>
      </w:r>
      <w:r w:rsidRPr="001F2586">
        <w:rPr>
          <w:rFonts w:eastAsia="Calibri" w:hint="eastAsia"/>
          <w:rtl/>
        </w:rPr>
        <w:t>בשיעורי</w:t>
      </w:r>
      <w:r w:rsidRPr="001F2586">
        <w:rPr>
          <w:rFonts w:eastAsia="Calibri"/>
          <w:rtl/>
        </w:rPr>
        <w:t xml:space="preserve"> </w:t>
      </w:r>
      <w:r w:rsidRPr="001F2586">
        <w:rPr>
          <w:rFonts w:eastAsia="Calibri" w:hint="eastAsia"/>
          <w:rtl/>
        </w:rPr>
        <w:t>אינפלציה</w:t>
      </w:r>
      <w:r w:rsidRPr="001F2586">
        <w:rPr>
          <w:rFonts w:eastAsia="Calibri"/>
          <w:rtl/>
        </w:rPr>
        <w:t xml:space="preserve"> </w:t>
      </w:r>
      <w:r w:rsidRPr="001F2586">
        <w:rPr>
          <w:rFonts w:eastAsia="Calibri" w:hint="eastAsia"/>
          <w:rtl/>
        </w:rPr>
        <w:t>גבוהים</w:t>
      </w:r>
      <w:r w:rsidRPr="001F2586">
        <w:rPr>
          <w:rFonts w:eastAsia="Calibri"/>
          <w:rtl/>
        </w:rPr>
        <w:t xml:space="preserve"> </w:t>
      </w:r>
      <w:r w:rsidRPr="001F2586">
        <w:rPr>
          <w:rFonts w:eastAsia="Calibri" w:hint="eastAsia"/>
          <w:rtl/>
        </w:rPr>
        <w:t>הכדאיות</w:t>
      </w:r>
      <w:r w:rsidRPr="001F2586">
        <w:rPr>
          <w:rFonts w:eastAsia="Calibri"/>
          <w:rtl/>
        </w:rPr>
        <w:t xml:space="preserve"> </w:t>
      </w:r>
      <w:r w:rsidRPr="001F2586">
        <w:rPr>
          <w:rFonts w:eastAsia="Calibri" w:hint="eastAsia"/>
          <w:rtl/>
        </w:rPr>
        <w:t>הכלכלית</w:t>
      </w:r>
      <w:r w:rsidRPr="001F2586">
        <w:rPr>
          <w:rFonts w:eastAsia="Calibri"/>
          <w:rtl/>
        </w:rPr>
        <w:t xml:space="preserve"> </w:t>
      </w:r>
      <w:r w:rsidRPr="001F2586">
        <w:rPr>
          <w:rFonts w:eastAsia="Calibri" w:hint="eastAsia"/>
          <w:rtl/>
        </w:rPr>
        <w:t>הטמונה</w:t>
      </w:r>
      <w:r w:rsidRPr="001F2586">
        <w:rPr>
          <w:rFonts w:eastAsia="Calibri"/>
          <w:rtl/>
        </w:rPr>
        <w:t xml:space="preserve"> </w:t>
      </w:r>
      <w:r w:rsidRPr="001F2586">
        <w:rPr>
          <w:rFonts w:eastAsia="Calibri" w:hint="eastAsia"/>
          <w:rtl/>
        </w:rPr>
        <w:t>בנטילת</w:t>
      </w:r>
      <w:r w:rsidRPr="001F2586">
        <w:rPr>
          <w:rFonts w:eastAsia="Calibri"/>
          <w:rtl/>
        </w:rPr>
        <w:t xml:space="preserve"> </w:t>
      </w:r>
      <w:r w:rsidRPr="001F2586">
        <w:rPr>
          <w:rFonts w:eastAsia="Calibri" w:hint="eastAsia"/>
          <w:rtl/>
        </w:rPr>
        <w:t>הלוואות</w:t>
      </w:r>
      <w:r w:rsidRPr="001F2586">
        <w:rPr>
          <w:rFonts w:eastAsia="Calibri"/>
          <w:rtl/>
        </w:rPr>
        <w:t xml:space="preserve"> </w:t>
      </w:r>
      <w:r w:rsidRPr="001F2586">
        <w:rPr>
          <w:rFonts w:eastAsia="Calibri" w:hint="eastAsia"/>
          <w:rtl/>
        </w:rPr>
        <w:t>צמודות</w:t>
      </w:r>
      <w:r w:rsidRPr="001F2586">
        <w:rPr>
          <w:rFonts w:eastAsia="Calibri"/>
          <w:rtl/>
        </w:rPr>
        <w:t xml:space="preserve"> </w:t>
      </w:r>
      <w:r w:rsidRPr="001F2586">
        <w:rPr>
          <w:rFonts w:eastAsia="Calibri" w:hint="eastAsia"/>
          <w:rtl/>
        </w:rPr>
        <w:t>מדד</w:t>
      </w:r>
      <w:r w:rsidRPr="001F2586">
        <w:rPr>
          <w:rFonts w:eastAsia="Calibri"/>
          <w:rtl/>
        </w:rPr>
        <w:t xml:space="preserve"> </w:t>
      </w:r>
      <w:r w:rsidRPr="001F2586">
        <w:rPr>
          <w:rFonts w:eastAsia="Calibri" w:hint="eastAsia"/>
          <w:rtl/>
        </w:rPr>
        <w:t>פוחתת</w:t>
      </w:r>
      <w:r w:rsidRPr="001F2586">
        <w:rPr>
          <w:rFonts w:eastAsia="Calibri"/>
          <w:rtl/>
        </w:rPr>
        <w:t xml:space="preserve"> </w:t>
      </w:r>
      <w:r w:rsidRPr="001F2586">
        <w:rPr>
          <w:rFonts w:eastAsia="Calibri" w:hint="eastAsia"/>
          <w:rtl/>
        </w:rPr>
        <w:t>באופן</w:t>
      </w:r>
      <w:r w:rsidRPr="001F2586">
        <w:rPr>
          <w:rFonts w:eastAsia="Calibri"/>
          <w:rtl/>
        </w:rPr>
        <w:t xml:space="preserve"> </w:t>
      </w:r>
      <w:r w:rsidRPr="001F2586">
        <w:rPr>
          <w:rFonts w:eastAsia="Calibri" w:hint="eastAsia"/>
          <w:rtl/>
        </w:rPr>
        <w:t>משמעותי</w:t>
      </w:r>
      <w:r w:rsidRPr="001F2586">
        <w:rPr>
          <w:rFonts w:eastAsia="Calibri"/>
          <w:rtl/>
        </w:rPr>
        <w:t xml:space="preserve">. יצוין כי אחד הכלים העומדים לרשות בנק ישראל להתמודד עם עליית שיעור האינפלציה מעבר ליעד הוא העלאת שיעור הריבית. כלומר, העלאת שיעור הריבית תוביל להפחתת שיעור האינפלציה, </w:t>
      </w:r>
      <w:r w:rsidRPr="001F2586">
        <w:rPr>
          <w:rFonts w:eastAsia="Calibri" w:hint="eastAsia"/>
          <w:rtl/>
        </w:rPr>
        <w:t>כך</w:t>
      </w:r>
      <w:r w:rsidRPr="001F2586">
        <w:rPr>
          <w:rFonts w:eastAsia="Calibri"/>
          <w:rtl/>
        </w:rPr>
        <w:t xml:space="preserve"> </w:t>
      </w:r>
      <w:r w:rsidRPr="001F2586">
        <w:rPr>
          <w:rFonts w:eastAsia="Calibri" w:hint="eastAsia"/>
          <w:rtl/>
        </w:rPr>
        <w:t>שלאורך</w:t>
      </w:r>
      <w:r w:rsidRPr="001F2586">
        <w:rPr>
          <w:rFonts w:eastAsia="Calibri"/>
          <w:rtl/>
        </w:rPr>
        <w:t xml:space="preserve"> </w:t>
      </w:r>
      <w:r w:rsidRPr="001F2586">
        <w:rPr>
          <w:rFonts w:eastAsia="Calibri" w:hint="eastAsia"/>
          <w:rtl/>
        </w:rPr>
        <w:t>זמן</w:t>
      </w:r>
      <w:r w:rsidRPr="001F2586">
        <w:rPr>
          <w:rFonts w:eastAsia="Calibri"/>
          <w:rtl/>
        </w:rPr>
        <w:t xml:space="preserve"> </w:t>
      </w:r>
      <w:r w:rsidRPr="001F2586">
        <w:rPr>
          <w:rFonts w:eastAsia="Calibri" w:hint="eastAsia"/>
          <w:rtl/>
        </w:rPr>
        <w:t>תיווצר</w:t>
      </w:r>
      <w:r w:rsidRPr="001F2586">
        <w:rPr>
          <w:rFonts w:eastAsia="Calibri"/>
          <w:rtl/>
        </w:rPr>
        <w:t xml:space="preserve"> </w:t>
      </w:r>
      <w:r w:rsidRPr="001F2586">
        <w:rPr>
          <w:rFonts w:eastAsia="Calibri" w:hint="eastAsia"/>
          <w:rtl/>
        </w:rPr>
        <w:t>תועלת</w:t>
      </w:r>
      <w:r w:rsidRPr="001F2586">
        <w:rPr>
          <w:rFonts w:eastAsia="Calibri"/>
          <w:rtl/>
        </w:rPr>
        <w:t xml:space="preserve"> </w:t>
      </w:r>
      <w:r w:rsidRPr="001F2586">
        <w:rPr>
          <w:rFonts w:eastAsia="Calibri" w:hint="eastAsia"/>
          <w:rtl/>
        </w:rPr>
        <w:t>לזכאים</w:t>
      </w:r>
      <w:r w:rsidRPr="001F2586">
        <w:rPr>
          <w:rFonts w:eastAsia="Calibri"/>
          <w:rtl/>
        </w:rPr>
        <w:t xml:space="preserve"> </w:t>
      </w:r>
      <w:r w:rsidRPr="001F2586">
        <w:rPr>
          <w:rFonts w:eastAsia="Calibri" w:hint="eastAsia"/>
          <w:rtl/>
        </w:rPr>
        <w:t>עתידיים</w:t>
      </w:r>
      <w:r w:rsidRPr="001F2586">
        <w:rPr>
          <w:rFonts w:eastAsia="Calibri"/>
          <w:rtl/>
        </w:rPr>
        <w:t xml:space="preserve"> </w:t>
      </w:r>
      <w:r w:rsidRPr="001F2586">
        <w:rPr>
          <w:rFonts w:eastAsia="Calibri" w:hint="eastAsia"/>
          <w:rtl/>
        </w:rPr>
        <w:t>בנטילת</w:t>
      </w:r>
      <w:r w:rsidRPr="001F2586">
        <w:rPr>
          <w:rFonts w:eastAsia="Calibri"/>
          <w:rtl/>
        </w:rPr>
        <w:t xml:space="preserve"> </w:t>
      </w:r>
      <w:r w:rsidRPr="001F2586">
        <w:rPr>
          <w:rFonts w:eastAsia="Calibri" w:hint="eastAsia"/>
          <w:rtl/>
        </w:rPr>
        <w:t>הלוואות</w:t>
      </w:r>
      <w:r w:rsidRPr="001F2586">
        <w:rPr>
          <w:rFonts w:eastAsia="Calibri"/>
          <w:rtl/>
        </w:rPr>
        <w:t xml:space="preserve"> </w:t>
      </w:r>
      <w:r w:rsidRPr="001F2586">
        <w:rPr>
          <w:rFonts w:eastAsia="Calibri" w:hint="eastAsia"/>
          <w:rtl/>
        </w:rPr>
        <w:t>לזכאים</w:t>
      </w:r>
      <w:r w:rsidRPr="001F2586">
        <w:rPr>
          <w:rFonts w:eastAsia="Calibri"/>
          <w:rtl/>
        </w:rPr>
        <w:t xml:space="preserve"> </w:t>
      </w:r>
      <w:r w:rsidRPr="001F2586">
        <w:rPr>
          <w:rFonts w:eastAsia="Calibri" w:hint="eastAsia"/>
          <w:rtl/>
        </w:rPr>
        <w:t>כתוצאה</w:t>
      </w:r>
      <w:r w:rsidRPr="001F2586">
        <w:rPr>
          <w:rFonts w:eastAsia="Calibri"/>
          <w:rtl/>
        </w:rPr>
        <w:t xml:space="preserve"> </w:t>
      </w:r>
      <w:r w:rsidRPr="001F2586">
        <w:rPr>
          <w:rFonts w:eastAsia="Calibri" w:hint="eastAsia"/>
          <w:rtl/>
        </w:rPr>
        <w:t>מהתרחבות</w:t>
      </w:r>
      <w:r w:rsidRPr="001F2586">
        <w:rPr>
          <w:rFonts w:eastAsia="Calibri"/>
          <w:rtl/>
        </w:rPr>
        <w:t xml:space="preserve"> </w:t>
      </w:r>
      <w:r w:rsidRPr="001F2586">
        <w:rPr>
          <w:rFonts w:eastAsia="Calibri" w:hint="eastAsia"/>
          <w:rtl/>
        </w:rPr>
        <w:t>פער</w:t>
      </w:r>
      <w:r w:rsidRPr="001F2586">
        <w:rPr>
          <w:rFonts w:eastAsia="Calibri"/>
          <w:rtl/>
        </w:rPr>
        <w:t xml:space="preserve"> </w:t>
      </w:r>
      <w:r w:rsidRPr="001F2586">
        <w:rPr>
          <w:rFonts w:eastAsia="Calibri" w:hint="eastAsia"/>
          <w:rtl/>
        </w:rPr>
        <w:t>הריביות</w:t>
      </w:r>
      <w:r w:rsidRPr="001F2586">
        <w:rPr>
          <w:rFonts w:eastAsia="Calibri"/>
          <w:rtl/>
        </w:rPr>
        <w:t xml:space="preserve"> </w:t>
      </w:r>
      <w:r w:rsidRPr="001F2586">
        <w:rPr>
          <w:rFonts w:eastAsia="Calibri" w:hint="eastAsia"/>
          <w:rtl/>
        </w:rPr>
        <w:t>בין</w:t>
      </w:r>
      <w:r w:rsidRPr="001F2586">
        <w:rPr>
          <w:rFonts w:eastAsia="Calibri"/>
          <w:rtl/>
        </w:rPr>
        <w:t xml:space="preserve"> </w:t>
      </w:r>
      <w:r w:rsidRPr="001F2586">
        <w:rPr>
          <w:rFonts w:eastAsia="Calibri" w:hint="eastAsia"/>
          <w:rtl/>
        </w:rPr>
        <w:t>אלה</w:t>
      </w:r>
      <w:r w:rsidRPr="001F2586">
        <w:rPr>
          <w:rFonts w:eastAsia="Calibri"/>
          <w:rtl/>
        </w:rPr>
        <w:t xml:space="preserve"> </w:t>
      </w:r>
      <w:r w:rsidRPr="001F2586">
        <w:rPr>
          <w:rFonts w:eastAsia="Calibri" w:hint="eastAsia"/>
          <w:rtl/>
        </w:rPr>
        <w:t>המוצעות</w:t>
      </w:r>
      <w:r w:rsidRPr="001F2586">
        <w:rPr>
          <w:rFonts w:eastAsia="Calibri"/>
          <w:rtl/>
        </w:rPr>
        <w:t xml:space="preserve"> </w:t>
      </w:r>
      <w:r w:rsidRPr="001F2586">
        <w:rPr>
          <w:rFonts w:eastAsia="Calibri" w:hint="eastAsia"/>
          <w:rtl/>
        </w:rPr>
        <w:t>בהלוואות</w:t>
      </w:r>
      <w:r w:rsidRPr="001F2586">
        <w:rPr>
          <w:rFonts w:eastAsia="Calibri"/>
          <w:rtl/>
        </w:rPr>
        <w:t xml:space="preserve"> </w:t>
      </w:r>
      <w:r w:rsidRPr="001F2586">
        <w:rPr>
          <w:rFonts w:eastAsia="Calibri" w:hint="eastAsia"/>
          <w:rtl/>
        </w:rPr>
        <w:t>לזכאים</w:t>
      </w:r>
      <w:r w:rsidRPr="001F2586">
        <w:rPr>
          <w:rFonts w:eastAsia="Calibri"/>
          <w:rtl/>
        </w:rPr>
        <w:t xml:space="preserve"> </w:t>
      </w:r>
      <w:r w:rsidRPr="001F2586">
        <w:rPr>
          <w:rFonts w:eastAsia="Calibri" w:hint="eastAsia"/>
          <w:rtl/>
        </w:rPr>
        <w:t>לאלה</w:t>
      </w:r>
      <w:r w:rsidRPr="001F2586">
        <w:rPr>
          <w:rFonts w:eastAsia="Calibri"/>
          <w:rtl/>
        </w:rPr>
        <w:t xml:space="preserve"> </w:t>
      </w:r>
      <w:r w:rsidRPr="001F2586">
        <w:rPr>
          <w:rFonts w:eastAsia="Calibri" w:hint="eastAsia"/>
          <w:rtl/>
        </w:rPr>
        <w:t>המוצעות</w:t>
      </w:r>
      <w:r w:rsidRPr="001F2586">
        <w:rPr>
          <w:rFonts w:eastAsia="Calibri"/>
          <w:rtl/>
        </w:rPr>
        <w:t xml:space="preserve"> </w:t>
      </w:r>
      <w:r w:rsidRPr="001F2586">
        <w:rPr>
          <w:rFonts w:eastAsia="Calibri" w:hint="eastAsia"/>
          <w:rtl/>
        </w:rPr>
        <w:t>בשוק</w:t>
      </w:r>
      <w:r w:rsidRPr="001F2586">
        <w:rPr>
          <w:rFonts w:eastAsia="Calibri"/>
          <w:rtl/>
        </w:rPr>
        <w:t xml:space="preserve"> </w:t>
      </w:r>
      <w:r w:rsidRPr="001F2586">
        <w:rPr>
          <w:rFonts w:eastAsia="Calibri" w:hint="eastAsia"/>
          <w:rtl/>
        </w:rPr>
        <w:t>החופשי</w:t>
      </w:r>
      <w:r w:rsidRPr="001F2586">
        <w:rPr>
          <w:rFonts w:eastAsia="Calibri"/>
          <w:rtl/>
        </w:rPr>
        <w:t xml:space="preserve">. </w:t>
      </w:r>
      <w:r w:rsidRPr="001F2586">
        <w:rPr>
          <w:rFonts w:eastAsia="Calibri" w:hint="cs"/>
          <w:rtl/>
        </w:rPr>
        <w:t>התרשים להלן מציג בצדו השמאלי את שיעור האינפלציה השנתית וביחס ליעד האינפלציה בתקופה שבין 2003 ל-2025, ובצדו הימני מוצגת התפלגות סוגי ההלוואות מתוך סך ההלוואות לדיור שהועמדו במצטבר בין השנים 2015 - 2025.</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rtl/>
        </w:rPr>
      </w:pPr>
      <w:r w:rsidRPr="001F2586">
        <w:rPr>
          <w:rFonts w:eastAsia="Calibri" w:hint="cs"/>
          <w:rtl/>
        </w:rPr>
        <w:t>תרשים 64:</w:t>
      </w:r>
      <w:r w:rsidRPr="001F2586">
        <w:rPr>
          <w:rFonts w:eastAsia="Calibri" w:hint="cs"/>
          <w:b/>
          <w:bCs/>
          <w:rtl/>
        </w:rPr>
        <w:t xml:space="preserve"> שיעור האינפלציה השנתית ביחס ליעד האינפלציה והתפלגות סוגי ההלוואות מתוך סך ההלוואות לדיור</w:t>
      </w:r>
    </w:p>
    <w:p w:rsidR="001F2586" w:rsidRPr="001F2586" w:rsidP="001F2586">
      <w:pPr>
        <w:spacing w:line="269" w:lineRule="auto"/>
        <w:jc w:val="center"/>
        <w:rPr>
          <w:rFonts w:eastAsia="Calibri"/>
          <w:rtl/>
        </w:rPr>
      </w:pPr>
      <w:r w:rsidRPr="001F2586">
        <w:rPr>
          <w:rFonts w:eastAsia="Calibri"/>
          <w:noProof/>
        </w:rPr>
        <w:drawing>
          <wp:inline distT="0" distB="0" distL="0" distR="0">
            <wp:extent cx="5332324" cy="2622690"/>
            <wp:effectExtent l="0" t="0" r="1905" b="6350"/>
            <wp:docPr id="46" name="תמונה 46" descr="ניתן לראות בצדו השמאלי של התרשים כי חריגה מעל לרף יעד האינפלציה העליון תועדה בשנים האחרונות כמה פעמים, בעוד שחריגה נוספת תועדה בשני העשורים האחרונים רק בין השנים 2007 - 2009. עוד ניתן לראות כי במשך 7 שנים רצופות, בין השנים 2014 - 2020, נרשמה אינפלציה נמוכה מיעד האינפלציה, ובחלק מתקופה זו נרשמה אינפלציה שלילית. בצדו הימני של התרשים ניתן לראות כי חלקן של הלוואות צמודות מדד מתוך יתרת תיק ההלוואות פחתה באופן ניכר ביחס לחלקן של הלוואות שאינן צמודות למדד, כך שחלקן של הלוואות קבועות צמודות פחת מ-17% ל-12% וחלקן של הלוואות משתנות צמודות פחת מ-28% ל-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4"/>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4691" cy="2638610"/>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 xml:space="preserve">על פי נתוני </w:t>
      </w:r>
      <w:r w:rsidRPr="001F2586">
        <w:rPr>
          <w:rFonts w:eastAsia="Calibri" w:hint="cs"/>
          <w:sz w:val="16"/>
          <w:szCs w:val="20"/>
          <w:rtl/>
        </w:rPr>
        <w:t>הלמ"ס</w:t>
      </w:r>
      <w:r w:rsidRPr="001F2586">
        <w:rPr>
          <w:rFonts w:eastAsia="Calibri" w:hint="cs"/>
          <w:sz w:val="16"/>
          <w:szCs w:val="20"/>
          <w:rtl/>
        </w:rPr>
        <w:t>, בעיבוד משרד מבקר המדינה.</w:t>
      </w:r>
    </w:p>
    <w:p w:rsidR="001F2586" w:rsidRPr="001F2586" w:rsidP="001F2586">
      <w:pPr>
        <w:spacing w:line="269" w:lineRule="auto"/>
        <w:rPr>
          <w:rFonts w:eastAsia="Calibri"/>
          <w:sz w:val="16"/>
          <w:szCs w:val="20"/>
          <w:rtl/>
        </w:rPr>
      </w:pPr>
      <w:r w:rsidRPr="001F2586">
        <w:rPr>
          <w:rFonts w:eastAsia="Calibri" w:hint="cs"/>
          <w:sz w:val="16"/>
          <w:szCs w:val="20"/>
          <w:rtl/>
        </w:rPr>
        <w:t>* נתוני שיעור האינפלציה לשנת 2025 הם עד חודש נובמבר 2025.</w:t>
      </w:r>
    </w:p>
    <w:p w:rsidR="001F2586" w:rsidRPr="001F2586" w:rsidP="001F2586">
      <w:pPr>
        <w:spacing w:line="269" w:lineRule="auto"/>
        <w:rPr>
          <w:rFonts w:eastAsia="Calibri"/>
          <w:sz w:val="16"/>
          <w:szCs w:val="20"/>
          <w:rtl/>
        </w:rPr>
      </w:pPr>
      <w:r w:rsidRPr="001F2586">
        <w:rPr>
          <w:rFonts w:eastAsia="Calibri" w:hint="cs"/>
          <w:sz w:val="16"/>
          <w:szCs w:val="20"/>
          <w:rtl/>
        </w:rPr>
        <w:t>** הסכומים אינם מסתכמים ל-100%, ההפרש מיוחס להלוואות שנלקחו הצמודות למטבע-חוץ.</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ניתן לראות בצדו השמאלי של התרשים כי חריגה מעל לרף יעד האינפלציה העליון תועדה בשנים האחרונות כמה פעמים, בעוד שחריגה נוספת תועדה בשני העשורים האחרונים רק בין השנים 2007 - 2009. עוד ניתן לראות כי במשך 7 שנים רצופות, בין השנים 2014 - 2020, נרשמה אינפלציה נמוכה מיעד האינפלציה, ובחלק מתקופה זו נרשמה אינפלציה שלילית. בצדו הימני של התרשים ניתן לראות כי חלקן של הלוואות צמודות מדד מתוך יתרת תיק ההלוואות פחתה באופן ניכר ביחס לחלקן של הלוואות שאינן צמודות למדד, כך שחלקן של הלוואות קבועות צמודות פחת מ-17% ל-12% וחלקן של הלוואות משתנות צמודות פחת מ-28% ל-17%.</w:t>
      </w:r>
    </w:p>
    <w:p w:rsidR="001F2586" w:rsidRPr="001F2586" w:rsidP="001F2586">
      <w:pPr>
        <w:spacing w:line="269" w:lineRule="auto"/>
        <w:ind w:left="-567"/>
        <w:rPr>
          <w:rFonts w:eastAsia="Calibri"/>
          <w:szCs w:val="20"/>
          <w:rtl/>
        </w:rPr>
      </w:pPr>
    </w:p>
    <w:p w:rsidR="001F2586" w:rsidP="001F2586">
      <w:pPr>
        <w:spacing w:line="269" w:lineRule="auto"/>
        <w:rPr>
          <w:rFonts w:eastAsia="Times New Roman" w:cs="Times New Roman"/>
          <w:sz w:val="24"/>
          <w:rtl/>
        </w:rPr>
      </w:pPr>
      <w:r w:rsidRPr="001F2586">
        <w:rPr>
          <w:rFonts w:ascii="David" w:eastAsia="Times New Roman" w:hAnsi="David"/>
          <w:sz w:val="24"/>
          <w:rtl/>
        </w:rPr>
        <w:t>הנתונים מצביעים על שינוי בסביבת האינפלציה ובתגובה לכך גם על שינוי במבנה תיק</w:t>
      </w:r>
      <w:r w:rsidRPr="001F2586">
        <w:rPr>
          <w:rFonts w:ascii="David" w:eastAsia="Times New Roman" w:hAnsi="David" w:hint="cs"/>
          <w:sz w:val="24"/>
          <w:rtl/>
        </w:rPr>
        <w:t>י</w:t>
      </w:r>
      <w:r w:rsidRPr="001F2586">
        <w:rPr>
          <w:rFonts w:ascii="David" w:eastAsia="Times New Roman" w:hAnsi="David"/>
          <w:sz w:val="24"/>
          <w:rtl/>
        </w:rPr>
        <w:t xml:space="preserve"> ההלוואות</w:t>
      </w:r>
      <w:r w:rsidRPr="001F2586">
        <w:rPr>
          <w:rFonts w:ascii="David" w:eastAsia="Times New Roman" w:hAnsi="David" w:hint="cs"/>
          <w:sz w:val="24"/>
          <w:rtl/>
        </w:rPr>
        <w:t>.</w:t>
      </w:r>
      <w:r w:rsidRPr="001F2586">
        <w:rPr>
          <w:rFonts w:ascii="David" w:eastAsia="Times New Roman" w:hAnsi="David"/>
          <w:sz w:val="24"/>
          <w:rtl/>
        </w:rPr>
        <w:t xml:space="preserve"> לאחר שנים של אינפלציה נמוכה ואף שלילית, לצד תנודות מעל יעד האינפלציה בשנים האחרונות, חלה ירידה משמעותית בחלקן של ההלוואות הצמודות למדד בתיק ההלוואות הכולל, מה שמעיד על מעבר הדרגתי </w:t>
      </w:r>
      <w:r w:rsidRPr="001F2586">
        <w:rPr>
          <w:rFonts w:ascii="David" w:eastAsia="Times New Roman" w:hAnsi="David" w:hint="cs"/>
          <w:sz w:val="24"/>
          <w:rtl/>
        </w:rPr>
        <w:t xml:space="preserve">מהלוואות צמודות </w:t>
      </w:r>
      <w:r w:rsidRPr="001F2586">
        <w:rPr>
          <w:rFonts w:ascii="David" w:eastAsia="Times New Roman" w:hAnsi="David"/>
          <w:sz w:val="24"/>
          <w:rtl/>
        </w:rPr>
        <w:t>להלוואות שאינן צמודות למדד</w:t>
      </w:r>
      <w:r w:rsidRPr="001F2586">
        <w:rPr>
          <w:rFonts w:ascii="David" w:eastAsia="Times New Roman" w:hAnsi="David" w:hint="cs"/>
          <w:sz w:val="24"/>
          <w:rtl/>
        </w:rPr>
        <w:t>,</w:t>
      </w:r>
      <w:r w:rsidRPr="001F2586">
        <w:rPr>
          <w:rFonts w:ascii="David" w:eastAsia="Times New Roman" w:hAnsi="David"/>
          <w:sz w:val="24"/>
          <w:rtl/>
        </w:rPr>
        <w:t xml:space="preserve"> </w:t>
      </w:r>
      <w:r w:rsidRPr="001F2586">
        <w:rPr>
          <w:rFonts w:ascii="David" w:eastAsia="Times New Roman" w:hAnsi="David" w:hint="cs"/>
          <w:sz w:val="24"/>
          <w:rtl/>
        </w:rPr>
        <w:t xml:space="preserve">בשל הרצון להימנע </w:t>
      </w:r>
      <w:r w:rsidRPr="001F2586">
        <w:rPr>
          <w:rFonts w:ascii="David" w:eastAsia="Times New Roman" w:hAnsi="David"/>
          <w:sz w:val="24"/>
          <w:rtl/>
        </w:rPr>
        <w:t>לחשיפה לסיכון אינפלציוני</w:t>
      </w:r>
      <w:r w:rsidRPr="001F2586">
        <w:rPr>
          <w:rFonts w:ascii="David" w:eastAsia="Times New Roman" w:hAnsi="David"/>
          <w:sz w:val="24"/>
        </w:rPr>
        <w:t>.</w:t>
      </w:r>
    </w:p>
    <w:p w:rsidR="001F7F1A" w:rsidP="001F2586">
      <w:pPr>
        <w:spacing w:line="269" w:lineRule="auto"/>
        <w:rPr>
          <w:rFonts w:eastAsia="Times New Roman" w:cs="Times New Roman"/>
          <w:sz w:val="24"/>
          <w:rtl/>
        </w:rPr>
      </w:pPr>
    </w:p>
    <w:p w:rsidR="001F7F1A" w:rsidRPr="00731ED5" w:rsidP="0070405E">
      <w:pPr>
        <w:pStyle w:val="a"/>
        <w:spacing w:line="269" w:lineRule="auto"/>
        <w:ind w:left="0"/>
        <w:rPr>
          <w:b/>
          <w:bCs/>
          <w:sz w:val="24"/>
          <w:szCs w:val="24"/>
          <w:rtl/>
        </w:rPr>
      </w:pPr>
      <w:r w:rsidRPr="00731ED5">
        <w:rPr>
          <w:rFonts w:hint="cs"/>
          <w:b/>
          <w:bCs/>
          <w:sz w:val="24"/>
          <w:szCs w:val="24"/>
          <w:rtl/>
        </w:rPr>
        <w:t>בהינתן שוק משוכלל ותחרותי המציע ריביות נמוכות באופן יחסי על הלוואות לדיור, פער הריביות בין הלוואות לזכאים להלוואות המועמדות לציבור מתכנס ל-0.5% בסביבת ריבית נמוכה. הכדאיות הכלכלית בנטילת הלוואה לזכאים הצמודה למדד פוחתת בשיעורי אינפלציה גבוהים בשל ההצמדה, כך שחלק מהזכאים נמנעים לממש את ההטבה</w:t>
      </w:r>
      <w:r>
        <w:rPr>
          <w:rStyle w:val="FootnoteReference1"/>
          <w:b/>
          <w:bCs/>
          <w:sz w:val="24"/>
          <w:szCs w:val="24"/>
          <w:rtl/>
        </w:rPr>
        <w:footnoteReference w:id="388"/>
      </w:r>
      <w:r w:rsidRPr="00731ED5">
        <w:rPr>
          <w:rFonts w:hint="cs"/>
          <w:b/>
          <w:bCs/>
          <w:sz w:val="24"/>
          <w:szCs w:val="24"/>
          <w:rtl/>
        </w:rPr>
        <w:t>. לפיכך, תנאי הסיוע בהלוואות לזכאים, כפי שנקבעו בחוק הלוואות לדיור משנת 1992, אינם עומדים בהלימה להשגת יעדי מתווה הסיוע בהינתן שיעורי אינפלציה גבוהים. כך למשל בשנת 2024 הריבית הממוצעת על הלוואות קבועות צמודות מדד עמדה על 3.65 אחוזים, לעומת הריבית על הלוואות לזכאים שעמדה על 2.98 אחוזים - פער של 0.67 נקודות אחוז, לעומת שנת 2003 בה סביבת הריבית הייתה גבוהה יותר, והפער בין הריביות עמד על 2.8 אחוזים, ובשנת 2017 עמד הפער על כאחוז אחד.</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משרד הבינוי והשיכון ציין כי תנאי הסיוע נקבעים במסגרת הוראות חוק הלוואות לדיור והחלטות מדיניות ממשלתיות.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מומלץ כי משרד האוצר ומשב"ש יבחנו במשותף את התועלות והסיכונים הנגזרים מקידום תהליך לשינוי התנאים הקבועים בחוק הלוואות לדיור, וזאת כדי להבטיח תמיכה בהשגת יעדי המתווה.</w:t>
      </w:r>
    </w:p>
    <w:p w:rsidR="001F2586" w:rsidRPr="001F2586" w:rsidP="001F2586">
      <w:pPr>
        <w:spacing w:line="269" w:lineRule="auto"/>
        <w:rPr>
          <w:rFonts w:eastAsia="Calibri"/>
          <w:b/>
          <w:bCs/>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ועדה מיוחדת להקלה בפירעון תשלומי החזרי הלוואות לזכאים</w:t>
      </w:r>
    </w:p>
    <w:p w:rsidR="001F2586" w:rsidRPr="001F2586" w:rsidP="001F2586">
      <w:pPr>
        <w:spacing w:line="269" w:lineRule="auto"/>
        <w:rPr>
          <w:rFonts w:eastAsia="Calibri"/>
          <w:rtl/>
        </w:rPr>
      </w:pPr>
    </w:p>
    <w:p w:rsidR="001F2586" w:rsidRPr="001F2586" w:rsidP="001F2586">
      <w:pPr>
        <w:spacing w:line="269" w:lineRule="auto"/>
        <w:rPr>
          <w:rFonts w:eastAsia="Calibri"/>
          <w:b/>
          <w:bCs/>
          <w:rtl/>
        </w:rPr>
      </w:pPr>
      <w:r w:rsidRPr="001F2586">
        <w:rPr>
          <w:rFonts w:eastAsia="Calibri" w:hint="eastAsia"/>
          <w:b/>
          <w:bCs/>
          <w:rtl/>
        </w:rPr>
        <w:t>מכוח</w:t>
      </w:r>
      <w:r w:rsidRPr="001F2586">
        <w:rPr>
          <w:rFonts w:eastAsia="Calibri"/>
          <w:b/>
          <w:bCs/>
          <w:rtl/>
        </w:rPr>
        <w:t xml:space="preserve"> </w:t>
      </w:r>
      <w:r w:rsidRPr="001F2586">
        <w:rPr>
          <w:rFonts w:eastAsia="Calibri" w:hint="eastAsia"/>
          <w:b/>
          <w:bCs/>
          <w:rtl/>
        </w:rPr>
        <w:t>סעיף</w:t>
      </w:r>
      <w:r w:rsidRPr="001F2586">
        <w:rPr>
          <w:rFonts w:eastAsia="Calibri"/>
          <w:b/>
          <w:bCs/>
          <w:rtl/>
        </w:rPr>
        <w:t xml:space="preserve"> 5א </w:t>
      </w:r>
      <w:r w:rsidRPr="001F2586">
        <w:rPr>
          <w:rFonts w:eastAsia="Calibri" w:hint="eastAsia"/>
          <w:b/>
          <w:bCs/>
          <w:rtl/>
        </w:rPr>
        <w:t>לחוק</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לדיור</w:t>
      </w:r>
      <w:r w:rsidRPr="001F2586">
        <w:rPr>
          <w:rFonts w:eastAsia="Calibri"/>
          <w:b/>
          <w:bCs/>
          <w:rtl/>
        </w:rPr>
        <w:t xml:space="preserve"> </w:t>
      </w:r>
      <w:r w:rsidRPr="001F2586">
        <w:rPr>
          <w:rFonts w:eastAsia="Calibri" w:hint="eastAsia"/>
          <w:b/>
          <w:bCs/>
          <w:rtl/>
        </w:rPr>
        <w:t>הוקמה</w:t>
      </w:r>
      <w:r w:rsidRPr="001F2586">
        <w:rPr>
          <w:rFonts w:eastAsia="Calibri"/>
          <w:b/>
          <w:bCs/>
          <w:rtl/>
        </w:rPr>
        <w:t xml:space="preserve"> </w:t>
      </w:r>
      <w:r w:rsidRPr="001F2586">
        <w:rPr>
          <w:rFonts w:eastAsia="Calibri" w:hint="eastAsia"/>
          <w:b/>
          <w:bCs/>
          <w:rtl/>
        </w:rPr>
        <w:t>ועדה</w:t>
      </w:r>
      <w:r w:rsidRPr="001F2586">
        <w:rPr>
          <w:rFonts w:eastAsia="Calibri"/>
          <w:b/>
          <w:bCs/>
          <w:rtl/>
        </w:rPr>
        <w:t xml:space="preserve"> </w:t>
      </w:r>
      <w:r w:rsidRPr="001F2586">
        <w:rPr>
          <w:rFonts w:eastAsia="Calibri" w:hint="eastAsia"/>
          <w:b/>
          <w:bCs/>
          <w:rtl/>
        </w:rPr>
        <w:t>מיוחדת</w:t>
      </w:r>
      <w:r>
        <w:rPr>
          <w:rFonts w:eastAsia="Calibri"/>
          <w:b/>
          <w:bCs/>
          <w:vertAlign w:val="superscript"/>
          <w:rtl/>
        </w:rPr>
        <w:footnoteReference w:id="389"/>
      </w:r>
      <w:r w:rsidRPr="001F2586">
        <w:rPr>
          <w:rFonts w:eastAsia="Calibri"/>
          <w:b/>
          <w:bCs/>
          <w:rtl/>
        </w:rPr>
        <w:t xml:space="preserve"> שמטרתה להקל בפירעון תשלומי החזרי ההלוואה שניתנה ללווה בשל מצבו הכלכלי</w:t>
      </w:r>
      <w:r>
        <w:rPr>
          <w:rFonts w:eastAsia="Calibri"/>
          <w:b/>
          <w:bCs/>
          <w:vertAlign w:val="superscript"/>
          <w:rtl/>
        </w:rPr>
        <w:footnoteReference w:id="390"/>
      </w:r>
      <w:r w:rsidRPr="001F2586">
        <w:rPr>
          <w:rFonts w:eastAsia="Calibri"/>
          <w:b/>
          <w:bCs/>
          <w:rtl/>
        </w:rPr>
        <w:t xml:space="preserve"> (להלן - הוועדה המיוחדת) מדובר בהטבה לאוכלוסיית הזכאים שאינה קיימת בנטילת הלוואות לדיור בשוק החופשי. זאת ועוד בעקבות מלחמת 'חרבות ברזל' החליטו </w:t>
      </w:r>
      <w:r w:rsidRPr="001F2586">
        <w:rPr>
          <w:rFonts w:eastAsia="Calibri"/>
          <w:b/>
          <w:bCs/>
          <w:rtl/>
        </w:rPr>
        <w:t>החשכ"ל</w:t>
      </w:r>
      <w:r w:rsidRPr="001F2586">
        <w:rPr>
          <w:rFonts w:eastAsia="Calibri"/>
          <w:b/>
          <w:bCs/>
          <w:rtl/>
        </w:rPr>
        <w:t xml:space="preserve"> ומשב"ש על מתן הקלות נוספות בפירעון תשלומי משכנתא לזכאים. הקלות אלה כללו בין היתר דחיית תשלומי משכנתא בהתאם למתווה של בנק ישראל</w:t>
      </w:r>
      <w:r>
        <w:rPr>
          <w:rFonts w:eastAsia="Calibri"/>
          <w:b/>
          <w:bCs/>
          <w:vertAlign w:val="superscript"/>
          <w:rtl/>
        </w:rPr>
        <w:footnoteReference w:id="391"/>
      </w:r>
      <w:r w:rsidRPr="001F2586">
        <w:rPr>
          <w:rFonts w:eastAsia="Calibri"/>
          <w:b/>
          <w:bCs/>
          <w:rtl/>
        </w:rPr>
        <w:t xml:space="preserve">, </w:t>
      </w:r>
      <w:r w:rsidRPr="001F2586">
        <w:rPr>
          <w:rFonts w:eastAsia="Calibri" w:hint="eastAsia"/>
          <w:b/>
          <w:bCs/>
          <w:rtl/>
        </w:rPr>
        <w:t>פריסת</w:t>
      </w:r>
      <w:r w:rsidRPr="001F2586">
        <w:rPr>
          <w:rFonts w:eastAsia="Calibri"/>
          <w:b/>
          <w:bCs/>
          <w:rtl/>
        </w:rPr>
        <w:t xml:space="preserve"> </w:t>
      </w:r>
      <w:r w:rsidRPr="001F2586">
        <w:rPr>
          <w:rFonts w:eastAsia="Calibri" w:hint="eastAsia"/>
          <w:b/>
          <w:bCs/>
          <w:rtl/>
        </w:rPr>
        <w:t>תשלומים</w:t>
      </w:r>
      <w:r w:rsidRPr="001F2586">
        <w:rPr>
          <w:rFonts w:eastAsia="Calibri"/>
          <w:b/>
          <w:bCs/>
          <w:rtl/>
        </w:rPr>
        <w:t xml:space="preserve"> </w:t>
      </w:r>
      <w:r w:rsidRPr="001F2586">
        <w:rPr>
          <w:rFonts w:eastAsia="Calibri" w:hint="eastAsia"/>
          <w:b/>
          <w:bCs/>
          <w:rtl/>
        </w:rPr>
        <w:t>והארכת</w:t>
      </w:r>
      <w:r w:rsidRPr="001F2586">
        <w:rPr>
          <w:rFonts w:eastAsia="Calibri"/>
          <w:b/>
          <w:bCs/>
          <w:rtl/>
        </w:rPr>
        <w:t xml:space="preserve"> </w:t>
      </w:r>
      <w:r w:rsidRPr="001F2586">
        <w:rPr>
          <w:rFonts w:eastAsia="Calibri" w:hint="eastAsia"/>
          <w:b/>
          <w:bCs/>
          <w:rtl/>
        </w:rPr>
        <w:t>התקופה</w:t>
      </w:r>
      <w:r w:rsidRPr="001F2586">
        <w:rPr>
          <w:rFonts w:eastAsia="Calibri"/>
          <w:b/>
          <w:bCs/>
          <w:rtl/>
        </w:rPr>
        <w:t xml:space="preserve"> </w:t>
      </w:r>
      <w:r w:rsidRPr="001F2586">
        <w:rPr>
          <w:rFonts w:eastAsia="Calibri" w:hint="eastAsia"/>
          <w:b/>
          <w:bCs/>
          <w:rtl/>
        </w:rPr>
        <w:t>לפירעון</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נציגי </w:t>
      </w:r>
      <w:r w:rsidRPr="001F2586">
        <w:rPr>
          <w:rFonts w:eastAsia="Calibri" w:hint="cs"/>
          <w:rtl/>
        </w:rPr>
        <w:t>החשכ"ל</w:t>
      </w:r>
      <w:r w:rsidRPr="001F2586">
        <w:rPr>
          <w:rFonts w:eastAsia="Calibri" w:hint="cs"/>
          <w:rtl/>
        </w:rPr>
        <w:t xml:space="preserve"> ציינו בפני צוות הביקורת כי הוועדה המיוחדת מתכנסת לרוב שלוש פעמים בשבוע ודנה בבקשות שמעלים הבנקים בנוגע לקשיים של לווים המתקשים בהחזר ההלוואה. עוד צוין כי נציגי הוועדה משתנים בהתאם לזמינות נושאי המשרה במשרדים הממשלתיים ונציגי הבנקים, וכי דיוני הוועדה מתמקדים באישור תוכן בקשה מסוים המועלה לפתחם.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באגף </w:t>
      </w:r>
      <w:r w:rsidRPr="001F2586">
        <w:rPr>
          <w:rFonts w:eastAsia="Calibri" w:hint="cs"/>
          <w:b/>
          <w:bCs/>
          <w:rtl/>
        </w:rPr>
        <w:t>החשכ"ל</w:t>
      </w:r>
      <w:r w:rsidRPr="001F2586">
        <w:rPr>
          <w:rFonts w:eastAsia="Calibri" w:hint="cs"/>
          <w:b/>
          <w:bCs/>
          <w:rtl/>
        </w:rPr>
        <w:t xml:space="preserve"> לא נמצא תיעוד המרכז את פעילות הוועדה המיוחדת לאמות מידה וקריטריונים אחידים של פעילותה בבחינת בקשות. עוד נמצא כי במסגרת בחינת הבקשות הוועדה בוחנת חלופה מסוימת יחידה שמועלית בפניה על ידי הבנקים וללא מדרג חלופות לאישור, לכן יתכנו מקרים בהם בקשות יועלו לדיון בוועדה כמה פעמים עד להסכמה בין הלווה לנציגי הוועדה, אגב יצירת עומס על נציגיה.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כי נציגי </w:t>
      </w:r>
      <w:r w:rsidRPr="001F2586">
        <w:rPr>
          <w:rFonts w:eastAsia="Calibri" w:hint="cs"/>
          <w:b/>
          <w:bCs/>
          <w:rtl/>
        </w:rPr>
        <w:t>החשכ"ל</w:t>
      </w:r>
      <w:r w:rsidRPr="001F2586">
        <w:rPr>
          <w:rFonts w:eastAsia="Calibri" w:hint="cs"/>
          <w:b/>
          <w:bCs/>
          <w:rtl/>
        </w:rPr>
        <w:t xml:space="preserve"> ומשב"ש יעגנו בכתב את נהלי העבודה של הוועדה המיוחדת ואת דרכי הפעולה ומדרג חלופות לאישור בהינתן מצבים שונים, וזאת כדי לייצר אחידות בדרכי פעולתה ולהפחית את העומס המוטל עליה הנובע מהגשת בקשות חוזרות.</w:t>
      </w:r>
    </w:p>
    <w:p w:rsidR="001F2586" w:rsidRPr="001F2586" w:rsidP="001F2586">
      <w:pPr>
        <w:spacing w:line="269" w:lineRule="auto"/>
        <w:rPr>
          <w:rFonts w:eastAsia="Calibri"/>
          <w:b/>
          <w:bCs/>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הטיפול בכפל תשלומים הנובע מאיחור במסירת דירות בהנחה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'דירה בהנחה' היא תוכנית הדגל שיזמה מדינת ישראל במטרה להקל על חסרי דירה לרכוש דירה ראשונה בתנאים מועדפים (להלן - תכנית דירה בהנחה). תכנית דירה בהנחה</w:t>
      </w:r>
      <w:r w:rsidRPr="001F2586">
        <w:rPr>
          <w:rFonts w:eastAsia="Calibri" w:hint="cs"/>
          <w:rtl/>
        </w:rPr>
        <w:t xml:space="preserve"> </w:t>
      </w:r>
      <w:r w:rsidRPr="001F2586">
        <w:rPr>
          <w:rFonts w:eastAsia="Calibri" w:hint="cs"/>
          <w:rtl/>
        </w:rPr>
        <w:t>כוללת מגוון פתרונות דיור בפרויקטים שונים, בהם 'מחיר מטרה', 'מחיר מופחת', 'מחיר למשתכן' ו'דירה להשכיר'</w:t>
      </w:r>
      <w:r>
        <w:rPr>
          <w:rFonts w:eastAsia="Calibri"/>
          <w:vertAlign w:val="superscript"/>
          <w:rtl/>
        </w:rPr>
        <w:footnoteReference w:id="392"/>
      </w:r>
      <w:r w:rsidRPr="001F2586">
        <w:rPr>
          <w:rFonts w:eastAsia="Calibri" w:hint="cs"/>
          <w:rtl/>
        </w:rPr>
        <w:t>. תכנית דירה בהנחה</w:t>
      </w:r>
      <w:r w:rsidRPr="001F2586">
        <w:rPr>
          <w:rFonts w:eastAsia="Calibri" w:hint="cs"/>
          <w:rtl/>
        </w:rPr>
        <w:t xml:space="preserve"> </w:t>
      </w:r>
      <w:r w:rsidRPr="001F2586">
        <w:rPr>
          <w:rFonts w:eastAsia="Calibri" w:hint="cs"/>
          <w:rtl/>
        </w:rPr>
        <w:t>פועלת ביישובים בכל רחבי הארץ ומציעה הנחות שונות הודות ל</w:t>
      </w:r>
      <w:r w:rsidRPr="001F2586">
        <w:rPr>
          <w:rFonts w:eastAsia="Calibri"/>
          <w:rtl/>
        </w:rPr>
        <w:t>סבסוד עלויות הקרקע והפיתוח</w:t>
      </w:r>
      <w:r w:rsidRPr="001F2586">
        <w:rPr>
          <w:rFonts w:eastAsia="Calibri" w:hint="cs"/>
          <w:rtl/>
        </w:rPr>
        <w:t xml:space="preserve"> בידי המדינה</w:t>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משב"ש הוא גורם מרכזי בהובלת תכנית דירה בהנחה</w:t>
      </w:r>
      <w:r w:rsidRPr="001F2586">
        <w:rPr>
          <w:rFonts w:eastAsia="Calibri" w:hint="cs"/>
          <w:rtl/>
        </w:rPr>
        <w:t xml:space="preserve"> </w:t>
      </w:r>
      <w:r w:rsidRPr="001F2586">
        <w:rPr>
          <w:rFonts w:eastAsia="Calibri" w:hint="cs"/>
          <w:rtl/>
        </w:rPr>
        <w:t xml:space="preserve">בתיאום עם רשות מקרקעי ישראל ומשרד האוצר. מעורבות משב"ש נעשית בשלבים שונים במסגרת תכנית דירה בהנחה, לרבות הגדרת מדיניות הפרויקטים ותנאי הזכאות, שיווק וניהול ההגרלות והקצאת משאבים לקידום הפרויקטים. לאחר קבלת הודעת הזכייה ובחירת הדירה מופנים הזוכים בתוכנית לחתימה על הסכמי מכר מול קבלנים. הגדרת מדיניות הפרויקטים ותנאי הזכאות נקבעת על ידי מועצת מקרקעי ישראל אשר היא הגוף האמון על מדיניות שיווק הקרקעות לרבות קביעת הזכאויות, ומשב"ש מיישם את מדיניות המועצה והחלטות הממשלה הרלוונטיות. משב"ש אמון על אישור מראש של נוסח חוזה מכר, על מנת לוודא כי היזם עומד בהתחייבותו כלפי משב"ש או </w:t>
      </w:r>
      <w:r w:rsidRPr="001F2586">
        <w:rPr>
          <w:rFonts w:eastAsia="Calibri" w:hint="cs"/>
          <w:rtl/>
        </w:rPr>
        <w:t>רמ"י</w:t>
      </w:r>
      <w:r w:rsidRPr="001F2586">
        <w:rPr>
          <w:rFonts w:eastAsia="Calibri" w:hint="cs"/>
          <w:rtl/>
        </w:rPr>
        <w:t xml:space="preserve">. לאחר חתימת הצדדים החוזה הינו ביניהם בלבד והמשרד או המדינה אינם אחראים על פיקוח ועל ביצועו.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חוק המכר (דירות), התשל"ג-1973 (להלן - חוק המכר דירות)הוא חוק צרכני במהותו שנועד להגן על </w:t>
      </w:r>
      <w:r w:rsidRPr="001F2586">
        <w:rPr>
          <w:rFonts w:eastAsia="Calibri" w:hint="cs"/>
          <w:rtl/>
        </w:rPr>
        <w:t>רוכשי</w:t>
      </w:r>
      <w:r w:rsidRPr="001F2586">
        <w:rPr>
          <w:rFonts w:eastAsia="Calibri" w:hint="cs"/>
          <w:rtl/>
        </w:rPr>
        <w:t xml:space="preserve"> דירות חדשות ולהסדיר את זכויותיהם מול קבלנים, מתוך הכרה בפערי הכוחות והמידע הקיימים בין הצדדים והרצון להבטיח שהרוכשים יקבלו דירה איכותית. החוק מחייב קבלנים בין היתר לתקן ליקויי בנייה ואי-התאמות, מגדיר תקופות בדק ואחריות מוגדרת, מבטיח את כספי הרוכשים במתן בטוחות להשקעותיהם ומחייב שקיפות במסירת מפרט מלא ומדויק. כל הפרה של הסכמי מכר שנחתמו בין זוכים בתכנית דירה בהנחה לקבלנים המבצעים היא הפרה של חוק המכר דירות ומטופלת בהתאם </w:t>
      </w:r>
      <w:r w:rsidRPr="001F2586">
        <w:rPr>
          <w:rFonts w:eastAsia="Calibri" w:hint="cs"/>
          <w:rtl/>
        </w:rPr>
        <w:t>לסעדים</w:t>
      </w:r>
      <w:r w:rsidRPr="001F2586">
        <w:rPr>
          <w:rFonts w:eastAsia="Calibri" w:hint="cs"/>
          <w:rtl/>
        </w:rPr>
        <w:t xml:space="preserve"> הקבועים בו.</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בסעיף 5א לחוק המכר דירות נקבע כי איחור במסירת דירה מעל לחודש מתום המועד שנקבע בחוזה המכר (להלן - המועד החזוי) יחייב את הקבלן לפצות את הרוכש ללא הוכחת נזק, אלא במקרים בהם העיכוב נעשה כתוצאה ממעשה של הרוכש או כתוצאה מנסיבות המנויות בסעיף 18(א)</w:t>
      </w:r>
      <w:r w:rsidRPr="001F2586">
        <w:rPr>
          <w:rFonts w:eastAsia="Calibri" w:hint="cs"/>
        </w:rPr>
        <w:t xml:space="preserve"> </w:t>
      </w:r>
      <w:r w:rsidRPr="001F2586">
        <w:rPr>
          <w:rFonts w:eastAsia="Calibri" w:hint="cs"/>
          <w:rtl/>
        </w:rPr>
        <w:t>לחוק החוזים (תרופות בשל הפרת חוזה), התשל"א-1970. סכום הפיצוי נקבע בהתאם לדמי שכירות של דירה דומה בגודלה ובמיקומה, בעבור תקופה שתחילתה בתום חודש מהמועד החזוי ועד למסירת הדירה, ובאופן העולה בהדרגה עם עיכובים נוספים במסירה</w:t>
      </w:r>
      <w:r>
        <w:rPr>
          <w:rFonts w:eastAsia="Calibri"/>
          <w:vertAlign w:val="superscript"/>
          <w:rtl/>
        </w:rPr>
        <w:footnoteReference w:id="393"/>
      </w:r>
      <w:r w:rsidRPr="001F2586">
        <w:rPr>
          <w:rFonts w:eastAsia="Calibri" w:hint="cs"/>
          <w:rtl/>
        </w:rPr>
        <w:t>.</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hint="cs"/>
          <w:rtl/>
        </w:rPr>
        <w:t>למועד מסירת הדירה קיימת חשיבות רבה ברכישת דירות חדשות. עיכובים במסירת הדירה עלולים לאלץ רוכשים להרחיב את פרק הזמן בו יתמודדו עם כפל תשלומי דיור - הן תשלום עבור שכירות דירת מגורים, בה יתגוררו עד לקבלת הדירה החדשה שרכשו, והן תשלומי החזר משכנתא שנטלו לצורך מימונה. כפל תשלומי הדיור יוצר עומס כלכלי על רוכשים ומקבל משקל משמעותי בהחלטה על חתימת עסקה לרכישת דירה חדשה.</w:t>
      </w:r>
    </w:p>
    <w:p w:rsidR="00A15A9C" w:rsidP="00A15A9C">
      <w:pPr>
        <w:pStyle w:val="a"/>
        <w:spacing w:line="360" w:lineRule="auto"/>
        <w:ind w:left="0"/>
        <w:rPr>
          <w:sz w:val="24"/>
          <w:szCs w:val="24"/>
          <w:rtl/>
        </w:rPr>
      </w:pPr>
    </w:p>
    <w:p w:rsidR="00A15A9C" w:rsidRPr="00731ED5" w:rsidP="00A15A9C">
      <w:pPr>
        <w:pStyle w:val="a"/>
        <w:spacing w:line="269" w:lineRule="auto"/>
        <w:ind w:left="0"/>
        <w:rPr>
          <w:sz w:val="24"/>
          <w:szCs w:val="24"/>
          <w:rtl/>
        </w:rPr>
      </w:pPr>
      <w:r w:rsidRPr="00731ED5">
        <w:rPr>
          <w:rFonts w:hint="cs"/>
          <w:sz w:val="24"/>
          <w:szCs w:val="24"/>
          <w:rtl/>
        </w:rPr>
        <w:t>פריסת התשלומים לרכישת דירה במסגרת תכנית דירה בהנחה נקבעה באופן המדמה את קצב התקדמות הבנייה</w:t>
      </w:r>
      <w:r>
        <w:rPr>
          <w:rStyle w:val="FootnoteReference1"/>
          <w:sz w:val="24"/>
          <w:szCs w:val="24"/>
          <w:rtl/>
        </w:rPr>
        <w:footnoteReference w:id="394"/>
      </w:r>
      <w:r w:rsidRPr="00731ED5">
        <w:rPr>
          <w:rFonts w:hint="cs"/>
          <w:sz w:val="24"/>
          <w:szCs w:val="24"/>
          <w:rtl/>
        </w:rPr>
        <w:t>. זאת בשונה מרכישת דירות חדשות בשוק החופשי, במסגרתן יכולים קבלנים להציע דחייה משמעותית בפריסת התשלומים כחלק ממבצעי עידוד</w:t>
      </w:r>
      <w:r>
        <w:rPr>
          <w:rStyle w:val="FootnoteReference1"/>
          <w:sz w:val="24"/>
          <w:szCs w:val="24"/>
          <w:rtl/>
        </w:rPr>
        <w:footnoteReference w:id="395"/>
      </w:r>
      <w:r w:rsidRPr="00731ED5">
        <w:rPr>
          <w:rFonts w:hint="cs"/>
          <w:sz w:val="24"/>
          <w:szCs w:val="24"/>
          <w:rtl/>
        </w:rPr>
        <w:t xml:space="preserve"> לרכישתן. לפיכך, גדלה ההיתכנות שרוכשים יאלצו להתמודד עם כפל תשלומי דיור החל ממועד רכישת דירות במסגרת תכנית דירה בהנחה בהשוואה לרכישתן בשוק החופשי. עיכוב במסירת דירות במסגרת תכנית דירה בהנחה מאריך את תקופת כפל התשלומים של הרוכשים ומקשה עליהם כלכלית.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משרד הבינוי והשיכון ציין בתשובתו כי ישנם פתרונות </w:t>
      </w:r>
      <w:r w:rsidRPr="001F2586">
        <w:rPr>
          <w:rFonts w:eastAsia="Calibri" w:hint="cs"/>
          <w:rtl/>
        </w:rPr>
        <w:t>מימוניים</w:t>
      </w:r>
      <w:r w:rsidRPr="001F2586">
        <w:rPr>
          <w:rFonts w:eastAsia="Calibri" w:hint="cs"/>
          <w:rtl/>
        </w:rPr>
        <w:t xml:space="preserve"> שונים המאפשרים התמודדו</w:t>
      </w:r>
      <w:r w:rsidRPr="001F2586">
        <w:rPr>
          <w:rFonts w:eastAsia="Calibri" w:hint="eastAsia"/>
          <w:rtl/>
        </w:rPr>
        <w:t>ת</w:t>
      </w:r>
      <w:r w:rsidRPr="001F2586">
        <w:rPr>
          <w:rFonts w:eastAsia="Calibri" w:hint="cs"/>
          <w:rtl/>
        </w:rPr>
        <w:t xml:space="preserve"> והימנעו</w:t>
      </w:r>
      <w:r w:rsidRPr="001F2586">
        <w:rPr>
          <w:rFonts w:eastAsia="Calibri" w:hint="eastAsia"/>
          <w:rtl/>
        </w:rPr>
        <w:t>ת</w:t>
      </w:r>
      <w:r w:rsidRPr="001F2586">
        <w:rPr>
          <w:rFonts w:eastAsia="Calibri" w:hint="cs"/>
          <w:rtl/>
        </w:rPr>
        <w:t xml:space="preserve"> ממצב של "כפל תשלומים".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נציגי משב"ש מסרו לצוות הביקורת כי המשרד אינו עורך בקרה ופיקוח על כמות הפרויקטים הנמצאים בעיכובים בהשוואה למועד המסירה החזוי, וכי אין בידי המשרד נתונים על היקף הזוכים הנדרשים לכפל תשלומי דיור. לעמדת נציגי משב"ש נתונים כאמור אינם נדרשים כיוון שכל הפרות של חוזי מכר נאכפות בהתאם </w:t>
      </w:r>
      <w:r w:rsidRPr="001F2586">
        <w:rPr>
          <w:rFonts w:eastAsia="Calibri" w:hint="cs"/>
          <w:rtl/>
        </w:rPr>
        <w:t>לסעדים</w:t>
      </w:r>
      <w:r w:rsidRPr="001F2586">
        <w:rPr>
          <w:rFonts w:eastAsia="Calibri" w:hint="cs"/>
          <w:rtl/>
        </w:rPr>
        <w:t xml:space="preserve"> הקבועים בחוק המכר דירות והמשרד אינו צד להסכמים אלה. יצוין כי גישת משב"ש הולמת לעיקרון השוויון והוגנת כלפי אלה שלא זכו לרכוש דירה בהנחה במסגרת תכנית דירה בהנחה ונאלצו לרכוש דירה בשוק החופשי, אשר אינם זוכים להגנה מצד המדינה כתוצאה מאיחור במסירת דירותיהם.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משב"ש ציין בתשובתו כי לגבי פרויקטים ששווקו על ידו, האחריות מתמצה במכרז ובאחריות משב"ש ו/או </w:t>
      </w:r>
      <w:r w:rsidRPr="001F2586">
        <w:rPr>
          <w:rFonts w:eastAsia="Calibri" w:hint="cs"/>
          <w:rtl/>
        </w:rPr>
        <w:t>רמ"י</w:t>
      </w:r>
      <w:r w:rsidRPr="001F2586">
        <w:rPr>
          <w:rFonts w:eastAsia="Calibri" w:hint="cs"/>
          <w:rtl/>
        </w:rPr>
        <w:t xml:space="preserve"> קיבלו על עצמן. מבחינת מערכת היחסים שבין הרוכש לקבלן, אין שוני </w:t>
      </w:r>
      <w:r w:rsidRPr="001F2586">
        <w:rPr>
          <w:rFonts w:eastAsia="Calibri" w:hint="cs"/>
          <w:rtl/>
        </w:rPr>
        <w:t>מפרויקטי</w:t>
      </w:r>
      <w:r w:rsidRPr="001F2586">
        <w:rPr>
          <w:rFonts w:eastAsia="Calibri" w:hint="cs"/>
          <w:rtl/>
        </w:rPr>
        <w:t xml:space="preserve"> שוק חופשי, גם אם קיימת התחייבות מקבילה ונפרדת של היזם כלפי המדינה.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משרד הבינוי והשיכון הוא גורם מרכזי בהובלת תוכנית 'דירה בהנחה' ומתפקידו לפקח על הסכמי המכר הנחתמים בין רוכשים לקבלנים במסגרת תכנית דירה בהנחה. המשרד אינו צד להסכמי המכר וכל הפרה שלהם מטופלת במסגרת </w:t>
      </w:r>
      <w:r w:rsidRPr="001F2586">
        <w:rPr>
          <w:rFonts w:eastAsia="Calibri" w:hint="cs"/>
          <w:b/>
          <w:bCs/>
          <w:rtl/>
        </w:rPr>
        <w:t>הסעדים</w:t>
      </w:r>
      <w:r w:rsidRPr="001F2586">
        <w:rPr>
          <w:rFonts w:eastAsia="Calibri" w:hint="cs"/>
          <w:b/>
          <w:bCs/>
          <w:rtl/>
        </w:rPr>
        <w:t xml:space="preserve"> שנקבעו בחוק המכר (דירות), תשל"ג-1973. נמצא כי המשרד אינו עוקב אחר נתונים אודות כמות הפרויקטים הנמצאים בפיגורי מסירה ועל היקף הזוכים הנדרשים לכפל תשלומי דיור כתוצאה מכך, בשל הסתמכותו על </w:t>
      </w:r>
      <w:r w:rsidRPr="001F2586">
        <w:rPr>
          <w:rFonts w:eastAsia="Calibri" w:hint="cs"/>
          <w:b/>
          <w:bCs/>
          <w:rtl/>
        </w:rPr>
        <w:t>הסעדים</w:t>
      </w:r>
      <w:r w:rsidRPr="001F2586">
        <w:rPr>
          <w:rFonts w:eastAsia="Calibri" w:hint="cs"/>
          <w:b/>
          <w:bCs/>
          <w:rtl/>
        </w:rPr>
        <w:t xml:space="preserve"> הקבועים בחוק. היעדר מעקב אחר נתונים מהותיים אלה פוגע ביכולת המשרד לבחון את השגת יעדי תכנית דירה בהנחה ואת הצורך בקידום צעדים שימזערו את הפגיעה בזוכים במסגרת תכנית דירה בהנחה.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משרד הבינוי והשיכון ציין בתשובתו כי התערבות המדינה בתנאי השוק צריכה להיות מינימלית והיכן שנדרש בלבד וזאת על מנת לקדם את יעדי התכנית. איחור במסירת הדירה מוסדר באופן מספק וראוי במסגרת הוראות החוק והמשרד סובר כי לא נדרשת התערבות ממשלתית נוספת באופן שתיצור הבדל בין מכרזי דירה בהנחה לשוק החופשי.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b/>
          <w:bCs/>
          <w:rtl/>
        </w:rPr>
        <w:t>מומלץ כי משרד הבינוי והשיכון יבצע מעקב אחר כמות הפרויקטים הנמצאים בפיגורי מסירה ואחר היקף הזוכים הנדרשים לכפל תשלומי דיור ועל בסיס נתונים אלה יבחן את הצורך בקידום צעדים שיתמכו בהשגת יעדי תכנית דירה בהנחה.</w:t>
      </w:r>
    </w:p>
    <w:p w:rsidR="001F2586" w:rsidRPr="001F2586" w:rsidP="001F2586">
      <w:pPr>
        <w:spacing w:line="269" w:lineRule="auto"/>
        <w:rPr>
          <w:rFonts w:eastAsia="Calibri"/>
          <w:rtl/>
        </w:rPr>
      </w:pPr>
    </w:p>
    <w:p w:rsidR="001F2586" w:rsidRPr="001F2586" w:rsidP="001F2586">
      <w:pPr>
        <w:keepNext/>
        <w:keepLines/>
        <w:spacing w:line="269" w:lineRule="auto"/>
        <w:outlineLvl w:val="2"/>
        <w:rPr>
          <w:rFonts w:eastAsia="Times New Roman"/>
          <w:bCs/>
          <w:szCs w:val="28"/>
          <w:u w:val="single"/>
          <w:rtl/>
        </w:rPr>
      </w:pPr>
      <w:bookmarkStart w:id="93" w:name="_Hlk220828869"/>
      <w:r w:rsidRPr="001F2586">
        <w:rPr>
          <w:rFonts w:eastAsia="Times New Roman" w:hint="cs"/>
          <w:bCs/>
          <w:szCs w:val="28"/>
          <w:u w:val="single"/>
          <w:rtl/>
        </w:rPr>
        <w:t>הקלות בתחום משכנתאות בזמן מלחמת חרבות ברזל ומבצע עם כלביא</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רקע</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rtl/>
        </w:rPr>
        <w:t xml:space="preserve">בעקבות פרוץ מלחמת חרבות ברזל </w:t>
      </w:r>
      <w:r w:rsidRPr="001F2586">
        <w:rPr>
          <w:rFonts w:eastAsia="Calibri" w:hint="cs"/>
          <w:rtl/>
        </w:rPr>
        <w:t>ב-7.10.2023</w:t>
      </w:r>
      <w:r w:rsidRPr="001F2586">
        <w:rPr>
          <w:rFonts w:eastAsia="Calibri" w:hint="cs"/>
        </w:rPr>
        <w:t xml:space="preserve"> </w:t>
      </w:r>
      <w:r w:rsidRPr="001F2586">
        <w:rPr>
          <w:rFonts w:eastAsia="Calibri" w:hint="cs"/>
          <w:rtl/>
        </w:rPr>
        <w:t xml:space="preserve">(להלן - המלחמה) </w:t>
      </w:r>
      <w:r w:rsidRPr="001F2586">
        <w:rPr>
          <w:rFonts w:eastAsia="Calibri"/>
          <w:rtl/>
        </w:rPr>
        <w:t>הגדיר הפיקוח על הבנקים</w:t>
      </w:r>
      <w:r w:rsidRPr="001F2586">
        <w:rPr>
          <w:rFonts w:eastAsia="Calibri" w:hint="cs"/>
          <w:rtl/>
        </w:rPr>
        <w:t xml:space="preserve"> כי אחד מיעדיו הוא מתן סיוע והקלות ללקוחות שנפגעו מהמלחמה תוך הפעלת רגישות מוגברת. לשם כך, נקט הפיקוח בצעדי מדיניות שנועדו לעודד את הבנקים לפעול בהגינות כלפי הלקוחות ולשמור על האינטרסים שלהם</w:t>
      </w:r>
      <w:r>
        <w:rPr>
          <w:rFonts w:eastAsia="Calibri"/>
          <w:vertAlign w:val="superscript"/>
          <w:rtl/>
        </w:rPr>
        <w:footnoteReference w:id="396"/>
      </w:r>
      <w:r w:rsidRPr="001F2586">
        <w:rPr>
          <w:rFonts w:eastAsia="Calibri" w:hint="cs"/>
          <w:rtl/>
        </w:rPr>
        <w:t>. הצעד</w:t>
      </w:r>
      <w:r w:rsidRPr="001F2586">
        <w:rPr>
          <w:rFonts w:eastAsia="Calibri" w:hint="cs"/>
          <w:color w:val="FF0000"/>
          <w:rtl/>
        </w:rPr>
        <w:t xml:space="preserve"> </w:t>
      </w:r>
      <w:r w:rsidRPr="001F2586">
        <w:rPr>
          <w:rFonts w:eastAsia="Calibri" w:hint="cs"/>
          <w:rtl/>
        </w:rPr>
        <w:t>המרכזי</w:t>
      </w:r>
      <w:r w:rsidRPr="001F2586">
        <w:rPr>
          <w:rFonts w:eastAsia="Calibri" w:hint="cs"/>
          <w:color w:val="FF0000"/>
          <w:rtl/>
        </w:rPr>
        <w:t xml:space="preserve"> </w:t>
      </w:r>
      <w:r w:rsidRPr="001F2586">
        <w:rPr>
          <w:rFonts w:eastAsia="Calibri" w:hint="cs"/>
          <w:rtl/>
        </w:rPr>
        <w:t>בתחום המשכנתאות הוא מתווה סיוע לדחיית תשלומי משכנתאות שניתן במסגרת רחבה של מתווה סיוע שגיבש בנק ישראל במהלך המלחמה ומבצע "עם כלביא" לתמיכה בפעילות הפיננסית של משקי בית ועסקים שנפגעו במלחמה</w:t>
      </w:r>
      <w:r>
        <w:rPr>
          <w:rFonts w:eastAsia="Calibri"/>
          <w:vertAlign w:val="superscript"/>
          <w:rtl/>
        </w:rPr>
        <w:footnoteReference w:id="397"/>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hint="cs"/>
          <w:rtl/>
        </w:rPr>
        <w:t>במטרה לסייע ללקוחות הבנקים בהתמודדות עם השלכות המלחמה, ב-15.10.2023, כשבוע לאחר</w:t>
      </w:r>
      <w:r w:rsidRPr="001F2586">
        <w:rPr>
          <w:rFonts w:eastAsia="Calibri"/>
          <w:rtl/>
        </w:rPr>
        <w:t xml:space="preserve"> פרוץ המלחמה</w:t>
      </w:r>
      <w:r w:rsidRPr="001F2586">
        <w:rPr>
          <w:rFonts w:eastAsia="Calibri" w:hint="cs"/>
          <w:rtl/>
        </w:rPr>
        <w:t>, גיבש</w:t>
      </w:r>
      <w:r w:rsidRPr="001F2586">
        <w:rPr>
          <w:rFonts w:eastAsia="Calibri"/>
          <w:rtl/>
        </w:rPr>
        <w:t xml:space="preserve"> בנק ישראל מתווה </w:t>
      </w:r>
      <w:r w:rsidRPr="001F2586">
        <w:rPr>
          <w:rFonts w:eastAsia="Calibri" w:hint="cs"/>
          <w:rtl/>
        </w:rPr>
        <w:t xml:space="preserve">סיוע מקיף להקלת נטל האשראי והעמלות על משקי בית ועסקים. המתווה נועד לתמוך בעיקר באוכלוסיות הנפגעות במלחמה, </w:t>
      </w:r>
      <w:r w:rsidRPr="001F2586">
        <w:rPr>
          <w:rFonts w:eastAsia="Calibri"/>
          <w:rtl/>
        </w:rPr>
        <w:t xml:space="preserve">לרבות אוכלוסיית משרתי המילואים, תושבי </w:t>
      </w:r>
      <w:r w:rsidRPr="001F2586">
        <w:rPr>
          <w:rFonts w:eastAsia="Calibri" w:hint="cs"/>
          <w:rtl/>
        </w:rPr>
        <w:t>היישובים</w:t>
      </w:r>
      <w:r w:rsidRPr="001F2586">
        <w:rPr>
          <w:rFonts w:eastAsia="Calibri"/>
          <w:rtl/>
        </w:rPr>
        <w:t xml:space="preserve"> המפונים</w:t>
      </w:r>
      <w:r w:rsidRPr="001F2586">
        <w:rPr>
          <w:rFonts w:eastAsia="Calibri" w:hint="cs"/>
          <w:rtl/>
        </w:rPr>
        <w:t xml:space="preserve"> </w:t>
      </w:r>
      <w:r w:rsidRPr="001F2586">
        <w:rPr>
          <w:rFonts w:eastAsia="Calibri"/>
          <w:rtl/>
        </w:rPr>
        <w:t>ומשפחות הנפגעים</w:t>
      </w:r>
      <w:r w:rsidRPr="001F2586">
        <w:rPr>
          <w:rFonts w:eastAsia="Calibri" w:hint="cs"/>
          <w:rtl/>
        </w:rPr>
        <w:t xml:space="preserve"> והחטופים</w:t>
      </w:r>
      <w:r w:rsidRPr="001F2586">
        <w:rPr>
          <w:rFonts w:eastAsia="Calibri"/>
          <w:rtl/>
        </w:rPr>
        <w:t xml:space="preserve">. </w:t>
      </w:r>
      <w:r w:rsidRPr="001F2586">
        <w:rPr>
          <w:rFonts w:eastAsia="Calibri" w:hint="cs"/>
          <w:rtl/>
        </w:rPr>
        <w:t>במסגרת המתווה פורסמו הקלות לדחיי</w:t>
      </w:r>
      <w:r w:rsidRPr="001F2586">
        <w:rPr>
          <w:rFonts w:eastAsia="Calibri" w:hint="eastAsia"/>
          <w:rtl/>
        </w:rPr>
        <w:t>ה</w:t>
      </w:r>
      <w:r w:rsidRPr="001F2586">
        <w:rPr>
          <w:rFonts w:eastAsia="Calibri" w:hint="cs"/>
          <w:rtl/>
        </w:rPr>
        <w:t xml:space="preserve"> של תשלומי הלוואות ללא חיוב בריבית ובפטור מעמלות למשך שלושה חודשים בסוגי אשראי אלו: משכנתאות; אשראי צרכני; אשראי עסקי; ויתרות חובה (אוברדרפט) בחשבון עובר ושב של משקי בית. בנק ישראל האריך את </w:t>
      </w:r>
      <w:r w:rsidRPr="001F2586">
        <w:rPr>
          <w:rFonts w:eastAsia="Calibri"/>
          <w:rtl/>
        </w:rPr>
        <w:t xml:space="preserve">המתווה </w:t>
      </w:r>
      <w:r w:rsidRPr="001F2586">
        <w:rPr>
          <w:rFonts w:eastAsia="Calibri" w:hint="cs"/>
          <w:rtl/>
        </w:rPr>
        <w:t xml:space="preserve">מספר פעמים </w:t>
      </w:r>
      <w:r w:rsidRPr="001F2586">
        <w:rPr>
          <w:rFonts w:eastAsia="Calibri"/>
          <w:rtl/>
        </w:rPr>
        <w:t xml:space="preserve">בהתאם להימשכות המלחמה </w:t>
      </w:r>
      <w:r w:rsidRPr="001F2586">
        <w:rPr>
          <w:rFonts w:eastAsia="Calibri" w:hint="cs"/>
          <w:rtl/>
        </w:rPr>
        <w:t>והיקפה, עדכן את התנאים במתווה (לרבות אפשרויות דחיית התשלומים),</w:t>
      </w:r>
      <w:r w:rsidRPr="001F2586">
        <w:rPr>
          <w:rFonts w:eastAsia="Calibri"/>
          <w:rtl/>
        </w:rPr>
        <w:t xml:space="preserve"> </w:t>
      </w:r>
      <w:r w:rsidRPr="001F2586">
        <w:rPr>
          <w:rFonts w:eastAsia="Calibri" w:hint="cs"/>
          <w:rtl/>
        </w:rPr>
        <w:t xml:space="preserve">וכן הרחיב את </w:t>
      </w:r>
      <w:r w:rsidRPr="001F2586">
        <w:rPr>
          <w:rFonts w:eastAsia="Calibri"/>
          <w:rtl/>
        </w:rPr>
        <w:t xml:space="preserve">אוכלוסיית הזכאים </w:t>
      </w:r>
      <w:r w:rsidRPr="001F2586">
        <w:rPr>
          <w:rFonts w:eastAsia="Calibri" w:hint="cs"/>
          <w:rtl/>
        </w:rPr>
        <w:t>בהתאם להתפתחויות במלחמה ולצורכיהן של אוכלוסיות שונות</w:t>
      </w:r>
      <w:r>
        <w:rPr>
          <w:rFonts w:eastAsia="Calibri"/>
          <w:vertAlign w:val="superscript"/>
          <w:rtl/>
        </w:rPr>
        <w:footnoteReference w:id="398"/>
      </w:r>
      <w:r w:rsidRPr="001F2586">
        <w:rPr>
          <w:rFonts w:eastAsia="Calibri" w:hint="cs"/>
          <w:rtl/>
        </w:rPr>
        <w:t xml:space="preserve">. </w:t>
      </w:r>
    </w:p>
    <w:p w:rsidR="001F2586" w:rsidRPr="001F2586" w:rsidP="001F2586">
      <w:pPr>
        <w:spacing w:line="269" w:lineRule="auto"/>
        <w:ind w:left="-567"/>
        <w:rPr>
          <w:rFonts w:eastAsia="Calibri"/>
          <w:szCs w:val="20"/>
        </w:rPr>
      </w:pPr>
    </w:p>
    <w:p w:rsidR="001F2586" w:rsidRPr="001F2586" w:rsidP="001F2586">
      <w:pPr>
        <w:spacing w:line="269" w:lineRule="auto"/>
        <w:rPr>
          <w:rFonts w:eastAsia="Calibri"/>
          <w:rtl/>
        </w:rPr>
      </w:pPr>
      <w:r w:rsidRPr="001F2586">
        <w:rPr>
          <w:rFonts w:eastAsia="Calibri" w:hint="cs"/>
          <w:rtl/>
        </w:rPr>
        <w:t>ב-17.6.2025, במהלך מבצע עם כלביא, בנק ישראל גיבש מתווה סיוע נוסף</w:t>
      </w:r>
      <w:r>
        <w:rPr>
          <w:rFonts w:eastAsia="Calibri"/>
          <w:vertAlign w:val="superscript"/>
        </w:rPr>
        <w:footnoteReference w:id="399"/>
      </w:r>
      <w:r w:rsidRPr="001F2586">
        <w:rPr>
          <w:rFonts w:eastAsia="Calibri" w:hint="cs"/>
          <w:rtl/>
        </w:rPr>
        <w:t xml:space="preserve"> שנועד לסייע למשקי הבית והעסקים שנפגעו באופן ישיר בשל המבצע. יצוין כי דחיית תשלומים במשכנתאות בכל המתווים התאפשרה ללא מגבלת סכום, בשונה מהלוואות אחרות, והיא כוללת הלוואות שנלקחו לרכישת דירה ראשונה וחליפית (משפרי דיור) בלבד. עוד יצוין כי </w:t>
      </w:r>
      <w:r w:rsidRPr="001F2586">
        <w:rPr>
          <w:rFonts w:eastAsia="Calibri"/>
          <w:rtl/>
        </w:rPr>
        <w:t xml:space="preserve">דחיית תשלומים </w:t>
      </w:r>
      <w:r w:rsidRPr="001F2586">
        <w:rPr>
          <w:rFonts w:eastAsia="Calibri" w:hint="cs"/>
          <w:rtl/>
        </w:rPr>
        <w:t>במשכנתאות ה</w:t>
      </w:r>
      <w:r w:rsidRPr="001F2586">
        <w:rPr>
          <w:rFonts w:eastAsia="Calibri"/>
          <w:rtl/>
        </w:rPr>
        <w:t xml:space="preserve">צריכה פניה </w:t>
      </w:r>
      <w:r w:rsidRPr="001F2586">
        <w:rPr>
          <w:rFonts w:eastAsia="Calibri" w:hint="cs"/>
          <w:rtl/>
        </w:rPr>
        <w:t>של</w:t>
      </w:r>
      <w:r w:rsidRPr="001F2586">
        <w:rPr>
          <w:rFonts w:eastAsia="Calibri"/>
          <w:rtl/>
        </w:rPr>
        <w:t xml:space="preserve"> לקוח</w:t>
      </w:r>
      <w:r w:rsidRPr="001F2586">
        <w:rPr>
          <w:rFonts w:eastAsia="Calibri" w:hint="cs"/>
          <w:rtl/>
        </w:rPr>
        <w:t>ות</w:t>
      </w:r>
      <w:r w:rsidRPr="001F2586">
        <w:rPr>
          <w:rFonts w:eastAsia="Calibri"/>
          <w:rtl/>
        </w:rPr>
        <w:t xml:space="preserve"> לבנק</w:t>
      </w:r>
      <w:r w:rsidRPr="001F2586">
        <w:rPr>
          <w:rFonts w:eastAsia="Calibri" w:hint="cs"/>
          <w:rtl/>
        </w:rPr>
        <w:t>ים</w:t>
      </w:r>
      <w:r w:rsidRPr="001F2586">
        <w:rPr>
          <w:rFonts w:eastAsia="Calibri"/>
          <w:rtl/>
        </w:rPr>
        <w:t xml:space="preserve"> והגשת בקש</w:t>
      </w:r>
      <w:r w:rsidRPr="001F2586">
        <w:rPr>
          <w:rFonts w:eastAsia="Calibri" w:hint="cs"/>
          <w:rtl/>
        </w:rPr>
        <w:t>ה</w:t>
      </w:r>
      <w:r w:rsidRPr="001F2586">
        <w:rPr>
          <w:rFonts w:eastAsia="Calibri"/>
          <w:rtl/>
        </w:rPr>
        <w:t xml:space="preserve"> </w:t>
      </w:r>
      <w:r w:rsidRPr="001F2586">
        <w:rPr>
          <w:rFonts w:eastAsia="Calibri" w:hint="cs"/>
          <w:rtl/>
        </w:rPr>
        <w:t>לדחייה. לפי בנק ישראל המתווים שגיבש הבנק הציגו את תנאי המינימום והמערכת הבנקאית אימצה אותם.</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המתווים של בנק ישראל בתחום המשכנתאות במלחמה ובמבצע "עם כלביא"</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hint="cs"/>
          <w:rtl/>
        </w:rPr>
        <w:t xml:space="preserve">ב-15.10.23 פרסם כאמור בנק את ישראל את מתווה הסיוע למשקי הבית ולעסקים. המתווה אפשר ללקוחות </w:t>
      </w:r>
      <w:r w:rsidRPr="001F2586">
        <w:rPr>
          <w:rFonts w:eastAsia="Calibri"/>
          <w:rtl/>
        </w:rPr>
        <w:t>שנפגעו באופן ישיר מנזקי</w:t>
      </w:r>
      <w:r w:rsidRPr="001F2586">
        <w:rPr>
          <w:rFonts w:eastAsia="Calibri" w:hint="cs"/>
          <w:rtl/>
        </w:rPr>
        <w:t xml:space="preserve"> </w:t>
      </w:r>
      <w:r w:rsidRPr="001F2586">
        <w:rPr>
          <w:rFonts w:eastAsia="Calibri"/>
          <w:rtl/>
        </w:rPr>
        <w:t>המלחמה</w:t>
      </w:r>
      <w:r w:rsidRPr="001F2586">
        <w:rPr>
          <w:rFonts w:eastAsia="Calibri" w:hint="cs"/>
          <w:rtl/>
        </w:rPr>
        <w:t xml:space="preserve"> (להלן - המעגל הראשון)</w:t>
      </w:r>
      <w:r>
        <w:rPr>
          <w:rFonts w:eastAsia="Calibri"/>
          <w:vertAlign w:val="superscript"/>
          <w:rtl/>
        </w:rPr>
        <w:footnoteReference w:id="400"/>
      </w:r>
      <w:r w:rsidRPr="001F2586">
        <w:rPr>
          <w:rFonts w:eastAsia="Calibri"/>
          <w:rtl/>
        </w:rPr>
        <w:t xml:space="preserve"> לדחות ללא חיוב בריבית ובעמלות את תשלומי</w:t>
      </w:r>
      <w:r w:rsidRPr="001F2586">
        <w:rPr>
          <w:rFonts w:eastAsia="Calibri" w:hint="cs"/>
          <w:rtl/>
        </w:rPr>
        <w:t xml:space="preserve"> </w:t>
      </w:r>
      <w:r w:rsidRPr="001F2586">
        <w:rPr>
          <w:rFonts w:eastAsia="Calibri"/>
          <w:rtl/>
        </w:rPr>
        <w:t>המשכנתאות</w:t>
      </w:r>
      <w:r w:rsidRPr="001F2586">
        <w:rPr>
          <w:rFonts w:eastAsia="Calibri" w:hint="cs"/>
          <w:rtl/>
        </w:rPr>
        <w:t xml:space="preserve"> למשך שלושה חודשים. בסיום תקופת דחיית התשלומים, הלווים במעגל הראשון ישלמו את התשלומים הנדחים באחת הדרכים הבאות: </w:t>
      </w:r>
      <w:r w:rsidRPr="001F2586">
        <w:rPr>
          <w:rFonts w:eastAsia="Calibri"/>
          <w:rtl/>
        </w:rPr>
        <w:t>הוספת התשלומים בסוף תקופת המשכנתא</w:t>
      </w:r>
      <w:r w:rsidRPr="001F2586">
        <w:rPr>
          <w:rFonts w:eastAsia="Calibri" w:hint="cs"/>
          <w:rtl/>
        </w:rPr>
        <w:t xml:space="preserve">, כלומר הארכת תקופת המשכנתא לפי מספר חודשי הדחייה; </w:t>
      </w:r>
      <w:r w:rsidRPr="001F2586">
        <w:rPr>
          <w:rFonts w:eastAsia="Calibri"/>
          <w:rtl/>
        </w:rPr>
        <w:t>פריסת התשלומים לאורך יתרת תקופת המשכנתא</w:t>
      </w:r>
      <w:r w:rsidRPr="001F2586">
        <w:rPr>
          <w:rFonts w:eastAsia="Calibri" w:hint="cs"/>
          <w:rtl/>
        </w:rPr>
        <w:t>;</w:t>
      </w:r>
      <w:r w:rsidRPr="001F2586">
        <w:rPr>
          <w:rFonts w:eastAsia="Calibri"/>
          <w:rtl/>
        </w:rPr>
        <w:t xml:space="preserve"> </w:t>
      </w:r>
      <w:r w:rsidRPr="001F2586">
        <w:rPr>
          <w:rFonts w:eastAsia="Calibri" w:hint="cs"/>
          <w:rtl/>
        </w:rPr>
        <w:t>ו</w:t>
      </w:r>
      <w:r w:rsidRPr="001F2586">
        <w:rPr>
          <w:rFonts w:eastAsia="Calibri"/>
          <w:rtl/>
        </w:rPr>
        <w:t>העמדת הלוואה, בסכום הדחייה, ללא ריבית, לתקופה של 4 שנים, שמועד פירעונה יחל בחלוף שנה</w:t>
      </w:r>
      <w:r w:rsidRPr="001F2586">
        <w:rPr>
          <w:rFonts w:eastAsia="Calibri" w:hint="cs"/>
          <w:rtl/>
        </w:rPr>
        <w:t xml:space="preserve">. ליתר לקוחות הבנקים (להלן - המעגל השני) ניתנה האפשרות </w:t>
      </w:r>
      <w:r w:rsidRPr="001F2586">
        <w:rPr>
          <w:rFonts w:eastAsia="Calibri"/>
          <w:rtl/>
        </w:rPr>
        <w:t xml:space="preserve">לדחות את </w:t>
      </w:r>
      <w:r w:rsidRPr="001F2586">
        <w:rPr>
          <w:rFonts w:eastAsia="Calibri" w:hint="cs"/>
          <w:rtl/>
        </w:rPr>
        <w:t xml:space="preserve">תשלומי </w:t>
      </w:r>
      <w:r w:rsidRPr="001F2586">
        <w:rPr>
          <w:rFonts w:eastAsia="Calibri"/>
          <w:rtl/>
        </w:rPr>
        <w:t xml:space="preserve">ההלוואות למשך </w:t>
      </w:r>
      <w:r w:rsidRPr="001F2586">
        <w:rPr>
          <w:rFonts w:eastAsia="Calibri" w:hint="cs"/>
          <w:rtl/>
        </w:rPr>
        <w:t>שלושה</w:t>
      </w:r>
      <w:r w:rsidRPr="001F2586">
        <w:rPr>
          <w:rFonts w:eastAsia="Calibri"/>
          <w:rtl/>
        </w:rPr>
        <w:t xml:space="preserve"> חודשים</w:t>
      </w:r>
      <w:r w:rsidRPr="001F2586">
        <w:rPr>
          <w:rFonts w:eastAsia="Calibri" w:hint="cs"/>
          <w:rtl/>
        </w:rPr>
        <w:t xml:space="preserve">. התשלומים הנדחים עבור הלווים במעגל השני יישאו ריבית שלא </w:t>
      </w:r>
      <w:r w:rsidRPr="001F2586">
        <w:rPr>
          <w:rFonts w:eastAsia="Calibri"/>
          <w:rtl/>
        </w:rPr>
        <w:t xml:space="preserve">תעלה על שיעור הריבית בחוזה ההלוואה והדחייה תבוצע </w:t>
      </w:r>
      <w:r w:rsidRPr="001F2586">
        <w:rPr>
          <w:rFonts w:eastAsia="Calibri"/>
          <w:rtl/>
        </w:rPr>
        <w:t>ללא חיוב בעמלות</w:t>
      </w:r>
      <w:r w:rsidRPr="001F2586">
        <w:rPr>
          <w:rFonts w:eastAsia="Calibri" w:hint="cs"/>
          <w:rtl/>
        </w:rPr>
        <w:t xml:space="preserve">. בסיום תקופת דחיית התשלומים, הלווים במעגל השני ישלמו את התשלומים הנדחים באמצעות הוספה שלהם בסוף תקופת ההלוואה. </w:t>
      </w:r>
      <w:r w:rsidRPr="001F2586">
        <w:rPr>
          <w:rFonts w:eastAsia="Calibri"/>
          <w:rtl/>
        </w:rPr>
        <w:t>ב-</w:t>
      </w:r>
      <w:r w:rsidRPr="001F2586">
        <w:rPr>
          <w:rFonts w:eastAsia="Calibri" w:hint="cs"/>
          <w:rtl/>
        </w:rPr>
        <w:t>8.11.23</w:t>
      </w:r>
      <w:r w:rsidRPr="001F2586">
        <w:rPr>
          <w:rFonts w:eastAsia="Calibri"/>
          <w:rtl/>
        </w:rPr>
        <w:t xml:space="preserve"> </w:t>
      </w:r>
      <w:r w:rsidRPr="001F2586">
        <w:rPr>
          <w:rFonts w:eastAsia="Calibri" w:hint="cs"/>
          <w:rtl/>
        </w:rPr>
        <w:t>בנק ישראל הרחיב את</w:t>
      </w:r>
      <w:r w:rsidRPr="001F2586">
        <w:rPr>
          <w:rFonts w:eastAsia="Calibri"/>
          <w:rtl/>
        </w:rPr>
        <w:t xml:space="preserve"> מתווה זה גם לתושבי הצפון</w:t>
      </w:r>
      <w:r>
        <w:rPr>
          <w:rFonts w:eastAsia="Calibri"/>
          <w:vertAlign w:val="superscript"/>
          <w:rtl/>
        </w:rPr>
        <w:footnoteReference w:id="401"/>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ב-17.12.23, לקראת סיום שלושת חודשי המתווה</w:t>
      </w:r>
      <w:r w:rsidRPr="001F2586">
        <w:rPr>
          <w:rFonts w:eastAsia="Calibri" w:hint="cs"/>
          <w:rtl/>
        </w:rPr>
        <w:t>,</w:t>
      </w:r>
      <w:r w:rsidRPr="001F2586">
        <w:rPr>
          <w:rFonts w:eastAsia="Calibri"/>
          <w:rtl/>
        </w:rPr>
        <w:t xml:space="preserve"> </w:t>
      </w:r>
      <w:r w:rsidRPr="001F2586">
        <w:rPr>
          <w:rFonts w:eastAsia="Calibri" w:hint="cs"/>
          <w:rtl/>
        </w:rPr>
        <w:t>בנק ישראל</w:t>
      </w:r>
      <w:r w:rsidRPr="001F2586">
        <w:rPr>
          <w:rFonts w:eastAsia="Calibri"/>
          <w:rtl/>
        </w:rPr>
        <w:t xml:space="preserve"> </w:t>
      </w:r>
      <w:r w:rsidRPr="001F2586">
        <w:rPr>
          <w:rFonts w:eastAsia="Calibri" w:hint="cs"/>
          <w:rtl/>
        </w:rPr>
        <w:t>האריך את המתווה</w:t>
      </w:r>
      <w:r w:rsidRPr="001F2586">
        <w:rPr>
          <w:rFonts w:eastAsia="Calibri"/>
          <w:rtl/>
        </w:rPr>
        <w:t xml:space="preserve"> </w:t>
      </w:r>
      <w:r w:rsidRPr="001F2586">
        <w:rPr>
          <w:rFonts w:eastAsia="Calibri" w:hint="cs"/>
          <w:rtl/>
        </w:rPr>
        <w:t>בעוד שלושה</w:t>
      </w:r>
      <w:r w:rsidRPr="001F2586">
        <w:rPr>
          <w:rFonts w:eastAsia="Calibri"/>
          <w:rtl/>
        </w:rPr>
        <w:t xml:space="preserve"> חודשים, </w:t>
      </w:r>
      <w:r w:rsidRPr="001F2586">
        <w:rPr>
          <w:rFonts w:eastAsia="Calibri" w:hint="cs"/>
          <w:rtl/>
        </w:rPr>
        <w:t>וכלל בו</w:t>
      </w:r>
      <w:r w:rsidRPr="001F2586">
        <w:rPr>
          <w:rFonts w:eastAsia="Calibri"/>
          <w:rtl/>
        </w:rPr>
        <w:t xml:space="preserve"> אוכלוסיות</w:t>
      </w:r>
      <w:r w:rsidRPr="001F2586">
        <w:rPr>
          <w:rFonts w:eastAsia="Calibri" w:hint="cs"/>
          <w:rtl/>
        </w:rPr>
        <w:t xml:space="preserve"> נוספות במעגל הראשון</w:t>
      </w:r>
      <w:r>
        <w:rPr>
          <w:rFonts w:eastAsia="Calibri"/>
          <w:vertAlign w:val="superscript"/>
          <w:rtl/>
        </w:rPr>
        <w:footnoteReference w:id="402"/>
      </w:r>
      <w:r w:rsidRPr="001F2586">
        <w:rPr>
          <w:rFonts w:eastAsia="Calibri" w:hint="cs"/>
          <w:rtl/>
        </w:rPr>
        <w:t xml:space="preserve"> הזכאיות לדחיית תשלומים בהלוואות ללא ריבית ועמלות, וקבע בו כי </w:t>
      </w:r>
      <w:r w:rsidRPr="001F2586">
        <w:rPr>
          <w:rFonts w:eastAsia="Calibri"/>
          <w:rtl/>
        </w:rPr>
        <w:t>תקופת הדחייה המרבית תהיה שישה חודשים במצטבר.</w:t>
      </w:r>
      <w:r w:rsidRPr="001F2586">
        <w:rPr>
          <w:rFonts w:eastAsia="Calibri" w:hint="cs"/>
          <w:rtl/>
        </w:rPr>
        <w:t xml:space="preserve"> ב</w:t>
      </w:r>
      <w:r w:rsidRPr="001F2586">
        <w:rPr>
          <w:rFonts w:eastAsia="Calibri"/>
          <w:rtl/>
        </w:rPr>
        <w:t xml:space="preserve">-4.3.24 </w:t>
      </w:r>
      <w:r w:rsidRPr="001F2586">
        <w:rPr>
          <w:rFonts w:eastAsia="Calibri" w:hint="eastAsia"/>
          <w:rtl/>
        </w:rPr>
        <w:t>הודיע</w:t>
      </w:r>
      <w:r w:rsidRPr="001F2586">
        <w:rPr>
          <w:rFonts w:eastAsia="Calibri" w:hint="cs"/>
          <w:rtl/>
        </w:rPr>
        <w:t xml:space="preserve"> בנק ישראל על הארכת נוספת של המתווה בשלושה חודשים ועל הרחבתו לאוכלוסיות נוספות במעגל הראשון</w:t>
      </w:r>
      <w:r>
        <w:rPr>
          <w:rFonts w:eastAsia="Calibri"/>
          <w:vertAlign w:val="superscript"/>
          <w:rtl/>
        </w:rPr>
        <w:footnoteReference w:id="403"/>
      </w:r>
      <w:r w:rsidRPr="001F2586">
        <w:rPr>
          <w:rFonts w:eastAsia="Calibri" w:hint="cs"/>
          <w:rtl/>
        </w:rPr>
        <w:t xml:space="preserve">, וכי </w:t>
      </w:r>
      <w:r w:rsidRPr="001F2586">
        <w:rPr>
          <w:rFonts w:eastAsia="Calibri"/>
          <w:rtl/>
        </w:rPr>
        <w:t xml:space="preserve">תקופת הדחייה </w:t>
      </w:r>
      <w:r w:rsidRPr="001F2586">
        <w:rPr>
          <w:rFonts w:eastAsia="Calibri" w:hint="cs"/>
          <w:rtl/>
        </w:rPr>
        <w:t>המקסימאלית</w:t>
      </w:r>
      <w:r w:rsidRPr="001F2586">
        <w:rPr>
          <w:rFonts w:eastAsia="Calibri"/>
          <w:rtl/>
        </w:rPr>
        <w:t xml:space="preserve"> תהיה 9 חודשים</w:t>
      </w:r>
      <w:r w:rsidRPr="001F2586">
        <w:rPr>
          <w:rFonts w:eastAsia="Calibri" w:hint="cs"/>
          <w:rtl/>
        </w:rPr>
        <w:t xml:space="preserve"> </w:t>
      </w:r>
      <w:r w:rsidRPr="001F2586">
        <w:rPr>
          <w:rFonts w:eastAsia="Calibri"/>
          <w:rtl/>
        </w:rPr>
        <w:t>במצטבר</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ב-23.6.24 הודיע בנק ישראל על הארכה נוספת של מתווה הסיוע בשלושה חודשים נוספים, כך שתקופת דחיית התשלומים המקסימאלית להלוואה תישאר 9 חודשים. עם זאת, צוין כי ללקוחות יש אפשרות לפנות לבנקים במידה והם מתקשים גם לאחר תקופה זו לעמוד בתשלומים כדי שהבנקים יבחנו בקשותיהם לדחייה נוספת. בהודעה זו צוין בנוגע לכך כי "...הפיקוח על הבנקים מצפה מהבנקים לפעול ברגישות המתבקשת בבחינת בקשות אלו". ב-22.9.24 הודיע בנק ישראל על הארכה נוספת של מתווה סיוע בשלושה חודשים נוספים עד לסוף שנת 2024, ובו בוצעו התאמות באוכלוסיות הזכאים במעגל הראשון בנוגע לתושבי הדרום</w:t>
      </w:r>
      <w:r>
        <w:rPr>
          <w:rFonts w:eastAsia="Calibri"/>
          <w:vertAlign w:val="superscript"/>
          <w:rtl/>
        </w:rPr>
        <w:footnoteReference w:id="404"/>
      </w:r>
      <w:r w:rsidRPr="001F2586">
        <w:rPr>
          <w:rFonts w:eastAsia="Calibri" w:hint="cs"/>
          <w:rtl/>
        </w:rPr>
        <w:t xml:space="preserve">. כמו כן, </w:t>
      </w:r>
      <w:r w:rsidRPr="001F2586">
        <w:rPr>
          <w:rFonts w:eastAsia="Calibri"/>
          <w:rtl/>
        </w:rPr>
        <w:t xml:space="preserve">תקופת דחיית התשלומים המצטברת המקסימלית במסגרת המתווה </w:t>
      </w:r>
      <w:r w:rsidRPr="001F2586">
        <w:rPr>
          <w:rFonts w:eastAsia="Calibri" w:hint="cs"/>
          <w:rtl/>
        </w:rPr>
        <w:t>נותרה</w:t>
      </w:r>
      <w:r w:rsidRPr="001F2586">
        <w:rPr>
          <w:rFonts w:eastAsia="Calibri"/>
          <w:rtl/>
        </w:rPr>
        <w:t xml:space="preserve"> 9 חודשים </w:t>
      </w:r>
      <w:r w:rsidRPr="001F2586">
        <w:rPr>
          <w:rFonts w:eastAsia="Calibri" w:hint="cs"/>
          <w:rtl/>
        </w:rPr>
        <w:t>למעט תושבי הצפון</w:t>
      </w:r>
      <w:r>
        <w:rPr>
          <w:rFonts w:eastAsia="Calibri"/>
          <w:vertAlign w:val="superscript"/>
          <w:rtl/>
        </w:rPr>
        <w:footnoteReference w:id="405"/>
      </w:r>
      <w:r w:rsidRPr="001F2586">
        <w:rPr>
          <w:rFonts w:eastAsia="Calibri" w:hint="cs"/>
          <w:rtl/>
        </w:rPr>
        <w:t xml:space="preserve"> וחיילי המילואים</w:t>
      </w:r>
      <w:r>
        <w:rPr>
          <w:rFonts w:eastAsia="Calibri"/>
          <w:vertAlign w:val="superscript"/>
          <w:rtl/>
        </w:rPr>
        <w:footnoteReference w:id="406"/>
      </w:r>
      <w:r w:rsidRPr="001F2586">
        <w:rPr>
          <w:rFonts w:eastAsia="Calibri" w:hint="cs"/>
          <w:rtl/>
        </w:rPr>
        <w:t xml:space="preserve"> להם ניתנה אפשרות לדחות את התשלומים לתקופה של עד 12 חודשים במצטבר. </w:t>
      </w:r>
      <w:r w:rsidRPr="001F2586">
        <w:rPr>
          <w:rFonts w:eastAsia="Calibri"/>
          <w:rtl/>
        </w:rPr>
        <w:br/>
      </w:r>
      <w:r w:rsidRPr="001F2586">
        <w:rPr>
          <w:rFonts w:eastAsia="Calibri" w:hint="cs"/>
          <w:rtl/>
        </w:rPr>
        <w:t>ב-3.12.24 הודיע בנק ישראל על הארכת המתווה הקיים בפעם האחרונה עד לתאריך 31.3.25</w:t>
      </w:r>
      <w:r w:rsidRPr="001F2586">
        <w:rPr>
          <w:rFonts w:eastAsia="Calibri"/>
        </w:rPr>
        <w:t>.</w:t>
      </w:r>
      <w:r w:rsidRPr="001F2586">
        <w:rPr>
          <w:rFonts w:eastAsia="Calibri" w:hint="cs"/>
          <w:rtl/>
        </w:rPr>
        <w:t xml:space="preserve"> במתווה זה בוצעו התאמות באוכלוסיות הזכאים במעגל הראשון</w:t>
      </w:r>
      <w:r>
        <w:rPr>
          <w:rFonts w:eastAsia="Calibri"/>
          <w:vertAlign w:val="superscript"/>
          <w:rtl/>
        </w:rPr>
        <w:footnoteReference w:id="407"/>
      </w:r>
      <w:r w:rsidRPr="001F2586">
        <w:rPr>
          <w:rFonts w:eastAsia="Calibri" w:hint="cs"/>
          <w:rtl/>
        </w:rPr>
        <w:t xml:space="preserve"> שתנאי דחיית המשכנתאות נותרו ללא שינוי, כלומר דחיה מקסימאלית של 9 חודשים לאוכלוסיות במעגל הראשון ושל 12 חודשים לתושבי הצפון וחיילי המילואים</w:t>
      </w:r>
      <w:r>
        <w:rPr>
          <w:rFonts w:eastAsia="Calibri"/>
          <w:vertAlign w:val="superscript"/>
          <w:rtl/>
        </w:rPr>
        <w:footnoteReference w:id="408"/>
      </w:r>
      <w:r w:rsidRPr="001F2586">
        <w:rPr>
          <w:rFonts w:eastAsia="Calibri" w:hint="cs"/>
          <w:rtl/>
        </w:rPr>
        <w:t>.</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hint="cs"/>
          <w:rtl/>
        </w:rPr>
        <w:t>ב-30.3.25 בנק ישראל הודיע על כניסתו לתוקף של מתווה הקלות כספיות בסך של 3 מיליארדי ש"ח ללקוחות המערכת הבנקאית, ובמסגרתו קבע בנק ישראל את עיקרי ההקלות הכספיות שייתנו בנקים ללקוחות. אחת ההקלות שהוצעו מאפשרת לבנקים לתת פטור, חלקי או מלא, לתקופה קצובה מתשלום ההחזר החודשי של הלוואות או הפחתת שיעור הריבית הנגבית באשראי קיים.</w:t>
      </w:r>
    </w:p>
    <w:p w:rsidR="006C61C1" w:rsidP="006C61C1">
      <w:pPr>
        <w:pStyle w:val="a"/>
        <w:ind w:left="-1"/>
      </w:pPr>
    </w:p>
    <w:p w:rsidR="006C61C1" w:rsidP="0070405E">
      <w:pPr>
        <w:pStyle w:val="a"/>
        <w:spacing w:line="269" w:lineRule="auto"/>
        <w:ind w:left="0"/>
        <w:rPr>
          <w:rFonts w:ascii="David" w:hAnsi="David"/>
          <w:sz w:val="24"/>
          <w:szCs w:val="24"/>
          <w:rtl/>
        </w:rPr>
      </w:pPr>
      <w:hyperlink r:id="rId81" w:history="1">
        <w:r w:rsidRPr="009733A2">
          <w:rPr>
            <w:rStyle w:val="Hyperlink"/>
            <w:rFonts w:ascii="David" w:eastAsia="Times New Roman" w:hAnsi="David"/>
            <w:sz w:val="24"/>
            <w:szCs w:val="24"/>
            <w:rtl/>
          </w:rPr>
          <w:t>ב-17.6.25</w:t>
        </w:r>
      </w:hyperlink>
      <w:r w:rsidRPr="009733A2">
        <w:rPr>
          <w:rFonts w:ascii="David" w:eastAsia="Times New Roman" w:hAnsi="David"/>
          <w:sz w:val="24"/>
          <w:szCs w:val="24"/>
          <w:rtl/>
        </w:rPr>
        <w:t xml:space="preserve">, </w:t>
      </w:r>
      <w:r>
        <w:rPr>
          <w:rFonts w:ascii="David" w:eastAsia="Times New Roman" w:hAnsi="David" w:hint="cs"/>
          <w:sz w:val="24"/>
          <w:szCs w:val="24"/>
          <w:rtl/>
        </w:rPr>
        <w:t>ארבעה</w:t>
      </w:r>
      <w:r w:rsidRPr="009733A2">
        <w:rPr>
          <w:rFonts w:ascii="David" w:eastAsia="Times New Roman" w:hAnsi="David"/>
          <w:sz w:val="24"/>
          <w:szCs w:val="24"/>
          <w:rtl/>
        </w:rPr>
        <w:t xml:space="preserve"> ימים לאחר פתיחת מבצע "עם כלביא"</w:t>
      </w:r>
      <w:r>
        <w:rPr>
          <w:rFonts w:ascii="David" w:eastAsia="Times New Roman" w:hAnsi="David" w:hint="cs"/>
          <w:sz w:val="24"/>
          <w:szCs w:val="24"/>
          <w:rtl/>
        </w:rPr>
        <w:t xml:space="preserve"> שהחל ב-13.6.25</w:t>
      </w:r>
      <w:r w:rsidRPr="009733A2">
        <w:rPr>
          <w:rFonts w:ascii="David" w:eastAsia="Times New Roman" w:hAnsi="David"/>
          <w:sz w:val="24"/>
          <w:szCs w:val="24"/>
          <w:rtl/>
        </w:rPr>
        <w:t xml:space="preserve">, הודיע בנק ישראל על מתווה סיוע </w:t>
      </w:r>
      <w:r>
        <w:rPr>
          <w:rFonts w:ascii="David" w:eastAsia="Times New Roman" w:hAnsi="David" w:hint="cs"/>
          <w:sz w:val="24"/>
          <w:szCs w:val="24"/>
          <w:rtl/>
        </w:rPr>
        <w:t>וולונטר</w:t>
      </w:r>
      <w:r>
        <w:rPr>
          <w:rFonts w:ascii="David" w:eastAsia="Times New Roman" w:hAnsi="David" w:hint="eastAsia"/>
          <w:sz w:val="24"/>
          <w:szCs w:val="24"/>
          <w:rtl/>
        </w:rPr>
        <w:t>י</w:t>
      </w:r>
      <w:r>
        <w:rPr>
          <w:rFonts w:ascii="David" w:eastAsia="Times New Roman" w:hAnsi="David" w:hint="cs"/>
          <w:sz w:val="24"/>
          <w:szCs w:val="24"/>
          <w:rtl/>
        </w:rPr>
        <w:t xml:space="preserve"> שיקל על </w:t>
      </w:r>
      <w:r>
        <w:rPr>
          <w:rFonts w:ascii="David" w:eastAsia="Times New Roman" w:hAnsi="David" w:hint="cs"/>
          <w:sz w:val="24"/>
          <w:szCs w:val="24"/>
          <w:rtl/>
        </w:rPr>
        <w:t>התזרים</w:t>
      </w:r>
      <w:r>
        <w:rPr>
          <w:rFonts w:ascii="David" w:eastAsia="Times New Roman" w:hAnsi="David" w:hint="cs"/>
          <w:sz w:val="24"/>
          <w:szCs w:val="24"/>
          <w:rtl/>
        </w:rPr>
        <w:t xml:space="preserve"> של </w:t>
      </w:r>
      <w:r w:rsidRPr="009733A2">
        <w:rPr>
          <w:rFonts w:ascii="David" w:eastAsia="Times New Roman" w:hAnsi="David"/>
          <w:sz w:val="24"/>
          <w:szCs w:val="24"/>
          <w:rtl/>
        </w:rPr>
        <w:t>אוכלוסיות שנפגעו באופן ישיר מנזקי הלחימה</w:t>
      </w:r>
      <w:r>
        <w:rPr>
          <w:rFonts w:ascii="David" w:eastAsia="Times New Roman" w:hAnsi="David" w:hint="cs"/>
          <w:sz w:val="24"/>
          <w:szCs w:val="24"/>
          <w:rtl/>
        </w:rPr>
        <w:t xml:space="preserve"> והם: בעלי עסקים קטנים וזעירים שנפגעו פיזית או כספית בשל המבצע; משקי בית שנפצעו או שביתם נפגע מירי טילים ונאלצו להתפנות מביתם (להלן - משקי בית שנפגעו במבצע); וחיילי מילואים שנקראו לשירות. המתווה, שהיה בתוקף מ-1.7.25 ועד ל-31.7.25</w:t>
      </w:r>
      <w:r>
        <w:rPr>
          <w:rStyle w:val="FootnoteReference1"/>
          <w:rFonts w:ascii="David" w:eastAsia="Times New Roman" w:hAnsi="David"/>
          <w:sz w:val="24"/>
          <w:szCs w:val="24"/>
          <w:rtl/>
        </w:rPr>
        <w:footnoteReference w:id="409"/>
      </w:r>
      <w:r>
        <w:rPr>
          <w:rFonts w:ascii="David" w:eastAsia="Times New Roman" w:hAnsi="David" w:hint="cs"/>
          <w:sz w:val="24"/>
          <w:szCs w:val="24"/>
          <w:rtl/>
        </w:rPr>
        <w:t xml:space="preserve"> הציג את תנאי המינימום </w:t>
      </w:r>
      <w:r>
        <w:rPr>
          <w:rFonts w:ascii="David" w:eastAsia="Times New Roman" w:hAnsi="David" w:hint="cs"/>
          <w:sz w:val="24"/>
          <w:szCs w:val="24"/>
          <w:rtl/>
        </w:rPr>
        <w:t>ואומץ על ידי המערכת הבנקאית. המתווה אפשר למשקי בית ועסקים</w:t>
      </w:r>
      <w:r>
        <w:rPr>
          <w:rStyle w:val="FootnoteReference1"/>
          <w:rFonts w:ascii="David" w:eastAsia="Times New Roman" w:hAnsi="David"/>
          <w:sz w:val="24"/>
          <w:szCs w:val="24"/>
          <w:rtl/>
        </w:rPr>
        <w:footnoteReference w:id="410"/>
      </w:r>
      <w:r>
        <w:rPr>
          <w:rFonts w:ascii="David" w:eastAsia="Times New Roman" w:hAnsi="David" w:hint="cs"/>
          <w:sz w:val="24"/>
          <w:szCs w:val="24"/>
          <w:rtl/>
        </w:rPr>
        <w:t xml:space="preserve"> שנפגעו במבצע לדחות תשלומים של הלוואות ללא חיוב בריבית ובעמלות. </w:t>
      </w:r>
      <w:r w:rsidRPr="005515CC">
        <w:rPr>
          <w:rFonts w:ascii="David" w:eastAsia="Times New Roman" w:hAnsi="David"/>
          <w:sz w:val="24"/>
          <w:szCs w:val="24"/>
          <w:rtl/>
        </w:rPr>
        <w:t xml:space="preserve">בתחום המשכנתאות, המתווה אפשר </w:t>
      </w:r>
      <w:r>
        <w:rPr>
          <w:rFonts w:ascii="David" w:eastAsia="Times New Roman" w:hAnsi="David" w:hint="cs"/>
          <w:sz w:val="24"/>
          <w:szCs w:val="24"/>
          <w:rtl/>
        </w:rPr>
        <w:t>ל</w:t>
      </w:r>
      <w:r w:rsidRPr="005515CC">
        <w:rPr>
          <w:rFonts w:ascii="David" w:eastAsia="Times New Roman" w:hAnsi="David"/>
          <w:sz w:val="24"/>
          <w:szCs w:val="24"/>
          <w:rtl/>
        </w:rPr>
        <w:t xml:space="preserve">משקי בית </w:t>
      </w:r>
      <w:r>
        <w:rPr>
          <w:rFonts w:ascii="David" w:eastAsia="Times New Roman" w:hAnsi="David" w:hint="cs"/>
          <w:sz w:val="24"/>
          <w:szCs w:val="24"/>
          <w:rtl/>
        </w:rPr>
        <w:t>שנפגעו במבצע</w:t>
      </w:r>
      <w:r w:rsidRPr="005515CC">
        <w:rPr>
          <w:rFonts w:ascii="David" w:eastAsia="Times New Roman" w:hAnsi="David"/>
          <w:sz w:val="24"/>
          <w:szCs w:val="24"/>
          <w:rtl/>
        </w:rPr>
        <w:t xml:space="preserve"> </w:t>
      </w:r>
      <w:r w:rsidRPr="005515CC">
        <w:rPr>
          <w:rFonts w:ascii="David" w:eastAsia="Times New Roman" w:hAnsi="David" w:hint="cs"/>
          <w:sz w:val="24"/>
          <w:szCs w:val="24"/>
          <w:rtl/>
        </w:rPr>
        <w:t>לדחות</w:t>
      </w:r>
      <w:r w:rsidRPr="005515CC">
        <w:rPr>
          <w:rFonts w:ascii="David" w:eastAsia="Times New Roman" w:hAnsi="David"/>
          <w:sz w:val="24"/>
          <w:szCs w:val="24"/>
          <w:rtl/>
        </w:rPr>
        <w:t xml:space="preserve"> </w:t>
      </w:r>
      <w:r w:rsidRPr="005515CC">
        <w:rPr>
          <w:rFonts w:ascii="David" w:eastAsia="Times New Roman" w:hAnsi="David" w:hint="cs"/>
          <w:sz w:val="24"/>
          <w:szCs w:val="24"/>
          <w:rtl/>
        </w:rPr>
        <w:t>את</w:t>
      </w:r>
      <w:r w:rsidRPr="005515CC">
        <w:rPr>
          <w:rFonts w:ascii="David" w:eastAsia="Times New Roman" w:hAnsi="David"/>
          <w:sz w:val="24"/>
          <w:szCs w:val="24"/>
          <w:rtl/>
        </w:rPr>
        <w:t xml:space="preserve"> תשלומי </w:t>
      </w:r>
      <w:r>
        <w:rPr>
          <w:rFonts w:ascii="David" w:eastAsia="Times New Roman" w:hAnsi="David" w:hint="cs"/>
          <w:sz w:val="24"/>
          <w:szCs w:val="24"/>
          <w:rtl/>
        </w:rPr>
        <w:t>ה</w:t>
      </w:r>
      <w:r w:rsidRPr="005515CC">
        <w:rPr>
          <w:rFonts w:ascii="David" w:eastAsia="Times New Roman" w:hAnsi="David"/>
          <w:sz w:val="24"/>
          <w:szCs w:val="24"/>
          <w:rtl/>
        </w:rPr>
        <w:t>משכנתא</w:t>
      </w:r>
      <w:r>
        <w:rPr>
          <w:rFonts w:ascii="David" w:eastAsia="Times New Roman" w:hAnsi="David" w:hint="cs"/>
          <w:sz w:val="24"/>
          <w:szCs w:val="24"/>
          <w:rtl/>
        </w:rPr>
        <w:t xml:space="preserve"> </w:t>
      </w:r>
      <w:r w:rsidRPr="005515CC">
        <w:rPr>
          <w:rFonts w:ascii="David" w:eastAsia="Times New Roman" w:hAnsi="David" w:hint="cs"/>
          <w:sz w:val="24"/>
          <w:szCs w:val="24"/>
          <w:rtl/>
        </w:rPr>
        <w:t>ל</w:t>
      </w:r>
      <w:r w:rsidRPr="005515CC">
        <w:rPr>
          <w:rFonts w:ascii="David" w:eastAsia="Times New Roman" w:hAnsi="David"/>
          <w:sz w:val="24"/>
          <w:szCs w:val="24"/>
          <w:rtl/>
        </w:rPr>
        <w:t xml:space="preserve">שלושה חודשים, </w:t>
      </w:r>
      <w:r w:rsidRPr="005515CC">
        <w:rPr>
          <w:rFonts w:ascii="David" w:eastAsia="Times New Roman" w:hAnsi="David" w:hint="cs"/>
          <w:sz w:val="24"/>
          <w:szCs w:val="24"/>
          <w:rtl/>
        </w:rPr>
        <w:t xml:space="preserve">וזאת </w:t>
      </w:r>
      <w:r w:rsidRPr="005515CC">
        <w:rPr>
          <w:rFonts w:ascii="David" w:eastAsia="Times New Roman" w:hAnsi="David"/>
          <w:sz w:val="24"/>
          <w:szCs w:val="24"/>
          <w:rtl/>
        </w:rPr>
        <w:t>ללא חיוב בריבית ובעמלות</w:t>
      </w:r>
      <w:r w:rsidRPr="005515CC">
        <w:rPr>
          <w:rFonts w:ascii="David" w:eastAsia="Times New Roman" w:hAnsi="David" w:hint="cs"/>
          <w:sz w:val="24"/>
          <w:szCs w:val="24"/>
          <w:rtl/>
        </w:rPr>
        <w:t xml:space="preserve">. </w:t>
      </w:r>
      <w:r w:rsidRPr="009733A2">
        <w:rPr>
          <w:rFonts w:ascii="David" w:eastAsia="Times New Roman" w:hAnsi="David"/>
          <w:sz w:val="24"/>
          <w:szCs w:val="24"/>
          <w:rtl/>
        </w:rPr>
        <w:t xml:space="preserve">מטרת המתווה הייתה להעניק גמישות למשקי הבית הנמצאים בקשיים </w:t>
      </w:r>
      <w:r w:rsidRPr="009733A2">
        <w:rPr>
          <w:rFonts w:ascii="David" w:eastAsia="Times New Roman" w:hAnsi="David"/>
          <w:sz w:val="24"/>
          <w:szCs w:val="24"/>
          <w:rtl/>
        </w:rPr>
        <w:t>תזרימיים</w:t>
      </w:r>
      <w:r>
        <w:rPr>
          <w:rFonts w:ascii="David" w:eastAsia="Times New Roman" w:hAnsi="David" w:hint="cs"/>
          <w:sz w:val="24"/>
          <w:szCs w:val="24"/>
          <w:rtl/>
        </w:rPr>
        <w:t xml:space="preserve"> ו</w:t>
      </w:r>
      <w:r w:rsidRPr="009733A2">
        <w:rPr>
          <w:rFonts w:ascii="David" w:eastAsia="Times New Roman" w:hAnsi="David"/>
          <w:sz w:val="24"/>
          <w:szCs w:val="24"/>
          <w:rtl/>
        </w:rPr>
        <w:t xml:space="preserve">להפחית את הסיכון לפיגורי משכנתא </w:t>
      </w:r>
      <w:r>
        <w:rPr>
          <w:rFonts w:ascii="David" w:eastAsia="Times New Roman" w:hAnsi="David" w:hint="cs"/>
          <w:sz w:val="24"/>
          <w:szCs w:val="24"/>
          <w:rtl/>
        </w:rPr>
        <w:t>באופן המ</w:t>
      </w:r>
      <w:r w:rsidRPr="009733A2">
        <w:rPr>
          <w:rFonts w:ascii="David" w:eastAsia="Times New Roman" w:hAnsi="David"/>
          <w:sz w:val="24"/>
          <w:szCs w:val="24"/>
          <w:rtl/>
        </w:rPr>
        <w:t xml:space="preserve">אפשר </w:t>
      </w:r>
      <w:r>
        <w:rPr>
          <w:rFonts w:ascii="David" w:eastAsia="Times New Roman" w:hAnsi="David" w:hint="cs"/>
          <w:sz w:val="24"/>
          <w:szCs w:val="24"/>
          <w:rtl/>
        </w:rPr>
        <w:t xml:space="preserve">עבורם </w:t>
      </w:r>
      <w:r w:rsidRPr="009733A2">
        <w:rPr>
          <w:rFonts w:ascii="David" w:eastAsia="Times New Roman" w:hAnsi="David"/>
          <w:sz w:val="24"/>
          <w:szCs w:val="24"/>
          <w:rtl/>
        </w:rPr>
        <w:t>הקלה</w:t>
      </w:r>
      <w:r>
        <w:rPr>
          <w:rFonts w:ascii="David" w:eastAsia="Times New Roman" w:hAnsi="David" w:hint="cs"/>
          <w:sz w:val="24"/>
          <w:szCs w:val="24"/>
          <w:rtl/>
        </w:rPr>
        <w:t xml:space="preserve"> </w:t>
      </w:r>
      <w:r>
        <w:rPr>
          <w:rFonts w:ascii="David" w:eastAsia="Times New Roman" w:hAnsi="David" w:hint="cs"/>
          <w:sz w:val="24"/>
          <w:szCs w:val="24"/>
          <w:rtl/>
        </w:rPr>
        <w:t>תזרימית</w:t>
      </w:r>
      <w:r w:rsidRPr="009733A2">
        <w:rPr>
          <w:rFonts w:ascii="David" w:eastAsia="Times New Roman" w:hAnsi="David"/>
          <w:sz w:val="24"/>
          <w:szCs w:val="24"/>
          <w:rtl/>
        </w:rPr>
        <w:t xml:space="preserve"> בטווח הקצר.</w:t>
      </w:r>
      <w:r>
        <w:rPr>
          <w:rFonts w:ascii="David" w:eastAsia="Times New Roman" w:hAnsi="David" w:hint="cs"/>
          <w:color w:val="FF0000"/>
          <w:sz w:val="24"/>
          <w:szCs w:val="24"/>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נמצא כי בנק ישראל גיבש מתווה סיוע כלכלי רחב לציבור תוך שמונה ימים מפרוץ מלחמת חרבות ברזל, שבמסגרתו אפשר דחיית תשלומי משכנתאות לזכאים שנפגעו באופן ישיר מנזקי המלחמה </w:t>
      </w:r>
      <w:r w:rsidRPr="001F2586">
        <w:rPr>
          <w:rFonts w:eastAsia="Calibri"/>
          <w:b/>
          <w:bCs/>
          <w:rtl/>
        </w:rPr>
        <w:t>ללא חיוב בריבית ובעמלות</w:t>
      </w:r>
      <w:r w:rsidRPr="001F2586">
        <w:rPr>
          <w:rFonts w:eastAsia="Calibri" w:hint="cs"/>
          <w:b/>
          <w:bCs/>
          <w:rtl/>
        </w:rPr>
        <w:t>.</w:t>
      </w:r>
      <w:r w:rsidRPr="001F2586">
        <w:rPr>
          <w:rFonts w:eastAsia="Calibri" w:hint="cs"/>
          <w:rtl/>
        </w:rPr>
        <w:t xml:space="preserve"> </w:t>
      </w:r>
      <w:r w:rsidRPr="001F2586">
        <w:rPr>
          <w:rFonts w:eastAsia="Calibri" w:hint="cs"/>
          <w:b/>
          <w:bCs/>
          <w:rtl/>
        </w:rPr>
        <w:t>בנק ישראל האריך את המתווה חמש פעמים ועדכן את התנאים ואת קבוצת הזכאים בהתאם להתפתחויו</w:t>
      </w:r>
      <w:r w:rsidRPr="001F2586">
        <w:rPr>
          <w:rFonts w:eastAsia="Calibri" w:hint="eastAsia"/>
          <w:b/>
          <w:bCs/>
          <w:rtl/>
        </w:rPr>
        <w:t>ת</w:t>
      </w:r>
      <w:r w:rsidRPr="001F2586">
        <w:rPr>
          <w:rFonts w:eastAsia="Calibri" w:hint="cs"/>
          <w:b/>
          <w:bCs/>
          <w:rtl/>
        </w:rPr>
        <w:t xml:space="preserve"> במלחמה ולצורכיהן של אוכלוסיו</w:t>
      </w:r>
      <w:r w:rsidRPr="001F2586">
        <w:rPr>
          <w:rFonts w:eastAsia="Calibri" w:hint="eastAsia"/>
          <w:b/>
          <w:bCs/>
          <w:rtl/>
        </w:rPr>
        <w:t>ת</w:t>
      </w:r>
      <w:r w:rsidRPr="001F2586">
        <w:rPr>
          <w:rFonts w:eastAsia="Calibri" w:hint="cs"/>
          <w:b/>
          <w:bCs/>
          <w:rtl/>
        </w:rPr>
        <w:t xml:space="preserve"> שונות במתווה שנמשך כשנה וחצי במצטבר. עוד נמצא כי בנק ישראל פרסם מתווה סיוע כלכלי תוך ארבעה ימים מפתיחת מבצע "עם כלביא" שבו אפשר דחיית תשלומי משכנתאות לזכאים שנפגעו במבצע. מבקר המדינה מציין לחיוב את פעולות בנק ישראל לגיבוש של מתווים לסיוע כלכלי בזמן מהיר וקצר מפרוץ המלחמה ומבצע "עם כלביא".</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מבקר המדינה העלה בדוח בנושא ההיערכות כלכלית לשעת חירום לפני מלחמת חרבות ברזל מנובמבר 2025</w:t>
      </w:r>
      <w:r>
        <w:rPr>
          <w:rFonts w:eastAsia="Calibri"/>
          <w:vertAlign w:val="superscript"/>
          <w:rtl/>
        </w:rPr>
        <w:footnoteReference w:id="411"/>
      </w:r>
      <w:r w:rsidRPr="001F2586">
        <w:rPr>
          <w:rFonts w:eastAsia="Calibri" w:hint="cs"/>
          <w:rtl/>
        </w:rPr>
        <w:t xml:space="preserve"> כי בנק ישראל גיבש את מתווה הסיוע במלחמה על בסיס תשתית שנבנתה בתקופת משבר הקורונה והותאמה לאירוע המלחמה. ההתאמה של המתווה נדרשה לאור הפקת לקחים שביצע הפיקוח על הבנקים ממשבר הקורונה ובשל ההבדלים בין האירועים. בעוד שמשבר הקורונה הוא משבר גלובלי המלחמה היא אירוע מקומי, והפקת הלקחים העיקרית של בנק ישראל מהמתווה במשבר הקורונה הייתה בצורך לגבש במלחמה מתווה דחיית תשלומים ללא ריבית. זאת בשונה מהמתווה שגובש בזמן משבר הקורונה שאפשר דחיית תשלומים בהלוואות בתמורה לתשלום של ריבית נוספת</w:t>
      </w:r>
      <w:r>
        <w:rPr>
          <w:rFonts w:eastAsia="Calibri"/>
          <w:vertAlign w:val="superscript"/>
          <w:rtl/>
        </w:rPr>
        <w:footnoteReference w:id="412"/>
      </w:r>
      <w:r w:rsidRPr="001F2586">
        <w:rPr>
          <w:rFonts w:eastAsia="Calibri" w:hint="cs"/>
          <w:rtl/>
        </w:rPr>
        <w:t xml:space="preserve">. </w:t>
      </w:r>
      <w:r w:rsidRPr="001F2586">
        <w:rPr>
          <w:rFonts w:eastAsia="Calibri"/>
          <w:rtl/>
        </w:rPr>
        <w:t xml:space="preserve">יצוין כי הפיקוח על הבנקים בחן את המתווה גם מניסיון בינלאומי של מדינות בעולם </w:t>
      </w:r>
      <w:r w:rsidRPr="001F2586">
        <w:rPr>
          <w:rFonts w:eastAsia="Calibri" w:hint="cs"/>
          <w:rtl/>
        </w:rPr>
        <w:t>שחוו</w:t>
      </w:r>
      <w:r w:rsidRPr="001F2586">
        <w:rPr>
          <w:rFonts w:eastAsia="Calibri"/>
          <w:rtl/>
        </w:rPr>
        <w:t xml:space="preserve"> מלחמות ואסונות טבע שיש ביניהם קווי דמיון </w:t>
      </w:r>
      <w:r w:rsidRPr="001F2586">
        <w:rPr>
          <w:rFonts w:eastAsia="Calibri" w:hint="cs"/>
          <w:rtl/>
        </w:rPr>
        <w:t xml:space="preserve">שונים, והם: </w:t>
      </w:r>
      <w:r w:rsidRPr="001F2586">
        <w:rPr>
          <w:rFonts w:eastAsia="Calibri"/>
          <w:rtl/>
        </w:rPr>
        <w:t>רבים מהנפגעים הם תושבי אזור גיאוגרפי מסוים המפונים לאזור אחר שבו הפגיעה היא מועטה; והפגיעות בחיי אדם, בגוף וברכוש הם רבות וחמורות</w:t>
      </w:r>
      <w:r>
        <w:rPr>
          <w:rFonts w:eastAsia="Calibri"/>
          <w:vertAlign w:val="superscript"/>
          <w:rtl/>
        </w:rPr>
        <w:footnoteReference w:id="413"/>
      </w:r>
      <w:r w:rsidRPr="001F2586">
        <w:rPr>
          <w:rFonts w:eastAsia="Calibri"/>
          <w:rtl/>
        </w:rPr>
        <w:t>.</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מבקר המדינה המליץ בדוח בנושא ההיערכות כלכלית לשעת חירום לפני מלחמת חרבות ברזל מנובמבר 2025</w:t>
      </w:r>
      <w:r>
        <w:rPr>
          <w:rFonts w:eastAsia="Calibri"/>
          <w:b/>
          <w:bCs/>
          <w:vertAlign w:val="superscript"/>
          <w:rtl/>
        </w:rPr>
        <w:footnoteReference w:id="414"/>
      </w:r>
      <w:r w:rsidRPr="001F2586">
        <w:rPr>
          <w:rFonts w:eastAsia="Calibri" w:hint="cs"/>
          <w:b/>
          <w:bCs/>
          <w:rtl/>
        </w:rPr>
        <w:t xml:space="preserve"> כי בנק ישראל יבצע תהליך הפקת לקחים סדור ומתועד לגבי החלטות שהוא מקבל על מתווים לסיוע כלכלי לאוכלוסיות בעת אירועי חירום. יצוין כי במהלך הביקורת הנוכחית של משרד מבקר המדינה פרסם בנק ישראל לציבור מסמך בנושא "אפקטיביות מתווי-הסיוע לציבור שגיבש הפיקוח על הבנקים בעת אירועי משבר"</w:t>
      </w:r>
      <w:r>
        <w:rPr>
          <w:rFonts w:eastAsia="Calibri"/>
          <w:b/>
          <w:bCs/>
          <w:vertAlign w:val="superscript"/>
          <w:rtl/>
        </w:rPr>
        <w:footnoteReference w:id="415"/>
      </w:r>
      <w:r w:rsidRPr="001F2586">
        <w:rPr>
          <w:rFonts w:eastAsia="Calibri" w:hint="cs"/>
          <w:b/>
          <w:bCs/>
          <w:rtl/>
        </w:rPr>
        <w:t xml:space="preserve"> הבוחן את יעילות המתווים בקורונה, במלחמת חרבות ברזל ובמבצע "עם כלביא", תוך בחינת ההשפעות שלהם על המערכת הבנקאית ועלויותיהם ותובנות מהן בראייה צופה פני עתיד.</w:t>
      </w:r>
    </w:p>
    <w:p w:rsidR="001F2586" w:rsidRPr="001F2586" w:rsidP="001F2586">
      <w:pPr>
        <w:spacing w:line="269" w:lineRule="auto"/>
        <w:rPr>
          <w:rFonts w:eastAsia="Calibri"/>
          <w:rtl/>
        </w:rPr>
      </w:pPr>
      <w:r w:rsidRPr="001F2586">
        <w:rPr>
          <w:rFonts w:eastAsia="Calibri" w:hint="cs"/>
          <w:rtl/>
        </w:rPr>
        <w:t xml:space="preserve">בתשובת בנק ישראל צוין כי בהתאם להמלצת מבקר המדינה בדוח </w:t>
      </w:r>
      <w:hyperlink r:id="rId82" w:history="1">
        <w:r w:rsidRPr="001F2586">
          <w:rPr>
            <w:rFonts w:eastAsia="Calibri" w:hint="cs"/>
            <w:rtl/>
          </w:rPr>
          <w:t>בנושא</w:t>
        </w:r>
      </w:hyperlink>
      <w:r w:rsidRPr="001F2586">
        <w:rPr>
          <w:rFonts w:eastAsia="Calibri" w:hint="cs"/>
          <w:rtl/>
        </w:rPr>
        <w:t xml:space="preserve"> ההיערכות הכלכלית</w:t>
      </w:r>
      <w:r>
        <w:rPr>
          <w:rFonts w:eastAsia="Calibri"/>
          <w:vertAlign w:val="superscript"/>
          <w:rtl/>
        </w:rPr>
        <w:footnoteReference w:id="416"/>
      </w:r>
      <w:r w:rsidRPr="001F2586">
        <w:rPr>
          <w:rFonts w:eastAsia="Calibri" w:hint="cs"/>
          <w:rtl/>
        </w:rPr>
        <w:t xml:space="preserve"> "התווספה בנוהל החירום הפיקוחי התייחסות מפורשת בדבר תוכנית מגירה למתווה דחיות שהפעלתה תיבחן בשעת הצורך".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כי בנק ישראל ימשיך לבצע תהליך של הפקת לקחים סדור ומתועד בנוגע למתווים כלכליים לאוכלוסיות שונות באירועי חירום. תיעוד הפקת הלקחים חשוב לצורך שמירה על זיכרון ארגוני שיסייע לבנק ישראל לעשות שימוש בתובנות שהופקו </w:t>
      </w:r>
      <w:r w:rsidRPr="001F2586">
        <w:rPr>
          <w:rFonts w:eastAsia="Calibri" w:hint="cs"/>
          <w:b/>
          <w:bCs/>
          <w:rtl/>
        </w:rPr>
        <w:t>מהמתווים</w:t>
      </w:r>
      <w:r w:rsidRPr="001F2586">
        <w:rPr>
          <w:rFonts w:eastAsia="Calibri" w:hint="cs"/>
          <w:b/>
          <w:bCs/>
          <w:rtl/>
        </w:rPr>
        <w:t xml:space="preserve"> במלחמה עבור אירועי חירום עתידיים. עוד מומלץ כי בנק ישראל ימשיך לבחון את אפקטיביות המתווים לסיוע כלכלי וההתאמות הנדרשות בהם לאירועי חירום שונים כפי שעשה במלחמת חרבות ברזל ובמהלך הביקורת.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תרשים המציג את מספר ההלוואות (באלפים) וסכומי ההלוואות (במיליארדי ש"ח) שנמצאו בדחיית תשלומים בתקופה מאוקטובר 2023 ועד אוגוסט 2025:</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ind w:left="717" w:hanging="360"/>
        <w:jc w:val="center"/>
        <w:outlineLvl w:val="4"/>
        <w:rPr>
          <w:rFonts w:eastAsia="Calibri"/>
          <w:bCs/>
          <w:sz w:val="24"/>
          <w:rtl/>
        </w:rPr>
      </w:pPr>
      <w:r w:rsidRPr="001F2586">
        <w:rPr>
          <w:rFonts w:eastAsia="Calibri" w:hint="cs"/>
          <w:b/>
          <w:sz w:val="24"/>
          <w:rtl/>
        </w:rPr>
        <w:t>תרשים 65:</w:t>
      </w:r>
      <w:r w:rsidRPr="001F2586">
        <w:rPr>
          <w:rFonts w:eastAsia="Calibri" w:hint="cs"/>
          <w:bCs/>
          <w:sz w:val="24"/>
          <w:rtl/>
        </w:rPr>
        <w:t xml:space="preserve"> </w:t>
      </w:r>
      <w:r w:rsidRPr="001F2586">
        <w:rPr>
          <w:rFonts w:eastAsia="Calibri"/>
          <w:bCs/>
          <w:sz w:val="24"/>
          <w:rtl/>
        </w:rPr>
        <w:t>מספר ההלוואות (באלפים) וסכומי ההלוואות (במיליארדי ש"ח) שנמצאו בדחיית תשלומים, אוקטובר 2023 - אוגוסט 2025</w:t>
      </w:r>
    </w:p>
    <w:p w:rsidR="001F2586" w:rsidRPr="001F2586" w:rsidP="001F2586">
      <w:pPr>
        <w:spacing w:line="269" w:lineRule="auto"/>
        <w:jc w:val="center"/>
        <w:rPr>
          <w:rFonts w:eastAsia="Calibri"/>
          <w:rtl/>
        </w:rPr>
      </w:pPr>
      <w:r w:rsidRPr="001F2586">
        <w:rPr>
          <w:rFonts w:eastAsia="Calibri"/>
          <w:noProof/>
        </w:rPr>
        <w:drawing>
          <wp:inline distT="0" distB="0" distL="0" distR="0">
            <wp:extent cx="5218430" cy="2895600"/>
            <wp:effectExtent l="0" t="0" r="1270" b="0"/>
            <wp:docPr id="2080418019" name="תמונה 57" descr="יתרות הלוואות בדחיית תשלומים עלו מ-16 מליוני ש&quot;ח ב-31.10.23 לכ-61 מליוני ש&quot;ח ב-31.10.24 וירדו עד לכ-6 מיליוני ש&quot;ח ב-31.8.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18019" name="Picture 15"/>
                    <pic:cNvPicPr>
                      <a:picLocks noChangeAspect="1" noChangeArrowheads="1"/>
                    </pic:cNvPicPr>
                  </pic:nvPicPr>
                  <pic:blipFill>
                    <a:blip xmlns:r="http://schemas.openxmlformats.org/officeDocument/2006/relationships" r:embed="rId8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2895600"/>
                    </a:xfrm>
                    <a:prstGeom prst="rect">
                      <a:avLst/>
                    </a:prstGeom>
                    <a:noFill/>
                  </pic:spPr>
                </pic:pic>
              </a:graphicData>
            </a:graphic>
          </wp:inline>
        </w:drawing>
      </w:r>
    </w:p>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rPr>
          <w:rFonts w:eastAsia="Calibri"/>
          <w:sz w:val="16"/>
          <w:szCs w:val="20"/>
          <w:rtl/>
        </w:rPr>
      </w:pPr>
    </w:p>
    <w:p w:rsidR="001F2586" w:rsidRPr="001F2586" w:rsidP="001F2586">
      <w:pPr>
        <w:spacing w:line="269" w:lineRule="auto"/>
        <w:rPr>
          <w:rFonts w:eastAsia="Calibri"/>
          <w:b/>
          <w:bCs/>
          <w:rtl/>
        </w:rPr>
      </w:pPr>
      <w:r w:rsidRPr="001F2586">
        <w:rPr>
          <w:rFonts w:eastAsia="Calibri" w:hint="eastAsia"/>
          <w:b/>
          <w:bCs/>
          <w:rtl/>
        </w:rPr>
        <w:t>מהתרשים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באוקטובר</w:t>
      </w:r>
      <w:r w:rsidRPr="001F2586">
        <w:rPr>
          <w:rFonts w:eastAsia="Calibri"/>
          <w:b/>
          <w:bCs/>
          <w:rtl/>
        </w:rPr>
        <w:t xml:space="preserve"> 2023 - </w:t>
      </w:r>
      <w:r w:rsidRPr="001F2586">
        <w:rPr>
          <w:rFonts w:eastAsia="Calibri" w:hint="eastAsia"/>
          <w:b/>
          <w:bCs/>
          <w:rtl/>
        </w:rPr>
        <w:t>ינואר</w:t>
      </w:r>
      <w:r w:rsidRPr="001F2586">
        <w:rPr>
          <w:rFonts w:eastAsia="Calibri"/>
          <w:b/>
          <w:bCs/>
          <w:rtl/>
        </w:rPr>
        <w:t xml:space="preserve"> 2024 </w:t>
      </w:r>
      <w:r w:rsidRPr="001F2586">
        <w:rPr>
          <w:rFonts w:eastAsia="Calibri" w:hint="eastAsia"/>
          <w:b/>
          <w:bCs/>
          <w:rtl/>
        </w:rPr>
        <w:t>חלה</w:t>
      </w:r>
      <w:r w:rsidRPr="001F2586">
        <w:rPr>
          <w:rFonts w:eastAsia="Calibri"/>
          <w:b/>
          <w:bCs/>
          <w:rtl/>
        </w:rPr>
        <w:t xml:space="preserve"> </w:t>
      </w:r>
      <w:r w:rsidRPr="001F2586">
        <w:rPr>
          <w:rFonts w:eastAsia="Calibri" w:hint="eastAsia"/>
          <w:b/>
          <w:bCs/>
          <w:rtl/>
        </w:rPr>
        <w:t>עלייה חדה</w:t>
      </w:r>
      <w:r w:rsidRPr="001F2586">
        <w:rPr>
          <w:rFonts w:eastAsia="Calibri"/>
          <w:b/>
          <w:bCs/>
          <w:rtl/>
        </w:rPr>
        <w:t xml:space="preserve"> </w:t>
      </w:r>
      <w:r w:rsidRPr="001F2586">
        <w:rPr>
          <w:rFonts w:eastAsia="Calibri" w:hint="eastAsia"/>
          <w:b/>
          <w:bCs/>
          <w:rtl/>
        </w:rPr>
        <w:t>במספר</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וסכומי</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שנמצאו</w:t>
      </w:r>
      <w:r w:rsidRPr="001F2586">
        <w:rPr>
          <w:rFonts w:eastAsia="Calibri"/>
          <w:b/>
          <w:bCs/>
          <w:rtl/>
        </w:rPr>
        <w:t xml:space="preserve"> </w:t>
      </w:r>
      <w:r w:rsidRPr="001F2586">
        <w:rPr>
          <w:rFonts w:eastAsia="Calibri" w:hint="eastAsia"/>
          <w:b/>
          <w:bCs/>
          <w:rtl/>
        </w:rPr>
        <w:t>בדחיית</w:t>
      </w:r>
      <w:r w:rsidRPr="001F2586">
        <w:rPr>
          <w:rFonts w:eastAsia="Calibri"/>
          <w:b/>
          <w:bCs/>
          <w:rtl/>
        </w:rPr>
        <w:t xml:space="preserve"> </w:t>
      </w:r>
      <w:r w:rsidRPr="001F2586">
        <w:rPr>
          <w:rFonts w:eastAsia="Calibri" w:hint="eastAsia"/>
          <w:b/>
          <w:bCs/>
          <w:rtl/>
        </w:rPr>
        <w:t>תשלומים</w:t>
      </w:r>
      <w:r w:rsidRPr="001F2586">
        <w:rPr>
          <w:rFonts w:eastAsia="Calibri"/>
          <w:b/>
          <w:bCs/>
          <w:rtl/>
        </w:rPr>
        <w:t xml:space="preserve"> </w:t>
      </w:r>
      <w:r w:rsidRPr="001F2586">
        <w:rPr>
          <w:rFonts w:eastAsia="Calibri" w:hint="eastAsia"/>
          <w:b/>
          <w:bCs/>
          <w:rtl/>
        </w:rPr>
        <w:t>בשל</w:t>
      </w:r>
      <w:r w:rsidRPr="001F2586">
        <w:rPr>
          <w:rFonts w:eastAsia="Calibri"/>
          <w:b/>
          <w:bCs/>
          <w:rtl/>
        </w:rPr>
        <w:t xml:space="preserve"> </w:t>
      </w:r>
      <w:r w:rsidRPr="001F2586">
        <w:rPr>
          <w:rFonts w:eastAsia="Calibri" w:hint="eastAsia"/>
          <w:b/>
          <w:bCs/>
          <w:rtl/>
        </w:rPr>
        <w:t>פרוץ</w:t>
      </w:r>
      <w:r w:rsidRPr="001F2586">
        <w:rPr>
          <w:rFonts w:eastAsia="Calibri"/>
          <w:b/>
          <w:bCs/>
          <w:rtl/>
        </w:rPr>
        <w:t xml:space="preserve"> </w:t>
      </w:r>
      <w:r w:rsidRPr="001F2586">
        <w:rPr>
          <w:rFonts w:eastAsia="Calibri" w:hint="eastAsia"/>
          <w:b/>
          <w:bCs/>
          <w:rtl/>
        </w:rPr>
        <w:t>מלחמת</w:t>
      </w:r>
      <w:r w:rsidRPr="001F2586">
        <w:rPr>
          <w:rFonts w:eastAsia="Calibri"/>
          <w:b/>
          <w:bCs/>
          <w:rtl/>
        </w:rPr>
        <w:t xml:space="preserve"> </w:t>
      </w:r>
      <w:r w:rsidRPr="001F2586">
        <w:rPr>
          <w:rFonts w:eastAsia="Calibri" w:hint="eastAsia"/>
          <w:b/>
          <w:bCs/>
          <w:rtl/>
        </w:rPr>
        <w:t>חרבות</w:t>
      </w:r>
      <w:r w:rsidRPr="001F2586">
        <w:rPr>
          <w:rFonts w:eastAsia="Calibri"/>
          <w:b/>
          <w:bCs/>
          <w:rtl/>
        </w:rPr>
        <w:t xml:space="preserve"> </w:t>
      </w:r>
      <w:r w:rsidRPr="001F2586">
        <w:rPr>
          <w:rFonts w:eastAsia="Calibri" w:hint="eastAsia"/>
          <w:b/>
          <w:bCs/>
          <w:rtl/>
        </w:rPr>
        <w:t>ברזל</w:t>
      </w:r>
      <w:r w:rsidRPr="001F2586">
        <w:rPr>
          <w:rFonts w:eastAsia="Calibri"/>
          <w:b/>
          <w:bCs/>
          <w:rtl/>
        </w:rPr>
        <w:t xml:space="preserve">. </w:t>
      </w:r>
      <w:r w:rsidRPr="001F2586">
        <w:rPr>
          <w:rFonts w:eastAsia="Calibri" w:hint="eastAsia"/>
          <w:b/>
          <w:bCs/>
          <w:rtl/>
        </w:rPr>
        <w:t>מספר</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בדחיית</w:t>
      </w:r>
      <w:r w:rsidRPr="001F2586">
        <w:rPr>
          <w:rFonts w:eastAsia="Calibri"/>
          <w:b/>
          <w:bCs/>
          <w:rtl/>
        </w:rPr>
        <w:t xml:space="preserve"> </w:t>
      </w:r>
      <w:r w:rsidRPr="001F2586">
        <w:rPr>
          <w:rFonts w:eastAsia="Calibri" w:hint="eastAsia"/>
          <w:b/>
          <w:bCs/>
          <w:rtl/>
        </w:rPr>
        <w:t>תשלומים</w:t>
      </w:r>
      <w:r w:rsidRPr="001F2586">
        <w:rPr>
          <w:rFonts w:eastAsia="Calibri"/>
          <w:b/>
          <w:bCs/>
          <w:rtl/>
        </w:rPr>
        <w:t xml:space="preserve"> </w:t>
      </w:r>
      <w:r w:rsidRPr="001F2586">
        <w:rPr>
          <w:rFonts w:eastAsia="Calibri" w:hint="eastAsia"/>
          <w:b/>
          <w:bCs/>
          <w:rtl/>
        </w:rPr>
        <w:t>עלה</w:t>
      </w:r>
      <w:r w:rsidRPr="001F2586">
        <w:rPr>
          <w:rFonts w:eastAsia="Calibri"/>
          <w:b/>
          <w:bCs/>
          <w:rtl/>
        </w:rPr>
        <w:t xml:space="preserve"> </w:t>
      </w:r>
      <w:r w:rsidRPr="001F2586">
        <w:rPr>
          <w:rFonts w:eastAsia="Calibri" w:hint="eastAsia"/>
          <w:b/>
          <w:bCs/>
          <w:rtl/>
        </w:rPr>
        <w:t>מכ</w:t>
      </w:r>
      <w:r w:rsidRPr="001F2586">
        <w:rPr>
          <w:rFonts w:eastAsia="Calibri"/>
          <w:b/>
          <w:bCs/>
          <w:rtl/>
        </w:rPr>
        <w:t xml:space="preserve">-17 </w:t>
      </w:r>
      <w:r w:rsidRPr="001F2586">
        <w:rPr>
          <w:rFonts w:eastAsia="Calibri" w:hint="eastAsia"/>
          <w:b/>
          <w:bCs/>
          <w:rtl/>
        </w:rPr>
        <w:t>אלף</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לכ</w:t>
      </w:r>
      <w:r w:rsidRPr="001F2586">
        <w:rPr>
          <w:rFonts w:eastAsia="Calibri"/>
          <w:b/>
          <w:bCs/>
          <w:rtl/>
        </w:rPr>
        <w:t xml:space="preserve">-97 </w:t>
      </w:r>
      <w:r w:rsidRPr="001F2586">
        <w:rPr>
          <w:rFonts w:eastAsia="Calibri" w:hint="eastAsia"/>
          <w:b/>
          <w:bCs/>
          <w:rtl/>
        </w:rPr>
        <w:t>אלף</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וסכומי</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בדחיית</w:t>
      </w:r>
      <w:r w:rsidRPr="001F2586">
        <w:rPr>
          <w:rFonts w:eastAsia="Calibri"/>
          <w:b/>
          <w:bCs/>
          <w:rtl/>
        </w:rPr>
        <w:t xml:space="preserve"> </w:t>
      </w:r>
      <w:r w:rsidRPr="001F2586">
        <w:rPr>
          <w:rFonts w:eastAsia="Calibri" w:hint="eastAsia"/>
          <w:b/>
          <w:bCs/>
          <w:rtl/>
        </w:rPr>
        <w:t>תשלומים</w:t>
      </w:r>
      <w:r w:rsidRPr="001F2586">
        <w:rPr>
          <w:rFonts w:eastAsia="Calibri"/>
          <w:b/>
          <w:bCs/>
          <w:rtl/>
        </w:rPr>
        <w:t xml:space="preserve"> </w:t>
      </w:r>
      <w:r w:rsidRPr="001F2586">
        <w:rPr>
          <w:rFonts w:eastAsia="Calibri" w:hint="eastAsia"/>
          <w:b/>
          <w:bCs/>
          <w:rtl/>
        </w:rPr>
        <w:t>עלו</w:t>
      </w:r>
      <w:r w:rsidRPr="001F2586">
        <w:rPr>
          <w:rFonts w:eastAsia="Calibri"/>
          <w:b/>
          <w:bCs/>
          <w:rtl/>
        </w:rPr>
        <w:t xml:space="preserve"> </w:t>
      </w:r>
      <w:r w:rsidRPr="001F2586">
        <w:rPr>
          <w:rFonts w:eastAsia="Calibri" w:hint="eastAsia"/>
          <w:b/>
          <w:bCs/>
          <w:rtl/>
        </w:rPr>
        <w:t>מכ</w:t>
      </w:r>
      <w:r w:rsidRPr="001F2586">
        <w:rPr>
          <w:rFonts w:eastAsia="Calibri"/>
          <w:b/>
          <w:bCs/>
          <w:rtl/>
        </w:rPr>
        <w:t xml:space="preserve">-16 </w:t>
      </w:r>
      <w:r w:rsidRPr="001F2586">
        <w:rPr>
          <w:rFonts w:eastAsia="Calibri" w:hint="eastAsia"/>
          <w:b/>
          <w:bCs/>
          <w:rtl/>
        </w:rPr>
        <w:t>מיליארדי</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לכ</w:t>
      </w:r>
      <w:r w:rsidRPr="001F2586">
        <w:rPr>
          <w:rFonts w:eastAsia="Calibri"/>
          <w:b/>
          <w:bCs/>
          <w:rtl/>
        </w:rPr>
        <w:t xml:space="preserve">-61 </w:t>
      </w:r>
      <w:r w:rsidRPr="001F2586">
        <w:rPr>
          <w:rFonts w:eastAsia="Calibri" w:hint="eastAsia"/>
          <w:b/>
          <w:bCs/>
          <w:rtl/>
        </w:rPr>
        <w:t>מיליארדי</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מאוקטובר</w:t>
      </w:r>
      <w:r w:rsidRPr="001F2586">
        <w:rPr>
          <w:rFonts w:eastAsia="Calibri"/>
          <w:b/>
          <w:bCs/>
          <w:rtl/>
        </w:rPr>
        <w:t xml:space="preserve"> 2023 </w:t>
      </w:r>
      <w:r w:rsidRPr="001F2586">
        <w:rPr>
          <w:rFonts w:eastAsia="Calibri" w:hint="eastAsia"/>
          <w:b/>
          <w:bCs/>
          <w:rtl/>
        </w:rPr>
        <w:t>עד</w:t>
      </w:r>
      <w:r w:rsidRPr="001F2586">
        <w:rPr>
          <w:rFonts w:eastAsia="Calibri"/>
          <w:b/>
          <w:bCs/>
          <w:rtl/>
        </w:rPr>
        <w:t xml:space="preserve"> </w:t>
      </w:r>
      <w:r w:rsidRPr="001F2586">
        <w:rPr>
          <w:rFonts w:eastAsia="Calibri" w:hint="eastAsia"/>
          <w:b/>
          <w:bCs/>
          <w:rtl/>
        </w:rPr>
        <w:t>לסוף</w:t>
      </w:r>
      <w:r w:rsidRPr="001F2586">
        <w:rPr>
          <w:rFonts w:eastAsia="Calibri"/>
          <w:b/>
          <w:bCs/>
          <w:rtl/>
        </w:rPr>
        <w:t xml:space="preserve"> </w:t>
      </w:r>
      <w:r w:rsidRPr="001F2586">
        <w:rPr>
          <w:rFonts w:eastAsia="Calibri" w:hint="eastAsia"/>
          <w:b/>
          <w:bCs/>
          <w:rtl/>
        </w:rPr>
        <w:t>ינואר</w:t>
      </w:r>
      <w:r w:rsidRPr="001F2586">
        <w:rPr>
          <w:rFonts w:eastAsia="Calibri"/>
          <w:b/>
          <w:bCs/>
          <w:rtl/>
        </w:rPr>
        <w:t xml:space="preserve"> 2024. </w:t>
      </w:r>
      <w:r w:rsidRPr="001F2586">
        <w:rPr>
          <w:rFonts w:eastAsia="Calibri" w:hint="eastAsia"/>
          <w:b/>
          <w:bCs/>
          <w:rtl/>
        </w:rPr>
        <w:t>עוד</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למרות</w:t>
      </w:r>
      <w:r w:rsidRPr="001F2586">
        <w:rPr>
          <w:rFonts w:eastAsia="Calibri"/>
          <w:b/>
          <w:bCs/>
          <w:rtl/>
        </w:rPr>
        <w:t xml:space="preserve"> </w:t>
      </w:r>
      <w:r w:rsidRPr="001F2586">
        <w:rPr>
          <w:rFonts w:eastAsia="Calibri" w:hint="eastAsia"/>
          <w:b/>
          <w:bCs/>
          <w:rtl/>
        </w:rPr>
        <w:t>הימשכה</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המלחמה</w:t>
      </w:r>
      <w:r w:rsidRPr="001F2586">
        <w:rPr>
          <w:rFonts w:eastAsia="Calibri"/>
          <w:b/>
          <w:bCs/>
          <w:rtl/>
        </w:rPr>
        <w:t xml:space="preserve"> </w:t>
      </w:r>
      <w:r w:rsidRPr="001F2586">
        <w:rPr>
          <w:rFonts w:eastAsia="Calibri" w:hint="eastAsia"/>
          <w:b/>
          <w:bCs/>
          <w:rtl/>
        </w:rPr>
        <w:t>במשך</w:t>
      </w:r>
      <w:r w:rsidRPr="001F2586">
        <w:rPr>
          <w:rFonts w:eastAsia="Calibri"/>
          <w:b/>
          <w:bCs/>
          <w:rtl/>
        </w:rPr>
        <w:t xml:space="preserve"> </w:t>
      </w:r>
      <w:r w:rsidRPr="001F2586">
        <w:rPr>
          <w:rFonts w:eastAsia="Calibri" w:hint="eastAsia"/>
          <w:b/>
          <w:bCs/>
          <w:rtl/>
        </w:rPr>
        <w:t>כשנתיים</w:t>
      </w:r>
      <w:r w:rsidRPr="001F2586">
        <w:rPr>
          <w:rFonts w:eastAsia="Calibri"/>
          <w:b/>
          <w:bCs/>
          <w:rtl/>
        </w:rPr>
        <w:t xml:space="preserve"> </w:t>
      </w:r>
      <w:r w:rsidRPr="001F2586">
        <w:rPr>
          <w:rFonts w:eastAsia="Calibri" w:hint="eastAsia"/>
          <w:b/>
          <w:bCs/>
          <w:rtl/>
        </w:rPr>
        <w:t>חלה</w:t>
      </w:r>
      <w:r w:rsidRPr="001F2586">
        <w:rPr>
          <w:rFonts w:eastAsia="Calibri"/>
          <w:b/>
          <w:bCs/>
          <w:rtl/>
        </w:rPr>
        <w:t xml:space="preserve"> </w:t>
      </w:r>
      <w:r w:rsidRPr="001F2586">
        <w:rPr>
          <w:rFonts w:eastAsia="Calibri" w:hint="eastAsia"/>
          <w:b/>
          <w:bCs/>
          <w:rtl/>
        </w:rPr>
        <w:t>ירידה</w:t>
      </w:r>
      <w:r w:rsidRPr="001F2586">
        <w:rPr>
          <w:rFonts w:eastAsia="Calibri"/>
          <w:b/>
          <w:bCs/>
          <w:rtl/>
        </w:rPr>
        <w:t xml:space="preserve"> </w:t>
      </w:r>
      <w:r w:rsidRPr="001F2586">
        <w:rPr>
          <w:rFonts w:eastAsia="Calibri" w:hint="eastAsia"/>
          <w:b/>
          <w:bCs/>
          <w:rtl/>
        </w:rPr>
        <w:t>חדה</w:t>
      </w:r>
      <w:r w:rsidRPr="001F2586">
        <w:rPr>
          <w:rFonts w:eastAsia="Calibri"/>
          <w:b/>
          <w:bCs/>
          <w:rtl/>
        </w:rPr>
        <w:t xml:space="preserve"> </w:t>
      </w:r>
      <w:r w:rsidRPr="001F2586">
        <w:rPr>
          <w:rFonts w:eastAsia="Calibri" w:hint="eastAsia"/>
          <w:b/>
          <w:bCs/>
          <w:rtl/>
        </w:rPr>
        <w:t>במספר</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וסכומי</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ברוב</w:t>
      </w:r>
      <w:r w:rsidRPr="001F2586">
        <w:rPr>
          <w:rFonts w:eastAsia="Calibri"/>
          <w:b/>
          <w:bCs/>
          <w:rtl/>
        </w:rPr>
        <w:t xml:space="preserve"> </w:t>
      </w:r>
      <w:r w:rsidRPr="001F2586">
        <w:rPr>
          <w:rFonts w:eastAsia="Calibri" w:hint="eastAsia"/>
          <w:b/>
          <w:bCs/>
          <w:rtl/>
        </w:rPr>
        <w:t>התקופה</w:t>
      </w:r>
      <w:r w:rsidRPr="001F2586">
        <w:rPr>
          <w:rFonts w:eastAsia="Calibri"/>
          <w:b/>
          <w:bCs/>
          <w:rtl/>
        </w:rPr>
        <w:t xml:space="preserve">. </w:t>
      </w:r>
      <w:r w:rsidRPr="001F2586">
        <w:rPr>
          <w:rFonts w:eastAsia="Calibri" w:hint="eastAsia"/>
          <w:b/>
          <w:bCs/>
          <w:rtl/>
        </w:rPr>
        <w:t>כך</w:t>
      </w:r>
      <w:r w:rsidRPr="001F2586">
        <w:rPr>
          <w:rFonts w:eastAsia="Calibri"/>
          <w:b/>
          <w:bCs/>
          <w:rtl/>
        </w:rPr>
        <w:t xml:space="preserve"> </w:t>
      </w:r>
      <w:r w:rsidRPr="001F2586">
        <w:rPr>
          <w:rFonts w:eastAsia="Calibri" w:hint="eastAsia"/>
          <w:b/>
          <w:bCs/>
          <w:rtl/>
        </w:rPr>
        <w:t>בסוף</w:t>
      </w:r>
      <w:r w:rsidRPr="001F2586">
        <w:rPr>
          <w:rFonts w:eastAsia="Calibri"/>
          <w:b/>
          <w:bCs/>
          <w:rtl/>
        </w:rPr>
        <w:t xml:space="preserve"> </w:t>
      </w:r>
      <w:r w:rsidRPr="001F2586">
        <w:rPr>
          <w:rFonts w:eastAsia="Calibri" w:hint="eastAsia"/>
          <w:b/>
          <w:bCs/>
          <w:rtl/>
        </w:rPr>
        <w:t>מאי</w:t>
      </w:r>
      <w:r w:rsidRPr="001F2586">
        <w:rPr>
          <w:rFonts w:eastAsia="Calibri"/>
          <w:b/>
          <w:bCs/>
          <w:rtl/>
        </w:rPr>
        <w:t xml:space="preserve"> 2025 </w:t>
      </w:r>
      <w:r w:rsidRPr="001F2586">
        <w:rPr>
          <w:rFonts w:eastAsia="Calibri" w:hint="eastAsia"/>
          <w:b/>
          <w:bCs/>
          <w:rtl/>
        </w:rPr>
        <w:t>היו</w:t>
      </w:r>
      <w:r w:rsidRPr="001F2586">
        <w:rPr>
          <w:rFonts w:eastAsia="Calibri"/>
          <w:b/>
          <w:bCs/>
          <w:rtl/>
        </w:rPr>
        <w:t xml:space="preserve"> </w:t>
      </w:r>
      <w:r w:rsidRPr="001F2586">
        <w:rPr>
          <w:rFonts w:eastAsia="Calibri" w:hint="eastAsia"/>
          <w:b/>
          <w:bCs/>
          <w:rtl/>
        </w:rPr>
        <w:t>כ</w:t>
      </w:r>
      <w:r w:rsidRPr="001F2586">
        <w:rPr>
          <w:rFonts w:eastAsia="Calibri"/>
          <w:b/>
          <w:bCs/>
          <w:rtl/>
        </w:rPr>
        <w:t xml:space="preserve">-5 </w:t>
      </w:r>
      <w:r w:rsidRPr="001F2586">
        <w:rPr>
          <w:rFonts w:eastAsia="Calibri" w:hint="eastAsia"/>
          <w:b/>
          <w:bCs/>
          <w:rtl/>
        </w:rPr>
        <w:t>אלף</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בדחייה</w:t>
      </w:r>
      <w:r w:rsidRPr="001F2586">
        <w:rPr>
          <w:rFonts w:eastAsia="Calibri"/>
          <w:b/>
          <w:bCs/>
          <w:rtl/>
        </w:rPr>
        <w:t xml:space="preserve"> </w:t>
      </w:r>
      <w:r w:rsidRPr="001F2586">
        <w:rPr>
          <w:rFonts w:eastAsia="Calibri" w:hint="eastAsia"/>
          <w:b/>
          <w:bCs/>
          <w:rtl/>
        </w:rPr>
        <w:t>וסכום</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הכולל</w:t>
      </w:r>
      <w:r w:rsidRPr="001F2586">
        <w:rPr>
          <w:rFonts w:eastAsia="Calibri"/>
          <w:b/>
          <w:bCs/>
          <w:rtl/>
        </w:rPr>
        <w:t xml:space="preserve"> </w:t>
      </w:r>
      <w:r w:rsidRPr="001F2586">
        <w:rPr>
          <w:rFonts w:eastAsia="Calibri" w:hint="eastAsia"/>
          <w:b/>
          <w:bCs/>
          <w:rtl/>
        </w:rPr>
        <w:t>היה</w:t>
      </w:r>
      <w:r w:rsidRPr="001F2586">
        <w:rPr>
          <w:rFonts w:eastAsia="Calibri"/>
          <w:b/>
          <w:bCs/>
          <w:rtl/>
        </w:rPr>
        <w:t xml:space="preserve"> </w:t>
      </w:r>
      <w:r w:rsidRPr="001F2586">
        <w:rPr>
          <w:rFonts w:eastAsia="Calibri" w:hint="eastAsia"/>
          <w:b/>
          <w:bCs/>
          <w:rtl/>
        </w:rPr>
        <w:t>כ</w:t>
      </w:r>
      <w:r w:rsidRPr="001F2586">
        <w:rPr>
          <w:rFonts w:eastAsia="Calibri"/>
          <w:b/>
          <w:bCs/>
          <w:rtl/>
        </w:rPr>
        <w:t xml:space="preserve">-3 </w:t>
      </w:r>
      <w:r w:rsidRPr="001F2586">
        <w:rPr>
          <w:rFonts w:eastAsia="Calibri" w:hint="eastAsia"/>
          <w:b/>
          <w:bCs/>
          <w:rtl/>
        </w:rPr>
        <w:t>מיליארדי</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בלבד</w:t>
      </w:r>
      <w:r w:rsidRPr="001F2586">
        <w:rPr>
          <w:rFonts w:eastAsia="Calibri"/>
          <w:b/>
          <w:bCs/>
          <w:rtl/>
        </w:rPr>
        <w:t xml:space="preserve">. </w:t>
      </w:r>
      <w:r w:rsidRPr="001F2586">
        <w:rPr>
          <w:rFonts w:eastAsia="Calibri" w:hint="eastAsia"/>
          <w:b/>
          <w:bCs/>
          <w:rtl/>
        </w:rPr>
        <w:t>במהלך</w:t>
      </w:r>
      <w:r w:rsidRPr="001F2586">
        <w:rPr>
          <w:rFonts w:eastAsia="Calibri"/>
          <w:b/>
          <w:bCs/>
          <w:rtl/>
        </w:rPr>
        <w:t xml:space="preserve"> </w:t>
      </w:r>
      <w:r w:rsidRPr="001F2586">
        <w:rPr>
          <w:rFonts w:eastAsia="Calibri" w:hint="eastAsia"/>
          <w:b/>
          <w:bCs/>
          <w:rtl/>
        </w:rPr>
        <w:t>מבצע</w:t>
      </w:r>
      <w:r w:rsidRPr="001F2586">
        <w:rPr>
          <w:rFonts w:eastAsia="Calibri"/>
          <w:b/>
          <w:bCs/>
          <w:rtl/>
        </w:rPr>
        <w:t xml:space="preserve"> </w:t>
      </w:r>
      <w:r w:rsidRPr="001F2586">
        <w:rPr>
          <w:rFonts w:eastAsia="Calibri" w:hint="eastAsia"/>
          <w:b/>
          <w:bCs/>
          <w:rtl/>
        </w:rPr>
        <w:t>עם</w:t>
      </w:r>
      <w:r w:rsidRPr="001F2586">
        <w:rPr>
          <w:rFonts w:eastAsia="Calibri"/>
          <w:b/>
          <w:bCs/>
          <w:rtl/>
        </w:rPr>
        <w:t xml:space="preserve"> </w:t>
      </w:r>
      <w:r w:rsidRPr="001F2586">
        <w:rPr>
          <w:rFonts w:eastAsia="Calibri" w:hint="eastAsia"/>
          <w:b/>
          <w:bCs/>
          <w:rtl/>
        </w:rPr>
        <w:t>כלביא</w:t>
      </w:r>
      <w:r w:rsidRPr="001F2586">
        <w:rPr>
          <w:rFonts w:eastAsia="Calibri"/>
          <w:b/>
          <w:bCs/>
          <w:rtl/>
        </w:rPr>
        <w:t xml:space="preserve"> </w:t>
      </w:r>
      <w:r w:rsidRPr="001F2586">
        <w:rPr>
          <w:rFonts w:eastAsia="Calibri" w:hint="eastAsia"/>
          <w:b/>
          <w:bCs/>
          <w:rtl/>
        </w:rPr>
        <w:t>חלה</w:t>
      </w:r>
      <w:r w:rsidRPr="001F2586">
        <w:rPr>
          <w:rFonts w:eastAsia="Calibri"/>
          <w:b/>
          <w:bCs/>
          <w:rtl/>
        </w:rPr>
        <w:t xml:space="preserve"> </w:t>
      </w:r>
      <w:r w:rsidRPr="001F2586">
        <w:rPr>
          <w:rFonts w:eastAsia="Calibri" w:hint="eastAsia"/>
          <w:b/>
          <w:bCs/>
          <w:rtl/>
        </w:rPr>
        <w:t>עלייה מתונה</w:t>
      </w:r>
      <w:r w:rsidRPr="001F2586">
        <w:rPr>
          <w:rFonts w:eastAsia="Calibri"/>
          <w:b/>
          <w:bCs/>
          <w:rtl/>
        </w:rPr>
        <w:t xml:space="preserve"> </w:t>
      </w:r>
      <w:r w:rsidRPr="001F2586">
        <w:rPr>
          <w:rFonts w:eastAsia="Calibri" w:hint="eastAsia"/>
          <w:b/>
          <w:bCs/>
          <w:rtl/>
        </w:rPr>
        <w:t>בנתונים</w:t>
      </w:r>
      <w:r w:rsidRPr="001F2586">
        <w:rPr>
          <w:rFonts w:eastAsia="Calibri"/>
          <w:b/>
          <w:bCs/>
          <w:rtl/>
        </w:rPr>
        <w:t xml:space="preserve"> </w:t>
      </w:r>
      <w:r w:rsidRPr="001F2586">
        <w:rPr>
          <w:rFonts w:eastAsia="Calibri" w:hint="eastAsia"/>
          <w:b/>
          <w:bCs/>
          <w:rtl/>
        </w:rPr>
        <w:t>כך</w:t>
      </w:r>
      <w:r w:rsidRPr="001F2586">
        <w:rPr>
          <w:rFonts w:eastAsia="Calibri"/>
          <w:b/>
          <w:bCs/>
          <w:rtl/>
        </w:rPr>
        <w:t xml:space="preserve"> </w:t>
      </w:r>
      <w:r w:rsidRPr="001F2586">
        <w:rPr>
          <w:rFonts w:eastAsia="Calibri" w:hint="eastAsia"/>
          <w:b/>
          <w:bCs/>
          <w:rtl/>
        </w:rPr>
        <w:t>שבסוף</w:t>
      </w:r>
      <w:r w:rsidRPr="001F2586">
        <w:rPr>
          <w:rFonts w:eastAsia="Calibri"/>
          <w:b/>
          <w:bCs/>
          <w:rtl/>
        </w:rPr>
        <w:t xml:space="preserve"> </w:t>
      </w:r>
      <w:r w:rsidRPr="001F2586">
        <w:rPr>
          <w:rFonts w:eastAsia="Calibri" w:hint="eastAsia"/>
          <w:b/>
          <w:bCs/>
          <w:rtl/>
        </w:rPr>
        <w:t>אוגוסט</w:t>
      </w:r>
      <w:r w:rsidRPr="001F2586">
        <w:rPr>
          <w:rFonts w:eastAsia="Calibri"/>
          <w:b/>
          <w:bCs/>
          <w:rtl/>
        </w:rPr>
        <w:t xml:space="preserve"> </w:t>
      </w:r>
      <w:r w:rsidRPr="001F2586">
        <w:rPr>
          <w:rFonts w:eastAsia="Calibri" w:hint="eastAsia"/>
          <w:b/>
          <w:bCs/>
          <w:rtl/>
        </w:rPr>
        <w:t>מספר</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בדחיה</w:t>
      </w:r>
      <w:r w:rsidRPr="001F2586">
        <w:rPr>
          <w:rFonts w:eastAsia="Calibri"/>
          <w:b/>
          <w:bCs/>
          <w:rtl/>
        </w:rPr>
        <w:t xml:space="preserve"> </w:t>
      </w:r>
      <w:r w:rsidRPr="001F2586">
        <w:rPr>
          <w:rFonts w:eastAsia="Calibri" w:hint="eastAsia"/>
          <w:b/>
          <w:bCs/>
          <w:rtl/>
        </w:rPr>
        <w:t>הגיע</w:t>
      </w:r>
      <w:r w:rsidRPr="001F2586">
        <w:rPr>
          <w:rFonts w:eastAsia="Calibri"/>
          <w:b/>
          <w:bCs/>
          <w:rtl/>
        </w:rPr>
        <w:t xml:space="preserve"> </w:t>
      </w:r>
      <w:r w:rsidRPr="001F2586">
        <w:rPr>
          <w:rFonts w:eastAsia="Calibri" w:hint="eastAsia"/>
          <w:b/>
          <w:bCs/>
          <w:rtl/>
        </w:rPr>
        <w:t>לכ</w:t>
      </w:r>
      <w:r w:rsidRPr="001F2586">
        <w:rPr>
          <w:rFonts w:eastAsia="Calibri"/>
          <w:b/>
          <w:bCs/>
          <w:rtl/>
        </w:rPr>
        <w:t xml:space="preserve">-9 </w:t>
      </w:r>
      <w:r w:rsidRPr="001F2586">
        <w:rPr>
          <w:rFonts w:eastAsia="Calibri" w:hint="eastAsia"/>
          <w:b/>
          <w:bCs/>
          <w:rtl/>
        </w:rPr>
        <w:t>אלף</w:t>
      </w:r>
      <w:r w:rsidRPr="001F2586">
        <w:rPr>
          <w:rFonts w:eastAsia="Calibri"/>
          <w:b/>
          <w:bCs/>
          <w:rtl/>
        </w:rPr>
        <w:t xml:space="preserve"> </w:t>
      </w:r>
      <w:r w:rsidRPr="001F2586">
        <w:rPr>
          <w:rFonts w:eastAsia="Calibri" w:hint="eastAsia"/>
          <w:b/>
          <w:bCs/>
          <w:rtl/>
        </w:rPr>
        <w:t>הלוואות</w:t>
      </w:r>
      <w:r w:rsidRPr="001F2586">
        <w:rPr>
          <w:rFonts w:eastAsia="Calibri"/>
          <w:b/>
          <w:bCs/>
          <w:rtl/>
        </w:rPr>
        <w:t xml:space="preserve"> </w:t>
      </w:r>
      <w:r w:rsidRPr="001F2586">
        <w:rPr>
          <w:rFonts w:eastAsia="Calibri" w:hint="eastAsia"/>
          <w:b/>
          <w:bCs/>
          <w:rtl/>
        </w:rPr>
        <w:t>וסכומי</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בדחיה</w:t>
      </w:r>
      <w:r w:rsidRPr="001F2586">
        <w:rPr>
          <w:rFonts w:eastAsia="Calibri"/>
          <w:b/>
          <w:bCs/>
          <w:rtl/>
        </w:rPr>
        <w:t xml:space="preserve"> </w:t>
      </w:r>
      <w:r w:rsidRPr="001F2586">
        <w:rPr>
          <w:rFonts w:eastAsia="Calibri" w:hint="eastAsia"/>
          <w:b/>
          <w:bCs/>
          <w:rtl/>
        </w:rPr>
        <w:t>הגיע</w:t>
      </w:r>
      <w:r w:rsidRPr="001F2586">
        <w:rPr>
          <w:rFonts w:eastAsia="Calibri"/>
          <w:b/>
          <w:bCs/>
          <w:rtl/>
        </w:rPr>
        <w:t xml:space="preserve"> </w:t>
      </w:r>
      <w:r w:rsidRPr="001F2586">
        <w:rPr>
          <w:rFonts w:eastAsia="Calibri" w:hint="eastAsia"/>
          <w:b/>
          <w:bCs/>
          <w:rtl/>
        </w:rPr>
        <w:t>לכ</w:t>
      </w:r>
      <w:r w:rsidRPr="001F2586">
        <w:rPr>
          <w:rFonts w:eastAsia="Calibri"/>
          <w:b/>
          <w:bCs/>
          <w:rtl/>
        </w:rPr>
        <w:t xml:space="preserve">-6 </w:t>
      </w:r>
      <w:r w:rsidRPr="001F2586">
        <w:rPr>
          <w:rFonts w:eastAsia="Calibri" w:hint="eastAsia"/>
          <w:b/>
          <w:bCs/>
          <w:rtl/>
        </w:rPr>
        <w:t>מיליארדי</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בלבד</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ככל שתקופת הדחיה ארוכה יותר גדל הסיכון לכך שלווים יתקשו לחזור לשלם את ההלוואות. להלן תרשים המציג את התפלגות שיעורי הדחייה בהלוואות בין שיעורי הדחיה הממוצעים של הלוואות שנדחו בחודשי המלחמה הראשונים (אוקטובר 2023 - אפריל 2024) לשיעורי הדחיה בהלוואות שנדחו באוקטובר 2024. </w:t>
      </w:r>
    </w:p>
    <w:p w:rsidR="001F2586" w:rsidRPr="001F2586" w:rsidP="001F2586">
      <w:pPr>
        <w:keepNext/>
        <w:keepLines/>
        <w:spacing w:line="269" w:lineRule="auto"/>
        <w:ind w:left="-1"/>
        <w:jc w:val="center"/>
        <w:outlineLvl w:val="4"/>
        <w:rPr>
          <w:rFonts w:eastAsia="Calibri"/>
          <w:sz w:val="24"/>
          <w:rtl/>
        </w:rPr>
      </w:pPr>
      <w:r w:rsidRPr="001F2586">
        <w:rPr>
          <w:rFonts w:eastAsia="Calibri" w:hint="cs"/>
          <w:b/>
          <w:sz w:val="24"/>
          <w:rtl/>
        </w:rPr>
        <w:t>תרשים 66:</w:t>
      </w:r>
      <w:r w:rsidRPr="001F2586">
        <w:rPr>
          <w:rFonts w:eastAsia="Calibri" w:hint="cs"/>
          <w:bCs/>
          <w:sz w:val="24"/>
          <w:rtl/>
        </w:rPr>
        <w:t xml:space="preserve"> </w:t>
      </w:r>
      <w:r w:rsidRPr="001F2586">
        <w:rPr>
          <w:rFonts w:eastAsia="Calibri" w:hint="eastAsia"/>
          <w:bCs/>
          <w:sz w:val="24"/>
          <w:rtl/>
        </w:rPr>
        <w:t>השוואה</w:t>
      </w:r>
      <w:r w:rsidRPr="001F2586">
        <w:rPr>
          <w:rFonts w:eastAsia="Calibri"/>
          <w:bCs/>
          <w:sz w:val="24"/>
          <w:rtl/>
        </w:rPr>
        <w:t xml:space="preserve"> </w:t>
      </w:r>
      <w:r w:rsidRPr="001F2586">
        <w:rPr>
          <w:rFonts w:eastAsia="Calibri" w:hint="eastAsia"/>
          <w:bCs/>
          <w:sz w:val="24"/>
          <w:rtl/>
        </w:rPr>
        <w:t>בין</w:t>
      </w:r>
      <w:r w:rsidRPr="001F2586">
        <w:rPr>
          <w:rFonts w:eastAsia="Calibri"/>
          <w:bCs/>
          <w:sz w:val="24"/>
          <w:rtl/>
        </w:rPr>
        <w:t xml:space="preserve"> </w:t>
      </w:r>
      <w:r w:rsidRPr="001F2586">
        <w:rPr>
          <w:rFonts w:eastAsia="Calibri" w:hint="eastAsia"/>
          <w:bCs/>
          <w:sz w:val="24"/>
          <w:rtl/>
        </w:rPr>
        <w:t>התפלגות</w:t>
      </w:r>
      <w:r w:rsidRPr="001F2586">
        <w:rPr>
          <w:rFonts w:eastAsia="Calibri"/>
          <w:bCs/>
          <w:sz w:val="24"/>
          <w:rtl/>
        </w:rPr>
        <w:t xml:space="preserve"> </w:t>
      </w:r>
      <w:r w:rsidRPr="001F2586">
        <w:rPr>
          <w:rFonts w:eastAsia="Calibri" w:hint="eastAsia"/>
          <w:bCs/>
          <w:sz w:val="24"/>
          <w:rtl/>
        </w:rPr>
        <w:t>שיעורי</w:t>
      </w:r>
      <w:r w:rsidRPr="001F2586">
        <w:rPr>
          <w:rFonts w:eastAsia="Calibri"/>
          <w:bCs/>
          <w:sz w:val="24"/>
          <w:rtl/>
        </w:rPr>
        <w:t xml:space="preserve"> </w:t>
      </w:r>
      <w:r w:rsidRPr="001F2586">
        <w:rPr>
          <w:rFonts w:eastAsia="Calibri" w:hint="eastAsia"/>
          <w:bCs/>
          <w:sz w:val="24"/>
          <w:rtl/>
        </w:rPr>
        <w:t>הדחייה</w:t>
      </w:r>
      <w:r w:rsidRPr="001F2586">
        <w:rPr>
          <w:rFonts w:eastAsia="Calibri"/>
          <w:bCs/>
          <w:sz w:val="24"/>
          <w:rtl/>
        </w:rPr>
        <w:t xml:space="preserve"> </w:t>
      </w:r>
      <w:r w:rsidRPr="001F2586">
        <w:rPr>
          <w:rFonts w:eastAsia="Calibri" w:hint="eastAsia"/>
          <w:bCs/>
          <w:sz w:val="24"/>
          <w:rtl/>
        </w:rPr>
        <w:t>של</w:t>
      </w:r>
      <w:r w:rsidRPr="001F2586">
        <w:rPr>
          <w:rFonts w:eastAsia="Calibri"/>
          <w:bCs/>
          <w:sz w:val="24"/>
          <w:rtl/>
        </w:rPr>
        <w:t xml:space="preserve"> </w:t>
      </w:r>
      <w:r w:rsidRPr="001F2586">
        <w:rPr>
          <w:rFonts w:eastAsia="Calibri" w:hint="eastAsia"/>
          <w:bCs/>
          <w:sz w:val="24"/>
          <w:rtl/>
        </w:rPr>
        <w:t>הלוואות</w:t>
      </w:r>
      <w:r w:rsidRPr="001F2586">
        <w:rPr>
          <w:rFonts w:eastAsia="Calibri"/>
          <w:bCs/>
          <w:sz w:val="24"/>
          <w:rtl/>
        </w:rPr>
        <w:t xml:space="preserve"> </w:t>
      </w:r>
      <w:r w:rsidRPr="001F2586">
        <w:rPr>
          <w:rFonts w:eastAsia="Calibri" w:hint="eastAsia"/>
          <w:bCs/>
          <w:sz w:val="24"/>
          <w:rtl/>
        </w:rPr>
        <w:t>שנדחו</w:t>
      </w:r>
      <w:r w:rsidRPr="001F2586">
        <w:rPr>
          <w:rFonts w:eastAsia="Calibri"/>
          <w:bCs/>
          <w:sz w:val="24"/>
          <w:rtl/>
        </w:rPr>
        <w:t xml:space="preserve"> </w:t>
      </w:r>
      <w:r w:rsidRPr="001F2586">
        <w:rPr>
          <w:rFonts w:eastAsia="Calibri" w:hint="eastAsia"/>
          <w:bCs/>
          <w:sz w:val="24"/>
          <w:rtl/>
        </w:rPr>
        <w:t>בחודשי</w:t>
      </w:r>
      <w:r w:rsidRPr="001F2586">
        <w:rPr>
          <w:rFonts w:eastAsia="Calibri"/>
          <w:bCs/>
          <w:sz w:val="24"/>
          <w:rtl/>
        </w:rPr>
        <w:t xml:space="preserve"> </w:t>
      </w:r>
      <w:r w:rsidRPr="001F2586">
        <w:rPr>
          <w:rFonts w:eastAsia="Calibri" w:hint="eastAsia"/>
          <w:bCs/>
          <w:sz w:val="24"/>
          <w:rtl/>
        </w:rPr>
        <w:t>המלחמה</w:t>
      </w:r>
      <w:r w:rsidRPr="001F2586">
        <w:rPr>
          <w:rFonts w:eastAsia="Calibri" w:hint="cs"/>
          <w:bCs/>
          <w:sz w:val="24"/>
          <w:rtl/>
        </w:rPr>
        <w:t xml:space="preserve"> </w:t>
      </w:r>
      <w:r w:rsidRPr="001F2586">
        <w:rPr>
          <w:rFonts w:eastAsia="Calibri" w:hint="eastAsia"/>
          <w:bCs/>
          <w:sz w:val="24"/>
          <w:rtl/>
        </w:rPr>
        <w:t>הראשונים</w:t>
      </w:r>
      <w:r w:rsidRPr="001F2586">
        <w:rPr>
          <w:rFonts w:eastAsia="Calibri"/>
          <w:bCs/>
          <w:sz w:val="24"/>
          <w:rtl/>
        </w:rPr>
        <w:t xml:space="preserve"> (אוקטובר 2023 - </w:t>
      </w:r>
      <w:r w:rsidRPr="001F2586">
        <w:rPr>
          <w:rFonts w:eastAsia="Calibri" w:hint="eastAsia"/>
          <w:bCs/>
          <w:sz w:val="24"/>
          <w:rtl/>
        </w:rPr>
        <w:t>אפריל</w:t>
      </w:r>
      <w:r w:rsidRPr="001F2586">
        <w:rPr>
          <w:rFonts w:eastAsia="Calibri"/>
          <w:bCs/>
          <w:sz w:val="24"/>
          <w:rtl/>
        </w:rPr>
        <w:t xml:space="preserve"> 2024) </w:t>
      </w:r>
      <w:r w:rsidRPr="001F2586">
        <w:rPr>
          <w:rFonts w:eastAsia="Calibri" w:hint="eastAsia"/>
          <w:bCs/>
          <w:sz w:val="24"/>
          <w:rtl/>
        </w:rPr>
        <w:t>לשיעורי</w:t>
      </w:r>
      <w:r w:rsidRPr="001F2586">
        <w:rPr>
          <w:rFonts w:eastAsia="Calibri"/>
          <w:bCs/>
          <w:sz w:val="24"/>
          <w:rtl/>
        </w:rPr>
        <w:t xml:space="preserve"> </w:t>
      </w:r>
      <w:r w:rsidRPr="001F2586">
        <w:rPr>
          <w:rFonts w:eastAsia="Calibri" w:hint="eastAsia"/>
          <w:bCs/>
          <w:sz w:val="24"/>
          <w:rtl/>
        </w:rPr>
        <w:t>הדחי</w:t>
      </w:r>
      <w:r w:rsidRPr="001F2586">
        <w:rPr>
          <w:rFonts w:eastAsia="Calibri" w:hint="cs"/>
          <w:bCs/>
          <w:sz w:val="24"/>
          <w:rtl/>
        </w:rPr>
        <w:t>י</w:t>
      </w:r>
      <w:r w:rsidRPr="001F2586">
        <w:rPr>
          <w:rFonts w:eastAsia="Calibri" w:hint="eastAsia"/>
          <w:bCs/>
          <w:sz w:val="24"/>
          <w:rtl/>
        </w:rPr>
        <w:t>ה</w:t>
      </w:r>
      <w:r w:rsidRPr="001F2586">
        <w:rPr>
          <w:rFonts w:eastAsia="Calibri"/>
          <w:bCs/>
          <w:sz w:val="24"/>
          <w:rtl/>
        </w:rPr>
        <w:t xml:space="preserve"> </w:t>
      </w:r>
      <w:r w:rsidRPr="001F2586">
        <w:rPr>
          <w:rFonts w:eastAsia="Calibri" w:hint="eastAsia"/>
          <w:bCs/>
          <w:sz w:val="24"/>
          <w:rtl/>
        </w:rPr>
        <w:t>בהלוואות</w:t>
      </w:r>
      <w:r w:rsidRPr="001F2586">
        <w:rPr>
          <w:rFonts w:eastAsia="Calibri"/>
          <w:bCs/>
          <w:sz w:val="24"/>
          <w:rtl/>
        </w:rPr>
        <w:t xml:space="preserve"> </w:t>
      </w:r>
      <w:r w:rsidRPr="001F2586">
        <w:rPr>
          <w:rFonts w:eastAsia="Calibri" w:hint="eastAsia"/>
          <w:bCs/>
          <w:sz w:val="24"/>
          <w:rtl/>
        </w:rPr>
        <w:t>שנדחו</w:t>
      </w:r>
      <w:r w:rsidRPr="001F2586">
        <w:rPr>
          <w:rFonts w:eastAsia="Calibri"/>
          <w:bCs/>
          <w:sz w:val="24"/>
          <w:rtl/>
        </w:rPr>
        <w:t xml:space="preserve"> </w:t>
      </w:r>
      <w:r w:rsidRPr="001F2586">
        <w:rPr>
          <w:rFonts w:eastAsia="Calibri" w:hint="eastAsia"/>
          <w:bCs/>
          <w:sz w:val="24"/>
          <w:rtl/>
        </w:rPr>
        <w:t>באוקטובר</w:t>
      </w:r>
      <w:r w:rsidRPr="001F2586">
        <w:rPr>
          <w:rFonts w:eastAsia="Calibri"/>
          <w:bCs/>
          <w:sz w:val="24"/>
          <w:rtl/>
        </w:rPr>
        <w:t xml:space="preserve"> 2024</w:t>
      </w:r>
    </w:p>
    <w:p w:rsidR="001F2586" w:rsidRPr="001F2586" w:rsidP="001F2586">
      <w:pPr>
        <w:spacing w:line="269" w:lineRule="auto"/>
        <w:jc w:val="center"/>
        <w:rPr>
          <w:rFonts w:eastAsia="Calibri"/>
          <w:rtl/>
        </w:rPr>
      </w:pPr>
      <w:r w:rsidRPr="001F2586">
        <w:rPr>
          <w:rFonts w:eastAsia="Calibri"/>
          <w:noProof/>
        </w:rPr>
        <w:drawing>
          <wp:inline distT="0" distB="0" distL="0" distR="0">
            <wp:extent cx="4322445" cy="3792220"/>
            <wp:effectExtent l="0" t="0" r="1905" b="0"/>
            <wp:docPr id="918099391" name="תמונה 58" descr="שיעורי הדחייה של הלוואות לפי תקופת הדחיה:&#10;&#10;שיעור ממוצע עבור התקופה מאוקטובר 2023 - אפריל 2024: כ-43% מהלוואות שנדחו היו בדחיה לעד 3 חודשים; כ-50 מהלוואות שנדחו היו בדחייה של יותר מ-3 חודשים ועד ל-6 חודשים; וכ-7% מהלוואות שנדחו היו בדחייה של יותר מ-6 חודשים.&#10;&#10;שיעור עבור הלוואות שנדחו נכון ליום 31.10.24: כ-22% מהלוואות שנדחו היו בדחיה לעד 3 חודשים; כ-22% מהלוואות שנדחו היו בדחייה של יותר מ-3 חודשים ועד ל-6 חודשים; וכ-57% מהלוואות שנדחו היו בדחייה של יותר מ-6 חודשים.&#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99391" name="Picture 16"/>
                    <pic:cNvPicPr>
                      <a:picLocks noChangeAspect="1" noChangeArrowheads="1"/>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bwMode="auto">
                    <a:xfrm>
                      <a:off x="0" y="0"/>
                      <a:ext cx="4322445" cy="3792220"/>
                    </a:xfrm>
                    <a:prstGeom prst="rect">
                      <a:avLst/>
                    </a:prstGeom>
                    <a:noFill/>
                  </pic:spPr>
                </pic:pic>
              </a:graphicData>
            </a:graphic>
          </wp:inline>
        </w:drawing>
      </w:r>
    </w:p>
    <w:bookmarkEnd w:id="93"/>
    <w:p w:rsidR="001F2586" w:rsidRPr="001F2586" w:rsidP="001F2586">
      <w:pPr>
        <w:spacing w:line="269" w:lineRule="auto"/>
        <w:rPr>
          <w:rFonts w:eastAsia="Calibri"/>
          <w:sz w:val="16"/>
          <w:szCs w:val="20"/>
          <w:rtl/>
        </w:rPr>
      </w:pPr>
      <w:r w:rsidRPr="001F2586">
        <w:rPr>
          <w:rFonts w:eastAsia="Calibri" w:hint="cs"/>
          <w:sz w:val="16"/>
          <w:szCs w:val="20"/>
          <w:rtl/>
        </w:rPr>
        <w:t>על פי נתוני בנק ישראל,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מהתרשים</w:t>
      </w:r>
      <w:r w:rsidRPr="001F2586">
        <w:rPr>
          <w:rFonts w:eastAsia="Calibri"/>
          <w:b/>
          <w:bCs/>
          <w:rtl/>
        </w:rPr>
        <w:t xml:space="preserve"> </w:t>
      </w:r>
      <w:r w:rsidRPr="001F2586">
        <w:rPr>
          <w:rFonts w:eastAsia="Calibri" w:hint="eastAsia"/>
          <w:b/>
          <w:bCs/>
          <w:rtl/>
        </w:rPr>
        <w:t>עולה</w:t>
      </w:r>
      <w:r w:rsidRPr="001F2586">
        <w:rPr>
          <w:rFonts w:eastAsia="Calibri" w:hint="cs"/>
          <w:rtl/>
        </w:rPr>
        <w:t xml:space="preserve"> </w:t>
      </w:r>
      <w:r w:rsidRPr="001F2586">
        <w:rPr>
          <w:rFonts w:eastAsia="Calibri" w:hint="eastAsia"/>
          <w:b/>
          <w:bCs/>
          <w:rtl/>
        </w:rPr>
        <w:t>כי</w:t>
      </w:r>
      <w:r w:rsidRPr="001F2586">
        <w:rPr>
          <w:rFonts w:eastAsia="Calibri"/>
          <w:b/>
          <w:bCs/>
          <w:rtl/>
        </w:rPr>
        <w:t xml:space="preserve"> בהלוואות שנדחו בתקופה מאוקטובר 2023 - אפריל 2024 שיעור הדחיה </w:t>
      </w:r>
      <w:r w:rsidRPr="001F2586">
        <w:rPr>
          <w:rFonts w:eastAsia="Calibri" w:hint="cs"/>
          <w:b/>
          <w:bCs/>
          <w:rtl/>
        </w:rPr>
        <w:t xml:space="preserve">הממוצע </w:t>
      </w:r>
      <w:r w:rsidRPr="001F2586">
        <w:rPr>
          <w:rFonts w:eastAsia="Calibri" w:hint="eastAsia"/>
          <w:b/>
          <w:bCs/>
          <w:rtl/>
        </w:rPr>
        <w:t>של</w:t>
      </w:r>
      <w:r w:rsidRPr="001F2586">
        <w:rPr>
          <w:rFonts w:eastAsia="Calibri"/>
          <w:b/>
          <w:bCs/>
          <w:rtl/>
        </w:rPr>
        <w:t xml:space="preserve"> מרבית ההלוואות (כ-</w:t>
      </w:r>
      <w:r w:rsidRPr="001F2586">
        <w:rPr>
          <w:rFonts w:eastAsia="Calibri" w:hint="cs"/>
          <w:b/>
          <w:bCs/>
          <w:rtl/>
        </w:rPr>
        <w:t>50</w:t>
      </w:r>
      <w:r w:rsidRPr="001F2586">
        <w:rPr>
          <w:rFonts w:eastAsia="Calibri"/>
          <w:b/>
          <w:bCs/>
          <w:rtl/>
        </w:rPr>
        <w:t xml:space="preserve">%) היה </w:t>
      </w:r>
      <w:bookmarkStart w:id="94" w:name="_Hlk232687289"/>
      <w:r w:rsidRPr="001F2586">
        <w:rPr>
          <w:rFonts w:eastAsia="Calibri" w:hint="cs"/>
          <w:b/>
          <w:bCs/>
          <w:rtl/>
        </w:rPr>
        <w:t>ל-</w:t>
      </w:r>
      <w:bookmarkEnd w:id="94"/>
      <w:r w:rsidRPr="001F2586">
        <w:rPr>
          <w:rFonts w:eastAsia="Calibri" w:hint="cs"/>
          <w:b/>
          <w:bCs/>
          <w:rtl/>
        </w:rPr>
        <w:t xml:space="preserve">3 - 6 </w:t>
      </w:r>
      <w:r w:rsidRPr="001F2586">
        <w:rPr>
          <w:rFonts w:eastAsia="Calibri"/>
          <w:b/>
          <w:bCs/>
          <w:rtl/>
        </w:rPr>
        <w:t xml:space="preserve">חודשים ואילו בהלוואות שנדחו באוקטובר 2024 שיעור הדחיה של מרבית ההלוואות (כ-57%) היה ליותר מ-6 חודשים. בשל הארכת משך הדחייה עולה החשש בדבר היכולת של לווים לחזור לשלם את ההלוואות </w:t>
      </w:r>
      <w:r w:rsidRPr="001F2586">
        <w:rPr>
          <w:rFonts w:eastAsia="Calibri" w:hint="eastAsia"/>
          <w:b/>
          <w:bCs/>
          <w:rtl/>
        </w:rPr>
        <w:t>כסדרן</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b/>
          <w:bCs/>
          <w:rtl/>
        </w:rPr>
        <w:t>נמצא כי בעוד שחל קיטון בשיעור הדחייה של עד שלושה חודשים מכ-43% בממוצע עבור התקופה מאוקטובר 2023 - אפריל 2024 לכ-22% באוקטובר 2024, חל גידול בשיעור הדחיה מעל שישה חודשים מכ-7% לכ-57% בתקופה זו. הארכת משך הדחייה מעלה חשש בדבר היכולת של הלווים לפרוע את ההלוואות.</w:t>
      </w:r>
      <w:r w:rsidRPr="001F2586">
        <w:rPr>
          <w:rFonts w:eastAsia="Calibri" w:hint="cs"/>
          <w:rtl/>
        </w:rPr>
        <w:t xml:space="preserve"> </w:t>
      </w:r>
      <w:r w:rsidRPr="001F2586">
        <w:rPr>
          <w:rFonts w:eastAsia="Calibri" w:hint="cs"/>
          <w:b/>
          <w:bCs/>
          <w:rtl/>
        </w:rPr>
        <w:t>הדבר מחדד הפקת לקחים סדורה לקראת אירועים עתידיים.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כפי שהמליץ מבקר המדינה בדוח </w:t>
      </w:r>
      <w:hyperlink r:id="rId85" w:history="1">
        <w:r w:rsidRPr="001F2586">
          <w:rPr>
            <w:rFonts w:eastAsia="Calibri" w:hint="cs"/>
            <w:b/>
            <w:bCs/>
            <w:rtl/>
          </w:rPr>
          <w:t>בנושא</w:t>
        </w:r>
      </w:hyperlink>
      <w:r w:rsidRPr="001F2586">
        <w:rPr>
          <w:rFonts w:eastAsia="Calibri" w:hint="cs"/>
          <w:b/>
          <w:bCs/>
          <w:rtl/>
        </w:rPr>
        <w:t xml:space="preserve"> ההיערכות כלכלית לשעת חירום לפני מלחמת חרבות ברזל מנובמבר 2025, מומלץ כי בנק ישראל ימשיך לעקוב באופן שוטף אחר נתוני הדחיות של תשלומי המשכנתאות ויציג בפני הלווים את היתרונות והחסרונות של דחיית הלוואות. </w:t>
      </w:r>
    </w:p>
    <w:p w:rsidR="001F2586" w:rsidRPr="001F2586" w:rsidP="001F2586">
      <w:pPr>
        <w:spacing w:line="269" w:lineRule="auto"/>
        <w:rPr>
          <w:rFonts w:eastAsia="Calibri"/>
          <w:rtl/>
        </w:rPr>
      </w:pPr>
    </w:p>
    <w:p w:rsidR="00194C04">
      <w:pPr>
        <w:bidi w:val="0"/>
        <w:spacing w:after="200" w:line="276" w:lineRule="auto"/>
        <w:rPr>
          <w:rFonts w:eastAsia="Times New Roman"/>
          <w:bCs/>
          <w:szCs w:val="32"/>
          <w:rtl/>
        </w:rPr>
      </w:pPr>
      <w:r>
        <w:rPr>
          <w:rFonts w:eastAsia="Times New Roman"/>
          <w:rtl/>
        </w:rPr>
        <w:br w:type="page"/>
      </w:r>
    </w:p>
    <w:p w:rsidR="001F2586" w:rsidRPr="001F2586" w:rsidP="002454C3">
      <w:pPr>
        <w:pStyle w:val="Heading2"/>
        <w:rPr>
          <w:rFonts w:eastAsia="Times New Roman"/>
          <w:rtl/>
        </w:rPr>
      </w:pPr>
      <w:r w:rsidRPr="001F2586">
        <w:rPr>
          <w:rFonts w:eastAsia="Times New Roman" w:hint="cs"/>
          <w:rtl/>
        </w:rPr>
        <w:t>שער שלישי - משכנתאות חוץ בנקאיות והפיקוח על יועצי המשכנתאות</w:t>
      </w:r>
    </w:p>
    <w:p w:rsidR="001F2586" w:rsidRPr="001F2586" w:rsidP="001F2586">
      <w:pPr>
        <w:spacing w:line="269" w:lineRule="auto"/>
        <w:rPr>
          <w:rFonts w:eastAsia="Calibri"/>
          <w:rtl/>
        </w:rPr>
      </w:pPr>
    </w:p>
    <w:p w:rsidR="001F2586" w:rsidRPr="001F2586" w:rsidP="001F2586">
      <w:pPr>
        <w:keepNext/>
        <w:keepLines/>
        <w:spacing w:line="269" w:lineRule="auto"/>
        <w:outlineLvl w:val="2"/>
        <w:rPr>
          <w:rFonts w:eastAsia="Times New Roman"/>
          <w:bCs/>
          <w:szCs w:val="28"/>
          <w:u w:val="single"/>
          <w:rtl/>
        </w:rPr>
      </w:pPr>
      <w:r w:rsidRPr="001F2586">
        <w:rPr>
          <w:rFonts w:eastAsia="Times New Roman" w:hint="cs"/>
          <w:bCs/>
          <w:szCs w:val="28"/>
          <w:u w:val="single"/>
          <w:rtl/>
        </w:rPr>
        <w:t xml:space="preserve">משכנתאות חוץ בנקאיות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rtl/>
        </w:rPr>
        <w:t>שוק ההלוואות לדיור</w:t>
      </w:r>
      <w:r>
        <w:rPr>
          <w:rFonts w:eastAsia="Calibri"/>
          <w:vertAlign w:val="superscript"/>
          <w:rtl/>
        </w:rPr>
        <w:footnoteReference w:id="417"/>
      </w:r>
      <w:r w:rsidRPr="001F2586">
        <w:rPr>
          <w:rFonts w:eastAsia="Calibri" w:hint="cs"/>
          <w:rtl/>
        </w:rPr>
        <w:t xml:space="preserve"> </w:t>
      </w:r>
      <w:r w:rsidRPr="001F2586">
        <w:rPr>
          <w:rFonts w:eastAsia="Calibri"/>
          <w:rtl/>
        </w:rPr>
        <w:t>בישראל נשען על ארבעה ערוצי מימון מרכזיים, הנחלקים למערכת הבנקאית ולמגזר החוץ-בנקאי</w:t>
      </w:r>
      <w:r w:rsidRPr="001F2586">
        <w:rPr>
          <w:rFonts w:eastAsia="Calibri" w:hint="cs"/>
          <w:rtl/>
        </w:rPr>
        <w:t xml:space="preserve">: (א) </w:t>
      </w:r>
      <w:r w:rsidRPr="001F2586">
        <w:rPr>
          <w:rFonts w:eastAsia="Calibri"/>
          <w:rtl/>
        </w:rPr>
        <w:t>תאגידים בנקאיים; (</w:t>
      </w:r>
      <w:r w:rsidRPr="001F2586">
        <w:rPr>
          <w:rFonts w:eastAsia="Calibri" w:hint="cs"/>
          <w:rtl/>
        </w:rPr>
        <w:t>ב</w:t>
      </w:r>
      <w:r w:rsidRPr="001F2586">
        <w:rPr>
          <w:rFonts w:eastAsia="Calibri"/>
          <w:rtl/>
        </w:rPr>
        <w:t>) חברות ביטוח</w:t>
      </w:r>
      <w:r w:rsidRPr="001F2586">
        <w:rPr>
          <w:rFonts w:eastAsia="Calibri" w:hint="cs"/>
          <w:rtl/>
        </w:rPr>
        <w:t xml:space="preserve"> (להלן - גופים מוסדיים)</w:t>
      </w:r>
      <w:r w:rsidRPr="001F2586">
        <w:rPr>
          <w:rFonts w:eastAsia="Calibri"/>
          <w:rtl/>
        </w:rPr>
        <w:t>; (</w:t>
      </w:r>
      <w:r w:rsidRPr="001F2586">
        <w:rPr>
          <w:rFonts w:eastAsia="Calibri" w:hint="cs"/>
          <w:rtl/>
        </w:rPr>
        <w:t>ג</w:t>
      </w:r>
      <w:r w:rsidRPr="001F2586">
        <w:rPr>
          <w:rFonts w:eastAsia="Calibri"/>
          <w:rtl/>
        </w:rPr>
        <w:t xml:space="preserve">) </w:t>
      </w:r>
      <w:r w:rsidRPr="001F2586">
        <w:rPr>
          <w:rFonts w:eastAsia="Calibri" w:hint="cs"/>
          <w:rtl/>
        </w:rPr>
        <w:t>נותני</w:t>
      </w:r>
      <w:r w:rsidRPr="001F2586">
        <w:rPr>
          <w:rFonts w:eastAsia="Calibri"/>
          <w:rtl/>
        </w:rPr>
        <w:t xml:space="preserve"> אשראי חוץ בנקאי</w:t>
      </w:r>
      <w:r w:rsidRPr="001F2586">
        <w:rPr>
          <w:rFonts w:eastAsia="Calibri" w:hint="cs"/>
          <w:rtl/>
        </w:rPr>
        <w:t xml:space="preserve"> (להלן - נותני אשראי חוץ בנקאי או גופים חוץ בנקאיים)</w:t>
      </w:r>
      <w:r w:rsidRPr="001F2586">
        <w:rPr>
          <w:rFonts w:eastAsia="Calibri"/>
          <w:rtl/>
        </w:rPr>
        <w:t>; (</w:t>
      </w:r>
      <w:r w:rsidRPr="001F2586">
        <w:rPr>
          <w:rFonts w:eastAsia="Calibri" w:hint="cs"/>
          <w:rtl/>
        </w:rPr>
        <w:t>ד</w:t>
      </w:r>
      <w:r w:rsidRPr="001F2586">
        <w:rPr>
          <w:rFonts w:eastAsia="Calibri"/>
          <w:rtl/>
        </w:rPr>
        <w:t>) חברות כרטיסי אשרא</w:t>
      </w:r>
      <w:r w:rsidRPr="001F2586">
        <w:rPr>
          <w:rFonts w:eastAsia="Calibri" w:hint="cs"/>
          <w:rtl/>
        </w:rPr>
        <w:t xml:space="preserve">י. </w:t>
      </w:r>
    </w:p>
    <w:p w:rsidR="001F2586" w:rsidRPr="001F2586" w:rsidP="001F2586">
      <w:pPr>
        <w:spacing w:line="269" w:lineRule="auto"/>
        <w:ind w:left="-567"/>
        <w:rPr>
          <w:rFonts w:eastAsia="Calibri"/>
          <w:szCs w:val="20"/>
          <w:rtl/>
        </w:rPr>
      </w:pPr>
    </w:p>
    <w:p w:rsidR="00260379" w:rsidP="001F2586">
      <w:pPr>
        <w:spacing w:line="269" w:lineRule="auto"/>
        <w:rPr>
          <w:rFonts w:eastAsia="Calibri"/>
          <w:rtl/>
        </w:rPr>
      </w:pPr>
      <w:r w:rsidRPr="001F2586">
        <w:rPr>
          <w:rFonts w:eastAsia="Calibri" w:hint="cs"/>
          <w:rtl/>
        </w:rPr>
        <w:t>הגופים המוסדיים מציעים</w:t>
      </w:r>
      <w:r w:rsidRPr="001F2586">
        <w:rPr>
          <w:rFonts w:eastAsia="Calibri"/>
          <w:rtl/>
        </w:rPr>
        <w:t xml:space="preserve"> לרוב את </w:t>
      </w:r>
      <w:r w:rsidRPr="001F2586">
        <w:rPr>
          <w:rFonts w:eastAsia="Calibri" w:hint="cs"/>
          <w:rtl/>
        </w:rPr>
        <w:t>ה</w:t>
      </w:r>
      <w:r w:rsidRPr="001F2586">
        <w:rPr>
          <w:rFonts w:eastAsia="Calibri"/>
          <w:rtl/>
        </w:rPr>
        <w:t xml:space="preserve">מוצר "משכנתא הפוכה" </w:t>
      </w:r>
      <w:r w:rsidRPr="001F2586">
        <w:rPr>
          <w:rFonts w:eastAsia="Calibri" w:hint="cs"/>
          <w:rtl/>
        </w:rPr>
        <w:t>(</w:t>
      </w:r>
      <w:r w:rsidRPr="001F2586">
        <w:rPr>
          <w:rFonts w:eastAsia="Calibri"/>
          <w:rtl/>
        </w:rPr>
        <w:t>משכנתא לגילאי</w:t>
      </w:r>
      <w:r w:rsidRPr="001F2586">
        <w:rPr>
          <w:rFonts w:eastAsia="Calibri" w:hint="cs"/>
          <w:rtl/>
        </w:rPr>
        <w:t>ם מבוגרים</w:t>
      </w:r>
      <w:r w:rsidRPr="001F2586">
        <w:rPr>
          <w:rFonts w:eastAsia="Calibri"/>
          <w:rtl/>
        </w:rPr>
        <w:t xml:space="preserve"> במתווה ספציפי</w:t>
      </w:r>
      <w:r>
        <w:rPr>
          <w:rFonts w:eastAsia="Calibri"/>
          <w:vertAlign w:val="superscript"/>
          <w:rtl/>
        </w:rPr>
        <w:footnoteReference w:id="418"/>
      </w:r>
      <w:r w:rsidRPr="001F2586">
        <w:rPr>
          <w:rFonts w:eastAsia="Calibri" w:hint="cs"/>
          <w:rtl/>
        </w:rPr>
        <w:t>)</w:t>
      </w:r>
      <w:r w:rsidRPr="001F2586">
        <w:rPr>
          <w:rFonts w:eastAsia="Calibri"/>
          <w:rtl/>
        </w:rPr>
        <w:t xml:space="preserve">, אך </w:t>
      </w:r>
      <w:r w:rsidRPr="001F2586">
        <w:rPr>
          <w:rFonts w:eastAsia="Calibri" w:hint="cs"/>
          <w:rtl/>
        </w:rPr>
        <w:t>מציעים</w:t>
      </w:r>
      <w:r w:rsidRPr="001F2586">
        <w:rPr>
          <w:rFonts w:eastAsia="Calibri"/>
          <w:rtl/>
        </w:rPr>
        <w:t xml:space="preserve"> גם </w:t>
      </w:r>
      <w:r w:rsidRPr="001F2586">
        <w:rPr>
          <w:rFonts w:eastAsia="Calibri" w:hint="cs"/>
          <w:rtl/>
        </w:rPr>
        <w:t>משכנתא</w:t>
      </w:r>
      <w:r w:rsidRPr="001F2586">
        <w:rPr>
          <w:rFonts w:eastAsia="Calibri"/>
          <w:rtl/>
        </w:rPr>
        <w:t xml:space="preserve"> לכל מטרה כנגד שעבוד נכס ומכשירים </w:t>
      </w:r>
      <w:r w:rsidRPr="001F2586">
        <w:rPr>
          <w:rFonts w:eastAsia="Calibri"/>
          <w:rtl/>
        </w:rPr>
        <w:t>מימוניים</w:t>
      </w:r>
      <w:r w:rsidRPr="001F2586">
        <w:rPr>
          <w:rFonts w:eastAsia="Calibri"/>
          <w:rtl/>
        </w:rPr>
        <w:t xml:space="preserve"> נוספים</w:t>
      </w:r>
      <w:r w:rsidRPr="001F2586">
        <w:rPr>
          <w:rFonts w:eastAsia="Calibri" w:hint="cs"/>
          <w:rtl/>
        </w:rPr>
        <w:t xml:space="preserve"> (לדוגמא - משכנתא לאיחוד הלוואות כנגד שעבוד נכס)</w:t>
      </w:r>
      <w:r w:rsidRPr="001F2586">
        <w:rPr>
          <w:rFonts w:eastAsia="Calibri"/>
          <w:rtl/>
        </w:rPr>
        <w:t>.</w:t>
      </w:r>
      <w:r w:rsidRPr="001F2586">
        <w:rPr>
          <w:rFonts w:eastAsia="Calibri" w:hint="cs"/>
          <w:rtl/>
        </w:rPr>
        <w:t xml:space="preserve"> סך המשכנתאות הניתנות על ידי הגופים המוסדיים עומדות על סך של 10 מיליארד ש"ח</w:t>
      </w:r>
      <w:r>
        <w:rPr>
          <w:rFonts w:eastAsia="Calibri"/>
          <w:vertAlign w:val="superscript"/>
          <w:rtl/>
        </w:rPr>
        <w:footnoteReference w:id="419"/>
      </w:r>
      <w:r w:rsidRPr="001F2586">
        <w:rPr>
          <w:rFonts w:eastAsia="Calibri" w:hint="cs"/>
          <w:rtl/>
        </w:rPr>
        <w:t xml:space="preserve">. </w:t>
      </w:r>
      <w:r w:rsidRPr="001F2586">
        <w:rPr>
          <w:rFonts w:eastAsia="Calibri"/>
          <w:rtl/>
        </w:rPr>
        <w:t>חברות</w:t>
      </w:r>
      <w:r w:rsidRPr="001F2586">
        <w:rPr>
          <w:rFonts w:eastAsia="Calibri" w:hint="cs"/>
          <w:rtl/>
        </w:rPr>
        <w:t xml:space="preserve"> נותני</w:t>
      </w:r>
      <w:r w:rsidRPr="001F2586">
        <w:rPr>
          <w:rFonts w:eastAsia="Calibri"/>
          <w:rtl/>
        </w:rPr>
        <w:t xml:space="preserve"> אשראי חוץ-בנקאי </w:t>
      </w:r>
      <w:r w:rsidRPr="001F2586">
        <w:rPr>
          <w:rFonts w:eastAsia="Calibri" w:hint="cs"/>
          <w:rtl/>
        </w:rPr>
        <w:t>הינן</w:t>
      </w:r>
      <w:r w:rsidRPr="001F2586">
        <w:rPr>
          <w:rFonts w:eastAsia="Calibri"/>
          <w:rtl/>
        </w:rPr>
        <w:t xml:space="preserve"> </w:t>
      </w:r>
      <w:r w:rsidRPr="001F2586">
        <w:rPr>
          <w:rFonts w:eastAsia="Calibri" w:hint="cs"/>
          <w:rtl/>
        </w:rPr>
        <w:t xml:space="preserve">חברות פרטיות בעלות הון עצמי מהותי </w:t>
      </w:r>
      <w:r w:rsidRPr="001F2586">
        <w:rPr>
          <w:rFonts w:eastAsia="Calibri"/>
          <w:rtl/>
        </w:rPr>
        <w:t xml:space="preserve">או </w:t>
      </w:r>
      <w:r w:rsidRPr="001F2586">
        <w:rPr>
          <w:rFonts w:eastAsia="Calibri" w:hint="cs"/>
          <w:rtl/>
        </w:rPr>
        <w:t>חברות הנסחרות בבורסה</w:t>
      </w:r>
      <w:r w:rsidRPr="001F2586">
        <w:rPr>
          <w:rFonts w:eastAsia="Calibri"/>
          <w:rtl/>
        </w:rPr>
        <w:t xml:space="preserve"> </w:t>
      </w:r>
      <w:r w:rsidRPr="001F2586">
        <w:rPr>
          <w:rFonts w:eastAsia="Calibri" w:hint="eastAsia"/>
          <w:rtl/>
        </w:rPr>
        <w:t>ועוד</w:t>
      </w:r>
      <w:r w:rsidRPr="001F2586">
        <w:rPr>
          <w:rFonts w:eastAsia="Calibri"/>
          <w:rtl/>
        </w:rPr>
        <w:t xml:space="preserve"> </w:t>
      </w:r>
      <w:r w:rsidRPr="001F2586">
        <w:rPr>
          <w:rFonts w:eastAsia="Calibri" w:hint="eastAsia"/>
          <w:rtl/>
        </w:rPr>
        <w:t>מספר</w:t>
      </w:r>
      <w:r w:rsidRPr="001F2586">
        <w:rPr>
          <w:rFonts w:eastAsia="Calibri"/>
          <w:rtl/>
        </w:rPr>
        <w:t xml:space="preserve"> </w:t>
      </w:r>
      <w:r w:rsidRPr="001F2586">
        <w:rPr>
          <w:rFonts w:eastAsia="Calibri" w:hint="eastAsia"/>
          <w:rtl/>
        </w:rPr>
        <w:t>חברות</w:t>
      </w:r>
      <w:r w:rsidRPr="001F2586">
        <w:rPr>
          <w:rFonts w:eastAsia="Calibri"/>
          <w:rtl/>
        </w:rPr>
        <w:t xml:space="preserve"> </w:t>
      </w:r>
      <w:r w:rsidRPr="001F2586">
        <w:rPr>
          <w:rFonts w:eastAsia="Calibri" w:hint="eastAsia"/>
          <w:rtl/>
        </w:rPr>
        <w:t>קטנות</w:t>
      </w:r>
      <w:r w:rsidRPr="001F2586">
        <w:rPr>
          <w:rFonts w:eastAsia="Calibri"/>
          <w:rtl/>
        </w:rPr>
        <w:t xml:space="preserve"> </w:t>
      </w:r>
      <w:r w:rsidRPr="001F2586">
        <w:rPr>
          <w:rFonts w:eastAsia="Calibri" w:hint="eastAsia"/>
          <w:rtl/>
        </w:rPr>
        <w:t>יותר</w:t>
      </w:r>
      <w:r w:rsidRPr="001F2586">
        <w:rPr>
          <w:rFonts w:eastAsia="Calibri"/>
          <w:rtl/>
        </w:rPr>
        <w:t xml:space="preserve"> </w:t>
      </w:r>
      <w:r w:rsidRPr="001F2586">
        <w:rPr>
          <w:rFonts w:eastAsia="Calibri" w:hint="eastAsia"/>
          <w:rtl/>
        </w:rPr>
        <w:t>המעניקות</w:t>
      </w:r>
      <w:r w:rsidRPr="001F2586">
        <w:rPr>
          <w:rFonts w:eastAsia="Calibri"/>
          <w:rtl/>
        </w:rPr>
        <w:t xml:space="preserve"> </w:t>
      </w:r>
      <w:r w:rsidRPr="001F2586">
        <w:rPr>
          <w:rFonts w:eastAsia="Calibri" w:hint="eastAsia"/>
          <w:rtl/>
        </w:rPr>
        <w:t>הלוואות</w:t>
      </w:r>
      <w:r w:rsidRPr="001F2586">
        <w:rPr>
          <w:rFonts w:eastAsia="Calibri"/>
          <w:rtl/>
        </w:rPr>
        <w:t xml:space="preserve"> </w:t>
      </w:r>
      <w:r w:rsidRPr="001F2586">
        <w:rPr>
          <w:rFonts w:eastAsia="Calibri" w:hint="eastAsia"/>
          <w:rtl/>
        </w:rPr>
        <w:t>חוץ</w:t>
      </w:r>
      <w:r w:rsidRPr="001F2586">
        <w:rPr>
          <w:rFonts w:eastAsia="Calibri"/>
          <w:rtl/>
        </w:rPr>
        <w:t xml:space="preserve"> </w:t>
      </w:r>
      <w:r w:rsidRPr="001F2586">
        <w:rPr>
          <w:rFonts w:eastAsia="Calibri" w:hint="eastAsia"/>
          <w:rtl/>
        </w:rPr>
        <w:t>בנקאיות</w:t>
      </w:r>
      <w:r w:rsidRPr="001F2586">
        <w:rPr>
          <w:rFonts w:eastAsia="Calibri"/>
          <w:rtl/>
        </w:rPr>
        <w:t xml:space="preserve"> </w:t>
      </w:r>
      <w:r w:rsidRPr="001F2586">
        <w:rPr>
          <w:rFonts w:eastAsia="Calibri" w:hint="eastAsia"/>
          <w:rtl/>
        </w:rPr>
        <w:t>שונות</w:t>
      </w:r>
      <w:r w:rsidRPr="001F2586">
        <w:rPr>
          <w:rFonts w:eastAsia="Calibri" w:hint="cs"/>
          <w:rtl/>
        </w:rPr>
        <w:t xml:space="preserve">. </w:t>
      </w:r>
      <w:r w:rsidRPr="001F2586">
        <w:rPr>
          <w:rFonts w:eastAsia="Calibri" w:hint="eastAsia"/>
          <w:rtl/>
        </w:rPr>
        <w:t>על</w:t>
      </w:r>
      <w:r w:rsidRPr="001F2586">
        <w:rPr>
          <w:rFonts w:eastAsia="Calibri"/>
          <w:rtl/>
        </w:rPr>
        <w:t xml:space="preserve"> פי נתוני רשות שוק ההון</w:t>
      </w:r>
      <w:r>
        <w:rPr>
          <w:rFonts w:eastAsia="Calibri"/>
          <w:vertAlign w:val="superscript"/>
          <w:rtl/>
        </w:rPr>
        <w:footnoteReference w:id="420"/>
      </w:r>
      <w:r w:rsidRPr="001F2586">
        <w:rPr>
          <w:rFonts w:eastAsia="Calibri"/>
          <w:rtl/>
        </w:rPr>
        <w:t xml:space="preserve"> </w:t>
      </w:r>
      <w:r w:rsidRPr="001F2586">
        <w:rPr>
          <w:rFonts w:eastAsia="Calibri" w:hint="cs"/>
          <w:rtl/>
        </w:rPr>
        <w:t>חלקם של נותני האשראי החוץ בנקאי</w:t>
      </w:r>
      <w:r w:rsidRPr="001F2586">
        <w:rPr>
          <w:rFonts w:eastAsia="Calibri"/>
          <w:rtl/>
        </w:rPr>
        <w:t xml:space="preserve"> </w:t>
      </w:r>
      <w:r w:rsidRPr="001F2586">
        <w:rPr>
          <w:rFonts w:eastAsia="Calibri" w:hint="eastAsia"/>
          <w:rtl/>
        </w:rPr>
        <w:t>בשוק</w:t>
      </w:r>
      <w:r w:rsidRPr="001F2586">
        <w:rPr>
          <w:rFonts w:eastAsia="Calibri"/>
          <w:rtl/>
        </w:rPr>
        <w:t xml:space="preserve"> </w:t>
      </w:r>
      <w:r w:rsidRPr="001F2586">
        <w:rPr>
          <w:rFonts w:eastAsia="Calibri" w:hint="eastAsia"/>
          <w:rtl/>
        </w:rPr>
        <w:t>המשכנתאות</w:t>
      </w:r>
      <w:r w:rsidRPr="001F2586">
        <w:rPr>
          <w:rFonts w:eastAsia="Calibri"/>
          <w:rtl/>
        </w:rPr>
        <w:t xml:space="preserve"> </w:t>
      </w:r>
      <w:r w:rsidRPr="001F2586">
        <w:rPr>
          <w:rFonts w:eastAsia="Calibri" w:hint="cs"/>
          <w:rtl/>
        </w:rPr>
        <w:t xml:space="preserve">עומד על סך של 5.7 מיליארד ש"ח כלומר כ-1% מסך המשכנתאות הניתנות על ידי כל נותני המשכנתאות בישראל. </w:t>
      </w:r>
      <w:r w:rsidRPr="001F2586">
        <w:rPr>
          <w:rFonts w:eastAsia="Calibri"/>
          <w:rtl/>
        </w:rPr>
        <w:t>חברות כרטיסי האשראי מתחרות בעיקר בהלוואות מגובות בנדל"ן למגורים המובטחות בשעבוד שני על הנכס המגבה</w:t>
      </w:r>
      <w:r>
        <w:rPr>
          <w:rFonts w:eastAsia="Calibri"/>
          <w:vertAlign w:val="superscript"/>
          <w:rtl/>
        </w:rPr>
        <w:footnoteReference w:id="421"/>
      </w:r>
      <w:r w:rsidRPr="001F2586">
        <w:rPr>
          <w:rFonts w:eastAsia="Calibri"/>
          <w:rtl/>
        </w:rPr>
        <w:t>, וזאת באמצעות מוצר תחליפי של הלוואות לכל מטרה המהוות הלוואות השלמה לביצוע רכישת נדל"ן או מחזור חוב קיים על ידי חברות כרטיסי האשראי</w:t>
      </w:r>
      <w:r w:rsidRPr="001F2586">
        <w:rPr>
          <w:rFonts w:eastAsia="Calibri" w:hint="cs"/>
          <w:rtl/>
        </w:rPr>
        <w:t xml:space="preserve">. </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מאפייני שוק האשראי החוץ בנקאי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על פי הסקירה השנתית של הממונה על רשות שוק ההון לשנת 2024, </w:t>
      </w:r>
      <w:r w:rsidRPr="001F2586">
        <w:rPr>
          <w:rFonts w:eastAsia="Calibri"/>
          <w:rtl/>
        </w:rPr>
        <w:t xml:space="preserve">שוק האשראי החוץ בנקאי בישראל חווה צמיחה משמעותית לאורך השנים האחרונות, והפך למקור </w:t>
      </w:r>
      <w:r w:rsidRPr="001F2586">
        <w:rPr>
          <w:rFonts w:eastAsia="Calibri" w:hint="cs"/>
          <w:rtl/>
        </w:rPr>
        <w:t>מהותי</w:t>
      </w:r>
      <w:r w:rsidRPr="001F2586">
        <w:rPr>
          <w:rFonts w:eastAsia="Calibri"/>
          <w:rtl/>
        </w:rPr>
        <w:t xml:space="preserve"> למימון למגזרים שונים במשק. גופי האשראי החוץ בנקאי מאגדים קשת רחבה של גופים, לרבות חברות פרטיות, חברות ציבוריות, חברות </w:t>
      </w:r>
      <w:r w:rsidRPr="001F2586">
        <w:rPr>
          <w:rFonts w:eastAsia="Calibri"/>
          <w:rtl/>
        </w:rPr>
        <w:t>פינטק</w:t>
      </w:r>
      <w:r>
        <w:rPr>
          <w:rFonts w:eastAsia="Calibri"/>
          <w:vertAlign w:val="superscript"/>
          <w:rtl/>
        </w:rPr>
        <w:footnoteReference w:id="422"/>
      </w:r>
      <w:r w:rsidRPr="001F2586">
        <w:rPr>
          <w:rFonts w:eastAsia="Calibri"/>
          <w:rtl/>
        </w:rPr>
        <w:t xml:space="preserve"> ופלטפורמות הלוואות עמית לעמית</w:t>
      </w:r>
      <w:r>
        <w:rPr>
          <w:rFonts w:eastAsia="Calibri"/>
          <w:vertAlign w:val="superscript"/>
          <w:rtl/>
        </w:rPr>
        <w:footnoteReference w:id="423"/>
      </w:r>
      <w:r w:rsidRPr="001F2586">
        <w:rPr>
          <w:rFonts w:eastAsia="Calibri"/>
          <w:rtl/>
        </w:rPr>
        <w:t>.</w:t>
      </w:r>
      <w:r w:rsidRPr="001F2586">
        <w:rPr>
          <w:rFonts w:eastAsia="Calibri"/>
        </w:rPr>
        <w:t xml:space="preserve">(P2P) </w:t>
      </w:r>
      <w:r w:rsidRPr="001F2586">
        <w:rPr>
          <w:rFonts w:eastAsia="Calibri" w:hint="cs"/>
          <w:rtl/>
        </w:rPr>
        <w:t xml:space="preserve">בין </w:t>
      </w:r>
      <w:r w:rsidRPr="001F2586">
        <w:rPr>
          <w:rFonts w:eastAsia="Calibri"/>
          <w:rtl/>
        </w:rPr>
        <w:t xml:space="preserve">השירותים שאותם מציעים הגופים ניתן למצוא: הלוואות לרכב, מימון הון עצמי ליזמים, ערבויות </w:t>
      </w:r>
      <w:r w:rsidRPr="001F2586">
        <w:rPr>
          <w:rFonts w:eastAsia="Calibri"/>
          <w:rtl/>
        </w:rPr>
        <w:t>וכו</w:t>
      </w:r>
      <w:r w:rsidRPr="001F2586">
        <w:rPr>
          <w:rFonts w:eastAsia="Calibri" w:hint="cs"/>
          <w:rtl/>
        </w:rPr>
        <w:t xml:space="preserve">'. על פי נתוני רשות שוק ההון היקף זרם האשראי החוץ בנקאי למטרות השונות בשנת 2024 עמד על כ-120 מיליארד ש"ח.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בדוח כספי של חברה חוץ בנקאית צוין כי </w:t>
      </w:r>
      <w:r w:rsidRPr="001F2586">
        <w:rPr>
          <w:rFonts w:eastAsia="Calibri"/>
          <w:rtl/>
        </w:rPr>
        <w:t>שוק האשראי הצרכני בישראל ושוק המשכנתאות נשלט בעיקרו על ידי הבנקים</w:t>
      </w:r>
      <w:r w:rsidRPr="001F2586">
        <w:rPr>
          <w:rFonts w:eastAsia="Calibri" w:hint="cs"/>
          <w:rtl/>
        </w:rPr>
        <w:t xml:space="preserve">. לאור הסדרת הענף מורגשת עלייה בהיקף הפעילות של החברות החוץ בנקאיות שעושות שימוש ביתרון היחסי שלהן על פני המערכת הבנקאית ומסוגלות לגלות גמישות רבה יותר בתחומים שונים בהעמדת הלוואות ישירות ללקוחות.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בשנים האחרונות נעשו רפורמות מבניות להסדרת הפעילות הפיננסית החוץ בנקאית לרבות קביעת סמכויות רישוי, פיקוח ואסדרה. כמו כן יושמו המלצות הוועדה לבחינת הרגולציה על נותני שירותי </w:t>
      </w:r>
      <w:r w:rsidRPr="001F2586">
        <w:rPr>
          <w:rFonts w:eastAsia="Calibri" w:hint="cs"/>
          <w:rtl/>
        </w:rPr>
        <w:t xml:space="preserve">מטבע (ועדת </w:t>
      </w:r>
      <w:r w:rsidRPr="001F2586">
        <w:rPr>
          <w:rFonts w:eastAsia="Calibri" w:hint="cs"/>
          <w:rtl/>
        </w:rPr>
        <w:t>ליכט</w:t>
      </w:r>
      <w:r w:rsidRPr="001F2586">
        <w:rPr>
          <w:rFonts w:eastAsia="Calibri" w:hint="cs"/>
          <w:rtl/>
        </w:rPr>
        <w:t xml:space="preserve"> משנת 2014) שכללו הקמת רגולטור ייעודי אשר יהיה אחראי על נותני שירותי מטבע, וכן על נותני שירותי אשראי שלא היו תחת פיקוח עד אותה עת. </w:t>
      </w:r>
      <w:r w:rsidRPr="001F2586">
        <w:rPr>
          <w:rFonts w:eastAsia="Calibri"/>
          <w:rtl/>
        </w:rPr>
        <w:t xml:space="preserve">בחודש אוגוסט 2016 פורסם חוק הפיקוח על שירותים פיננסים </w:t>
      </w:r>
      <w:r w:rsidRPr="001F2586">
        <w:rPr>
          <w:rFonts w:eastAsia="Calibri" w:hint="cs"/>
          <w:rtl/>
        </w:rPr>
        <w:t>(</w:t>
      </w:r>
      <w:r w:rsidRPr="001F2586">
        <w:rPr>
          <w:rFonts w:eastAsia="Calibri"/>
          <w:rtl/>
        </w:rPr>
        <w:t>שירותים פיננסים מוסדרים</w:t>
      </w:r>
      <w:r w:rsidRPr="001F2586">
        <w:rPr>
          <w:rFonts w:eastAsia="Calibri" w:hint="cs"/>
          <w:rtl/>
        </w:rPr>
        <w:t xml:space="preserve">) </w:t>
      </w:r>
      <w:r w:rsidRPr="001F2586">
        <w:rPr>
          <w:rFonts w:eastAsia="Calibri"/>
          <w:rtl/>
        </w:rPr>
        <w:t>התשע"ו</w:t>
      </w:r>
      <w:r w:rsidRPr="001F2586">
        <w:rPr>
          <w:rFonts w:eastAsia="Calibri" w:hint="cs"/>
          <w:rtl/>
        </w:rPr>
        <w:t xml:space="preserve"> </w:t>
      </w:r>
      <w:r w:rsidRPr="001F2586">
        <w:rPr>
          <w:rFonts w:eastAsia="Calibri"/>
          <w:rtl/>
        </w:rPr>
        <w:t>- 2016</w:t>
      </w:r>
      <w:r w:rsidRPr="001F2586">
        <w:rPr>
          <w:rFonts w:eastAsia="Calibri" w:hint="cs"/>
          <w:rtl/>
        </w:rPr>
        <w:t xml:space="preserve"> (להלן - חוק הפיקוח על שירותים פיננסים). ה</w:t>
      </w:r>
      <w:r w:rsidRPr="001F2586">
        <w:rPr>
          <w:rFonts w:eastAsia="Calibri"/>
          <w:rtl/>
        </w:rPr>
        <w:t>חוק הסמיך את הממונה על רשות שוק ההון</w:t>
      </w:r>
      <w:r>
        <w:rPr>
          <w:rFonts w:eastAsia="Calibri"/>
          <w:vertAlign w:val="superscript"/>
          <w:rtl/>
        </w:rPr>
        <w:footnoteReference w:id="424"/>
      </w:r>
      <w:r w:rsidRPr="001F2586">
        <w:rPr>
          <w:rFonts w:eastAsia="Calibri"/>
          <w:rtl/>
        </w:rPr>
        <w:t xml:space="preserve"> </w:t>
      </w:r>
      <w:r w:rsidRPr="001F2586">
        <w:rPr>
          <w:rFonts w:eastAsia="Calibri" w:hint="cs"/>
          <w:rtl/>
        </w:rPr>
        <w:t xml:space="preserve">(להלן - רשות שוק ההון) </w:t>
      </w:r>
      <w:r w:rsidRPr="001F2586">
        <w:rPr>
          <w:rFonts w:eastAsia="Calibri"/>
          <w:rtl/>
        </w:rPr>
        <w:t>להיות המפקח על נותני השירותים הפיננסים, פעילות</w:t>
      </w:r>
      <w:r w:rsidRPr="001F2586">
        <w:rPr>
          <w:rFonts w:eastAsia="Calibri" w:hint="cs"/>
          <w:rtl/>
        </w:rPr>
        <w:t xml:space="preserve"> </w:t>
      </w:r>
      <w:r w:rsidRPr="001F2586">
        <w:rPr>
          <w:rFonts w:eastAsia="Calibri"/>
          <w:rtl/>
        </w:rPr>
        <w:t>הכוללת מלבד פיקוח ובקרה גם מתן רישיונות והיתרים לפי החוק וכל זאת תוך יצירת סביבה אמינה בטוחה ויציבה למתן</w:t>
      </w:r>
      <w:r w:rsidRPr="001F2586">
        <w:rPr>
          <w:rFonts w:eastAsia="Calibri" w:hint="cs"/>
          <w:rtl/>
        </w:rPr>
        <w:t xml:space="preserve"> </w:t>
      </w:r>
      <w:r w:rsidRPr="001F2586">
        <w:rPr>
          <w:rFonts w:eastAsia="Calibri"/>
          <w:rtl/>
        </w:rPr>
        <w:t xml:space="preserve">שירותים פיננסים, הגנה ושמירה על עניינם של הלקוחות, קידום התחרות ועידוד חדשנות טכנולוגית ועסקית. </w:t>
      </w:r>
      <w:r w:rsidRPr="001F2586">
        <w:rPr>
          <w:rFonts w:eastAsia="Calibri" w:hint="cs"/>
          <w:rtl/>
        </w:rPr>
        <w:t>ח</w:t>
      </w:r>
      <w:r w:rsidRPr="001F2586">
        <w:rPr>
          <w:rFonts w:eastAsia="Calibri"/>
          <w:rtl/>
        </w:rPr>
        <w:t xml:space="preserve">טיבת שירותים פיננסיים מוסדרים </w:t>
      </w:r>
      <w:r w:rsidRPr="001F2586">
        <w:rPr>
          <w:rFonts w:eastAsia="Calibri" w:hint="cs"/>
          <w:rtl/>
        </w:rPr>
        <w:t xml:space="preserve">ברשות שוק ההון </w:t>
      </w:r>
      <w:r w:rsidRPr="001F2586">
        <w:rPr>
          <w:rFonts w:eastAsia="Calibri"/>
          <w:rtl/>
        </w:rPr>
        <w:t xml:space="preserve">אחראית </w:t>
      </w:r>
      <w:r w:rsidRPr="001F2586">
        <w:rPr>
          <w:rFonts w:eastAsia="Calibri" w:hint="cs"/>
          <w:rtl/>
        </w:rPr>
        <w:t xml:space="preserve">על </w:t>
      </w:r>
      <w:r w:rsidRPr="001F2586">
        <w:rPr>
          <w:rFonts w:eastAsia="Calibri"/>
          <w:rtl/>
        </w:rPr>
        <w:t>אסדרה, רישוי, ביקורת ופיקוח בתחום השירותים הפיננסיים המוסדרים</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נתונים אודות סך הרישיונות הפעילים שניתנו על ידי רשות שוק ההון לפי סוג הרישיון ושיעור הגידול משנת 2018 ועד שנת 2024:</w:t>
      </w:r>
    </w:p>
    <w:p w:rsidR="001F2586" w:rsidRPr="001F2586" w:rsidP="001F2586">
      <w:pPr>
        <w:spacing w:line="269" w:lineRule="auto"/>
        <w:jc w:val="center"/>
        <w:rPr>
          <w:rFonts w:eastAsia="Calibri"/>
          <w:b/>
          <w:bCs/>
          <w:rtl/>
        </w:rPr>
      </w:pPr>
    </w:p>
    <w:p w:rsidR="001F2586" w:rsidRPr="001F2586" w:rsidP="001F2586">
      <w:pPr>
        <w:spacing w:line="269" w:lineRule="auto"/>
        <w:jc w:val="center"/>
        <w:rPr>
          <w:rFonts w:eastAsia="Calibri"/>
          <w:b/>
          <w:bCs/>
          <w:rtl/>
        </w:rPr>
      </w:pPr>
      <w:r w:rsidRPr="001F2586">
        <w:rPr>
          <w:rFonts w:eastAsia="Calibri" w:hint="cs"/>
          <w:rtl/>
        </w:rPr>
        <w:t>לוח 11:</w:t>
      </w:r>
      <w:r w:rsidRPr="001F2586">
        <w:rPr>
          <w:rFonts w:eastAsia="Calibri" w:hint="cs"/>
          <w:b/>
          <w:bCs/>
          <w:rtl/>
        </w:rPr>
        <w:t xml:space="preserve"> סך הרישיונו</w:t>
      </w:r>
      <w:r w:rsidRPr="001F2586">
        <w:rPr>
          <w:rFonts w:eastAsia="Calibri" w:hint="eastAsia"/>
          <w:b/>
          <w:bCs/>
          <w:rtl/>
        </w:rPr>
        <w:t>ת</w:t>
      </w:r>
      <w:r w:rsidRPr="001F2586">
        <w:rPr>
          <w:rFonts w:eastAsia="Calibri" w:hint="cs"/>
          <w:b/>
          <w:bCs/>
          <w:rtl/>
        </w:rPr>
        <w:t xml:space="preserve"> הפעילים לפי סוג הרישיון בין השנים 2018 - 2024</w:t>
      </w:r>
    </w:p>
    <w:tbl>
      <w:tblPr>
        <w:tblStyle w:val="TableGrid"/>
        <w:bidiVisual/>
        <w:tblW w:w="0" w:type="auto"/>
        <w:tblLayout w:type="fixed"/>
        <w:tblLook w:val="04A0"/>
      </w:tblPr>
      <w:tblGrid>
        <w:gridCol w:w="1978"/>
        <w:gridCol w:w="708"/>
        <w:gridCol w:w="723"/>
        <w:gridCol w:w="917"/>
        <w:gridCol w:w="885"/>
        <w:gridCol w:w="724"/>
        <w:gridCol w:w="724"/>
        <w:gridCol w:w="724"/>
        <w:gridCol w:w="828"/>
      </w:tblGrid>
      <w:tr w:rsidTr="001F2586">
        <w:tblPrEx>
          <w:tblW w:w="0" w:type="auto"/>
          <w:tblLayout w:type="fixed"/>
          <w:tblLook w:val="04A0"/>
        </w:tblPrEx>
        <w:tc>
          <w:tcPr>
            <w:tcW w:w="1978"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סוג הרישיון</w:t>
            </w:r>
          </w:p>
        </w:tc>
        <w:tc>
          <w:tcPr>
            <w:tcW w:w="708"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2024</w:t>
            </w:r>
          </w:p>
        </w:tc>
        <w:tc>
          <w:tcPr>
            <w:tcW w:w="723"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2023</w:t>
            </w:r>
          </w:p>
        </w:tc>
        <w:tc>
          <w:tcPr>
            <w:tcW w:w="917"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2022</w:t>
            </w:r>
          </w:p>
        </w:tc>
        <w:tc>
          <w:tcPr>
            <w:tcW w:w="885"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2021</w:t>
            </w:r>
          </w:p>
        </w:tc>
        <w:tc>
          <w:tcPr>
            <w:tcW w:w="724"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2020</w:t>
            </w:r>
          </w:p>
        </w:tc>
        <w:tc>
          <w:tcPr>
            <w:tcW w:w="724"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2019</w:t>
            </w:r>
          </w:p>
        </w:tc>
        <w:tc>
          <w:tcPr>
            <w:tcW w:w="724"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2018</w:t>
            </w:r>
          </w:p>
        </w:tc>
        <w:tc>
          <w:tcPr>
            <w:tcW w:w="828" w:type="dxa"/>
            <w:shd w:val="clear" w:color="auto" w:fill="808080"/>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שיעור השינוי</w:t>
            </w:r>
          </w:p>
        </w:tc>
      </w:tr>
      <w:tr w:rsidTr="00EB64F7">
        <w:tblPrEx>
          <w:tblW w:w="0" w:type="auto"/>
          <w:tblLayout w:type="fixed"/>
          <w:tblLook w:val="04A0"/>
        </w:tblPrEx>
        <w:tc>
          <w:tcPr>
            <w:tcW w:w="1978"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אשראי בסיסי</w:t>
            </w:r>
            <w:r>
              <w:rPr>
                <w:rFonts w:ascii="David" w:eastAsia="Calibri" w:hAnsi="David"/>
                <w:sz w:val="22"/>
                <w:szCs w:val="22"/>
                <w:vertAlign w:val="superscript"/>
                <w:rtl/>
              </w:rPr>
              <w:footnoteReference w:id="425"/>
            </w:r>
          </w:p>
        </w:tc>
        <w:tc>
          <w:tcPr>
            <w:tcW w:w="708"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585</w:t>
            </w:r>
          </w:p>
        </w:tc>
        <w:tc>
          <w:tcPr>
            <w:tcW w:w="723"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584</w:t>
            </w:r>
          </w:p>
        </w:tc>
        <w:tc>
          <w:tcPr>
            <w:tcW w:w="917"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520</w:t>
            </w:r>
          </w:p>
        </w:tc>
        <w:tc>
          <w:tcPr>
            <w:tcW w:w="88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496</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259</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165</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86</w:t>
            </w:r>
          </w:p>
        </w:tc>
        <w:tc>
          <w:tcPr>
            <w:tcW w:w="82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580%</w:t>
            </w:r>
          </w:p>
        </w:tc>
      </w:tr>
      <w:tr w:rsidTr="00EB64F7">
        <w:tblPrEx>
          <w:tblW w:w="0" w:type="auto"/>
          <w:tblLayout w:type="fixed"/>
          <w:tblLook w:val="04A0"/>
        </w:tblPrEx>
        <w:tc>
          <w:tcPr>
            <w:tcW w:w="1978"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אשראי מורחב</w:t>
            </w:r>
            <w:r>
              <w:rPr>
                <w:rFonts w:ascii="David" w:eastAsia="Calibri" w:hAnsi="David"/>
                <w:sz w:val="22"/>
                <w:szCs w:val="22"/>
                <w:vertAlign w:val="superscript"/>
                <w:rtl/>
              </w:rPr>
              <w:footnoteReference w:id="426"/>
            </w:r>
          </w:p>
        </w:tc>
        <w:tc>
          <w:tcPr>
            <w:tcW w:w="70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199</w:t>
            </w:r>
          </w:p>
        </w:tc>
        <w:tc>
          <w:tcPr>
            <w:tcW w:w="723"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194</w:t>
            </w:r>
          </w:p>
        </w:tc>
        <w:tc>
          <w:tcPr>
            <w:tcW w:w="917"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174</w:t>
            </w:r>
          </w:p>
        </w:tc>
        <w:tc>
          <w:tcPr>
            <w:tcW w:w="88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141</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105</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60</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35</w:t>
            </w:r>
          </w:p>
        </w:tc>
        <w:tc>
          <w:tcPr>
            <w:tcW w:w="82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468%</w:t>
            </w:r>
          </w:p>
        </w:tc>
      </w:tr>
      <w:tr w:rsidTr="00EB64F7">
        <w:tblPrEx>
          <w:tblW w:w="0" w:type="auto"/>
          <w:tblLayout w:type="fixed"/>
          <w:tblLook w:val="04A0"/>
        </w:tblPrEx>
        <w:tc>
          <w:tcPr>
            <w:tcW w:w="1978"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נכס פיננסי בסיסי</w:t>
            </w:r>
            <w:r>
              <w:rPr>
                <w:rFonts w:ascii="David" w:eastAsia="Calibri" w:hAnsi="David"/>
                <w:sz w:val="22"/>
                <w:szCs w:val="22"/>
                <w:vertAlign w:val="superscript"/>
                <w:rtl/>
              </w:rPr>
              <w:footnoteReference w:id="427"/>
            </w:r>
          </w:p>
        </w:tc>
        <w:tc>
          <w:tcPr>
            <w:tcW w:w="70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668</w:t>
            </w:r>
          </w:p>
        </w:tc>
        <w:tc>
          <w:tcPr>
            <w:tcW w:w="723"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641</w:t>
            </w:r>
          </w:p>
        </w:tc>
        <w:tc>
          <w:tcPr>
            <w:tcW w:w="917"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577</w:t>
            </w:r>
          </w:p>
        </w:tc>
        <w:tc>
          <w:tcPr>
            <w:tcW w:w="88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549</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268</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90</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28</w:t>
            </w:r>
          </w:p>
        </w:tc>
        <w:tc>
          <w:tcPr>
            <w:tcW w:w="82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w:t>
            </w:r>
            <w:r w:rsidRPr="001F2586">
              <w:rPr>
                <w:rFonts w:ascii="David" w:eastAsia="Calibri" w:hAnsi="David" w:hint="cs"/>
                <w:sz w:val="22"/>
                <w:szCs w:val="22"/>
                <w:rtl/>
              </w:rPr>
              <w:t>286</w:t>
            </w:r>
            <w:r w:rsidRPr="001F2586">
              <w:rPr>
                <w:rFonts w:ascii="David" w:eastAsia="Calibri" w:hAnsi="David"/>
                <w:sz w:val="22"/>
                <w:szCs w:val="22"/>
                <w:rtl/>
              </w:rPr>
              <w:t>%</w:t>
            </w:r>
          </w:p>
        </w:tc>
      </w:tr>
      <w:tr w:rsidTr="00EB64F7">
        <w:tblPrEx>
          <w:tblW w:w="0" w:type="auto"/>
          <w:tblLayout w:type="fixed"/>
          <w:tblLook w:val="04A0"/>
        </w:tblPrEx>
        <w:tc>
          <w:tcPr>
            <w:tcW w:w="1978"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נכס פיננסי מורחב</w:t>
            </w:r>
            <w:r>
              <w:rPr>
                <w:rFonts w:ascii="David" w:eastAsia="Calibri" w:hAnsi="David"/>
                <w:sz w:val="22"/>
                <w:szCs w:val="22"/>
                <w:vertAlign w:val="superscript"/>
                <w:rtl/>
              </w:rPr>
              <w:footnoteReference w:id="428"/>
            </w:r>
          </w:p>
        </w:tc>
        <w:tc>
          <w:tcPr>
            <w:tcW w:w="70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80</w:t>
            </w:r>
          </w:p>
        </w:tc>
        <w:tc>
          <w:tcPr>
            <w:tcW w:w="723"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75</w:t>
            </w:r>
          </w:p>
        </w:tc>
        <w:tc>
          <w:tcPr>
            <w:tcW w:w="917"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65</w:t>
            </w:r>
          </w:p>
        </w:tc>
        <w:tc>
          <w:tcPr>
            <w:tcW w:w="88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50</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30</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16</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7</w:t>
            </w:r>
          </w:p>
        </w:tc>
        <w:tc>
          <w:tcPr>
            <w:tcW w:w="82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1043%</w:t>
            </w:r>
          </w:p>
        </w:tc>
      </w:tr>
      <w:tr w:rsidTr="00EB64F7">
        <w:tblPrEx>
          <w:tblW w:w="0" w:type="auto"/>
          <w:tblLayout w:type="fixed"/>
          <w:tblLook w:val="04A0"/>
        </w:tblPrEx>
        <w:trPr>
          <w:trHeight w:val="313"/>
        </w:trPr>
        <w:tc>
          <w:tcPr>
            <w:tcW w:w="1978"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הפעלת מערכת לתיווך באשראי בסיסי</w:t>
            </w:r>
          </w:p>
        </w:tc>
        <w:tc>
          <w:tcPr>
            <w:tcW w:w="70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w:t>
            </w:r>
          </w:p>
        </w:tc>
        <w:tc>
          <w:tcPr>
            <w:tcW w:w="723" w:type="dxa"/>
          </w:tcPr>
          <w:p w:rsidR="001F2586" w:rsidRPr="001F2586" w:rsidP="001F2586">
            <w:pPr>
              <w:spacing w:line="269" w:lineRule="auto"/>
              <w:jc w:val="left"/>
              <w:rPr>
                <w:rFonts w:ascii="David" w:eastAsia="Calibri" w:hAnsi="David"/>
                <w:sz w:val="22"/>
                <w:szCs w:val="22"/>
              </w:rPr>
            </w:pPr>
            <w:r w:rsidRPr="001F2586">
              <w:rPr>
                <w:rFonts w:ascii="David" w:eastAsia="Calibri" w:hAnsi="David"/>
                <w:sz w:val="22"/>
                <w:szCs w:val="22"/>
                <w:rtl/>
              </w:rPr>
              <w:t>1</w:t>
            </w:r>
          </w:p>
        </w:tc>
        <w:tc>
          <w:tcPr>
            <w:tcW w:w="917"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w:t>
            </w:r>
          </w:p>
        </w:tc>
        <w:tc>
          <w:tcPr>
            <w:tcW w:w="88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0</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0</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0</w:t>
            </w:r>
          </w:p>
        </w:tc>
        <w:tc>
          <w:tcPr>
            <w:tcW w:w="82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100%</w:t>
            </w:r>
          </w:p>
        </w:tc>
      </w:tr>
      <w:tr w:rsidTr="00EB64F7">
        <w:tblPrEx>
          <w:tblW w:w="0" w:type="auto"/>
          <w:tblLayout w:type="fixed"/>
          <w:tblLook w:val="04A0"/>
        </w:tblPrEx>
        <w:tc>
          <w:tcPr>
            <w:tcW w:w="1978"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הפעלת מערכת לתיווך באשראי מורחב</w:t>
            </w:r>
          </w:p>
        </w:tc>
        <w:tc>
          <w:tcPr>
            <w:tcW w:w="70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3</w:t>
            </w:r>
          </w:p>
        </w:tc>
        <w:tc>
          <w:tcPr>
            <w:tcW w:w="723"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3</w:t>
            </w:r>
          </w:p>
        </w:tc>
        <w:tc>
          <w:tcPr>
            <w:tcW w:w="917"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3</w:t>
            </w:r>
          </w:p>
        </w:tc>
        <w:tc>
          <w:tcPr>
            <w:tcW w:w="88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w:t>
            </w:r>
          </w:p>
        </w:tc>
        <w:tc>
          <w:tcPr>
            <w:tcW w:w="72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w:t>
            </w:r>
          </w:p>
        </w:tc>
        <w:tc>
          <w:tcPr>
            <w:tcW w:w="828" w:type="dxa"/>
            <w:shd w:val="clear" w:color="auto" w:fill="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200%</w:t>
            </w:r>
          </w:p>
        </w:tc>
      </w:tr>
      <w:tr w:rsidTr="001F2586">
        <w:tblPrEx>
          <w:tblW w:w="0" w:type="auto"/>
          <w:tblLayout w:type="fixed"/>
          <w:tblLook w:val="04A0"/>
        </w:tblPrEx>
        <w:tc>
          <w:tcPr>
            <w:tcW w:w="1978" w:type="dxa"/>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 xml:space="preserve">סה"כ בעלי רישיון </w:t>
            </w:r>
          </w:p>
        </w:tc>
        <w:tc>
          <w:tcPr>
            <w:tcW w:w="708" w:type="dxa"/>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1,536</w:t>
            </w:r>
          </w:p>
        </w:tc>
        <w:tc>
          <w:tcPr>
            <w:tcW w:w="723" w:type="dxa"/>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1,498</w:t>
            </w:r>
          </w:p>
        </w:tc>
        <w:tc>
          <w:tcPr>
            <w:tcW w:w="917" w:type="dxa"/>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1,340</w:t>
            </w:r>
          </w:p>
        </w:tc>
        <w:tc>
          <w:tcPr>
            <w:tcW w:w="885" w:type="dxa"/>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1,239</w:t>
            </w:r>
          </w:p>
        </w:tc>
        <w:tc>
          <w:tcPr>
            <w:tcW w:w="724" w:type="dxa"/>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664</w:t>
            </w:r>
          </w:p>
        </w:tc>
        <w:tc>
          <w:tcPr>
            <w:tcW w:w="724" w:type="dxa"/>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333</w:t>
            </w:r>
          </w:p>
        </w:tc>
        <w:tc>
          <w:tcPr>
            <w:tcW w:w="724" w:type="dxa"/>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157</w:t>
            </w:r>
          </w:p>
        </w:tc>
        <w:tc>
          <w:tcPr>
            <w:tcW w:w="828" w:type="dxa"/>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879%</w:t>
            </w:r>
          </w:p>
        </w:tc>
      </w:tr>
    </w:tbl>
    <w:p w:rsidR="001F2586" w:rsidRPr="001F2586" w:rsidP="001F2586">
      <w:pPr>
        <w:spacing w:line="269" w:lineRule="auto"/>
        <w:rPr>
          <w:rFonts w:eastAsia="Calibri"/>
          <w:szCs w:val="20"/>
          <w:rtl/>
        </w:rPr>
      </w:pPr>
      <w:r w:rsidRPr="001F2586">
        <w:rPr>
          <w:rFonts w:eastAsia="Calibri" w:hint="cs"/>
          <w:szCs w:val="20"/>
          <w:rtl/>
        </w:rPr>
        <w:t>המקור: דוחות הממונה על רשות שוק ההון לשנים 2018-2024, פרק 7: שירותים פיננסים מוסדיים.</w:t>
      </w:r>
    </w:p>
    <w:p w:rsidR="001F2586" w:rsidRPr="001F2586" w:rsidP="001F2586">
      <w:pPr>
        <w:spacing w:line="269" w:lineRule="auto"/>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מהלוח עולה כי קיים גידול מתמיד במספר בעלי הרישיון, בכל סוגי הרישיון. כך, מספר בעלי הרישיון גדל בין השנים 2018 ל-2024 מ-157 רישיונו</w:t>
      </w:r>
      <w:r w:rsidRPr="001F2586">
        <w:rPr>
          <w:rFonts w:eastAsia="Calibri" w:hint="eastAsia"/>
          <w:b/>
          <w:bCs/>
          <w:rtl/>
        </w:rPr>
        <w:t>ת</w:t>
      </w:r>
      <w:r w:rsidRPr="001F2586">
        <w:rPr>
          <w:rFonts w:eastAsia="Calibri" w:hint="cs"/>
          <w:b/>
          <w:bCs/>
          <w:rtl/>
        </w:rPr>
        <w:t xml:space="preserve"> ל-1,536 רישיונות כלומר סך הרישיונות גדלו בכ-879%. בתחום המשכנתאות החוץ בנקאיות (כלומר חברות שחלק מ</w:t>
      </w:r>
      <w:r w:rsidRPr="001F2586">
        <w:rPr>
          <w:rFonts w:eastAsia="Calibri"/>
          <w:b/>
          <w:bCs/>
          <w:rtl/>
        </w:rPr>
        <w:t>עיסוקן הוא מימון אשראי מגובה נדל</w:t>
      </w:r>
      <w:r w:rsidRPr="001F2586">
        <w:rPr>
          <w:rFonts w:eastAsia="Calibri" w:hint="cs"/>
          <w:b/>
          <w:bCs/>
          <w:rtl/>
        </w:rPr>
        <w:t>"</w:t>
      </w:r>
      <w:r w:rsidRPr="001F2586">
        <w:rPr>
          <w:rFonts w:eastAsia="Calibri"/>
          <w:b/>
          <w:bCs/>
          <w:rtl/>
        </w:rPr>
        <w:t>ן</w:t>
      </w:r>
      <w:r w:rsidRPr="001F2586">
        <w:rPr>
          <w:rFonts w:eastAsia="Calibri" w:hint="cs"/>
          <w:b/>
          <w:bCs/>
          <w:rtl/>
        </w:rPr>
        <w:t>)</w:t>
      </w:r>
      <w:r w:rsidRPr="001F2586">
        <w:rPr>
          <w:rFonts w:eastAsia="Calibri"/>
          <w:b/>
          <w:bCs/>
          <w:rtl/>
        </w:rPr>
        <w:t xml:space="preserve"> </w:t>
      </w:r>
      <w:r w:rsidRPr="001F2586">
        <w:rPr>
          <w:rFonts w:eastAsia="Calibri" w:hint="cs"/>
          <w:b/>
          <w:bCs/>
          <w:rtl/>
        </w:rPr>
        <w:t>נדרש רישיון לאשראי בסיסי או אשראי מורחב, בשנת 2018 סך הרישיונו</w:t>
      </w:r>
      <w:r w:rsidRPr="001F2586">
        <w:rPr>
          <w:rFonts w:eastAsia="Calibri" w:hint="eastAsia"/>
          <w:b/>
          <w:bCs/>
          <w:rtl/>
        </w:rPr>
        <w:t>ת</w:t>
      </w:r>
      <w:r w:rsidRPr="001F2586">
        <w:rPr>
          <w:rFonts w:eastAsia="Calibri" w:hint="cs"/>
          <w:b/>
          <w:bCs/>
          <w:rtl/>
        </w:rPr>
        <w:t xml:space="preserve"> לאשראי בסיסי עמד על 86 רישיונו</w:t>
      </w:r>
      <w:r w:rsidRPr="001F2586">
        <w:rPr>
          <w:rFonts w:eastAsia="Calibri" w:hint="eastAsia"/>
          <w:b/>
          <w:bCs/>
          <w:rtl/>
        </w:rPr>
        <w:t>ת</w:t>
      </w:r>
      <w:r w:rsidRPr="001F2586">
        <w:rPr>
          <w:rFonts w:eastAsia="Calibri" w:hint="cs"/>
          <w:b/>
          <w:bCs/>
          <w:rtl/>
        </w:rPr>
        <w:t xml:space="preserve"> וסך הרישיונו</w:t>
      </w:r>
      <w:r w:rsidRPr="001F2586">
        <w:rPr>
          <w:rFonts w:eastAsia="Calibri" w:hint="eastAsia"/>
          <w:b/>
          <w:bCs/>
          <w:rtl/>
        </w:rPr>
        <w:t>ת</w:t>
      </w:r>
      <w:r w:rsidRPr="001F2586">
        <w:rPr>
          <w:rFonts w:eastAsia="Calibri" w:hint="cs"/>
          <w:b/>
          <w:bCs/>
          <w:rtl/>
        </w:rPr>
        <w:t xml:space="preserve"> לאשראי מורחב עמדו על 35 רישיונו</w:t>
      </w:r>
      <w:r w:rsidRPr="001F2586">
        <w:rPr>
          <w:rFonts w:eastAsia="Calibri" w:hint="eastAsia"/>
          <w:b/>
          <w:bCs/>
          <w:rtl/>
        </w:rPr>
        <w:t>ת</w:t>
      </w:r>
      <w:r w:rsidRPr="001F2586">
        <w:rPr>
          <w:rFonts w:eastAsia="Calibri" w:hint="cs"/>
          <w:b/>
          <w:bCs/>
          <w:rtl/>
        </w:rPr>
        <w:t>. בשנת 2024 סך הרישיונו</w:t>
      </w:r>
      <w:r w:rsidRPr="001F2586">
        <w:rPr>
          <w:rFonts w:eastAsia="Calibri" w:hint="eastAsia"/>
          <w:b/>
          <w:bCs/>
          <w:rtl/>
        </w:rPr>
        <w:t>ת</w:t>
      </w:r>
      <w:r w:rsidRPr="001F2586">
        <w:rPr>
          <w:rFonts w:eastAsia="Calibri" w:hint="cs"/>
          <w:b/>
          <w:bCs/>
          <w:rtl/>
        </w:rPr>
        <w:t xml:space="preserve"> לאשרא</w:t>
      </w:r>
      <w:r w:rsidRPr="001F2586">
        <w:rPr>
          <w:rFonts w:eastAsia="Calibri" w:hint="eastAsia"/>
          <w:b/>
          <w:bCs/>
          <w:rtl/>
        </w:rPr>
        <w:t>י</w:t>
      </w:r>
      <w:r w:rsidRPr="001F2586">
        <w:rPr>
          <w:rFonts w:eastAsia="Calibri" w:hint="cs"/>
          <w:b/>
          <w:bCs/>
          <w:rtl/>
        </w:rPr>
        <w:t xml:space="preserve"> בסיסי עמדו על 585 רישיונו</w:t>
      </w:r>
      <w:r w:rsidRPr="001F2586">
        <w:rPr>
          <w:rFonts w:eastAsia="Calibri" w:hint="eastAsia"/>
          <w:b/>
          <w:bCs/>
          <w:rtl/>
        </w:rPr>
        <w:t>ת</w:t>
      </w:r>
      <w:r w:rsidRPr="001F2586">
        <w:rPr>
          <w:rFonts w:eastAsia="Calibri" w:hint="cs"/>
          <w:b/>
          <w:bCs/>
          <w:rtl/>
        </w:rPr>
        <w:t xml:space="preserve"> ו-199 רישיונו</w:t>
      </w:r>
      <w:r w:rsidRPr="001F2586">
        <w:rPr>
          <w:rFonts w:eastAsia="Calibri" w:hint="eastAsia"/>
          <w:b/>
          <w:bCs/>
          <w:rtl/>
        </w:rPr>
        <w:t>ת</w:t>
      </w:r>
      <w:r w:rsidRPr="001F2586">
        <w:rPr>
          <w:rFonts w:eastAsia="Calibri" w:hint="cs"/>
          <w:b/>
          <w:bCs/>
          <w:rtl/>
        </w:rPr>
        <w:t xml:space="preserve"> לאשראי מורחב; וסה"כ שיעור השינוי ברישיונו</w:t>
      </w:r>
      <w:r w:rsidRPr="001F2586">
        <w:rPr>
          <w:rFonts w:eastAsia="Calibri" w:hint="eastAsia"/>
          <w:b/>
          <w:bCs/>
          <w:rtl/>
        </w:rPr>
        <w:t>ת</w:t>
      </w:r>
      <w:r w:rsidRPr="001F2586">
        <w:rPr>
          <w:rFonts w:eastAsia="Calibri" w:hint="cs"/>
          <w:b/>
          <w:bCs/>
          <w:rtl/>
        </w:rPr>
        <w:t xml:space="preserve"> אלה עומד על כ-580%</w:t>
      </w:r>
      <w:r w:rsidRPr="001F2586">
        <w:rPr>
          <w:rFonts w:eastAsia="Calibri" w:hint="cs"/>
          <w:b/>
          <w:bCs/>
        </w:rPr>
        <w:t xml:space="preserve"> </w:t>
      </w:r>
      <w:r w:rsidRPr="001F2586">
        <w:rPr>
          <w:rFonts w:eastAsia="Calibri" w:hint="cs"/>
          <w:b/>
          <w:bCs/>
          <w:rtl/>
        </w:rPr>
        <w:t>ו-468%</w:t>
      </w:r>
      <w:r w:rsidRPr="001F2586">
        <w:rPr>
          <w:rFonts w:eastAsia="Calibri"/>
          <w:b/>
          <w:bCs/>
        </w:rPr>
        <w:t xml:space="preserve"> </w:t>
      </w:r>
      <w:r w:rsidRPr="001F2586">
        <w:rPr>
          <w:rFonts w:eastAsia="Calibri" w:hint="cs"/>
          <w:b/>
          <w:bCs/>
          <w:rtl/>
        </w:rPr>
        <w:t xml:space="preserve">בהתאמה.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ניתוח הרכב תיק האשראי החוץ בנקאי בפילוח למוצרי האשראי השונים של בעלי הרישיונות המורחבים בשנת 2024:</w:t>
      </w:r>
    </w:p>
    <w:p w:rsidR="001F2586" w:rsidRPr="001F2586" w:rsidP="001F2586">
      <w:pPr>
        <w:spacing w:line="269" w:lineRule="auto"/>
        <w:rPr>
          <w:rFonts w:eastAsia="Calibri"/>
          <w:rtl/>
        </w:rPr>
      </w:pPr>
    </w:p>
    <w:p w:rsidR="001F2586" w:rsidRPr="001F2586" w:rsidP="006F0DF8">
      <w:pPr>
        <w:keepNext/>
        <w:keepLines/>
        <w:spacing w:line="269" w:lineRule="auto"/>
        <w:jc w:val="left"/>
        <w:rPr>
          <w:rFonts w:eastAsia="Calibri"/>
          <w:b/>
          <w:bCs/>
          <w:rtl/>
        </w:rPr>
      </w:pPr>
      <w:r w:rsidRPr="001F2586">
        <w:rPr>
          <w:rFonts w:eastAsia="Calibri" w:hint="cs"/>
          <w:rtl/>
        </w:rPr>
        <w:t>תרשים</w:t>
      </w:r>
      <w:r w:rsidRPr="001F2586">
        <w:rPr>
          <w:rFonts w:eastAsia="Calibri" w:hint="cs"/>
          <w:b/>
          <w:bCs/>
          <w:rtl/>
        </w:rPr>
        <w:t xml:space="preserve"> </w:t>
      </w:r>
      <w:r w:rsidRPr="001F2586">
        <w:rPr>
          <w:rFonts w:eastAsia="Calibri" w:hint="cs"/>
          <w:rtl/>
        </w:rPr>
        <w:t>67:</w:t>
      </w:r>
      <w:r w:rsidRPr="001F2586">
        <w:rPr>
          <w:rFonts w:eastAsia="Calibri" w:hint="cs"/>
          <w:b/>
          <w:bCs/>
          <w:rtl/>
        </w:rPr>
        <w:t xml:space="preserve"> הרכב תיק האשראי החוץ בנקאי (במיליארדי ש"ח), לפי סוג מוצר האשראי, 2024</w:t>
      </w:r>
    </w:p>
    <w:p w:rsidR="00260379" w:rsidP="001F2586">
      <w:pPr>
        <w:spacing w:line="269" w:lineRule="auto"/>
        <w:jc w:val="left"/>
        <w:rPr>
          <w:rFonts w:eastAsia="Calibri"/>
          <w:b/>
          <w:bCs/>
          <w:rtl/>
        </w:rPr>
      </w:pPr>
      <w:r w:rsidRPr="001F2586">
        <w:rPr>
          <w:rFonts w:eastAsia="Calibri"/>
          <w:b/>
          <w:bCs/>
          <w:noProof/>
          <w:rtl/>
          <w:lang w:val="he-IL"/>
        </w:rPr>
        <w:drawing>
          <wp:inline distT="0" distB="0" distL="0" distR="0">
            <wp:extent cx="5200650" cy="3486150"/>
            <wp:effectExtent l="0" t="0" r="0" b="0"/>
            <wp:docPr id="50" name="תמונה 50" descr="בתרשים ניתן לראות כי 72% מפעילות שוק האשראי החוץ בנקאי מתמקדת במתן הלוואות ישירות. כמו כן קיים נתח שוק של פתרונות מימון לעסקים, בעיקר בתחום ניכיון שיקים (כ-18% מתיק האשראי) וניכיונות שוברי אשראי  (כ-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רשים 67.GIF"/>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a:xfrm>
                      <a:off x="0" y="0"/>
                      <a:ext cx="5200650" cy="3486150"/>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המקור: דוח הממונה על רשות שוק ההון לשנת 2024, פרק 7 - שירותים פיננסיים מוסדרים, עמ' 99.</w:t>
      </w:r>
    </w:p>
    <w:p w:rsidR="001F2586" w:rsidRPr="001F2586" w:rsidP="001F2586">
      <w:pPr>
        <w:spacing w:line="269" w:lineRule="auto"/>
        <w:rPr>
          <w:rFonts w:eastAsia="Calibri"/>
          <w:szCs w:val="20"/>
          <w:rtl/>
        </w:rPr>
      </w:pPr>
    </w:p>
    <w:p w:rsidR="00B75928" w:rsidP="001F2586">
      <w:pPr>
        <w:spacing w:line="269" w:lineRule="auto"/>
        <w:rPr>
          <w:rFonts w:eastAsia="Calibri"/>
          <w:rtl/>
        </w:rPr>
      </w:pPr>
      <w:r w:rsidRPr="001F2586">
        <w:rPr>
          <w:rFonts w:eastAsia="Calibri" w:hint="cs"/>
          <w:b/>
          <w:bCs/>
          <w:rtl/>
        </w:rPr>
        <w:t>מהתרשים עולה כי 72% מפעילות שוק האשראי החוץ בנקאי מתמקדת במתן הלוואות ישירות. כמו כן קיים נתח שוק של פתרונות מימון לעסקים, בעיקר בתחום ניכיון שיקים (כ-18% מתיק האשראי) וניכיונות שוברי אשראי</w:t>
      </w:r>
      <w:r>
        <w:rPr>
          <w:rFonts w:eastAsia="Calibri"/>
          <w:b/>
          <w:bCs/>
          <w:vertAlign w:val="superscript"/>
          <w:rtl/>
        </w:rPr>
        <w:footnoteReference w:id="429"/>
      </w:r>
      <w:r w:rsidRPr="001F2586">
        <w:rPr>
          <w:rFonts w:eastAsia="Calibri" w:hint="cs"/>
          <w:b/>
          <w:bCs/>
          <w:rtl/>
        </w:rPr>
        <w:t xml:space="preserve"> (כ-9%).</w:t>
      </w:r>
    </w:p>
    <w:p w:rsidR="00B75928" w:rsidP="00B75928">
      <w:pPr>
        <w:pStyle w:val="a"/>
        <w:spacing w:line="360" w:lineRule="auto"/>
        <w:ind w:left="0"/>
        <w:rPr>
          <w:b/>
          <w:bCs/>
          <w:szCs w:val="24"/>
          <w:rtl/>
        </w:rPr>
      </w:pPr>
    </w:p>
    <w:p w:rsidR="00B75928" w:rsidP="0070405E">
      <w:pPr>
        <w:pStyle w:val="a"/>
        <w:spacing w:line="269" w:lineRule="auto"/>
        <w:ind w:left="0"/>
        <w:rPr>
          <w:b/>
          <w:bCs/>
          <w:rtl/>
        </w:rPr>
      </w:pPr>
      <w:r w:rsidRPr="00731ED5">
        <w:rPr>
          <w:rFonts w:hint="cs"/>
          <w:b/>
          <w:bCs/>
          <w:szCs w:val="24"/>
          <w:rtl/>
        </w:rPr>
        <w:t>נמצא כי הנתונים שנמצאים בידי רשות שוק ההון</w:t>
      </w:r>
      <w:r>
        <w:rPr>
          <w:rStyle w:val="FootnoteReference1"/>
          <w:b/>
          <w:bCs/>
          <w:rtl/>
        </w:rPr>
        <w:footnoteReference w:id="430"/>
      </w:r>
      <w:r w:rsidRPr="00731ED5">
        <w:rPr>
          <w:rStyle w:val="FootnoteReference1"/>
          <w:rFonts w:hint="cs"/>
          <w:rtl/>
        </w:rPr>
        <w:t xml:space="preserve"> </w:t>
      </w:r>
      <w:r w:rsidRPr="00731ED5">
        <w:rPr>
          <w:rFonts w:hint="cs"/>
          <w:b/>
          <w:bCs/>
          <w:szCs w:val="24"/>
          <w:rtl/>
        </w:rPr>
        <w:t>כוללים את כלל האשראי החוץ בנקאי, ואין בידיה נתונים פרטניים נפרדים אודות המשכנתאות החוץ בנקאיות, על אף שמדובר בתחום מהותי השונה במהותו מאשראי צרכני</w:t>
      </w:r>
      <w:r>
        <w:rPr>
          <w:rFonts w:hint="cs"/>
          <w:b/>
          <w:bCs/>
          <w:rtl/>
        </w:rPr>
        <w:t>.</w:t>
      </w:r>
    </w:p>
    <w:p w:rsidR="00B75928" w:rsidP="00B75928">
      <w:pPr>
        <w:pStyle w:val="a"/>
        <w:spacing w:line="360" w:lineRule="auto"/>
        <w:ind w:left="0"/>
        <w:rPr>
          <w:rFonts w:eastAsia="Calibri"/>
          <w:rtl/>
        </w:rPr>
      </w:pPr>
      <w:r w:rsidRPr="001F2586">
        <w:rPr>
          <w:rFonts w:eastAsia="Calibri" w:hint="cs"/>
          <w:rtl/>
        </w:rPr>
        <w:t xml:space="preserve"> </w:t>
      </w:r>
    </w:p>
    <w:p w:rsidR="00B75928" w:rsidRPr="00731ED5" w:rsidP="0070405E">
      <w:pPr>
        <w:pStyle w:val="a"/>
        <w:spacing w:line="269" w:lineRule="auto"/>
        <w:ind w:left="0"/>
        <w:rPr>
          <w:b/>
          <w:bCs/>
          <w:sz w:val="24"/>
          <w:szCs w:val="24"/>
          <w:rtl/>
        </w:rPr>
      </w:pPr>
      <w:r w:rsidRPr="00731ED5">
        <w:rPr>
          <w:rFonts w:hint="cs"/>
          <w:b/>
          <w:bCs/>
          <w:sz w:val="24"/>
          <w:szCs w:val="24"/>
          <w:rtl/>
        </w:rPr>
        <w:t xml:space="preserve">מומלץ כי </w:t>
      </w:r>
      <w:r w:rsidRPr="00731ED5">
        <w:rPr>
          <w:b/>
          <w:bCs/>
          <w:sz w:val="24"/>
          <w:szCs w:val="24"/>
          <w:rtl/>
        </w:rPr>
        <w:t xml:space="preserve">רשות שוק ההון </w:t>
      </w:r>
      <w:r w:rsidRPr="00731ED5">
        <w:rPr>
          <w:rFonts w:hint="cs"/>
          <w:b/>
          <w:bCs/>
          <w:sz w:val="24"/>
          <w:szCs w:val="24"/>
          <w:rtl/>
        </w:rPr>
        <w:t>ת</w:t>
      </w:r>
      <w:r w:rsidRPr="00731ED5">
        <w:rPr>
          <w:b/>
          <w:bCs/>
          <w:sz w:val="24"/>
          <w:szCs w:val="24"/>
          <w:rtl/>
        </w:rPr>
        <w:t>פעל לטיוב מסד הנתונים שברשותה, כך שיכלול הפרדה מובנית בין נתוני המשכנתאות החוץ-בנקאיות לבין כלל נתוני האשראי הצרכני</w:t>
      </w:r>
      <w:r w:rsidRPr="00731ED5">
        <w:rPr>
          <w:rFonts w:hint="cs"/>
          <w:b/>
          <w:bCs/>
          <w:sz w:val="24"/>
          <w:szCs w:val="24"/>
          <w:rtl/>
        </w:rPr>
        <w:t>. נוכח</w:t>
      </w:r>
      <w:r w:rsidRPr="00731ED5">
        <w:rPr>
          <w:b/>
          <w:bCs/>
          <w:sz w:val="24"/>
          <w:szCs w:val="24"/>
          <w:rtl/>
        </w:rPr>
        <w:t xml:space="preserve"> המהותיות של תחום המשכנתאות והשוני המהותי במאפייניו אל מול האשראי הצרכני, קיומם של נתונים נפרדים וייעודיים הינו הכרחי לצורך קיום פיקוח אפקטיבי וגיבוש תמונת מצב מדויקת של שוק </w:t>
      </w:r>
      <w:r w:rsidRPr="00731ED5">
        <w:rPr>
          <w:rFonts w:hint="cs"/>
          <w:b/>
          <w:bCs/>
          <w:sz w:val="24"/>
          <w:szCs w:val="24"/>
          <w:rtl/>
        </w:rPr>
        <w:t>האשראי.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hint="cs"/>
          <w:rtl/>
        </w:rPr>
        <w:t>הרשות ציינה בתשובתה ממאי 2026 (להלן - תשובת רשות שוק ההון)</w:t>
      </w:r>
      <w:r w:rsidRPr="001F2586">
        <w:rPr>
          <w:rFonts w:eastAsia="Calibri"/>
          <w:rtl/>
        </w:rPr>
        <w:t xml:space="preserve"> </w:t>
      </w:r>
      <w:r w:rsidRPr="001F2586">
        <w:rPr>
          <w:rFonts w:eastAsia="Calibri" w:hint="cs"/>
          <w:rtl/>
        </w:rPr>
        <w:t xml:space="preserve">כי היא פרסמה את הוראות חוזר 2022-10-14 "הוראות לבעלי רישיון למתן אשראי דיווח אשראי למפקח" ופועלת לטיוב הנתונים באמצעות מערכת דיווחים חדשה ומערכת </w:t>
      </w:r>
      <w:r w:rsidRPr="001F2586">
        <w:rPr>
          <w:rFonts w:eastAsia="Calibri" w:hint="cs"/>
        </w:rPr>
        <w:t>BI</w:t>
      </w:r>
      <w:r w:rsidRPr="001F2586">
        <w:rPr>
          <w:rFonts w:eastAsia="Calibri" w:hint="cs"/>
          <w:rtl/>
        </w:rPr>
        <w:t xml:space="preserve"> המאפשרת בקרה משותפת, כמו ניטור חשיפות, רמות מינוף וחובות בפיגורים. הדיווח הראשון מכוח חוזר הדיווח היה ביום 31.03.2024.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סך האשראי החוץ בנקאי עמד על כ-64.38 מיליארד </w:t>
      </w:r>
      <w:r w:rsidRPr="001F2586">
        <w:rPr>
          <w:rFonts w:eastAsia="Calibri" w:hint="cs"/>
          <w:rtl/>
        </w:rPr>
        <w:t>ש"ח בשנת 2024</w:t>
      </w:r>
      <w:r w:rsidRPr="001F2586">
        <w:rPr>
          <w:rFonts w:eastAsia="Calibri"/>
          <w:rtl/>
        </w:rPr>
        <w:t xml:space="preserve">. </w:t>
      </w:r>
      <w:r w:rsidRPr="001F2586">
        <w:rPr>
          <w:rFonts w:eastAsia="Calibri" w:hint="cs"/>
          <w:rtl/>
        </w:rPr>
        <w:t>להלן פילוח תיק האשראי החוץ בנקאי לפי ענפי המשק נכון לסוף שנת 2024:</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b/>
          <w:bCs/>
          <w:rtl/>
        </w:rPr>
      </w:pPr>
      <w:r w:rsidRPr="001F2586">
        <w:rPr>
          <w:rFonts w:eastAsia="Calibri" w:hint="cs"/>
          <w:rtl/>
        </w:rPr>
        <w:t>תרשים 68:</w:t>
      </w:r>
      <w:r w:rsidRPr="001F2586">
        <w:rPr>
          <w:rFonts w:eastAsia="Calibri" w:hint="cs"/>
          <w:b/>
          <w:bCs/>
          <w:rtl/>
        </w:rPr>
        <w:t xml:space="preserve"> פילוח תיק האשראי החוץ בנקאי לשנת 2024 במיליארד</w:t>
      </w:r>
      <w:r w:rsidRPr="001F2586">
        <w:rPr>
          <w:rFonts w:eastAsia="Calibri" w:hint="eastAsia"/>
          <w:b/>
          <w:bCs/>
          <w:rtl/>
        </w:rPr>
        <w:t>י</w:t>
      </w:r>
      <w:r w:rsidRPr="001F2586">
        <w:rPr>
          <w:rFonts w:eastAsia="Calibri" w:hint="cs"/>
          <w:b/>
          <w:bCs/>
          <w:rtl/>
        </w:rPr>
        <w:t xml:space="preserve"> ש"ח</w:t>
      </w:r>
    </w:p>
    <w:p w:rsidR="001F2586" w:rsidRPr="001F2586" w:rsidP="001F2586">
      <w:pPr>
        <w:spacing w:line="269" w:lineRule="auto"/>
        <w:rPr>
          <w:rFonts w:eastAsia="Calibri"/>
          <w:rtl/>
        </w:rPr>
      </w:pPr>
      <w:r w:rsidRPr="001F2586">
        <w:rPr>
          <w:rFonts w:eastAsia="Calibri"/>
          <w:noProof/>
          <w:rtl/>
          <w:lang w:val="he-IL"/>
        </w:rPr>
        <w:drawing>
          <wp:inline distT="0" distB="0" distL="0" distR="0">
            <wp:extent cx="5220335" cy="2725387"/>
            <wp:effectExtent l="0" t="0" r="18415" b="18415"/>
            <wp:docPr id="94" name="תרשים 94" descr="ראה תיאור למטה "/>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F2586" w:rsidRPr="001F2586" w:rsidP="001F2586">
      <w:pPr>
        <w:spacing w:line="269" w:lineRule="auto"/>
        <w:rPr>
          <w:rFonts w:eastAsia="Calibri"/>
          <w:szCs w:val="20"/>
          <w:rtl/>
        </w:rPr>
      </w:pPr>
      <w:bookmarkStart w:id="95" w:name="_Hlk216342625"/>
      <w:r w:rsidRPr="001F2586">
        <w:rPr>
          <w:rFonts w:eastAsia="Calibri" w:hint="cs"/>
          <w:szCs w:val="20"/>
          <w:rtl/>
        </w:rPr>
        <w:t>המקור: דוח הממונה על רשות שוק ההון לשנת 2024, פרק 7 - שירותים פיננסיים מוסדרים, עמ' 100.</w:t>
      </w:r>
    </w:p>
    <w:bookmarkEnd w:id="95"/>
    <w:p w:rsidR="00260379" w:rsidP="001F2586">
      <w:pPr>
        <w:spacing w:line="269" w:lineRule="auto"/>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מהלוח עולה כי התחום המוביל והבולט בתיק האשראי החוץ בנקאי הוא תחום הנדל"ן, שהיקפו כ-28.4 מיליארד ש"ח, כ-44.1%</w:t>
      </w:r>
      <w:r w:rsidRPr="001F2586">
        <w:rPr>
          <w:rFonts w:eastAsia="Calibri" w:hint="cs"/>
          <w:b/>
          <w:bCs/>
        </w:rPr>
        <w:t xml:space="preserve"> </w:t>
      </w:r>
      <w:r w:rsidRPr="001F2586">
        <w:rPr>
          <w:rFonts w:eastAsia="Calibri" w:hint="cs"/>
          <w:b/>
          <w:bCs/>
          <w:rtl/>
        </w:rPr>
        <w:t>מסך האשראי הכולל. תחום זה מורכב משני ענפים עיקריים: ענף הבינוי והנדל"ן, המתאפיין באשראי עסקי בהיקף של כ-22.9 מיליארד ש"ח, וענף "אנשים פרטים - לדיור", המתאפיין בעיקר באשראי צרכני, בהיקף של כ-5.5 מיליארד ש"ח</w:t>
      </w:r>
      <w:r>
        <w:rPr>
          <w:rFonts w:eastAsia="Calibri"/>
          <w:b/>
          <w:bCs/>
          <w:vertAlign w:val="superscript"/>
          <w:rtl/>
        </w:rPr>
        <w:footnoteReference w:id="431"/>
      </w:r>
      <w:r w:rsidRPr="001F2586">
        <w:rPr>
          <w:rFonts w:eastAsia="Calibri" w:hint="cs"/>
          <w:b/>
          <w:bCs/>
          <w:rtl/>
        </w:rPr>
        <w:t>. עוד עולה מהתרשים כי היקף האשראי הצרכני החוץ בנקאי שניתן בשנת 2024 לאנשים פרטיים היה כ-18.7 מיליארד ש"ח, מתוכו כאמור כ-5.5 מיליארד ש"ח לדיור, ו-13.2 מיליארד ש"ח שאינו לדיור. כלומר, כ-29%</w:t>
      </w:r>
      <w:r w:rsidRPr="001F2586">
        <w:rPr>
          <w:rFonts w:eastAsia="Calibri" w:hint="cs"/>
          <w:b/>
          <w:bCs/>
        </w:rPr>
        <w:t xml:space="preserve"> </w:t>
      </w:r>
      <w:r w:rsidRPr="001F2586">
        <w:rPr>
          <w:rFonts w:eastAsia="Calibri" w:hint="cs"/>
          <w:b/>
          <w:bCs/>
          <w:rtl/>
        </w:rPr>
        <w:t>משוק האשראי החוץ בנקאי מופנה ללקוחות פרטיים.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בהתאם לנתוני בנק ישראל, יתרת החוב הכולל (לדיור ושלא לדיור) של משקי הבית עלתה במהלך שנת 2024 בהיקף של כ-52 מיליארד ש"ח לכ-845 מיליארד ש"ח</w:t>
      </w:r>
      <w:r>
        <w:rPr>
          <w:rFonts w:eastAsia="Calibri"/>
          <w:vertAlign w:val="superscript"/>
          <w:rtl/>
        </w:rPr>
        <w:footnoteReference w:id="432"/>
      </w:r>
      <w:r w:rsidRPr="001F2586">
        <w:rPr>
          <w:rFonts w:eastAsia="Calibri" w:hint="cs"/>
          <w:rtl/>
        </w:rPr>
        <w:t xml:space="preserve">. מגמת הגידול </w:t>
      </w:r>
      <w:r w:rsidRPr="001F2586">
        <w:rPr>
          <w:rFonts w:eastAsia="Calibri"/>
          <w:rtl/>
        </w:rPr>
        <w:t>בחוב של משקי הבית מתרכז בעיקר באשראי לדיור כפי שעולה מנתונים לשנים 2019 - 2025</w:t>
      </w:r>
      <w:r>
        <w:rPr>
          <w:rFonts w:eastAsia="Calibri"/>
          <w:vertAlign w:val="superscript"/>
          <w:rtl/>
        </w:rPr>
        <w:footnoteReference w:id="433"/>
      </w:r>
      <w:r w:rsidRPr="001F2586">
        <w:rPr>
          <w:rFonts w:eastAsia="Calibri"/>
          <w:rtl/>
        </w:rPr>
        <w:t xml:space="preserve"> </w:t>
      </w:r>
      <w:r w:rsidRPr="001F2586">
        <w:rPr>
          <w:rFonts w:eastAsia="Calibri" w:hint="cs"/>
          <w:rtl/>
        </w:rPr>
        <w:t xml:space="preserve">שכן </w:t>
      </w:r>
      <w:r w:rsidRPr="001F2586">
        <w:rPr>
          <w:rFonts w:eastAsia="Calibri"/>
          <w:rtl/>
        </w:rPr>
        <w:t>תחום הנדל"ן</w:t>
      </w:r>
      <w:r w:rsidRPr="001F2586">
        <w:rPr>
          <w:rFonts w:eastAsia="Calibri" w:hint="cs"/>
          <w:rtl/>
        </w:rPr>
        <w:t xml:space="preserve"> </w:t>
      </w:r>
      <w:r w:rsidRPr="001F2586">
        <w:rPr>
          <w:rFonts w:eastAsia="Calibri"/>
          <w:rtl/>
        </w:rPr>
        <w:t xml:space="preserve">בכללותו חווה צמיחה וגידול משמעותי בנפח הפעילות בשנים האחרונות, </w:t>
      </w:r>
      <w:r w:rsidRPr="001F2586">
        <w:rPr>
          <w:rFonts w:eastAsia="Calibri" w:hint="cs"/>
          <w:rtl/>
        </w:rPr>
        <w:t>דבר</w:t>
      </w:r>
      <w:r w:rsidRPr="001F2586">
        <w:rPr>
          <w:rFonts w:eastAsia="Calibri"/>
          <w:rtl/>
        </w:rPr>
        <w:t xml:space="preserve"> </w:t>
      </w:r>
      <w:r w:rsidRPr="001F2586">
        <w:rPr>
          <w:rFonts w:eastAsia="Calibri" w:hint="cs"/>
          <w:rtl/>
        </w:rPr>
        <w:t>שאפשר</w:t>
      </w:r>
      <w:r w:rsidRPr="001F2586">
        <w:rPr>
          <w:rFonts w:eastAsia="Calibri"/>
          <w:rtl/>
        </w:rPr>
        <w:t xml:space="preserve"> לחברות</w:t>
      </w:r>
      <w:r w:rsidRPr="001F2586">
        <w:rPr>
          <w:rFonts w:eastAsia="Calibri" w:hint="cs"/>
          <w:rtl/>
        </w:rPr>
        <w:t xml:space="preserve"> חוץ בנקאיות</w:t>
      </w:r>
      <w:r w:rsidRPr="001F2586">
        <w:rPr>
          <w:rFonts w:eastAsia="Calibri"/>
          <w:rtl/>
        </w:rPr>
        <w:t xml:space="preserve"> </w:t>
      </w:r>
      <w:r w:rsidRPr="001F2586">
        <w:rPr>
          <w:rFonts w:eastAsia="Calibri" w:hint="cs"/>
          <w:rtl/>
        </w:rPr>
        <w:t xml:space="preserve">נוספות </w:t>
      </w:r>
      <w:r w:rsidRPr="001F2586">
        <w:rPr>
          <w:rFonts w:eastAsia="Calibri"/>
          <w:rtl/>
        </w:rPr>
        <w:t>להיכנס לתחום</w:t>
      </w:r>
      <w:r w:rsidRPr="001F2586">
        <w:rPr>
          <w:rFonts w:eastAsia="Calibri" w:hint="cs"/>
          <w:rtl/>
        </w:rPr>
        <w:t xml:space="preserve"> המשכנתאות</w:t>
      </w:r>
      <w:r w:rsidRPr="001F2586">
        <w:rPr>
          <w:rFonts w:eastAsia="Calibri"/>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להלן נתונים אודות שיעורי הריבית השנתית שנגבו ביחס לזרם האשראי החוץ בנקאי</w:t>
      </w:r>
      <w:r>
        <w:rPr>
          <w:rFonts w:eastAsia="Calibri"/>
          <w:b/>
          <w:bCs/>
          <w:vertAlign w:val="superscript"/>
          <w:rtl/>
        </w:rPr>
        <w:footnoteReference w:id="434"/>
      </w:r>
      <w:r w:rsidRPr="001F2586">
        <w:rPr>
          <w:rFonts w:eastAsia="Calibri" w:hint="cs"/>
          <w:rtl/>
        </w:rPr>
        <w:t>, תוך הבחנה בין הלוואות צמודות למדד המחירים לצרכן והלוואות שאינן צמודות</w:t>
      </w:r>
      <w:r>
        <w:rPr>
          <w:rFonts w:eastAsia="Calibri"/>
          <w:vertAlign w:val="superscript"/>
          <w:rtl/>
        </w:rPr>
        <w:footnoteReference w:id="435"/>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b/>
          <w:bCs/>
          <w:rtl/>
        </w:rPr>
      </w:pPr>
      <w:r w:rsidRPr="001F2586">
        <w:rPr>
          <w:rFonts w:eastAsia="Calibri" w:hint="cs"/>
          <w:rtl/>
        </w:rPr>
        <w:t>תרשים 69:</w:t>
      </w:r>
      <w:r w:rsidRPr="001F2586">
        <w:rPr>
          <w:rFonts w:eastAsia="Calibri" w:hint="cs"/>
          <w:b/>
          <w:bCs/>
          <w:rtl/>
        </w:rPr>
        <w:t xml:space="preserve"> התפלגות </w:t>
      </w:r>
      <w:r w:rsidRPr="001F2586">
        <w:rPr>
          <w:rFonts w:eastAsia="Calibri" w:hint="eastAsia"/>
          <w:b/>
          <w:bCs/>
          <w:rtl/>
        </w:rPr>
        <w:t>זרם</w:t>
      </w:r>
      <w:r w:rsidRPr="001F2586">
        <w:rPr>
          <w:rFonts w:eastAsia="Calibri" w:hint="cs"/>
          <w:b/>
          <w:bCs/>
          <w:rtl/>
        </w:rPr>
        <w:t xml:space="preserve"> האשראי החוץ בנקאי, לפי אחוזי הריבית השנתית, בחלוקה לריבית שקלית וצמודות מדד, 2024 (באחוזים)</w:t>
      </w:r>
    </w:p>
    <w:p w:rsidR="001F2586" w:rsidRPr="001F2586" w:rsidP="001F2586">
      <w:pPr>
        <w:spacing w:line="269" w:lineRule="auto"/>
        <w:jc w:val="center"/>
        <w:rPr>
          <w:rFonts w:eastAsia="Calibri"/>
          <w:b/>
          <w:bCs/>
          <w:rtl/>
        </w:rPr>
      </w:pPr>
      <w:r w:rsidRPr="001F2586">
        <w:rPr>
          <w:rFonts w:eastAsia="Calibri"/>
          <w:b/>
          <w:bCs/>
          <w:noProof/>
          <w:rtl/>
          <w:lang w:val="he-IL"/>
        </w:rPr>
        <w:drawing>
          <wp:inline distT="0" distB="0" distL="0" distR="0">
            <wp:extent cx="5220335" cy="3119120"/>
            <wp:effectExtent l="0" t="0" r="0" b="5080"/>
            <wp:docPr id="1424464160" name="תמונה 53" descr="התיאור מופיע בהמש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64160" name="תרשים 69.GIF"/>
                    <pic:cNvPicPr/>
                  </pic:nvPicPr>
                  <pic:blipFill>
                    <a:blip xmlns:r="http://schemas.openxmlformats.org/officeDocument/2006/relationships" r:embed="rId88">
                      <a:extLst>
                        <a:ext xmlns:a="http://schemas.openxmlformats.org/drawingml/2006/main" uri="{28A0092B-C50C-407E-A947-70E740481C1C}">
                          <a14:useLocalDpi xmlns:a14="http://schemas.microsoft.com/office/drawing/2010/main" val="0"/>
                        </a:ext>
                      </a:extLst>
                    </a:blip>
                    <a:stretch>
                      <a:fillRect/>
                    </a:stretch>
                  </pic:blipFill>
                  <pic:spPr>
                    <a:xfrm>
                      <a:off x="0" y="0"/>
                      <a:ext cx="5220335" cy="3119120"/>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szCs w:val="20"/>
          <w:rtl/>
        </w:rPr>
        <w:t>המקור: דוח הממונה על רשות שוק ההון לשנת 2024, פרק 7 - שירותים פיננסיים מוסדרים, עמ</w:t>
      </w:r>
      <w:r w:rsidRPr="001F2586">
        <w:rPr>
          <w:rFonts w:eastAsia="Calibri" w:hint="cs"/>
          <w:szCs w:val="20"/>
          <w:rtl/>
        </w:rPr>
        <w:t>'</w:t>
      </w:r>
      <w:r w:rsidRPr="001F2586">
        <w:rPr>
          <w:rFonts w:eastAsia="Calibri"/>
          <w:szCs w:val="20"/>
          <w:rtl/>
        </w:rPr>
        <w:t xml:space="preserve"> </w:t>
      </w:r>
      <w:r w:rsidRPr="001F2586">
        <w:rPr>
          <w:rFonts w:eastAsia="Calibri" w:hint="cs"/>
          <w:szCs w:val="20"/>
          <w:rtl/>
        </w:rPr>
        <w:t>101.</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outlineLvl w:val="4"/>
        <w:rPr>
          <w:rFonts w:eastAsia="Calibri"/>
          <w:b/>
          <w:bCs/>
          <w:rtl/>
        </w:rPr>
      </w:pPr>
      <w:r w:rsidRPr="001F2586">
        <w:rPr>
          <w:rFonts w:eastAsia="Calibri" w:hint="eastAsia"/>
          <w:b/>
          <w:bCs/>
          <w:rtl/>
        </w:rPr>
        <w:t>מהתרשים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שוק</w:t>
      </w:r>
      <w:r w:rsidRPr="001F2586">
        <w:rPr>
          <w:rFonts w:eastAsia="Calibri"/>
          <w:b/>
          <w:bCs/>
          <w:rtl/>
        </w:rPr>
        <w:t xml:space="preserve"> </w:t>
      </w:r>
      <w:r w:rsidRPr="001F2586">
        <w:rPr>
          <w:rFonts w:eastAsia="Calibri" w:hint="eastAsia"/>
          <w:b/>
          <w:bCs/>
          <w:rtl/>
        </w:rPr>
        <w:t>האשראי</w:t>
      </w:r>
      <w:r w:rsidRPr="001F2586">
        <w:rPr>
          <w:rFonts w:eastAsia="Calibri"/>
          <w:b/>
          <w:bCs/>
          <w:rtl/>
        </w:rPr>
        <w:t xml:space="preserve"> </w:t>
      </w:r>
      <w:r w:rsidRPr="001F2586">
        <w:rPr>
          <w:rFonts w:eastAsia="Calibri" w:hint="eastAsia"/>
          <w:b/>
          <w:bCs/>
          <w:rtl/>
        </w:rPr>
        <w:t>החוץ</w:t>
      </w:r>
      <w:r w:rsidRPr="001F2586">
        <w:rPr>
          <w:rFonts w:eastAsia="Calibri"/>
          <w:b/>
          <w:bCs/>
          <w:rtl/>
        </w:rPr>
        <w:t xml:space="preserve"> </w:t>
      </w:r>
      <w:r w:rsidRPr="001F2586">
        <w:rPr>
          <w:rFonts w:eastAsia="Calibri" w:hint="eastAsia"/>
          <w:b/>
          <w:bCs/>
          <w:rtl/>
        </w:rPr>
        <w:t>בנקאי</w:t>
      </w:r>
      <w:r w:rsidRPr="001F2586">
        <w:rPr>
          <w:rFonts w:eastAsia="Calibri"/>
          <w:b/>
          <w:bCs/>
          <w:rtl/>
        </w:rPr>
        <w:t xml:space="preserve"> </w:t>
      </w:r>
      <w:r w:rsidRPr="001F2586">
        <w:rPr>
          <w:rFonts w:eastAsia="Calibri" w:hint="eastAsia"/>
          <w:b/>
          <w:bCs/>
          <w:rtl/>
        </w:rPr>
        <w:t>מאופיין</w:t>
      </w:r>
      <w:r w:rsidRPr="001F2586">
        <w:rPr>
          <w:rFonts w:eastAsia="Calibri"/>
          <w:b/>
          <w:bCs/>
          <w:rtl/>
        </w:rPr>
        <w:t xml:space="preserve"> </w:t>
      </w:r>
      <w:r w:rsidRPr="001F2586">
        <w:rPr>
          <w:rFonts w:eastAsia="Calibri" w:hint="eastAsia"/>
          <w:b/>
          <w:bCs/>
          <w:rtl/>
        </w:rPr>
        <w:t>בפריסה</w:t>
      </w:r>
      <w:r w:rsidRPr="001F2586">
        <w:rPr>
          <w:rFonts w:eastAsia="Calibri"/>
          <w:b/>
          <w:bCs/>
          <w:rtl/>
        </w:rPr>
        <w:t xml:space="preserve"> </w:t>
      </w:r>
      <w:r w:rsidRPr="001F2586">
        <w:rPr>
          <w:rFonts w:eastAsia="Calibri" w:hint="eastAsia"/>
          <w:b/>
          <w:bCs/>
          <w:rtl/>
        </w:rPr>
        <w:t>רחבה</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שיעורי</w:t>
      </w:r>
      <w:r w:rsidRPr="001F2586">
        <w:rPr>
          <w:rFonts w:eastAsia="Calibri"/>
          <w:b/>
          <w:bCs/>
          <w:rtl/>
        </w:rPr>
        <w:t xml:space="preserve"> </w:t>
      </w:r>
      <w:r w:rsidRPr="001F2586">
        <w:rPr>
          <w:rFonts w:eastAsia="Calibri" w:hint="eastAsia"/>
          <w:b/>
          <w:bCs/>
          <w:rtl/>
        </w:rPr>
        <w:t>ריבית</w:t>
      </w:r>
      <w:r w:rsidRPr="001F2586">
        <w:rPr>
          <w:rFonts w:eastAsia="Calibri"/>
          <w:b/>
          <w:bCs/>
          <w:rtl/>
        </w:rPr>
        <w:t xml:space="preserve">, </w:t>
      </w:r>
      <w:r w:rsidRPr="001F2586">
        <w:rPr>
          <w:rFonts w:eastAsia="Calibri" w:hint="eastAsia"/>
          <w:b/>
          <w:bCs/>
          <w:rtl/>
        </w:rPr>
        <w:t>החל</w:t>
      </w:r>
      <w:r w:rsidRPr="001F2586">
        <w:rPr>
          <w:rFonts w:eastAsia="Calibri"/>
          <w:b/>
          <w:bCs/>
          <w:rtl/>
        </w:rPr>
        <w:t xml:space="preserve"> </w:t>
      </w:r>
      <w:r w:rsidRPr="001F2586">
        <w:rPr>
          <w:rFonts w:eastAsia="Calibri" w:hint="eastAsia"/>
          <w:b/>
          <w:bCs/>
          <w:rtl/>
        </w:rPr>
        <w:t>מריבית</w:t>
      </w:r>
      <w:r w:rsidRPr="001F2586">
        <w:rPr>
          <w:rFonts w:eastAsia="Calibri"/>
          <w:b/>
          <w:bCs/>
          <w:rtl/>
        </w:rPr>
        <w:t xml:space="preserve"> </w:t>
      </w:r>
      <w:r w:rsidRPr="001F2586">
        <w:rPr>
          <w:rFonts w:eastAsia="Calibri" w:hint="eastAsia"/>
          <w:b/>
          <w:bCs/>
          <w:rtl/>
        </w:rPr>
        <w:t>נמוכה</w:t>
      </w:r>
      <w:r w:rsidRPr="001F2586">
        <w:rPr>
          <w:rFonts w:eastAsia="Calibri"/>
          <w:b/>
          <w:bCs/>
          <w:rtl/>
        </w:rPr>
        <w:t xml:space="preserve"> </w:t>
      </w:r>
      <w:r w:rsidRPr="001F2586">
        <w:rPr>
          <w:rFonts w:eastAsia="Calibri" w:hint="eastAsia"/>
          <w:b/>
          <w:bCs/>
          <w:rtl/>
        </w:rPr>
        <w:t>מאוד</w:t>
      </w:r>
      <w:r w:rsidRPr="001F2586">
        <w:rPr>
          <w:rFonts w:eastAsia="Calibri"/>
          <w:b/>
          <w:bCs/>
          <w:rtl/>
        </w:rPr>
        <w:t xml:space="preserve"> </w:t>
      </w:r>
      <w:r w:rsidRPr="001F2586">
        <w:rPr>
          <w:rFonts w:eastAsia="Calibri" w:hint="eastAsia"/>
          <w:b/>
          <w:bCs/>
          <w:rtl/>
        </w:rPr>
        <w:t>ועד</w:t>
      </w:r>
      <w:r w:rsidRPr="001F2586">
        <w:rPr>
          <w:rFonts w:eastAsia="Calibri"/>
          <w:b/>
          <w:bCs/>
          <w:rtl/>
        </w:rPr>
        <w:t xml:space="preserve"> </w:t>
      </w:r>
      <w:r w:rsidRPr="001F2586">
        <w:rPr>
          <w:rFonts w:eastAsia="Calibri" w:hint="eastAsia"/>
          <w:b/>
          <w:bCs/>
          <w:rtl/>
        </w:rPr>
        <w:t>ריבית</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יותר</w:t>
      </w:r>
      <w:r w:rsidRPr="001F2586">
        <w:rPr>
          <w:rFonts w:eastAsia="Calibri"/>
          <w:b/>
          <w:bCs/>
          <w:rtl/>
        </w:rPr>
        <w:t xml:space="preserve"> </w:t>
      </w:r>
      <w:r w:rsidRPr="001F2586">
        <w:rPr>
          <w:rFonts w:eastAsia="Calibri" w:hint="eastAsia"/>
          <w:b/>
          <w:bCs/>
          <w:rtl/>
        </w:rPr>
        <w:t>מ</w:t>
      </w:r>
      <w:r w:rsidRPr="001F2586">
        <w:rPr>
          <w:rFonts w:eastAsia="Calibri"/>
          <w:b/>
          <w:bCs/>
          <w:rtl/>
        </w:rPr>
        <w:t xml:space="preserve">-30% </w:t>
      </w:r>
      <w:r w:rsidRPr="001F2586">
        <w:rPr>
          <w:rFonts w:eastAsia="Calibri" w:hint="eastAsia"/>
          <w:b/>
          <w:bCs/>
          <w:rtl/>
        </w:rPr>
        <w:t>בחישוב</w:t>
      </w:r>
      <w:r w:rsidRPr="001F2586">
        <w:rPr>
          <w:rFonts w:eastAsia="Calibri"/>
          <w:b/>
          <w:bCs/>
          <w:rtl/>
        </w:rPr>
        <w:t xml:space="preserve"> </w:t>
      </w:r>
      <w:r w:rsidRPr="001F2586">
        <w:rPr>
          <w:rFonts w:eastAsia="Calibri" w:hint="eastAsia"/>
          <w:b/>
          <w:bCs/>
          <w:rtl/>
        </w:rPr>
        <w:t>שנתי</w:t>
      </w:r>
      <w:r w:rsidRPr="001F2586">
        <w:rPr>
          <w:rFonts w:eastAsia="Calibri" w:hint="cs"/>
          <w:b/>
          <w:bCs/>
          <w:rtl/>
        </w:rPr>
        <w:t>.</w:t>
      </w:r>
      <w:r w:rsidRPr="001F2586">
        <w:rPr>
          <w:rFonts w:eastAsia="Calibri"/>
          <w:b/>
          <w:bCs/>
          <w:rtl/>
        </w:rPr>
        <w:t xml:space="preserve"> </w:t>
      </w:r>
      <w:r w:rsidRPr="001F2586">
        <w:rPr>
          <w:rFonts w:eastAsia="Calibri" w:hint="eastAsia"/>
          <w:b/>
          <w:bCs/>
          <w:rtl/>
        </w:rPr>
        <w:t>עוד</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מנתוני</w:t>
      </w:r>
      <w:r w:rsidRPr="001F2586">
        <w:rPr>
          <w:rFonts w:eastAsia="Calibri"/>
          <w:b/>
          <w:bCs/>
          <w:rtl/>
        </w:rPr>
        <w:t xml:space="preserve"> </w:t>
      </w:r>
      <w:r w:rsidRPr="001F2586">
        <w:rPr>
          <w:rFonts w:eastAsia="Calibri" w:hint="eastAsia"/>
          <w:b/>
          <w:bCs/>
          <w:rtl/>
        </w:rPr>
        <w:t>רשות</w:t>
      </w:r>
      <w:r w:rsidRPr="001F2586">
        <w:rPr>
          <w:rFonts w:eastAsia="Calibri"/>
          <w:b/>
          <w:bCs/>
          <w:rtl/>
        </w:rPr>
        <w:t xml:space="preserve"> </w:t>
      </w:r>
      <w:r w:rsidRPr="001F2586">
        <w:rPr>
          <w:rFonts w:eastAsia="Calibri" w:hint="eastAsia"/>
          <w:b/>
          <w:bCs/>
          <w:rtl/>
        </w:rPr>
        <w:t>שוק</w:t>
      </w:r>
      <w:r w:rsidRPr="001F2586">
        <w:rPr>
          <w:rFonts w:eastAsia="Calibri"/>
          <w:b/>
          <w:bCs/>
          <w:rtl/>
        </w:rPr>
        <w:t xml:space="preserve"> </w:t>
      </w:r>
      <w:r w:rsidRPr="001F2586">
        <w:rPr>
          <w:rFonts w:eastAsia="Calibri" w:hint="eastAsia"/>
          <w:b/>
          <w:bCs/>
          <w:rtl/>
        </w:rPr>
        <w:t>ההון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כ</w:t>
      </w:r>
      <w:r w:rsidRPr="001F2586">
        <w:rPr>
          <w:rFonts w:eastAsia="Calibri"/>
          <w:b/>
          <w:bCs/>
          <w:rtl/>
        </w:rPr>
        <w:t>-80%</w:t>
      </w:r>
      <w:r w:rsidRPr="001F2586">
        <w:rPr>
          <w:rFonts w:eastAsia="Calibri"/>
          <w:b/>
          <w:bCs/>
        </w:rPr>
        <w:t xml:space="preserve"> </w:t>
      </w:r>
      <w:r w:rsidRPr="001F2586">
        <w:rPr>
          <w:rFonts w:eastAsia="Calibri" w:hint="eastAsia"/>
          <w:b/>
          <w:bCs/>
          <w:rtl/>
        </w:rPr>
        <w:t>מזרם</w:t>
      </w:r>
      <w:r w:rsidRPr="001F2586">
        <w:rPr>
          <w:rFonts w:eastAsia="Calibri"/>
          <w:b/>
          <w:bCs/>
          <w:rtl/>
        </w:rPr>
        <w:t xml:space="preserve"> </w:t>
      </w:r>
      <w:r w:rsidRPr="001F2586">
        <w:rPr>
          <w:rFonts w:eastAsia="Calibri" w:hint="eastAsia"/>
          <w:b/>
          <w:bCs/>
          <w:rtl/>
        </w:rPr>
        <w:t>האשראי</w:t>
      </w:r>
      <w:r w:rsidRPr="001F2586">
        <w:rPr>
          <w:rFonts w:eastAsia="Calibri"/>
          <w:b/>
          <w:bCs/>
          <w:rtl/>
        </w:rPr>
        <w:t xml:space="preserve"> </w:t>
      </w:r>
      <w:r w:rsidRPr="001F2586">
        <w:rPr>
          <w:rFonts w:eastAsia="Calibri" w:hint="eastAsia"/>
          <w:b/>
          <w:bCs/>
          <w:rtl/>
        </w:rPr>
        <w:t>החוץ</w:t>
      </w:r>
      <w:r w:rsidRPr="001F2586">
        <w:rPr>
          <w:rFonts w:eastAsia="Calibri"/>
          <w:b/>
          <w:bCs/>
          <w:rtl/>
        </w:rPr>
        <w:t xml:space="preserve"> </w:t>
      </w:r>
      <w:r w:rsidRPr="001F2586">
        <w:rPr>
          <w:rFonts w:eastAsia="Calibri" w:hint="eastAsia"/>
          <w:b/>
          <w:bCs/>
          <w:rtl/>
        </w:rPr>
        <w:t>בנקאי</w:t>
      </w:r>
      <w:r w:rsidRPr="001F2586">
        <w:rPr>
          <w:rFonts w:eastAsia="Calibri"/>
          <w:b/>
          <w:bCs/>
          <w:rtl/>
        </w:rPr>
        <w:t xml:space="preserve"> </w:t>
      </w:r>
      <w:r w:rsidRPr="001F2586">
        <w:rPr>
          <w:rFonts w:eastAsia="Calibri" w:hint="eastAsia"/>
          <w:b/>
          <w:bCs/>
          <w:rtl/>
        </w:rPr>
        <w:t>ניתן</w:t>
      </w:r>
      <w:r w:rsidRPr="001F2586">
        <w:rPr>
          <w:rFonts w:eastAsia="Calibri"/>
          <w:b/>
          <w:bCs/>
          <w:rtl/>
        </w:rPr>
        <w:t xml:space="preserve"> </w:t>
      </w:r>
      <w:r w:rsidRPr="001F2586">
        <w:rPr>
          <w:rFonts w:eastAsia="Calibri" w:hint="eastAsia"/>
          <w:b/>
          <w:bCs/>
          <w:rtl/>
        </w:rPr>
        <w:t>בטווח</w:t>
      </w:r>
      <w:r w:rsidRPr="001F2586">
        <w:rPr>
          <w:rFonts w:eastAsia="Calibri"/>
          <w:b/>
          <w:bCs/>
          <w:rtl/>
        </w:rPr>
        <w:t xml:space="preserve"> </w:t>
      </w:r>
      <w:r w:rsidRPr="001F2586">
        <w:rPr>
          <w:rFonts w:eastAsia="Calibri" w:hint="eastAsia"/>
          <w:b/>
          <w:bCs/>
          <w:rtl/>
        </w:rPr>
        <w:t>ריביות</w:t>
      </w:r>
      <w:r w:rsidRPr="001F2586">
        <w:rPr>
          <w:rFonts w:eastAsia="Calibri"/>
          <w:b/>
          <w:bCs/>
          <w:rtl/>
        </w:rPr>
        <w:t xml:space="preserve"> </w:t>
      </w:r>
      <w:r w:rsidRPr="001F2586">
        <w:rPr>
          <w:rFonts w:eastAsia="Calibri" w:hint="eastAsia"/>
          <w:b/>
          <w:bCs/>
          <w:rtl/>
        </w:rPr>
        <w:t>שבין</w:t>
      </w:r>
      <w:r w:rsidRPr="001F2586">
        <w:rPr>
          <w:rFonts w:eastAsia="Calibri"/>
          <w:b/>
          <w:bCs/>
          <w:rtl/>
        </w:rPr>
        <w:t xml:space="preserve"> 5%</w:t>
      </w:r>
      <w:r w:rsidRPr="001F2586">
        <w:rPr>
          <w:rFonts w:eastAsia="Calibri"/>
          <w:b/>
          <w:bCs/>
        </w:rPr>
        <w:t xml:space="preserve"> </w:t>
      </w:r>
      <w:r w:rsidRPr="001F2586">
        <w:rPr>
          <w:rFonts w:eastAsia="Calibri" w:hint="eastAsia"/>
          <w:b/>
          <w:bCs/>
          <w:rtl/>
        </w:rPr>
        <w:t>ל</w:t>
      </w:r>
      <w:r w:rsidRPr="001F2586">
        <w:rPr>
          <w:rFonts w:eastAsia="Calibri"/>
          <w:b/>
          <w:bCs/>
          <w:rtl/>
        </w:rPr>
        <w:t>-20%</w:t>
      </w:r>
      <w:r>
        <w:rPr>
          <w:rFonts w:eastAsia="Calibri"/>
          <w:b/>
          <w:bCs/>
          <w:vertAlign w:val="superscript"/>
          <w:rtl/>
        </w:rPr>
        <w:footnoteReference w:id="436"/>
      </w:r>
      <w:r w:rsidRPr="001F2586">
        <w:rPr>
          <w:rFonts w:eastAsia="Calibri"/>
          <w:b/>
          <w:bCs/>
          <w:rtl/>
        </w:rPr>
        <w:t xml:space="preserve">. טווח זה כולל את האשראי הצרכני והאשראי </w:t>
      </w:r>
      <w:r w:rsidRPr="001F2586">
        <w:rPr>
          <w:rFonts w:eastAsia="Calibri" w:hint="cs"/>
          <w:b/>
          <w:bCs/>
          <w:rtl/>
        </w:rPr>
        <w:t>ה</w:t>
      </w:r>
      <w:r w:rsidRPr="001F2586">
        <w:rPr>
          <w:rFonts w:eastAsia="Calibri"/>
          <w:b/>
          <w:bCs/>
          <w:rtl/>
        </w:rPr>
        <w:t>עסקי</w:t>
      </w:r>
      <w:r w:rsidRPr="001F2586">
        <w:rPr>
          <w:rFonts w:eastAsia="Calibri" w:hint="cs"/>
          <w:b/>
          <w:bCs/>
          <w:rtl/>
        </w:rPr>
        <w:t xml:space="preserve">. </w:t>
      </w:r>
      <w:r w:rsidRPr="001F2586">
        <w:rPr>
          <w:rFonts w:eastAsia="Calibri"/>
          <w:b/>
          <w:bCs/>
          <w:rtl/>
        </w:rPr>
        <w:t xml:space="preserve">יצוין כי </w:t>
      </w:r>
      <w:r w:rsidRPr="001F2586">
        <w:rPr>
          <w:rFonts w:eastAsia="Calibri" w:hint="cs"/>
          <w:b/>
          <w:bCs/>
          <w:rtl/>
        </w:rPr>
        <w:t xml:space="preserve">טווח </w:t>
      </w:r>
      <w:r w:rsidRPr="001F2586">
        <w:rPr>
          <w:rFonts w:eastAsia="Calibri"/>
          <w:b/>
          <w:bCs/>
          <w:rtl/>
        </w:rPr>
        <w:t xml:space="preserve">הריביות </w:t>
      </w:r>
      <w:r w:rsidRPr="001F2586">
        <w:rPr>
          <w:rFonts w:eastAsia="Calibri" w:hint="cs"/>
          <w:b/>
          <w:bCs/>
          <w:rtl/>
        </w:rPr>
        <w:t>ה</w:t>
      </w:r>
      <w:r w:rsidRPr="001F2586">
        <w:rPr>
          <w:rFonts w:eastAsia="Calibri"/>
          <w:b/>
          <w:bCs/>
          <w:rtl/>
        </w:rPr>
        <w:t>ממוצע על הלוואות במערכת הבנקאית עמד על כ-9% עד 10% בשנת 2024</w:t>
      </w:r>
      <w:r>
        <w:rPr>
          <w:rFonts w:eastAsia="Calibri"/>
          <w:b/>
          <w:bCs/>
          <w:vertAlign w:val="superscript"/>
          <w:rtl/>
        </w:rPr>
        <w:footnoteReference w:id="437"/>
      </w:r>
      <w:r w:rsidRPr="001F2586">
        <w:rPr>
          <w:rFonts w:eastAsia="Calibri" w:hint="cs"/>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נמצא כי האשראי החוץ בנקאי מאופיין בפריסה רחבה של שיעורי ריבית, 80% מזרם האשראי ניתן בטווח ריביות שבין 5% ל-20% ומגיע עד לריבית של יותר מ30% בחישוב שנתי.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מומלץ כי רשות שוק ההון תבחן איזו אוכלוסייה משלמת את הריביות הגבוהות, ובמידה והדבר נובע מכשל שוק, או מאוריינות פיננסית נמוכה, תפעל להסרת הכשל, ותפעל באופן ממוקד לכך שאותה האוכלוסייה תקבל הדרכה פיננסית מתאימה.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הרשות ציינה כי היא בחנה ואף פועלת למתן כלים צרכניים ללווה.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למרות</w:t>
      </w:r>
      <w:r w:rsidRPr="001F2586">
        <w:rPr>
          <w:rFonts w:eastAsia="Calibri"/>
          <w:rtl/>
        </w:rPr>
        <w:t xml:space="preserve"> הגידול בנתח האשראי החוץ בנקאי מסך האשראי בשנים האחרונות, עדיין </w:t>
      </w:r>
      <w:r w:rsidRPr="001F2586">
        <w:rPr>
          <w:rFonts w:eastAsia="Calibri" w:hint="eastAsia"/>
          <w:rtl/>
        </w:rPr>
        <w:t>קיימ</w:t>
      </w:r>
      <w:r w:rsidRPr="001F2586">
        <w:rPr>
          <w:rFonts w:eastAsia="Calibri" w:hint="cs"/>
          <w:rtl/>
        </w:rPr>
        <w:t xml:space="preserve">ים פערים בין עלות גיוס ההון של הגופים החוץ בנקאיים אל מול הבנקים: מלבד ההון העצמי של החברות המשמש אותן גם למימון פעילותן, הן מגייסות מימון ממקורות נוספים, כגון מהמערכת הבנקאית, משוק </w:t>
      </w:r>
      <w:r w:rsidRPr="001F2586">
        <w:rPr>
          <w:rFonts w:eastAsia="Calibri" w:hint="cs"/>
          <w:rtl/>
        </w:rPr>
        <w:t>האג"ח</w:t>
      </w:r>
      <w:r w:rsidRPr="001F2586">
        <w:rPr>
          <w:rFonts w:eastAsia="Calibri" w:hint="cs"/>
          <w:rtl/>
        </w:rPr>
        <w:t xml:space="preserve"> ומהגופים המוסדיים. </w:t>
      </w:r>
      <w:r w:rsidRPr="001F2586">
        <w:rPr>
          <w:rFonts w:eastAsia="Calibri" w:hint="eastAsia"/>
          <w:rtl/>
        </w:rPr>
        <w:t>לבקשת</w:t>
      </w:r>
      <w:r w:rsidRPr="001F2586">
        <w:rPr>
          <w:rFonts w:eastAsia="Calibri"/>
          <w:rtl/>
        </w:rPr>
        <w:t xml:space="preserve"> משרד מבקר המדינה ביצעה </w:t>
      </w:r>
      <w:r w:rsidRPr="001F2586">
        <w:rPr>
          <w:rFonts w:eastAsia="Calibri" w:hint="eastAsia"/>
          <w:rtl/>
        </w:rPr>
        <w:t>רשות</w:t>
      </w:r>
      <w:r w:rsidRPr="001F2586">
        <w:rPr>
          <w:rFonts w:eastAsia="Calibri"/>
          <w:rtl/>
        </w:rPr>
        <w:t xml:space="preserve"> שוק ההון</w:t>
      </w:r>
      <w:r w:rsidRPr="001F2586">
        <w:rPr>
          <w:rFonts w:eastAsia="Calibri" w:hint="cs"/>
          <w:rtl/>
        </w:rPr>
        <w:t xml:space="preserve"> בינואר 2025 </w:t>
      </w:r>
      <w:r w:rsidRPr="001F2586">
        <w:rPr>
          <w:rFonts w:eastAsia="Calibri"/>
          <w:rtl/>
        </w:rPr>
        <w:t xml:space="preserve">ניתוח </w:t>
      </w:r>
      <w:r w:rsidRPr="001F2586">
        <w:rPr>
          <w:rFonts w:eastAsia="Calibri" w:hint="cs"/>
          <w:rtl/>
        </w:rPr>
        <w:t>אודות</w:t>
      </w:r>
      <w:r w:rsidRPr="001F2586">
        <w:rPr>
          <w:rFonts w:eastAsia="Calibri"/>
          <w:rtl/>
        </w:rPr>
        <w:t xml:space="preserve"> עלות הגיוס בענף האשראי למגורים אצל החברות הגדולות</w:t>
      </w:r>
      <w:r w:rsidRPr="001F2586">
        <w:rPr>
          <w:rFonts w:eastAsia="Calibri" w:hint="cs"/>
          <w:rtl/>
        </w:rPr>
        <w:t xml:space="preserve"> המתעסקות באשראי מגובה נדל"ן. מהניתוח שבוצע עולה כי</w:t>
      </w:r>
      <w:r w:rsidRPr="001F2586">
        <w:rPr>
          <w:rFonts w:eastAsia="Calibri"/>
          <w:rtl/>
        </w:rPr>
        <w:t xml:space="preserve"> </w:t>
      </w:r>
      <w:r w:rsidRPr="001F2586">
        <w:rPr>
          <w:rFonts w:eastAsia="Calibri" w:hint="cs"/>
          <w:rtl/>
        </w:rPr>
        <w:t xml:space="preserve">עלות המימון הממוצעת </w:t>
      </w:r>
      <w:r w:rsidRPr="001F2586">
        <w:rPr>
          <w:rFonts w:eastAsia="Calibri"/>
          <w:rtl/>
        </w:rPr>
        <w:t>עומדת על 7.7%</w:t>
      </w:r>
      <w:r>
        <w:rPr>
          <w:rFonts w:eastAsia="Calibri"/>
          <w:vertAlign w:val="superscript"/>
          <w:rtl/>
        </w:rPr>
        <w:footnoteReference w:id="438"/>
      </w:r>
      <w:r w:rsidRPr="001F2586">
        <w:rPr>
          <w:rFonts w:eastAsia="Calibri"/>
          <w:rtl/>
        </w:rPr>
        <w:t>.</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b/>
          <w:bCs/>
          <w:rtl/>
        </w:rPr>
      </w:pPr>
    </w:p>
    <w:p w:rsidR="001F2586" w:rsidRPr="001F2586" w:rsidP="001F2586">
      <w:pPr>
        <w:spacing w:line="269" w:lineRule="auto"/>
        <w:jc w:val="center"/>
        <w:rPr>
          <w:rFonts w:eastAsia="Calibri"/>
          <w:b/>
          <w:bCs/>
          <w:rtl/>
        </w:rPr>
      </w:pPr>
      <w:r w:rsidRPr="001F2586">
        <w:rPr>
          <w:rFonts w:eastAsia="Calibri" w:hint="cs"/>
          <w:rtl/>
        </w:rPr>
        <w:t>תרשים 70:</w:t>
      </w:r>
      <w:r w:rsidRPr="001F2586">
        <w:rPr>
          <w:rFonts w:eastAsia="Calibri" w:hint="cs"/>
          <w:b/>
          <w:bCs/>
          <w:rtl/>
        </w:rPr>
        <w:t xml:space="preserve"> סכום ההתחייבויות הפיננסיות של החברות הציבוריות הנותנות אשראי חוץ בנקאי, לפי מקורות מימון השונים, 2024-2022 (במיליוני ש"ח)</w:t>
      </w:r>
    </w:p>
    <w:p w:rsidR="001F2586" w:rsidRPr="001F2586" w:rsidP="001F2586">
      <w:pPr>
        <w:spacing w:line="269" w:lineRule="auto"/>
        <w:jc w:val="center"/>
        <w:rPr>
          <w:rFonts w:eastAsia="Calibri"/>
          <w:b/>
          <w:bCs/>
          <w:rtl/>
        </w:rPr>
      </w:pPr>
      <w:r w:rsidRPr="001F2586">
        <w:rPr>
          <w:rFonts w:eastAsia="Calibri"/>
          <w:b/>
          <w:bCs/>
          <w:noProof/>
          <w:rtl/>
          <w:lang w:val="he-IL"/>
        </w:rPr>
        <w:drawing>
          <wp:inline distT="0" distB="0" distL="0" distR="0">
            <wp:extent cx="5220335" cy="3063875"/>
            <wp:effectExtent l="0" t="0" r="0" b="3175"/>
            <wp:docPr id="314077" name="תמונה 59" descr="ראה תיאור למ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77" name="תרשים 70.GIF"/>
                    <pic:cNvPicPr/>
                  </pic:nvPicPr>
                  <pic:blipFill>
                    <a:blip xmlns:r="http://schemas.openxmlformats.org/officeDocument/2006/relationships" r:embed="rId89">
                      <a:extLst>
                        <a:ext xmlns:a="http://schemas.openxmlformats.org/drawingml/2006/main" uri="{28A0092B-C50C-407E-A947-70E740481C1C}">
                          <a14:useLocalDpi xmlns:a14="http://schemas.microsoft.com/office/drawing/2010/main" val="0"/>
                        </a:ext>
                      </a:extLst>
                    </a:blip>
                    <a:stretch>
                      <a:fillRect/>
                    </a:stretch>
                  </pic:blipFill>
                  <pic:spPr>
                    <a:xfrm>
                      <a:off x="0" y="0"/>
                      <a:ext cx="5220335" cy="3063875"/>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szCs w:val="20"/>
          <w:rtl/>
        </w:rPr>
        <w:t>המקור: דוח הממונה על רשות שוק ההון לשנת 2024, פרק 7 - שירותים פיננסיים מוסדרים, עמ</w:t>
      </w:r>
      <w:r w:rsidRPr="001F2586">
        <w:rPr>
          <w:rFonts w:eastAsia="Calibri" w:hint="cs"/>
          <w:szCs w:val="20"/>
          <w:rtl/>
        </w:rPr>
        <w:t>'</w:t>
      </w:r>
      <w:r w:rsidRPr="001F2586">
        <w:rPr>
          <w:rFonts w:eastAsia="Calibri"/>
          <w:szCs w:val="20"/>
          <w:rtl/>
        </w:rPr>
        <w:t xml:space="preserve"> </w:t>
      </w:r>
      <w:r w:rsidRPr="001F2586">
        <w:rPr>
          <w:rFonts w:eastAsia="Calibri" w:hint="cs"/>
          <w:szCs w:val="20"/>
          <w:rtl/>
        </w:rPr>
        <w:t>102.</w:t>
      </w:r>
    </w:p>
    <w:p w:rsidR="001F2586" w:rsidRPr="001F2586" w:rsidP="001F2586">
      <w:pPr>
        <w:spacing w:line="269" w:lineRule="auto"/>
        <w:rPr>
          <w:rFonts w:eastAsia="Calibri"/>
          <w:szCs w:val="20"/>
          <w:rtl/>
        </w:rPr>
      </w:pPr>
      <w:r w:rsidRPr="001F2586">
        <w:rPr>
          <w:rFonts w:eastAsia="Calibri"/>
          <w:szCs w:val="20"/>
          <w:rtl/>
        </w:rPr>
        <w:t xml:space="preserve">* </w:t>
      </w:r>
      <w:r w:rsidRPr="001F2586">
        <w:rPr>
          <w:rFonts w:eastAsia="Calibri" w:hint="cs"/>
          <w:szCs w:val="20"/>
          <w:rtl/>
        </w:rPr>
        <w:t>נע"מים</w:t>
      </w:r>
      <w:r w:rsidRPr="001F2586">
        <w:rPr>
          <w:rFonts w:eastAsia="Calibri" w:hint="cs"/>
          <w:szCs w:val="20"/>
          <w:rtl/>
        </w:rPr>
        <w:t xml:space="preserve"> - </w:t>
      </w:r>
      <w:r w:rsidRPr="001F2586">
        <w:rPr>
          <w:rFonts w:eastAsia="Calibri"/>
          <w:szCs w:val="20"/>
          <w:rtl/>
        </w:rPr>
        <w:t>נייר ערך מסחרי אשר מונפק על ידי תאגיד אשר מתחייב לשלם למחזיק הנייר סכום כסף תוך תקופת זמן שלא תעלה על שנה אחת</w:t>
      </w:r>
      <w:r w:rsidRPr="001F2586">
        <w:rPr>
          <w:rFonts w:eastAsia="Calibri" w:hint="cs"/>
          <w:szCs w:val="20"/>
          <w:rtl/>
        </w:rPr>
        <w:t>.</w:t>
      </w:r>
    </w:p>
    <w:p w:rsidR="001F2586" w:rsidRPr="001F2586" w:rsidP="001F2586">
      <w:pPr>
        <w:spacing w:line="269" w:lineRule="auto"/>
        <w:rPr>
          <w:rFonts w:eastAsia="Calibri"/>
          <w:szCs w:val="20"/>
          <w:rtl/>
        </w:rPr>
      </w:pPr>
    </w:p>
    <w:p w:rsidR="001F2586" w:rsidRPr="001F2586" w:rsidP="001F2586">
      <w:pPr>
        <w:spacing w:line="269" w:lineRule="auto"/>
        <w:rPr>
          <w:rFonts w:eastAsia="Calibri"/>
          <w:b/>
        </w:rPr>
      </w:pPr>
      <w:r w:rsidRPr="001F2586">
        <w:rPr>
          <w:rFonts w:eastAsia="Calibri" w:hint="eastAsia"/>
          <w:b/>
          <w:bCs/>
          <w:rtl/>
        </w:rPr>
        <w:t>מהתרשים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חל</w:t>
      </w:r>
      <w:r w:rsidRPr="001F2586">
        <w:rPr>
          <w:rFonts w:eastAsia="Calibri"/>
          <w:b/>
          <w:bCs/>
          <w:rtl/>
        </w:rPr>
        <w:t xml:space="preserve"> </w:t>
      </w:r>
      <w:r w:rsidRPr="001F2586">
        <w:rPr>
          <w:rFonts w:eastAsia="Calibri" w:hint="eastAsia"/>
          <w:b/>
          <w:bCs/>
          <w:rtl/>
        </w:rPr>
        <w:t>גידול</w:t>
      </w:r>
      <w:r w:rsidRPr="001F2586">
        <w:rPr>
          <w:rFonts w:eastAsia="Calibri"/>
          <w:b/>
          <w:bCs/>
          <w:rtl/>
        </w:rPr>
        <w:t xml:space="preserve"> </w:t>
      </w:r>
      <w:r w:rsidRPr="001F2586">
        <w:rPr>
          <w:rFonts w:eastAsia="Calibri" w:hint="eastAsia"/>
          <w:b/>
          <w:bCs/>
          <w:rtl/>
        </w:rPr>
        <w:t>בהיקף</w:t>
      </w:r>
      <w:r w:rsidRPr="001F2586">
        <w:rPr>
          <w:rFonts w:eastAsia="Calibri"/>
          <w:b/>
          <w:bCs/>
          <w:rtl/>
        </w:rPr>
        <w:t xml:space="preserve"> </w:t>
      </w:r>
      <w:r w:rsidRPr="001F2586">
        <w:rPr>
          <w:rFonts w:eastAsia="Calibri" w:hint="eastAsia"/>
          <w:b/>
          <w:bCs/>
          <w:rtl/>
        </w:rPr>
        <w:t>ההתחייבויות</w:t>
      </w:r>
      <w:r w:rsidRPr="001F2586">
        <w:rPr>
          <w:rFonts w:eastAsia="Calibri"/>
          <w:b/>
          <w:bCs/>
          <w:rtl/>
        </w:rPr>
        <w:t xml:space="preserve"> </w:t>
      </w:r>
      <w:r w:rsidRPr="001F2586">
        <w:rPr>
          <w:rFonts w:eastAsia="Calibri" w:hint="eastAsia"/>
          <w:b/>
          <w:bCs/>
          <w:rtl/>
        </w:rPr>
        <w:t>הפיננסיות</w:t>
      </w:r>
      <w:r w:rsidRPr="001F2586">
        <w:rPr>
          <w:rFonts w:eastAsia="Calibri"/>
          <w:b/>
          <w:bCs/>
          <w:rtl/>
        </w:rPr>
        <w:t xml:space="preserve"> </w:t>
      </w:r>
      <w:r w:rsidRPr="001F2586">
        <w:rPr>
          <w:rFonts w:eastAsia="Calibri" w:hint="eastAsia"/>
          <w:b/>
          <w:bCs/>
          <w:rtl/>
        </w:rPr>
        <w:t>ובגיוון</w:t>
      </w:r>
      <w:r w:rsidRPr="001F2586">
        <w:rPr>
          <w:rFonts w:eastAsia="Calibri"/>
          <w:b/>
          <w:bCs/>
          <w:rtl/>
        </w:rPr>
        <w:t xml:space="preserve"> </w:t>
      </w:r>
      <w:r w:rsidRPr="001F2586">
        <w:rPr>
          <w:rFonts w:eastAsia="Calibri" w:hint="eastAsia"/>
          <w:b/>
          <w:bCs/>
          <w:rtl/>
        </w:rPr>
        <w:t>מקורות</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hint="eastAsia"/>
          <w:b/>
          <w:bCs/>
          <w:rtl/>
        </w:rPr>
        <w:t>בשנת</w:t>
      </w:r>
      <w:r w:rsidRPr="001F2586">
        <w:rPr>
          <w:rFonts w:eastAsia="Calibri"/>
          <w:b/>
          <w:bCs/>
          <w:rtl/>
        </w:rPr>
        <w:t xml:space="preserve"> 2024 </w:t>
      </w:r>
      <w:r w:rsidRPr="001F2586">
        <w:rPr>
          <w:rFonts w:eastAsia="Calibri" w:hint="eastAsia"/>
          <w:b/>
          <w:bCs/>
          <w:rtl/>
        </w:rPr>
        <w:t>סך</w:t>
      </w:r>
      <w:r w:rsidRPr="001F2586">
        <w:rPr>
          <w:rFonts w:eastAsia="Calibri"/>
          <w:b/>
          <w:bCs/>
          <w:rtl/>
        </w:rPr>
        <w:t xml:space="preserve"> </w:t>
      </w:r>
      <w:r w:rsidRPr="001F2586">
        <w:rPr>
          <w:rFonts w:eastAsia="Calibri" w:hint="eastAsia"/>
          <w:b/>
          <w:bCs/>
          <w:rtl/>
        </w:rPr>
        <w:t>מקורות</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החברות</w:t>
      </w:r>
      <w:r w:rsidRPr="001F2586">
        <w:rPr>
          <w:rFonts w:eastAsia="Calibri"/>
          <w:b/>
          <w:bCs/>
          <w:rtl/>
        </w:rPr>
        <w:t xml:space="preserve"> </w:t>
      </w:r>
      <w:r w:rsidRPr="001F2586">
        <w:rPr>
          <w:rFonts w:eastAsia="Calibri" w:hint="eastAsia"/>
          <w:b/>
          <w:bCs/>
          <w:rtl/>
        </w:rPr>
        <w:t>הציבורית</w:t>
      </w:r>
      <w:r w:rsidRPr="001F2586">
        <w:rPr>
          <w:rFonts w:eastAsia="Calibri"/>
          <w:b/>
          <w:bCs/>
          <w:rtl/>
        </w:rPr>
        <w:t xml:space="preserve"> </w:t>
      </w:r>
      <w:r w:rsidRPr="001F2586">
        <w:rPr>
          <w:rFonts w:eastAsia="Calibri" w:hint="eastAsia"/>
          <w:b/>
          <w:bCs/>
          <w:rtl/>
        </w:rPr>
        <w:t>עמדו</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-24 </w:t>
      </w:r>
      <w:r w:rsidRPr="001F2586">
        <w:rPr>
          <w:rFonts w:eastAsia="Calibri" w:hint="eastAsia"/>
          <w:b/>
          <w:bCs/>
          <w:rtl/>
        </w:rPr>
        <w:t>מיליארד</w:t>
      </w:r>
      <w:r w:rsidRPr="001F2586">
        <w:rPr>
          <w:rFonts w:eastAsia="Calibri"/>
          <w:b/>
          <w:bCs/>
          <w:rtl/>
        </w:rPr>
        <w:t xml:space="preserve"> </w:t>
      </w:r>
      <w:r w:rsidRPr="001F2586">
        <w:rPr>
          <w:rFonts w:eastAsia="Calibri" w:hint="eastAsia"/>
          <w:b/>
          <w:bCs/>
          <w:rtl/>
        </w:rPr>
        <w:t>ש</w:t>
      </w:r>
      <w:r w:rsidRPr="001F2586">
        <w:rPr>
          <w:rFonts w:eastAsia="Calibri"/>
          <w:b/>
          <w:bCs/>
          <w:rtl/>
        </w:rPr>
        <w:t xml:space="preserve">"ח. </w:t>
      </w:r>
      <w:r w:rsidRPr="001F2586">
        <w:rPr>
          <w:rFonts w:eastAsia="Calibri" w:hint="eastAsia"/>
          <w:b/>
          <w:bCs/>
          <w:rtl/>
        </w:rPr>
        <w:t>האשראי</w:t>
      </w:r>
      <w:r w:rsidRPr="001F2586">
        <w:rPr>
          <w:rFonts w:eastAsia="Calibri"/>
          <w:b/>
          <w:bCs/>
          <w:rtl/>
        </w:rPr>
        <w:t xml:space="preserve"> </w:t>
      </w:r>
      <w:r w:rsidRPr="001F2586">
        <w:rPr>
          <w:rFonts w:eastAsia="Calibri" w:hint="eastAsia"/>
          <w:b/>
          <w:bCs/>
          <w:rtl/>
        </w:rPr>
        <w:t>מתאגידים</w:t>
      </w:r>
      <w:r w:rsidRPr="001F2586">
        <w:rPr>
          <w:rFonts w:eastAsia="Calibri"/>
          <w:b/>
          <w:bCs/>
          <w:rtl/>
        </w:rPr>
        <w:t xml:space="preserve"> </w:t>
      </w:r>
      <w:r w:rsidRPr="001F2586">
        <w:rPr>
          <w:rFonts w:eastAsia="Calibri" w:hint="eastAsia"/>
          <w:b/>
          <w:bCs/>
          <w:rtl/>
        </w:rPr>
        <w:t>בנקאיים</w:t>
      </w:r>
      <w:r w:rsidRPr="001F2586">
        <w:rPr>
          <w:rFonts w:eastAsia="Calibri"/>
          <w:b/>
          <w:bCs/>
          <w:rtl/>
        </w:rPr>
        <w:t xml:space="preserve"> </w:t>
      </w:r>
      <w:r w:rsidRPr="001F2586">
        <w:rPr>
          <w:rFonts w:eastAsia="Calibri" w:hint="eastAsia"/>
          <w:b/>
          <w:bCs/>
          <w:rtl/>
        </w:rPr>
        <w:t>נותר</w:t>
      </w:r>
      <w:r w:rsidRPr="001F2586">
        <w:rPr>
          <w:rFonts w:eastAsia="Calibri"/>
          <w:b/>
          <w:bCs/>
          <w:rtl/>
        </w:rPr>
        <w:t xml:space="preserve"> </w:t>
      </w:r>
      <w:r w:rsidRPr="001F2586">
        <w:rPr>
          <w:rFonts w:eastAsia="Calibri" w:hint="eastAsia"/>
          <w:b/>
          <w:bCs/>
          <w:rtl/>
        </w:rPr>
        <w:t>עדיין</w:t>
      </w:r>
      <w:r w:rsidRPr="001F2586">
        <w:rPr>
          <w:rFonts w:eastAsia="Calibri"/>
          <w:b/>
          <w:bCs/>
          <w:rtl/>
        </w:rPr>
        <w:t xml:space="preserve"> </w:t>
      </w:r>
      <w:r w:rsidRPr="001F2586">
        <w:rPr>
          <w:rFonts w:eastAsia="Calibri" w:hint="eastAsia"/>
          <w:b/>
          <w:bCs/>
          <w:rtl/>
        </w:rPr>
        <w:t>הרכיב</w:t>
      </w:r>
      <w:r w:rsidRPr="001F2586">
        <w:rPr>
          <w:rFonts w:eastAsia="Calibri"/>
          <w:b/>
          <w:bCs/>
          <w:rtl/>
        </w:rPr>
        <w:t xml:space="preserve"> </w:t>
      </w:r>
      <w:r w:rsidRPr="001F2586">
        <w:rPr>
          <w:rFonts w:eastAsia="Calibri" w:hint="eastAsia"/>
          <w:b/>
          <w:bCs/>
          <w:rtl/>
        </w:rPr>
        <w:t>המשמעותי</w:t>
      </w:r>
      <w:r w:rsidRPr="001F2586">
        <w:rPr>
          <w:rFonts w:eastAsia="Calibri"/>
          <w:b/>
          <w:bCs/>
          <w:rtl/>
        </w:rPr>
        <w:t xml:space="preserve"> </w:t>
      </w:r>
      <w:r w:rsidRPr="001F2586">
        <w:rPr>
          <w:rFonts w:eastAsia="Calibri" w:hint="eastAsia"/>
          <w:b/>
          <w:bCs/>
          <w:rtl/>
        </w:rPr>
        <w:t>ביותר</w:t>
      </w:r>
      <w:r w:rsidRPr="001F2586">
        <w:rPr>
          <w:rFonts w:eastAsia="Calibri"/>
          <w:b/>
          <w:bCs/>
          <w:rtl/>
        </w:rPr>
        <w:t xml:space="preserve"> </w:t>
      </w:r>
      <w:r w:rsidRPr="001F2586">
        <w:rPr>
          <w:rFonts w:eastAsia="Calibri" w:hint="eastAsia"/>
          <w:b/>
          <w:bCs/>
          <w:rtl/>
        </w:rPr>
        <w:t>ועומד</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w:t>
      </w:r>
      <w:r w:rsidRPr="001F2586">
        <w:rPr>
          <w:rFonts w:eastAsia="Calibri"/>
          <w:b/>
          <w:bCs/>
          <w:rtl/>
        </w:rPr>
        <w:t>-49.5%</w:t>
      </w:r>
      <w:r w:rsidRPr="001F2586">
        <w:rPr>
          <w:rFonts w:eastAsia="Calibri"/>
          <w:b/>
        </w:rPr>
        <w:t xml:space="preserve"> </w:t>
      </w:r>
      <w:r w:rsidRPr="001F2586">
        <w:rPr>
          <w:rFonts w:eastAsia="Calibri" w:hint="eastAsia"/>
          <w:b/>
          <w:bCs/>
          <w:rtl/>
        </w:rPr>
        <w:t>מכלל</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hint="eastAsia"/>
          <w:b/>
          <w:bCs/>
          <w:rtl/>
        </w:rPr>
        <w:t>כמו</w:t>
      </w:r>
      <w:r w:rsidRPr="001F2586">
        <w:rPr>
          <w:rFonts w:eastAsia="Calibri"/>
          <w:b/>
          <w:bCs/>
          <w:rtl/>
        </w:rPr>
        <w:t xml:space="preserve"> </w:t>
      </w:r>
      <w:r w:rsidRPr="001F2586">
        <w:rPr>
          <w:rFonts w:eastAsia="Calibri" w:hint="eastAsia"/>
          <w:b/>
          <w:bCs/>
          <w:rtl/>
        </w:rPr>
        <w:t>כן</w:t>
      </w:r>
      <w:r w:rsidRPr="001F2586">
        <w:rPr>
          <w:rFonts w:eastAsia="Calibri"/>
          <w:b/>
          <w:bCs/>
          <w:rtl/>
        </w:rPr>
        <w:t xml:space="preserve"> </w:t>
      </w:r>
      <w:r w:rsidRPr="001F2586">
        <w:rPr>
          <w:rFonts w:eastAsia="Calibri" w:hint="eastAsia"/>
          <w:b/>
          <w:bCs/>
          <w:rtl/>
        </w:rPr>
        <w:t>מהתרשים</w:t>
      </w:r>
      <w:r w:rsidRPr="001F2586">
        <w:rPr>
          <w:rFonts w:eastAsia="Calibri"/>
          <w:b/>
          <w:bCs/>
          <w:rtl/>
        </w:rPr>
        <w:t xml:space="preserve"> </w:t>
      </w:r>
      <w:r w:rsidRPr="001F2586">
        <w:rPr>
          <w:rFonts w:eastAsia="Calibri" w:hint="eastAsia"/>
          <w:b/>
          <w:bCs/>
          <w:rtl/>
        </w:rPr>
        <w:t>עולה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קיים</w:t>
      </w:r>
      <w:r w:rsidRPr="001F2586">
        <w:rPr>
          <w:rFonts w:eastAsia="Calibri"/>
          <w:b/>
          <w:bCs/>
          <w:rtl/>
        </w:rPr>
        <w:t xml:space="preserve"> </w:t>
      </w:r>
      <w:r w:rsidRPr="001F2586">
        <w:rPr>
          <w:rFonts w:eastAsia="Calibri" w:hint="eastAsia"/>
          <w:b/>
          <w:bCs/>
          <w:rtl/>
        </w:rPr>
        <w:t>גידול</w:t>
      </w:r>
      <w:r w:rsidRPr="001F2586">
        <w:rPr>
          <w:rFonts w:eastAsia="Calibri"/>
          <w:b/>
          <w:bCs/>
          <w:rtl/>
        </w:rPr>
        <w:t xml:space="preserve"> </w:t>
      </w:r>
      <w:r w:rsidRPr="001F2586">
        <w:rPr>
          <w:rFonts w:eastAsia="Calibri" w:hint="eastAsia"/>
          <w:b/>
          <w:bCs/>
          <w:rtl/>
        </w:rPr>
        <w:t>בתחום</w:t>
      </w:r>
      <w:r w:rsidRPr="001F2586">
        <w:rPr>
          <w:rFonts w:eastAsia="Calibri"/>
          <w:b/>
          <w:bCs/>
          <w:rtl/>
        </w:rPr>
        <w:t xml:space="preserve"> "אשראי </w:t>
      </w:r>
      <w:r w:rsidRPr="001F2586">
        <w:rPr>
          <w:rFonts w:eastAsia="Calibri" w:hint="eastAsia"/>
          <w:b/>
          <w:bCs/>
          <w:rtl/>
        </w:rPr>
        <w:t>מאחרים</w:t>
      </w:r>
      <w:r w:rsidRPr="001F2586">
        <w:rPr>
          <w:rFonts w:eastAsia="Calibri"/>
          <w:b/>
          <w:bCs/>
          <w:rtl/>
        </w:rPr>
        <w:t xml:space="preserve">", </w:t>
      </w:r>
      <w:r w:rsidRPr="001F2586">
        <w:rPr>
          <w:rFonts w:eastAsia="Calibri" w:hint="eastAsia"/>
          <w:b/>
          <w:bCs/>
          <w:rtl/>
        </w:rPr>
        <w:t>שמקורו</w:t>
      </w:r>
      <w:r w:rsidRPr="001F2586">
        <w:rPr>
          <w:rFonts w:eastAsia="Calibri"/>
          <w:b/>
          <w:bCs/>
          <w:rtl/>
        </w:rPr>
        <w:t xml:space="preserve"> </w:t>
      </w:r>
      <w:r w:rsidRPr="001F2586">
        <w:rPr>
          <w:rFonts w:eastAsia="Calibri" w:hint="eastAsia"/>
          <w:b/>
          <w:bCs/>
          <w:rtl/>
        </w:rPr>
        <w:t>בעיקר</w:t>
      </w:r>
      <w:r w:rsidRPr="001F2586">
        <w:rPr>
          <w:rFonts w:eastAsia="Calibri"/>
          <w:b/>
          <w:bCs/>
          <w:rtl/>
        </w:rPr>
        <w:t xml:space="preserve"> </w:t>
      </w:r>
      <w:r w:rsidRPr="001F2586">
        <w:rPr>
          <w:rFonts w:eastAsia="Calibri" w:hint="eastAsia"/>
          <w:b/>
          <w:bCs/>
          <w:rtl/>
        </w:rPr>
        <w:t>מאשראי</w:t>
      </w:r>
      <w:r w:rsidRPr="001F2586">
        <w:rPr>
          <w:rFonts w:eastAsia="Calibri"/>
          <w:b/>
          <w:bCs/>
          <w:rtl/>
        </w:rPr>
        <w:t xml:space="preserve"> </w:t>
      </w:r>
      <w:r w:rsidRPr="001F2586">
        <w:rPr>
          <w:rFonts w:eastAsia="Calibri" w:hint="eastAsia"/>
          <w:b/>
          <w:bCs/>
          <w:rtl/>
        </w:rPr>
        <w:t>הניתן</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ידי</w:t>
      </w:r>
      <w:r w:rsidRPr="001F2586">
        <w:rPr>
          <w:rFonts w:eastAsia="Calibri"/>
          <w:b/>
          <w:bCs/>
          <w:rtl/>
        </w:rPr>
        <w:t xml:space="preserve"> </w:t>
      </w:r>
      <w:r w:rsidRPr="001F2586">
        <w:rPr>
          <w:rFonts w:eastAsia="Calibri" w:hint="eastAsia"/>
          <w:b/>
          <w:bCs/>
          <w:rtl/>
        </w:rPr>
        <w:t>גופים</w:t>
      </w:r>
      <w:r w:rsidRPr="001F2586">
        <w:rPr>
          <w:rFonts w:eastAsia="Calibri"/>
          <w:b/>
          <w:bCs/>
          <w:rtl/>
        </w:rPr>
        <w:t xml:space="preserve"> </w:t>
      </w:r>
      <w:r w:rsidRPr="001F2586">
        <w:rPr>
          <w:rFonts w:eastAsia="Calibri" w:hint="eastAsia"/>
          <w:b/>
          <w:bCs/>
          <w:rtl/>
        </w:rPr>
        <w:t>מוסדיים</w:t>
      </w:r>
      <w:r w:rsidRPr="001F2586">
        <w:rPr>
          <w:rFonts w:eastAsia="Calibri"/>
          <w:b/>
          <w:bCs/>
          <w:rtl/>
        </w:rPr>
        <w:t xml:space="preserve">. </w:t>
      </w:r>
      <w:r w:rsidRPr="001F2586">
        <w:rPr>
          <w:rFonts w:eastAsia="Calibri" w:hint="eastAsia"/>
          <w:b/>
          <w:bCs/>
          <w:rtl/>
        </w:rPr>
        <w:t>ובשנת</w:t>
      </w:r>
      <w:r w:rsidRPr="001F2586">
        <w:rPr>
          <w:rFonts w:eastAsia="Calibri"/>
          <w:b/>
          <w:bCs/>
          <w:rtl/>
        </w:rPr>
        <w:t xml:space="preserve"> 2024 </w:t>
      </w:r>
      <w:r w:rsidRPr="001F2586">
        <w:rPr>
          <w:rFonts w:eastAsia="Calibri" w:hint="eastAsia"/>
          <w:b/>
          <w:bCs/>
          <w:rtl/>
        </w:rPr>
        <w:t>הוא</w:t>
      </w:r>
      <w:r w:rsidRPr="001F2586">
        <w:rPr>
          <w:rFonts w:eastAsia="Calibri"/>
          <w:b/>
          <w:bCs/>
          <w:rtl/>
        </w:rPr>
        <w:t xml:space="preserve"> </w:t>
      </w:r>
      <w:r w:rsidRPr="001F2586">
        <w:rPr>
          <w:rFonts w:eastAsia="Calibri" w:hint="eastAsia"/>
          <w:b/>
          <w:bCs/>
          <w:rtl/>
        </w:rPr>
        <w:t>עומד</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-12% </w:t>
      </w:r>
      <w:r w:rsidRPr="001F2586">
        <w:rPr>
          <w:rFonts w:eastAsia="Calibri" w:hint="eastAsia"/>
          <w:b/>
          <w:bCs/>
          <w:rtl/>
        </w:rPr>
        <w:t>מסך</w:t>
      </w:r>
      <w:r w:rsidRPr="001F2586">
        <w:rPr>
          <w:rFonts w:eastAsia="Calibri"/>
          <w:b/>
          <w:bCs/>
          <w:rtl/>
        </w:rPr>
        <w:t xml:space="preserve"> </w:t>
      </w:r>
      <w:r w:rsidRPr="001F2586">
        <w:rPr>
          <w:rFonts w:eastAsia="Calibri" w:hint="eastAsia"/>
          <w:b/>
          <w:bCs/>
          <w:rtl/>
        </w:rPr>
        <w:t>האשראי</w:t>
      </w:r>
      <w:r w:rsidRPr="001F2586">
        <w:rPr>
          <w:rFonts w:eastAsia="Calibri"/>
          <w:b/>
          <w:bCs/>
          <w:rtl/>
        </w:rPr>
        <w:t xml:space="preserve"> </w:t>
      </w:r>
      <w:r w:rsidRPr="001F2586">
        <w:rPr>
          <w:rFonts w:eastAsia="Calibri" w:hint="eastAsia"/>
          <w:b/>
          <w:bCs/>
          <w:rtl/>
        </w:rPr>
        <w:t>שניתן</w:t>
      </w:r>
      <w:r w:rsidRPr="001F2586">
        <w:rPr>
          <w:rFonts w:eastAsia="Calibri"/>
          <w:b/>
          <w:bCs/>
          <w:rtl/>
        </w:rPr>
        <w:t xml:space="preserve"> </w:t>
      </w:r>
      <w:r w:rsidRPr="001F2586">
        <w:rPr>
          <w:rFonts w:eastAsia="Calibri" w:hint="eastAsia"/>
          <w:b/>
          <w:bCs/>
          <w:rtl/>
        </w:rPr>
        <w:t>להן</w:t>
      </w:r>
      <w:r w:rsidRPr="001F2586">
        <w:rPr>
          <w:rFonts w:eastAsia="Calibri"/>
          <w:b/>
          <w:bCs/>
          <w:rtl/>
        </w:rPr>
        <w:t xml:space="preserve"> (כ-2.91 </w:t>
      </w:r>
      <w:r w:rsidRPr="001F2586">
        <w:rPr>
          <w:rFonts w:eastAsia="Calibri" w:hint="eastAsia"/>
          <w:b/>
          <w:bCs/>
          <w:rtl/>
        </w:rPr>
        <w:t>מיליארד</w:t>
      </w:r>
      <w:r w:rsidRPr="001F2586">
        <w:rPr>
          <w:rFonts w:eastAsia="Calibri"/>
          <w:b/>
          <w:bCs/>
          <w:rtl/>
        </w:rPr>
        <w:t xml:space="preserve"> </w:t>
      </w:r>
      <w:r w:rsidRPr="001F2586">
        <w:rPr>
          <w:rFonts w:eastAsia="Calibri" w:hint="eastAsia"/>
          <w:b/>
          <w:bCs/>
          <w:rtl/>
        </w:rPr>
        <w:t>ש</w:t>
      </w:r>
      <w:r w:rsidRPr="001F2586">
        <w:rPr>
          <w:rFonts w:eastAsia="Calibri"/>
          <w:b/>
          <w:bCs/>
          <w:rtl/>
        </w:rPr>
        <w:t>"</w:t>
      </w:r>
      <w:r w:rsidRPr="001F2586">
        <w:rPr>
          <w:rFonts w:eastAsia="Calibri" w:hint="eastAsia"/>
          <w:b/>
          <w:bCs/>
          <w:rtl/>
        </w:rPr>
        <w:t>ח</w:t>
      </w:r>
      <w:r w:rsidRPr="001F2586">
        <w:rPr>
          <w:rFonts w:eastAsia="Calibri"/>
          <w:b/>
          <w:bCs/>
          <w:rtl/>
        </w:rPr>
        <w:t>).</w:t>
      </w:r>
      <w:r w:rsidRPr="001F2586">
        <w:rPr>
          <w:rFonts w:eastAsia="Calibri" w:hint="cs"/>
          <w:b/>
          <w:rtl/>
        </w:rPr>
        <w:t xml:space="preserve"> </w:t>
      </w:r>
      <w:r w:rsidRPr="001F2586">
        <w:rPr>
          <w:rFonts w:eastAsia="Calibri" w:hint="eastAsia"/>
          <w:bCs/>
          <w:rtl/>
        </w:rPr>
        <w:t>יצוין</w:t>
      </w:r>
      <w:r w:rsidRPr="001F2586">
        <w:rPr>
          <w:rFonts w:eastAsia="Calibri"/>
          <w:bCs/>
          <w:rtl/>
        </w:rPr>
        <w:t xml:space="preserve"> כי </w:t>
      </w:r>
      <w:r w:rsidRPr="001F2586">
        <w:rPr>
          <w:rFonts w:eastAsia="Calibri" w:hint="eastAsia"/>
          <w:bCs/>
          <w:rtl/>
        </w:rPr>
        <w:t>מנתוני</w:t>
      </w:r>
      <w:r w:rsidRPr="001F2586">
        <w:rPr>
          <w:rFonts w:eastAsia="Calibri"/>
          <w:bCs/>
          <w:rtl/>
        </w:rPr>
        <w:t xml:space="preserve"> רשות שוק ההון עולה כי גם </w:t>
      </w:r>
      <w:r w:rsidRPr="001F2586">
        <w:rPr>
          <w:rFonts w:eastAsia="Calibri" w:hint="eastAsia"/>
          <w:bCs/>
          <w:rtl/>
        </w:rPr>
        <w:t>חברות</w:t>
      </w:r>
      <w:r w:rsidRPr="001F2586">
        <w:rPr>
          <w:rFonts w:eastAsia="Calibri"/>
          <w:bCs/>
          <w:rtl/>
        </w:rPr>
        <w:t xml:space="preserve"> </w:t>
      </w:r>
      <w:r w:rsidRPr="001F2586">
        <w:rPr>
          <w:rFonts w:eastAsia="Calibri" w:hint="eastAsia"/>
          <w:bCs/>
          <w:rtl/>
        </w:rPr>
        <w:t>שאינן</w:t>
      </w:r>
      <w:r w:rsidRPr="001F2586">
        <w:rPr>
          <w:rFonts w:eastAsia="Calibri"/>
          <w:bCs/>
          <w:rtl/>
        </w:rPr>
        <w:t xml:space="preserve"> </w:t>
      </w:r>
      <w:r w:rsidRPr="001F2586">
        <w:rPr>
          <w:rFonts w:eastAsia="Calibri" w:hint="eastAsia"/>
          <w:bCs/>
          <w:rtl/>
        </w:rPr>
        <w:t>ציבוריות</w:t>
      </w:r>
      <w:r w:rsidRPr="001F2586">
        <w:rPr>
          <w:rFonts w:eastAsia="Calibri"/>
          <w:bCs/>
          <w:rtl/>
        </w:rPr>
        <w:t xml:space="preserve">, </w:t>
      </w:r>
      <w:r w:rsidRPr="001F2586">
        <w:rPr>
          <w:rFonts w:eastAsia="Calibri" w:hint="eastAsia"/>
          <w:bCs/>
          <w:rtl/>
        </w:rPr>
        <w:t>מקור</w:t>
      </w:r>
      <w:r w:rsidRPr="001F2586">
        <w:rPr>
          <w:rFonts w:eastAsia="Calibri"/>
          <w:bCs/>
          <w:rtl/>
        </w:rPr>
        <w:t xml:space="preserve"> </w:t>
      </w:r>
      <w:r w:rsidRPr="001F2586">
        <w:rPr>
          <w:rFonts w:eastAsia="Calibri" w:hint="eastAsia"/>
          <w:bCs/>
          <w:rtl/>
        </w:rPr>
        <w:t>המימון</w:t>
      </w:r>
      <w:r w:rsidRPr="001F2586">
        <w:rPr>
          <w:rFonts w:eastAsia="Calibri"/>
          <w:bCs/>
          <w:rtl/>
        </w:rPr>
        <w:t xml:space="preserve"> </w:t>
      </w:r>
      <w:r w:rsidRPr="001F2586">
        <w:rPr>
          <w:rFonts w:eastAsia="Calibri" w:hint="eastAsia"/>
          <w:bCs/>
          <w:rtl/>
        </w:rPr>
        <w:t>המרכזי</w:t>
      </w:r>
      <w:r w:rsidRPr="001F2586">
        <w:rPr>
          <w:rFonts w:eastAsia="Calibri"/>
          <w:bCs/>
          <w:rtl/>
        </w:rPr>
        <w:t xml:space="preserve"> </w:t>
      </w:r>
      <w:r w:rsidRPr="001F2586">
        <w:rPr>
          <w:rFonts w:eastAsia="Calibri" w:hint="eastAsia"/>
          <w:bCs/>
          <w:rtl/>
        </w:rPr>
        <w:t>הוא</w:t>
      </w:r>
      <w:r w:rsidRPr="001F2586">
        <w:rPr>
          <w:rFonts w:eastAsia="Calibri"/>
          <w:bCs/>
          <w:rtl/>
        </w:rPr>
        <w:t xml:space="preserve"> </w:t>
      </w:r>
      <w:r w:rsidRPr="001F2586">
        <w:rPr>
          <w:rFonts w:eastAsia="Calibri" w:hint="eastAsia"/>
          <w:bCs/>
          <w:rtl/>
        </w:rPr>
        <w:t>הבנקים</w:t>
      </w:r>
      <w:r w:rsidRPr="001F2586">
        <w:rPr>
          <w:rFonts w:eastAsia="Calibri"/>
          <w:bCs/>
          <w:rtl/>
        </w:rPr>
        <w:t>.</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שוק המשכנתאות החוץ בנקאיות בישראל ובעולם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ascii="Open Sans Hebrew" w:eastAsia="Calibri" w:hAnsi="Open Sans Hebrew"/>
          <w:color w:val="000000"/>
          <w:shd w:val="clear" w:color="auto" w:fill="FFFFFF"/>
          <w:rtl/>
        </w:rPr>
        <w:t>על</w:t>
      </w:r>
      <w:r w:rsidRPr="001F2586">
        <w:rPr>
          <w:rFonts w:ascii="Open Sans Hebrew" w:eastAsia="Calibri" w:hAnsi="Open Sans Hebrew" w:hint="cs"/>
          <w:color w:val="000000"/>
          <w:shd w:val="clear" w:color="auto" w:fill="FFFFFF"/>
          <w:rtl/>
        </w:rPr>
        <w:t xml:space="preserve"> אף הגידול במספר הרישיונות הניתנים לגופי </w:t>
      </w:r>
      <w:r w:rsidRPr="001F2586">
        <w:rPr>
          <w:rFonts w:ascii="Open Sans Hebrew" w:eastAsia="Calibri" w:hAnsi="Open Sans Hebrew"/>
          <w:color w:val="000000"/>
          <w:shd w:val="clear" w:color="auto" w:fill="FFFFFF"/>
          <w:rtl/>
        </w:rPr>
        <w:t>האשראי החוץ-בנקאיים</w:t>
      </w:r>
      <w:r w:rsidRPr="001F2586">
        <w:rPr>
          <w:rFonts w:ascii="Open Sans Hebrew" w:eastAsia="Calibri" w:hAnsi="Open Sans Hebrew" w:hint="cs"/>
          <w:color w:val="000000"/>
          <w:shd w:val="clear" w:color="auto" w:fill="FFFFFF"/>
          <w:rtl/>
        </w:rPr>
        <w:t xml:space="preserve"> בין השנים 2018-2024</w:t>
      </w:r>
      <w:r w:rsidRPr="001F2586">
        <w:rPr>
          <w:rFonts w:ascii="Open Sans Hebrew" w:eastAsia="Calibri" w:hAnsi="Open Sans Hebrew"/>
          <w:color w:val="000000"/>
          <w:shd w:val="clear" w:color="auto" w:fill="FFFFFF"/>
          <w:rtl/>
        </w:rPr>
        <w:t>, שוק המשכנתאות הישראלי מוסיף להיות ריכוזי ונשלט ברובו על ידי הבנקים, בהשוואה לשוקי משכנתאות במדינות המערב</w:t>
      </w:r>
      <w:r w:rsidRPr="001F2586">
        <w:rPr>
          <w:rFonts w:ascii="Open Sans Hebrew" w:eastAsia="Calibri" w:hAnsi="Open Sans Hebrew" w:hint="cs"/>
          <w:color w:val="000000"/>
          <w:shd w:val="clear" w:color="auto" w:fill="FFFFFF"/>
          <w:rtl/>
        </w:rPr>
        <w:t>,</w:t>
      </w:r>
      <w:r w:rsidRPr="001F2586">
        <w:rPr>
          <w:rFonts w:ascii="Open Sans Hebrew" w:eastAsia="Calibri" w:hAnsi="Open Sans Hebrew"/>
          <w:color w:val="000000"/>
          <w:shd w:val="clear" w:color="auto" w:fill="FFFFFF"/>
          <w:rtl/>
        </w:rPr>
        <w:t xml:space="preserve"> עם שיעור משכנתאות חוץ בנקאיות בהיקף של</w:t>
      </w:r>
      <w:r w:rsidRPr="001F2586">
        <w:rPr>
          <w:rFonts w:ascii="Open Sans Hebrew" w:eastAsia="Calibri" w:hAnsi="Open Sans Hebrew" w:hint="cs"/>
          <w:color w:val="000000"/>
          <w:shd w:val="clear" w:color="auto" w:fill="FFFFFF"/>
          <w:rtl/>
        </w:rPr>
        <w:t xml:space="preserve"> כ-1</w:t>
      </w:r>
      <w:r w:rsidRPr="001F2586">
        <w:rPr>
          <w:rFonts w:ascii="Open Sans Hebrew" w:eastAsia="Calibri" w:hAnsi="Open Sans Hebrew"/>
          <w:color w:val="000000"/>
          <w:shd w:val="clear" w:color="auto" w:fill="FFFFFF"/>
          <w:rtl/>
        </w:rPr>
        <w:t xml:space="preserve">% </w:t>
      </w:r>
      <w:r w:rsidRPr="001F2586">
        <w:rPr>
          <w:rFonts w:ascii="Open Sans Hebrew" w:eastAsia="Calibri" w:hAnsi="Open Sans Hebrew" w:hint="cs"/>
          <w:color w:val="000000"/>
          <w:shd w:val="clear" w:color="auto" w:fill="FFFFFF"/>
          <w:rtl/>
        </w:rPr>
        <w:t>מהיקף המשכנתאות הניתנות על ידי הבנקים</w:t>
      </w:r>
      <w:r w:rsidRPr="001F2586">
        <w:rPr>
          <w:rFonts w:ascii="Open Sans Hebrew" w:eastAsia="Calibri" w:hAnsi="Open Sans Hebrew"/>
          <w:color w:val="000000"/>
          <w:shd w:val="clear" w:color="auto" w:fill="FFFFFF"/>
        </w:rPr>
        <w:t>.</w:t>
      </w:r>
      <w:r w:rsidRPr="001F2586">
        <w:rPr>
          <w:rFonts w:eastAsia="Calibri" w:hint="cs"/>
          <w:rtl/>
        </w:rPr>
        <w:t xml:space="preserve"> </w:t>
      </w:r>
      <w:bookmarkStart w:id="97" w:name="_Hlk225156398"/>
      <w:r w:rsidRPr="001F2586">
        <w:rPr>
          <w:rFonts w:eastAsia="Calibri" w:hint="cs"/>
          <w:rtl/>
        </w:rPr>
        <w:t>על פי נתוני רשות שוק ההון שהועברו לידי משרד מבקר המדינה היקף המשכנתאות החוץ בנקאיות בשנת 2024 עמד על כ-5.5 מיליארד ש"ח ואילו היקף המשכנתאות הבנקאיות עמד כ-587 מיליארד ש"ח</w:t>
      </w:r>
      <w:bookmarkEnd w:id="97"/>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בניגוד לישראל, במדינות מפותחות בעולם כמו ארצות הברית, אנגליה, אוסטרליה וקנדה פועלים גופים חוץ בנקאיים בהיקף שהולך וגדל בתחום המשכנתאות. משרד מבקר המדינה ערך השוואה בין פלחי שוק המשכנתאות בישראל לבין המדינות המאוזכרות לעיל. להלן הנתונים:</w:t>
      </w:r>
    </w:p>
    <w:p w:rsidR="001F2586" w:rsidRPr="001F2586" w:rsidP="001F2586">
      <w:pPr>
        <w:spacing w:line="269" w:lineRule="auto"/>
        <w:ind w:left="-567"/>
        <w:rPr>
          <w:rFonts w:eastAsia="Calibri"/>
          <w:szCs w:val="20"/>
          <w:rtl/>
        </w:rPr>
      </w:pPr>
    </w:p>
    <w:p w:rsidR="001F2586" w:rsidRPr="001F2586" w:rsidP="001F2586">
      <w:pPr>
        <w:numPr>
          <w:ilvl w:val="0"/>
          <w:numId w:val="24"/>
        </w:numPr>
        <w:spacing w:line="269" w:lineRule="auto"/>
        <w:ind w:left="312"/>
        <w:contextualSpacing/>
        <w:rPr>
          <w:rFonts w:eastAsia="Calibri"/>
          <w:rtl/>
        </w:rPr>
      </w:pPr>
      <w:r w:rsidRPr="001F2586">
        <w:rPr>
          <w:rFonts w:eastAsia="Times New Roman" w:hint="cs"/>
          <w:bCs/>
          <w:spacing w:val="40"/>
          <w:rtl/>
        </w:rPr>
        <w:t>ארצות הברית:</w:t>
      </w:r>
      <w:r w:rsidRPr="001F2586">
        <w:rPr>
          <w:rFonts w:eastAsia="Calibri"/>
          <w:b/>
          <w:bCs/>
        </w:rPr>
        <w:t xml:space="preserve"> </w:t>
      </w:r>
      <w:r w:rsidRPr="001F2586">
        <w:rPr>
          <w:rFonts w:eastAsia="Calibri"/>
          <w:rtl/>
        </w:rPr>
        <w:t xml:space="preserve">שוק המשכנתאות השתנה באופן דרמטי מאז משבר </w:t>
      </w:r>
      <w:r w:rsidRPr="001F2586">
        <w:rPr>
          <w:rFonts w:eastAsia="Calibri"/>
          <w:rtl/>
        </w:rPr>
        <w:t>הסאב</w:t>
      </w:r>
      <w:r w:rsidRPr="001F2586">
        <w:rPr>
          <w:rFonts w:eastAsia="Calibri" w:hint="cs"/>
          <w:rtl/>
        </w:rPr>
        <w:t xml:space="preserve"> </w:t>
      </w:r>
      <w:r w:rsidRPr="001F2586">
        <w:rPr>
          <w:rFonts w:eastAsia="Calibri"/>
          <w:rtl/>
        </w:rPr>
        <w:t xml:space="preserve">פריים </w:t>
      </w:r>
      <w:r w:rsidRPr="001F2586">
        <w:rPr>
          <w:rFonts w:eastAsia="Calibri" w:hint="cs"/>
          <w:rtl/>
        </w:rPr>
        <w:t xml:space="preserve">(ראה פרק מבוא). </w:t>
      </w:r>
      <w:r w:rsidRPr="001F2586">
        <w:rPr>
          <w:rFonts w:eastAsia="Calibri"/>
          <w:rtl/>
        </w:rPr>
        <w:t>הבנקים צמצמו משמעותית את מעורבותם בשוק המשכנתאות לאחר המשבר הפיננסי, עקב שינויים רגולטוריים ושינויים בשוק</w:t>
      </w:r>
      <w:r w:rsidRPr="001F2586">
        <w:rPr>
          <w:rFonts w:eastAsia="Calibri" w:hint="cs"/>
          <w:rtl/>
        </w:rPr>
        <w:t xml:space="preserve"> הנדל"ן</w:t>
      </w:r>
      <w:r w:rsidRPr="001F2586">
        <w:rPr>
          <w:rFonts w:eastAsia="Calibri"/>
          <w:rtl/>
        </w:rPr>
        <w:t>.</w:t>
      </w:r>
      <w:r w:rsidRPr="001F2586">
        <w:rPr>
          <w:rFonts w:eastAsia="Calibri" w:hint="cs"/>
          <w:rtl/>
        </w:rPr>
        <w:t xml:space="preserve"> על פי נתוני מערכת הרישוי והרישום הארצית הרב מדינתית, קיימים כ-556,000 רישיונו</w:t>
      </w:r>
      <w:r w:rsidRPr="001F2586">
        <w:rPr>
          <w:rFonts w:eastAsia="Calibri" w:hint="eastAsia"/>
          <w:rtl/>
        </w:rPr>
        <w:t>ת</w:t>
      </w:r>
      <w:r w:rsidRPr="001F2586">
        <w:rPr>
          <w:rFonts w:eastAsia="Calibri" w:hint="cs"/>
          <w:rtl/>
        </w:rPr>
        <w:t xml:space="preserve"> ליזמים הנותנים משכנתאות בארצות הברית נכון לשנת 2024. </w:t>
      </w:r>
      <w:r w:rsidRPr="001F2586">
        <w:rPr>
          <w:rFonts w:eastAsia="Calibri"/>
          <w:rtl/>
        </w:rPr>
        <w:t xml:space="preserve">חברות משכנתאות </w:t>
      </w:r>
      <w:r w:rsidRPr="001F2586">
        <w:rPr>
          <w:rFonts w:eastAsia="Calibri" w:hint="cs"/>
          <w:rtl/>
        </w:rPr>
        <w:t>חוץ</w:t>
      </w:r>
      <w:r w:rsidRPr="001F2586">
        <w:rPr>
          <w:rFonts w:eastAsia="Calibri"/>
          <w:rtl/>
        </w:rPr>
        <w:t xml:space="preserve">-בנקאיות </w:t>
      </w:r>
      <w:r w:rsidRPr="001F2586">
        <w:rPr>
          <w:rFonts w:eastAsia="Calibri" w:hint="cs"/>
          <w:rtl/>
        </w:rPr>
        <w:t>מהוות את עיקר המלווים בשוק -</w:t>
      </w:r>
      <w:r w:rsidRPr="001F2586">
        <w:rPr>
          <w:rFonts w:eastAsia="Calibri"/>
          <w:rtl/>
        </w:rPr>
        <w:t xml:space="preserve"> </w:t>
      </w:r>
      <w:r w:rsidRPr="001F2586">
        <w:rPr>
          <w:rFonts w:eastAsia="Calibri" w:hint="cs"/>
          <w:rtl/>
        </w:rPr>
        <w:t>נכון לשנת 2024</w:t>
      </w:r>
      <w:r w:rsidRPr="001F2586">
        <w:rPr>
          <w:rFonts w:eastAsia="Calibri"/>
          <w:rtl/>
        </w:rPr>
        <w:t xml:space="preserve"> הם </w:t>
      </w:r>
      <w:r w:rsidRPr="001F2586">
        <w:rPr>
          <w:rFonts w:eastAsia="Calibri" w:hint="cs"/>
          <w:rtl/>
        </w:rPr>
        <w:t>מעניקים כ-</w:t>
      </w:r>
      <w:r w:rsidRPr="001F2586">
        <w:rPr>
          <w:rFonts w:eastAsia="Calibri"/>
          <w:rtl/>
        </w:rPr>
        <w:t>68%</w:t>
      </w:r>
      <w:r w:rsidRPr="001F2586">
        <w:rPr>
          <w:rFonts w:eastAsia="Calibri" w:hint="cs"/>
          <w:rtl/>
        </w:rPr>
        <w:t xml:space="preserve"> </w:t>
      </w:r>
      <w:r w:rsidRPr="001F2586">
        <w:rPr>
          <w:rFonts w:eastAsia="Calibri"/>
          <w:rtl/>
        </w:rPr>
        <w:t>מהלוואות המשכנתא בערבות פדרלית</w:t>
      </w:r>
      <w:r>
        <w:rPr>
          <w:rFonts w:eastAsia="Calibri"/>
          <w:vertAlign w:val="superscript"/>
          <w:rtl/>
        </w:rPr>
        <w:footnoteReference w:id="439"/>
      </w:r>
      <w:r w:rsidRPr="001F2586">
        <w:rPr>
          <w:rFonts w:eastAsia="Calibri"/>
          <w:rtl/>
        </w:rPr>
        <w:t xml:space="preserve"> ו-53% מכלל המשכנתא</w:t>
      </w:r>
      <w:r w:rsidRPr="001F2586">
        <w:rPr>
          <w:rFonts w:eastAsia="Calibri" w:hint="cs"/>
          <w:rtl/>
        </w:rPr>
        <w:t>ות</w:t>
      </w:r>
      <w:r w:rsidRPr="001F2586">
        <w:rPr>
          <w:rFonts w:eastAsia="Calibri"/>
          <w:rtl/>
        </w:rPr>
        <w:t xml:space="preserve"> שטרם נפרעו</w:t>
      </w:r>
      <w:r>
        <w:rPr>
          <w:rFonts w:eastAsia="Calibri"/>
          <w:vertAlign w:val="superscript"/>
          <w:rtl/>
        </w:rPr>
        <w:footnoteReference w:id="440"/>
      </w:r>
      <w:r w:rsidRPr="001F2586">
        <w:rPr>
          <w:rFonts w:eastAsia="Calibri"/>
          <w:rtl/>
        </w:rPr>
        <w:t>.</w:t>
      </w:r>
      <w:r w:rsidRPr="001F2586">
        <w:rPr>
          <w:rFonts w:eastAsia="Calibri" w:hint="cs"/>
          <w:rtl/>
        </w:rPr>
        <w:t xml:space="preserve"> </w:t>
      </w:r>
      <w:r w:rsidRPr="001F2586">
        <w:rPr>
          <w:rFonts w:eastAsia="Calibri"/>
          <w:rtl/>
        </w:rPr>
        <w:t xml:space="preserve">גופים </w:t>
      </w:r>
      <w:r w:rsidRPr="001F2586">
        <w:rPr>
          <w:rFonts w:eastAsia="Calibri" w:hint="cs"/>
          <w:rtl/>
        </w:rPr>
        <w:t>חוץ בנקאיים</w:t>
      </w:r>
      <w:r w:rsidRPr="001F2586">
        <w:rPr>
          <w:rFonts w:eastAsia="Calibri"/>
          <w:rtl/>
        </w:rPr>
        <w:t xml:space="preserve"> הגדילו את נתח השוק שלהם במשכנתאות בערבות הממשלה והפכו למקור משמעותי לאשראי משכנתא עבור </w:t>
      </w:r>
      <w:r w:rsidRPr="001F2586">
        <w:rPr>
          <w:rFonts w:eastAsia="Calibri"/>
          <w:rtl/>
        </w:rPr>
        <w:t>רוכשי</w:t>
      </w:r>
      <w:r w:rsidRPr="001F2586">
        <w:rPr>
          <w:rFonts w:eastAsia="Calibri"/>
          <w:rtl/>
        </w:rPr>
        <w:t xml:space="preserve"> דירה ראשונה, </w:t>
      </w:r>
      <w:r w:rsidRPr="001F2586">
        <w:rPr>
          <w:rFonts w:eastAsia="Calibri" w:hint="cs"/>
          <w:rtl/>
        </w:rPr>
        <w:t>לווים</w:t>
      </w:r>
      <w:r w:rsidRPr="001F2586">
        <w:rPr>
          <w:rFonts w:eastAsia="Calibri"/>
          <w:rtl/>
        </w:rPr>
        <w:t xml:space="preserve"> בעלי הכנסה נמוכה ובינונית</w:t>
      </w:r>
      <w:r w:rsidRPr="001F2586">
        <w:rPr>
          <w:rFonts w:eastAsia="Calibri" w:hint="cs"/>
          <w:rtl/>
        </w:rPr>
        <w:t xml:space="preserve"> ואוכלוסיות מבוגרות. </w:t>
      </w:r>
    </w:p>
    <w:p w:rsidR="00260379" w:rsidP="001F2586">
      <w:pPr>
        <w:spacing w:line="269" w:lineRule="auto"/>
        <w:ind w:left="-567"/>
        <w:rPr>
          <w:rFonts w:eastAsia="Calibri"/>
          <w:szCs w:val="20"/>
          <w:rtl/>
        </w:rPr>
      </w:pPr>
    </w:p>
    <w:p w:rsidR="001F2586" w:rsidRPr="001F2586" w:rsidP="001F2586">
      <w:pPr>
        <w:numPr>
          <w:ilvl w:val="0"/>
          <w:numId w:val="24"/>
        </w:numPr>
        <w:spacing w:line="269" w:lineRule="auto"/>
        <w:ind w:left="312"/>
        <w:contextualSpacing/>
        <w:rPr>
          <w:rFonts w:eastAsia="Calibri"/>
        </w:rPr>
      </w:pPr>
      <w:r w:rsidRPr="001F2586">
        <w:rPr>
          <w:rFonts w:eastAsia="Times New Roman"/>
          <w:bCs/>
          <w:spacing w:val="40"/>
          <w:rtl/>
        </w:rPr>
        <w:t>קנדה</w:t>
      </w:r>
      <w:r w:rsidRPr="001F2586">
        <w:rPr>
          <w:rFonts w:eastAsia="Calibri" w:hint="cs"/>
          <w:b/>
          <w:bCs/>
          <w:rtl/>
        </w:rPr>
        <w:t>:</w:t>
      </w:r>
      <w:r w:rsidRPr="001F2586">
        <w:rPr>
          <w:rFonts w:eastAsia="Calibri" w:hint="cs"/>
          <w:rtl/>
        </w:rPr>
        <w:t xml:space="preserve"> על פי דוח תעשיית המשכנתאות למגורים לשנת 2025, ששת הבנקים הגדולים בקנדה העניקו כ-75.5%</w:t>
      </w:r>
      <w:r w:rsidRPr="001F2586">
        <w:rPr>
          <w:rFonts w:eastAsia="Calibri" w:hint="cs"/>
        </w:rPr>
        <w:t xml:space="preserve"> </w:t>
      </w:r>
      <w:r w:rsidRPr="001F2586">
        <w:rPr>
          <w:rFonts w:eastAsia="Calibri" w:hint="cs"/>
          <w:rtl/>
        </w:rPr>
        <w:t xml:space="preserve">מכלל המשכנתאות ברבעון הראשון לשנת 2025. להלן תרשים אודות המלווים השונים בשוק המשכנתאות בקנדה ברבעון ראשון לשנים 2023-2025. </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b/>
          <w:bCs/>
          <w:rtl/>
        </w:rPr>
      </w:pPr>
      <w:bookmarkStart w:id="98" w:name="_Hlk233033029"/>
      <w:r w:rsidRPr="001F2586">
        <w:rPr>
          <w:rFonts w:eastAsia="Calibri" w:hint="cs"/>
          <w:rtl/>
        </w:rPr>
        <w:t>תרשים 71:</w:t>
      </w:r>
      <w:r w:rsidRPr="001F2586">
        <w:rPr>
          <w:rFonts w:eastAsia="Calibri" w:hint="cs"/>
          <w:b/>
          <w:bCs/>
          <w:rtl/>
        </w:rPr>
        <w:t xml:space="preserve"> נותני המשכנתאות בקנדה ברבעון 1 לשנים 2023 - 2025 </w:t>
      </w:r>
    </w:p>
    <w:bookmarkEnd w:id="98"/>
    <w:p w:rsidR="001F2586" w:rsidRPr="001F2586" w:rsidP="001F2586">
      <w:pPr>
        <w:spacing w:line="269" w:lineRule="auto"/>
        <w:jc w:val="center"/>
        <w:rPr>
          <w:rFonts w:eastAsia="Calibri"/>
          <w:b/>
          <w:bCs/>
          <w:rtl/>
        </w:rPr>
      </w:pPr>
      <w:r w:rsidRPr="001F2586">
        <w:rPr>
          <w:rFonts w:eastAsia="Calibri"/>
          <w:b/>
          <w:bCs/>
          <w:noProof/>
          <w:rtl/>
          <w:lang w:val="he-IL"/>
        </w:rPr>
        <w:drawing>
          <wp:inline distT="0" distB="0" distL="0" distR="0">
            <wp:extent cx="5220335" cy="3145155"/>
            <wp:effectExtent l="0" t="0" r="0" b="0"/>
            <wp:docPr id="67" name="תמונה 67" descr="ראה תיאור למט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רשים 71.GIF"/>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tretch>
                      <a:fillRect/>
                    </a:stretch>
                  </pic:blipFill>
                  <pic:spPr>
                    <a:xfrm>
                      <a:off x="0" y="0"/>
                      <a:ext cx="5220335" cy="3145155"/>
                    </a:xfrm>
                    <a:prstGeom prst="rect">
                      <a:avLst/>
                    </a:prstGeom>
                  </pic:spPr>
                </pic:pic>
              </a:graphicData>
            </a:graphic>
          </wp:inline>
        </w:drawing>
      </w:r>
    </w:p>
    <w:p w:rsidR="001F2586" w:rsidRPr="001F2586" w:rsidP="001F2586">
      <w:pPr>
        <w:spacing w:line="269" w:lineRule="auto"/>
        <w:rPr>
          <w:rFonts w:eastAsia="Calibri"/>
          <w:szCs w:val="20"/>
          <w:rtl/>
        </w:rPr>
      </w:pPr>
      <w:r w:rsidRPr="001F2586">
        <w:rPr>
          <w:rFonts w:eastAsia="Calibri" w:hint="cs"/>
          <w:szCs w:val="20"/>
          <w:rtl/>
        </w:rPr>
        <w:t>על פי נתוני תאגיד המשכנתאות והדיור הקנדי (</w:t>
      </w:r>
      <w:r w:rsidRPr="001F2586">
        <w:rPr>
          <w:rFonts w:eastAsia="Calibri" w:hint="cs"/>
          <w:szCs w:val="20"/>
        </w:rPr>
        <w:t>CMH</w:t>
      </w:r>
      <w:r w:rsidRPr="001F2586">
        <w:rPr>
          <w:rFonts w:eastAsia="Calibri"/>
          <w:szCs w:val="20"/>
        </w:rPr>
        <w:t>C</w:t>
      </w:r>
      <w:r w:rsidRPr="001F2586">
        <w:rPr>
          <w:rFonts w:eastAsia="Calibri" w:hint="cs"/>
          <w:szCs w:val="20"/>
          <w:rtl/>
        </w:rPr>
        <w:t>), בעיבוד משרד מבקר המדינה.</w:t>
      </w:r>
    </w:p>
    <w:p w:rsidR="001F2586" w:rsidRPr="001F2586" w:rsidP="001F2586">
      <w:pPr>
        <w:spacing w:line="269" w:lineRule="auto"/>
        <w:ind w:left="720"/>
        <w:contextualSpacing/>
        <w:rPr>
          <w:rFonts w:eastAsia="Calibri"/>
          <w:szCs w:val="20"/>
          <w:rtl/>
        </w:rPr>
      </w:pPr>
    </w:p>
    <w:p w:rsidR="001F2586" w:rsidRPr="001F2586" w:rsidP="001F2586">
      <w:pPr>
        <w:spacing w:line="269" w:lineRule="auto"/>
        <w:ind w:left="312"/>
        <w:rPr>
          <w:rFonts w:eastAsia="Calibri"/>
          <w:rtl/>
        </w:rPr>
      </w:pPr>
      <w:r w:rsidRPr="001F2586">
        <w:rPr>
          <w:rFonts w:eastAsia="Calibri" w:hint="cs"/>
          <w:rtl/>
        </w:rPr>
        <w:t xml:space="preserve">מהתרשים ניתן לראות כי שוק המשכנתאות בקנדה מגוון וכולל בתוכו מספר שחקנים משמעותיים: ששת בנקים הגדולים עם פלח שוק מהותי של 75.5%, איגודי אשראי עם פלח שוק של 13.3%, מלווים חוץ בנקאיים אחרים עם פלח שוק של 4%. </w:t>
      </w:r>
    </w:p>
    <w:p w:rsidR="001F2586" w:rsidRPr="001F2586" w:rsidP="001F2586">
      <w:pPr>
        <w:spacing w:line="269" w:lineRule="auto"/>
        <w:ind w:left="-567"/>
        <w:rPr>
          <w:rFonts w:eastAsia="Calibri"/>
          <w:szCs w:val="20"/>
          <w:rtl/>
        </w:rPr>
      </w:pPr>
    </w:p>
    <w:p w:rsidR="001F2586" w:rsidRPr="001F2586" w:rsidP="001F2586">
      <w:pPr>
        <w:numPr>
          <w:ilvl w:val="0"/>
          <w:numId w:val="24"/>
        </w:numPr>
        <w:spacing w:line="269" w:lineRule="auto"/>
        <w:ind w:left="312"/>
        <w:contextualSpacing/>
        <w:rPr>
          <w:rFonts w:eastAsia="Calibri"/>
          <w:rtl/>
        </w:rPr>
      </w:pPr>
      <w:r w:rsidRPr="001F2586">
        <w:rPr>
          <w:rFonts w:eastAsia="Times New Roman"/>
          <w:bCs/>
          <w:spacing w:val="40"/>
          <w:rtl/>
        </w:rPr>
        <w:t>אוסטרליה</w:t>
      </w:r>
      <w:r w:rsidRPr="001F2586">
        <w:rPr>
          <w:rFonts w:eastAsia="Times New Roman" w:hint="cs"/>
          <w:bCs/>
          <w:spacing w:val="40"/>
          <w:rtl/>
        </w:rPr>
        <w:t>:</w:t>
      </w:r>
      <w:r w:rsidRPr="001F2586">
        <w:rPr>
          <w:rFonts w:eastAsia="Calibri"/>
          <w:rtl/>
        </w:rPr>
        <w:t xml:space="preserve"> על פי נתוני הבנק המרכזי של אוסטרליה (</w:t>
      </w:r>
      <w:r w:rsidRPr="001F2586">
        <w:rPr>
          <w:rFonts w:eastAsia="Calibri"/>
        </w:rPr>
        <w:t>RBA</w:t>
      </w:r>
      <w:r w:rsidRPr="001F2586">
        <w:rPr>
          <w:rFonts w:eastAsia="Calibri"/>
          <w:rtl/>
        </w:rPr>
        <w:t>), גופים חוץ-בנקאיים מחזיקים בנתח שוק של כ-5% מסך אשראי הדיור. עם זאת, בנישות ספציפיות כמו הלוואות מסחריות או הלוואות ללווים מורכבים (</w:t>
      </w:r>
      <w:r w:rsidRPr="001F2586">
        <w:rPr>
          <w:rFonts w:eastAsia="Calibri"/>
        </w:rPr>
        <w:t>Non-conforming</w:t>
      </w:r>
      <w:r w:rsidRPr="001F2586">
        <w:rPr>
          <w:rFonts w:eastAsia="Calibri"/>
          <w:rtl/>
        </w:rPr>
        <w:t>), נתח השוק שלהם גבוה משמעותי</w:t>
      </w:r>
      <w:r w:rsidRPr="001F2586">
        <w:rPr>
          <w:rFonts w:eastAsia="Calibri" w:hint="cs"/>
          <w:rtl/>
        </w:rPr>
        <w:t>ת.</w:t>
      </w:r>
    </w:p>
    <w:p w:rsidR="001F2586" w:rsidRPr="001F2586" w:rsidP="001F2586">
      <w:pPr>
        <w:spacing w:line="269" w:lineRule="auto"/>
        <w:ind w:left="-567"/>
        <w:rPr>
          <w:rFonts w:eastAsia="Calibri"/>
          <w:szCs w:val="20"/>
          <w:rtl/>
        </w:rPr>
      </w:pPr>
    </w:p>
    <w:p w:rsidR="001F2586" w:rsidRPr="001F2586" w:rsidP="001F2586">
      <w:pPr>
        <w:numPr>
          <w:ilvl w:val="0"/>
          <w:numId w:val="24"/>
        </w:numPr>
        <w:spacing w:line="269" w:lineRule="auto"/>
        <w:ind w:left="360"/>
        <w:contextualSpacing/>
        <w:rPr>
          <w:rFonts w:eastAsia="Calibri"/>
          <w:rtl/>
        </w:rPr>
      </w:pPr>
      <w:r w:rsidRPr="001F2586">
        <w:rPr>
          <w:rFonts w:eastAsia="Times New Roman" w:hint="cs"/>
          <w:bCs/>
          <w:spacing w:val="40"/>
          <w:rtl/>
        </w:rPr>
        <w:t>בריטני</w:t>
      </w:r>
      <w:r w:rsidRPr="001F2586">
        <w:rPr>
          <w:rFonts w:eastAsia="Times New Roman" w:hint="eastAsia"/>
          <w:bCs/>
          <w:spacing w:val="40"/>
          <w:rtl/>
        </w:rPr>
        <w:t>ה</w:t>
      </w:r>
      <w:r w:rsidRPr="001F2586">
        <w:rPr>
          <w:rFonts w:eastAsia="Times New Roman" w:hint="cs"/>
          <w:bCs/>
          <w:spacing w:val="40"/>
          <w:rtl/>
        </w:rPr>
        <w:t>:</w:t>
      </w:r>
      <w:r w:rsidRPr="001F2586">
        <w:rPr>
          <w:rFonts w:eastAsia="Calibri" w:hint="cs"/>
          <w:rtl/>
        </w:rPr>
        <w:t xml:space="preserve"> </w:t>
      </w:r>
      <w:r w:rsidRPr="001F2586">
        <w:rPr>
          <w:rFonts w:eastAsia="Calibri"/>
          <w:rtl/>
        </w:rPr>
        <w:t xml:space="preserve">שוק המשכנתאות בבריטניה הוא אחד הגדולים והמפותחים בעולם, ומאופיין בדומיננטיות של מוסדות בנקאיים גדולים לצד מגזר </w:t>
      </w:r>
      <w:r w:rsidRPr="001F2586">
        <w:rPr>
          <w:rFonts w:eastAsia="Calibri" w:hint="cs"/>
          <w:rtl/>
        </w:rPr>
        <w:t>הולך וצומח</w:t>
      </w:r>
      <w:r w:rsidRPr="001F2586">
        <w:rPr>
          <w:rFonts w:eastAsia="Calibri"/>
          <w:rtl/>
        </w:rPr>
        <w:t xml:space="preserve"> של מלווים מתמחים חוץ-בנקאיים המסתמכים על איגוח.</w:t>
      </w:r>
      <w:r w:rsidRPr="001F2586">
        <w:rPr>
          <w:rFonts w:eastAsia="Calibri" w:hint="cs"/>
          <w:rtl/>
        </w:rPr>
        <w:t xml:space="preserve"> ה</w:t>
      </w:r>
      <w:r w:rsidRPr="001F2586">
        <w:rPr>
          <w:rFonts w:eastAsia="Calibri"/>
          <w:rtl/>
        </w:rPr>
        <w:t>בנקים וחברות בניין (</w:t>
      </w:r>
      <w:r w:rsidRPr="001F2586">
        <w:rPr>
          <w:rFonts w:eastAsia="Calibri"/>
        </w:rPr>
        <w:t>Building Societies</w:t>
      </w:r>
      <w:r w:rsidRPr="001F2586">
        <w:rPr>
          <w:rFonts w:eastAsia="Calibri"/>
          <w:rtl/>
        </w:rPr>
        <w:t>)</w:t>
      </w:r>
      <w:r w:rsidRPr="001F2586">
        <w:rPr>
          <w:rFonts w:eastAsia="Calibri" w:hint="cs"/>
          <w:rtl/>
        </w:rPr>
        <w:t xml:space="preserve"> מהווים כ-90%</w:t>
      </w:r>
      <w:r w:rsidRPr="001F2586">
        <w:rPr>
          <w:rFonts w:eastAsia="Calibri" w:hint="cs"/>
        </w:rPr>
        <w:t xml:space="preserve"> </w:t>
      </w:r>
      <w:r w:rsidRPr="001F2586">
        <w:rPr>
          <w:rFonts w:eastAsia="Calibri" w:hint="cs"/>
          <w:rtl/>
        </w:rPr>
        <w:t>מהמלווים ומקור המימון העיקרי הוא פיקדונו</w:t>
      </w:r>
      <w:r w:rsidRPr="001F2586">
        <w:rPr>
          <w:rFonts w:eastAsia="Calibri" w:hint="eastAsia"/>
          <w:rtl/>
        </w:rPr>
        <w:t>ת</w:t>
      </w:r>
      <w:r w:rsidRPr="001F2586">
        <w:rPr>
          <w:rFonts w:eastAsia="Calibri" w:hint="cs"/>
          <w:rtl/>
        </w:rPr>
        <w:t xml:space="preserve"> הציבור. כ-10%</w:t>
      </w:r>
      <w:r w:rsidRPr="001F2586">
        <w:rPr>
          <w:rFonts w:eastAsia="Calibri" w:hint="cs"/>
        </w:rPr>
        <w:t xml:space="preserve"> </w:t>
      </w:r>
      <w:r w:rsidRPr="001F2586">
        <w:rPr>
          <w:rFonts w:eastAsia="Calibri" w:hint="cs"/>
          <w:rtl/>
        </w:rPr>
        <w:t xml:space="preserve">מהמשכנתאות ניתנות על ידי </w:t>
      </w:r>
      <w:r w:rsidRPr="001F2586">
        <w:rPr>
          <w:rFonts w:eastAsia="Calibri" w:hint="cs"/>
          <w:rtl/>
        </w:rPr>
        <w:t xml:space="preserve">מלווים מתמחים ומקור המימון העיקרי הוא </w:t>
      </w:r>
      <w:r w:rsidRPr="001F2586">
        <w:rPr>
          <w:rFonts w:eastAsia="Calibri"/>
          <w:rtl/>
        </w:rPr>
        <w:t>איגוח (</w:t>
      </w:r>
      <w:r w:rsidRPr="001F2586">
        <w:rPr>
          <w:rFonts w:eastAsia="Calibri"/>
        </w:rPr>
        <w:t>RMBS</w:t>
      </w:r>
      <w:r w:rsidRPr="001F2586">
        <w:rPr>
          <w:rFonts w:eastAsia="Calibri"/>
          <w:rtl/>
        </w:rPr>
        <w:t>) ומימון סיטונאי (</w:t>
      </w:r>
      <w:r w:rsidRPr="001F2586">
        <w:rPr>
          <w:rFonts w:eastAsia="Calibri"/>
        </w:rPr>
        <w:t>Wholesale</w:t>
      </w:r>
      <w:r w:rsidRPr="001F2586">
        <w:rPr>
          <w:rFonts w:eastAsia="Calibri"/>
          <w:rtl/>
        </w:rPr>
        <w:t>)</w:t>
      </w:r>
      <w:r>
        <w:rPr>
          <w:rFonts w:eastAsia="Calibri"/>
          <w:vertAlign w:val="superscript"/>
          <w:rtl/>
        </w:rPr>
        <w:footnoteReference w:id="441"/>
      </w:r>
      <w:r w:rsidRPr="001F2586">
        <w:rPr>
          <w:rFonts w:eastAsia="Calibri" w:hint="cs"/>
          <w:rtl/>
        </w:rPr>
        <w:t xml:space="preserve">. יצוין כי </w:t>
      </w:r>
      <w:r w:rsidRPr="001F2586">
        <w:rPr>
          <w:rFonts w:eastAsia="Calibri"/>
          <w:rtl/>
        </w:rPr>
        <w:t xml:space="preserve">האיגוח בבריטניה מוביל את אירופה בהיקף הנפקות </w:t>
      </w:r>
      <w:r w:rsidRPr="001F2586">
        <w:rPr>
          <w:rFonts w:eastAsia="Calibri" w:hint="cs"/>
          <w:rtl/>
        </w:rPr>
        <w:t>של ניירות ערך מגובי משכנתאות למגורים</w:t>
      </w:r>
      <w:r w:rsidRPr="001F2586">
        <w:rPr>
          <w:rFonts w:eastAsia="Calibri"/>
          <w:rtl/>
        </w:rPr>
        <w:t>. הגמישות של המלווים המתמחים מאפשרת להם להתמקד בלווים "לא סטנדרטיים" שהבנקים הגדולים מסרבים להם בשל דרישות רגולטוריות</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מהשוואה העולמית נראה כי שוק האשראי החוץ בנקאי מהווה חלק מהותי יותר משוק המשכנתאות החוץ בנקאי הישראלי במדינות שנבדקו. מפגישות שערך משרד מבקר המדינה עם גופים חוץ בנקאיים ורשות שוק ההון נראה כי הסיבה העיקרית נובעת מעלויות הגיוס של הגופים החוץ בנקאיים בישראל.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בשנים האחרונות, על מנת לפתוח לתחרות את שוק האשראי של משקי הבית והעסקים הקטנים בישראל, בוצעו מספר יוזמות חקיקה ורגולציה וזאת עקב הפער הקיים בין עלויות המימון של נותני האשראי החוץ בנקאי כגורם הפוגע בתחרות. תאגיד הנותן אשראי חוץ בנקאי אשר אינו תאגיד בנקאי אינו רשאי להשתמש בפיקדונו</w:t>
      </w:r>
      <w:r w:rsidRPr="001F2586">
        <w:rPr>
          <w:rFonts w:eastAsia="Calibri" w:hint="eastAsia"/>
          <w:rtl/>
        </w:rPr>
        <w:t>ת</w:t>
      </w:r>
      <w:r w:rsidRPr="001F2586">
        <w:rPr>
          <w:rFonts w:eastAsia="Calibri" w:hint="cs"/>
          <w:rtl/>
        </w:rPr>
        <w:t xml:space="preserve"> הציבור כמקור מימון לצורך מתן אשראי לציבור, ולכן בפועל הוא משתמש במקורות מימון אחרים. הריבית המשולמת בעבור פיקדונו</w:t>
      </w:r>
      <w:r w:rsidRPr="001F2586">
        <w:rPr>
          <w:rFonts w:eastAsia="Calibri" w:hint="eastAsia"/>
          <w:rtl/>
        </w:rPr>
        <w:t>ת</w:t>
      </w:r>
      <w:r w:rsidRPr="001F2586">
        <w:rPr>
          <w:rFonts w:eastAsia="Calibri" w:hint="cs"/>
          <w:rtl/>
        </w:rPr>
        <w:t xml:space="preserve"> הציבור נמוכה משמעותית משאר מקורות המימון, דבר המעניק יתרון מובנה לתאגידים הבנקאיים אל מול הגופים החוץ בנקאיים.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עד שנת 2015 היה קיים איסור על גופים חוץ בנקאיים לגייס כסף באמצעות הנפקת אג"ח. בשנת 2015 שונה סעיף 21 בחוק הבנקאות (רישוי), התשמ"א-1981, כך שגם גופים חוץ בנקאיים יכולים לגייס אג"ח בכפוף לסייגים. עם זאת הגיוס נותר תחת מגבלות של תקרת גיוס של עד 2.5 מיליארד ש"ח לכל גוף. בשנת 2018 תקרה זו הועלתה ל-5 מיליארד ש"ח, וביולי 2022 נוסף תיקון לחוק הבנקאות (רישוי)</w:t>
      </w:r>
      <w:r>
        <w:rPr>
          <w:rFonts w:eastAsia="Calibri"/>
          <w:vertAlign w:val="superscript"/>
          <w:rtl/>
        </w:rPr>
        <w:footnoteReference w:id="442"/>
      </w:r>
      <w:r w:rsidRPr="001F2586">
        <w:rPr>
          <w:rFonts w:eastAsia="Calibri" w:hint="cs"/>
          <w:rtl/>
        </w:rPr>
        <w:t>, כך שהתקרה לגופים חוץ בנקאיים הועלתה ל-15 מיליארד ש"ח לתאגידים שיציבותם מוסדרת ומפוקחת (כאלו שחלים עליהם הוראות לעניין הלימות הון ונזילות). כמו כן הותר להם גם להנפיק ניירות ערך מסחריים סחירים שאינם קצרים מ-270 יום. ה</w:t>
      </w:r>
      <w:r w:rsidRPr="001F2586">
        <w:rPr>
          <w:rFonts w:eastAsia="Calibri"/>
          <w:rtl/>
        </w:rPr>
        <w:t xml:space="preserve">תיקון ביטל את המגבלה על מתן אשראי למטרות דיור מכספי הגיוס. זהו הצעד שסלל את הדרך לכניסת חברות </w:t>
      </w:r>
      <w:r w:rsidRPr="001F2586">
        <w:rPr>
          <w:rFonts w:eastAsia="Calibri" w:hint="cs"/>
          <w:rtl/>
        </w:rPr>
        <w:t>נוספות</w:t>
      </w:r>
      <w:r w:rsidRPr="001F2586">
        <w:rPr>
          <w:rFonts w:eastAsia="Calibri"/>
          <w:rtl/>
        </w:rPr>
        <w:t xml:space="preserve"> לשוק המשכנתאות </w:t>
      </w:r>
      <w:r w:rsidRPr="001F2586">
        <w:rPr>
          <w:rFonts w:eastAsia="Calibri" w:hint="cs"/>
          <w:rtl/>
        </w:rPr>
        <w:t>-</w:t>
      </w:r>
      <w:r w:rsidRPr="001F2586">
        <w:rPr>
          <w:rFonts w:eastAsia="Calibri"/>
          <w:rtl/>
        </w:rPr>
        <w:t xml:space="preserve"> שוק שהיה חסום בפניהם כמעט לחלוטין עד אז.</w:t>
      </w:r>
      <w:r w:rsidRPr="001F2586">
        <w:rPr>
          <w:rFonts w:eastAsia="Calibri"/>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1"/>
        <w:rPr>
          <w:rFonts w:eastAsia="Calibri"/>
          <w:rtl/>
        </w:rPr>
      </w:pPr>
      <w:r w:rsidRPr="001F2586">
        <w:rPr>
          <w:rFonts w:eastAsia="Calibri" w:hint="eastAsia"/>
          <w:rtl/>
        </w:rPr>
        <w:t>רשות</w:t>
      </w:r>
      <w:r w:rsidRPr="001F2586">
        <w:rPr>
          <w:rFonts w:eastAsia="Calibri"/>
          <w:rtl/>
        </w:rPr>
        <w:t xml:space="preserve"> שוק ההון ציינה במענה למשרד מבקר המדינה מינואר 2026 </w:t>
      </w:r>
      <w:r w:rsidRPr="001F2586">
        <w:rPr>
          <w:rFonts w:eastAsia="Calibri" w:hint="cs"/>
          <w:rtl/>
        </w:rPr>
        <w:t xml:space="preserve">(להלן - מענה רשות שוק ההון) </w:t>
      </w:r>
      <w:r w:rsidRPr="001F2586">
        <w:rPr>
          <w:rFonts w:eastAsia="Calibri" w:hint="eastAsia"/>
          <w:rtl/>
        </w:rPr>
        <w:t>כי</w:t>
      </w:r>
      <w:r w:rsidRPr="001F2586">
        <w:rPr>
          <w:rFonts w:eastAsia="Calibri"/>
          <w:rtl/>
        </w:rPr>
        <w:t xml:space="preserve"> היא מעריכה שקיים פוטנציאל לגידול בשוק האשראי החוץ בנקאי לדיור, בדומה למדינות מערביות אחרות בהן יש רגולציה תומכת. בשנים האחרונות צמח שוק המשכנתאות החוץ-בנקאיות בישראל - חברות מבוססות בעלות משאבים הגדילו פעילות בשוק זה וחברות חדשות נכנסו לתחום. </w:t>
      </w:r>
      <w:r w:rsidRPr="001F2586">
        <w:rPr>
          <w:rFonts w:eastAsia="Calibri" w:hint="cs"/>
          <w:rtl/>
        </w:rPr>
        <w:t>רשות שוק ההון מעריכה</w:t>
      </w:r>
      <w:r w:rsidRPr="001F2586">
        <w:rPr>
          <w:rFonts w:eastAsia="Calibri"/>
          <w:rtl/>
        </w:rPr>
        <w:t xml:space="preserve"> כי הגידול מונע משילוב גורמים: ביקוש מצד לווים שלא מקבלים תמיד מענה מהבנקים (למשל בשל הגבלות רגולטוריות על </w:t>
      </w:r>
      <w:r w:rsidRPr="001F2586">
        <w:rPr>
          <w:rFonts w:eastAsia="Calibri"/>
        </w:rPr>
        <w:t>LTV</w:t>
      </w:r>
      <w:r w:rsidRPr="001F2586">
        <w:rPr>
          <w:rFonts w:eastAsia="Calibri"/>
          <w:rtl/>
        </w:rPr>
        <w:t xml:space="preserve"> או פרופיל סיכון) ורגולציה שמגבירה אמון ומקלה על גיוס מקורות מימון. לכך יש להוסיף סביבה מקרו</w:t>
      </w:r>
      <w:r w:rsidRPr="001F2586">
        <w:rPr>
          <w:rFonts w:eastAsia="Calibri" w:hint="cs"/>
          <w:rtl/>
        </w:rPr>
        <w:t>-</w:t>
      </w:r>
      <w:r w:rsidRPr="001F2586">
        <w:rPr>
          <w:rFonts w:eastAsia="Calibri"/>
          <w:rtl/>
        </w:rPr>
        <w:t xml:space="preserve">כלכלית תומכת בשל סיום המלחמה והפחתת הריבית. עם זאת </w:t>
      </w:r>
      <w:r w:rsidRPr="001F2586">
        <w:rPr>
          <w:rFonts w:eastAsia="Calibri" w:hint="eastAsia"/>
          <w:rtl/>
        </w:rPr>
        <w:t>ציינה</w:t>
      </w:r>
      <w:r w:rsidRPr="001F2586">
        <w:rPr>
          <w:rFonts w:eastAsia="Calibri"/>
          <w:rtl/>
        </w:rPr>
        <w:t xml:space="preserve"> </w:t>
      </w:r>
      <w:r w:rsidRPr="001F2586">
        <w:rPr>
          <w:rFonts w:eastAsia="Calibri" w:hint="eastAsia"/>
          <w:rtl/>
        </w:rPr>
        <w:t>רשות</w:t>
      </w:r>
      <w:r w:rsidRPr="001F2586">
        <w:rPr>
          <w:rFonts w:eastAsia="Calibri"/>
          <w:rtl/>
        </w:rPr>
        <w:t xml:space="preserve"> </w:t>
      </w:r>
      <w:r w:rsidRPr="001F2586">
        <w:rPr>
          <w:rFonts w:eastAsia="Calibri" w:hint="eastAsia"/>
          <w:rtl/>
        </w:rPr>
        <w:t>שוק</w:t>
      </w:r>
      <w:r w:rsidRPr="001F2586">
        <w:rPr>
          <w:rFonts w:eastAsia="Calibri"/>
          <w:rtl/>
        </w:rPr>
        <w:t xml:space="preserve"> </w:t>
      </w:r>
      <w:r w:rsidRPr="001F2586">
        <w:rPr>
          <w:rFonts w:eastAsia="Calibri" w:hint="eastAsia"/>
          <w:rtl/>
        </w:rPr>
        <w:t>ההון</w:t>
      </w:r>
      <w:r w:rsidRPr="001F2586">
        <w:rPr>
          <w:rFonts w:eastAsia="Calibri"/>
          <w:rtl/>
        </w:rPr>
        <w:t xml:space="preserve"> כי שיעור ההלוואות לדיור שניתן על ידי החברות החוץ בנקאיות הוא עד</w:t>
      </w:r>
      <w:r w:rsidRPr="001F2586">
        <w:rPr>
          <w:rFonts w:eastAsia="Calibri" w:hint="cs"/>
          <w:rtl/>
        </w:rPr>
        <w:t>י</w:t>
      </w:r>
      <w:r w:rsidRPr="001F2586">
        <w:rPr>
          <w:rFonts w:eastAsia="Calibri"/>
          <w:rtl/>
        </w:rPr>
        <w:t>ין נמוך ביותר ומ</w:t>
      </w:r>
      <w:r w:rsidRPr="001F2586">
        <w:rPr>
          <w:rFonts w:eastAsia="Calibri" w:hint="cs"/>
          <w:rtl/>
        </w:rPr>
        <w:t>ו</w:t>
      </w:r>
      <w:r w:rsidRPr="001F2586">
        <w:rPr>
          <w:rFonts w:eastAsia="Calibri"/>
          <w:rtl/>
        </w:rPr>
        <w:t>ערך בפחות מ 2%.</w:t>
      </w:r>
    </w:p>
    <w:p w:rsidR="001F2586" w:rsidRPr="001F2586" w:rsidP="001F2586">
      <w:pPr>
        <w:spacing w:line="269" w:lineRule="auto"/>
        <w:ind w:left="-567"/>
        <w:rPr>
          <w:rFonts w:eastAsia="Calibri"/>
          <w:szCs w:val="20"/>
          <w:rtl/>
        </w:rPr>
      </w:pPr>
    </w:p>
    <w:p w:rsidR="001F2586" w:rsidRPr="001F2586" w:rsidP="001F2586">
      <w:pPr>
        <w:spacing w:line="269" w:lineRule="auto"/>
        <w:ind w:left="-1"/>
        <w:rPr>
          <w:rFonts w:eastAsia="Calibri"/>
          <w:b/>
          <w:bCs/>
          <w:rtl/>
        </w:rPr>
      </w:pPr>
      <w:r w:rsidRPr="001F2586">
        <w:rPr>
          <w:rFonts w:eastAsia="Calibri" w:hint="eastAsia"/>
          <w:b/>
          <w:bCs/>
          <w:rtl/>
        </w:rPr>
        <w:t>כך</w:t>
      </w:r>
      <w:r w:rsidRPr="001F2586">
        <w:rPr>
          <w:rFonts w:eastAsia="Calibri"/>
          <w:b/>
          <w:bCs/>
          <w:rtl/>
        </w:rPr>
        <w:t xml:space="preserve"> למעשה למרות צעדי חקיקה ורגולציה שונים שננקטו בעשור האחרון, שוק המשכנתאות החוץ-בנקאי בישראל נותר מצומצם ביותר</w:t>
      </w:r>
      <w:r w:rsidRPr="001F2586">
        <w:rPr>
          <w:rFonts w:eastAsia="Calibri" w:hint="cs"/>
          <w:b/>
          <w:bCs/>
          <w:rtl/>
        </w:rPr>
        <w:t xml:space="preserve"> ושיעור ההלוואות לדיור שניתנו על יד החברות החוץ בנקאיות מוערך בפחות מ2% מכלל השוק שעומד על למעלה מ-600 מיליאר</w:t>
      </w:r>
      <w:r w:rsidRPr="001F2586">
        <w:rPr>
          <w:rFonts w:eastAsia="Calibri" w:hint="eastAsia"/>
          <w:b/>
          <w:bCs/>
          <w:rtl/>
        </w:rPr>
        <w:t>ד</w:t>
      </w:r>
      <w:r w:rsidRPr="001F2586">
        <w:rPr>
          <w:rFonts w:eastAsia="Calibri" w:hint="cs"/>
          <w:b/>
          <w:bCs/>
          <w:rtl/>
        </w:rPr>
        <w:t xml:space="preserve"> ש"ח, </w:t>
      </w:r>
      <w:r w:rsidRPr="001F2586">
        <w:rPr>
          <w:rFonts w:eastAsia="Calibri"/>
          <w:b/>
          <w:bCs/>
          <w:rtl/>
        </w:rPr>
        <w:t xml:space="preserve">ואינו מהווה חלופה תחרותית ממשית למערכת הבנקאית. </w:t>
      </w:r>
    </w:p>
    <w:p w:rsidR="001F2586" w:rsidRPr="001F2586" w:rsidP="001F2586">
      <w:pPr>
        <w:spacing w:line="269" w:lineRule="auto"/>
        <w:ind w:left="-567"/>
        <w:rPr>
          <w:rFonts w:eastAsia="Calibri"/>
          <w:szCs w:val="20"/>
          <w:rtl/>
        </w:rPr>
      </w:pPr>
    </w:p>
    <w:p w:rsidR="001F2586" w:rsidRPr="001F2586" w:rsidP="001F2586">
      <w:pPr>
        <w:spacing w:line="269" w:lineRule="auto"/>
        <w:rPr>
          <w:rFonts w:ascii="Open Sans Hebrew" w:eastAsia="Calibri" w:hAnsi="Open Sans Hebrew"/>
          <w:b/>
          <w:bCs/>
          <w:color w:val="000000"/>
          <w:shd w:val="clear" w:color="auto" w:fill="FFFFFF"/>
          <w:rtl/>
        </w:rPr>
      </w:pPr>
      <w:r w:rsidRPr="001F2586">
        <w:rPr>
          <w:rFonts w:ascii="Open Sans Hebrew" w:eastAsia="Calibri" w:hAnsi="Open Sans Hebrew" w:hint="eastAsia"/>
          <w:b/>
          <w:bCs/>
          <w:color w:val="000000"/>
          <w:shd w:val="clear" w:color="auto" w:fill="FFFFFF"/>
          <w:rtl/>
        </w:rPr>
        <w:t>לצורך</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הגברת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התחרות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cs"/>
          <w:b/>
          <w:bCs/>
          <w:color w:val="000000"/>
          <w:shd w:val="clear" w:color="auto" w:fill="FFFFFF"/>
          <w:rtl/>
        </w:rPr>
        <w:t>בשוק</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המשכנתאות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על</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רשות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שוק</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ההון</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בנק</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ישראל</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ומשרד</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האוצר</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cs"/>
          <w:b/>
          <w:bCs/>
          <w:color w:val="000000"/>
          <w:shd w:val="clear" w:color="auto" w:fill="FFFFFF"/>
          <w:rtl/>
        </w:rPr>
        <w:t>לבחון פעולות שיאפשרו</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לחזק</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את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שחקני</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האשראי</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והשירותים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הפיננסים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החוץ</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בנקאיים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cs"/>
          <w:b/>
          <w:bCs/>
          <w:color w:val="000000"/>
          <w:shd w:val="clear" w:color="auto" w:fill="FFFFFF"/>
          <w:rtl/>
        </w:rPr>
        <w:t>כך שיוכלו</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לשמש</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אלטרנטיבה</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למערכת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הבנקאית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במתן</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משכנתאות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לצד</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שירותי</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פיננסים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נוספים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על</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מנת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לייצר</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תחרות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מעמיקה</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cs"/>
          <w:b/>
          <w:bCs/>
          <w:color w:val="000000"/>
          <w:shd w:val="clear" w:color="auto" w:fill="FFFFFF"/>
          <w:rtl/>
        </w:rPr>
        <w:t>מומלץ לבחון</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בין</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היתר</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הוזלה</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של</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מקורות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גיוס</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החוב</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של</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הגופים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החוץ</w:t>
      </w:r>
      <w:r w:rsidRPr="001F2586">
        <w:rPr>
          <w:rFonts w:ascii="Open Sans Hebrew" w:eastAsia="Calibri" w:hAnsi="Open Sans Hebrew" w:hint="cs"/>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בנקאיים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ולצמצם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את</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הפער</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המבני</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הקיים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בינם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לבין</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התאגידים</w:t>
      </w:r>
      <w:r w:rsidRPr="001F2586">
        <w:rPr>
          <w:rFonts w:ascii="Open Sans Hebrew" w:eastAsia="Calibri" w:hAnsi="Open Sans Hebrew"/>
          <w:b/>
          <w:bCs/>
          <w:color w:val="000000"/>
          <w:shd w:val="clear" w:color="auto" w:fill="FFFFFF"/>
          <w:rtl/>
        </w:rPr>
        <w:t xml:space="preserve"> </w:t>
      </w:r>
      <w:r w:rsidRPr="001F2586">
        <w:rPr>
          <w:rFonts w:ascii="Open Sans Hebrew" w:eastAsia="Calibri" w:hAnsi="Open Sans Hebrew" w:hint="eastAsia"/>
          <w:b/>
          <w:bCs/>
          <w:color w:val="000000"/>
          <w:shd w:val="clear" w:color="auto" w:fill="FFFFFF"/>
          <w:rtl/>
        </w:rPr>
        <w:t>הבנקאיים</w:t>
      </w:r>
      <w:r w:rsidRPr="001F2586">
        <w:rPr>
          <w:rFonts w:ascii="Open Sans Hebrew" w:eastAsia="Calibri" w:hAnsi="Open Sans Hebrew"/>
          <w:b/>
          <w:bCs/>
          <w:color w:val="000000"/>
          <w:shd w:val="clear" w:color="auto" w:fill="FFFFFF"/>
          <w:rtl/>
        </w:rPr>
        <w:t>.</w:t>
      </w:r>
    </w:p>
    <w:p w:rsidR="00260379"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רשות שוק ההון ציינה בתשובתה כי הרשות תומכת בהמלצת המבקר וסבורה כי יש לנקוט בצעדים לחיזוק השחקנים החוץ בנקאיים כחלופה ממשית למערכת הבנקאית. יחד עם זאת, הרשות מציינת כי המורכבות ביצירת תחרות אל מול המערכת הבנקאית נובעת בעיקרה מפערי עלויות המימון, שכן נותני האשראי נסמכים ברובם על אשראי מהבנקים עצמם (כ-63%</w:t>
      </w:r>
      <w:r w:rsidRPr="001F2586">
        <w:rPr>
          <w:rFonts w:eastAsia="Calibri" w:hint="cs"/>
        </w:rPr>
        <w:t xml:space="preserve"> </w:t>
      </w:r>
      <w:r w:rsidRPr="001F2586">
        <w:rPr>
          <w:rFonts w:eastAsia="Calibri" w:hint="cs"/>
          <w:rtl/>
        </w:rPr>
        <w:t>ממקורות המימון). עוד ציינה הרשות כי לאחרונה הסתיימ</w:t>
      </w:r>
      <w:r w:rsidRPr="001F2586">
        <w:rPr>
          <w:rFonts w:eastAsia="Calibri" w:hint="eastAsia"/>
          <w:rtl/>
        </w:rPr>
        <w:t>ו</w:t>
      </w:r>
      <w:r w:rsidRPr="001F2586">
        <w:rPr>
          <w:rFonts w:eastAsia="Calibri" w:hint="cs"/>
          <w:rtl/>
        </w:rPr>
        <w:t xml:space="preserve"> דיוני הצוות הבין- משרדי להגברת התחרות בשירותים בנקאיים למגזר הקמעונאי. כמו כן, הרשות מקיימת שיח שוטף עם משרד האוצר ורגולטורים נוספים בנוגע לאופן בו ניתן להגביר את התחרות בשוק האשראי החוץ בנקאי. הרשות מקבלת את ההמלצה להמשיך ולבחון את הדרכים בהן ניתן לפעול לגיוון והוזלת מקורות המימון.</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עוד ציינה רשות שוק ההון בתשובתה כי הרשות רואה חשיבות בביקורת זו, שכן המשכנתא מהווה את ההתחייבות הפיננסית המשמעותית ביותר של משקי הבית בישראל ומשפיעה ישירות על חוסנם הכלכלי ועל רמת החיים. כמו כן, הרשות מדגישה את חשיבותו של האשראי החוץ בנקאי כמנוע לצמיחה, להגברת התחרות ולשיפור הנגישות לשירותים פיננסים, במיוחד לאור הריכוזיות הגבוהה במערכת הבנקאית השולטת בכ-96% מיתרת חוב המשכנתאות.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בנק ישראל ציין בתשובתו כי רשות שוק ההון היא המאסדר של הגופים החוץ בנקאיים. עם זאת, החל משנת 2024 נקט הפיקוח על הבנקים ביוזמה אקטיבית שנועדה לעודד גופים חוץ בנקאיים לפנות לקבלת רישיון בנק. לצורך כך הוקם צוות בראשות המפקח על הבנקים שבחן צעדים נוספים להסרת חסמים להקמת בנקים חדשים, לרבות חסמים שיאפשרו לגופים חוץ-בנקאיים לקבל רישיון בנק. באוגוסט 2025 פרסם הצוות הבין משרדי בדוח סופי את המלצותיו. הבנק הוסיף כי </w:t>
      </w:r>
      <w:r w:rsidRPr="001F2586">
        <w:rPr>
          <w:rFonts w:eastAsia="Calibri" w:hint="cs"/>
          <w:b/>
          <w:bCs/>
          <w:rtl/>
        </w:rPr>
        <w:t>"ככל שגופים חוץ-בנקאיים יחליטו כי הם מאמצים את הדרישות, הדבר יאפשר להם גם הוזלה של מקורות הגיוס"</w:t>
      </w:r>
      <w:r w:rsidRPr="001F2586">
        <w:rPr>
          <w:rFonts w:eastAsia="Calibri" w:hint="cs"/>
          <w:rtl/>
        </w:rPr>
        <w:t xml:space="preserve">. </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רגולציות החלות על הגופים הבנקאיים אל מול הגופים החוץ בנקאיים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על האשראי החוץ בנקאי מפקחת רשות שוק ההון, ועל האשראי הבנקאי מפקח בנק ישראל. הרשויות נבדלות באופיין, בכמות המשאבים העומדים לרשותן, באופי הפיקוח וברציונל העומד מאחורי הפיקוח הרגולטורי. האשראי לדיור עיקרו מהבנקים (כאמור חלק זניח מתקבל מהגופים המוסדיים ומנותני האשראי החוץ בנקאיים). ככלל, המגבלות הרגולטוריות החלות על הגופים החוץ בנקאים מצומצמים יותר מאלה של הגופים הבנקאיים (וזאת מסיבות שיתוארו בהמשך).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כאמור בפרק בנושא "מגבלות בנק ישראל", בנק ישראל מטיל מגבלות שונות על לקיחת משכנתאות</w:t>
      </w:r>
      <w:r>
        <w:rPr>
          <w:rFonts w:eastAsia="Calibri"/>
          <w:vertAlign w:val="superscript"/>
          <w:rtl/>
        </w:rPr>
        <w:footnoteReference w:id="443"/>
      </w:r>
      <w:r w:rsidRPr="001F2586">
        <w:rPr>
          <w:rFonts w:eastAsia="Calibri" w:hint="cs"/>
          <w:rtl/>
        </w:rPr>
        <w:t xml:space="preserve"> מגופים בנקאיים. על המשכנתאות החוץ בנקאיות אין הנחיות דומות להנחיות בנק ישראל, והנחיות רשות שוק ההון</w:t>
      </w:r>
      <w:r>
        <w:rPr>
          <w:rFonts w:eastAsia="Calibri"/>
          <w:vertAlign w:val="superscript"/>
          <w:rtl/>
        </w:rPr>
        <w:footnoteReference w:id="444"/>
      </w:r>
      <w:r w:rsidRPr="001F2586">
        <w:rPr>
          <w:rFonts w:eastAsia="Calibri" w:hint="cs"/>
          <w:rtl/>
        </w:rPr>
        <w:t xml:space="preserve"> בדבר העמדת אשראי היא בהתאם לשיקול דעתו של הגוף המלווה, בהתאם למדיניות שהוא קבע. להלן טבלת השוואה המתארת את ההבדלים בין הרגולציות השונות</w:t>
      </w:r>
      <w:r w:rsidR="006F0DF8">
        <w:rPr>
          <w:rFonts w:eastAsia="Calibri" w:hint="cs"/>
          <w:rtl/>
        </w:rPr>
        <w:t>.</w:t>
      </w:r>
      <w:r w:rsidRPr="001F2586">
        <w:rPr>
          <w:rFonts w:eastAsia="Calibri" w:hint="cs"/>
          <w:rtl/>
        </w:rPr>
        <w:t xml:space="preserve"> </w:t>
      </w:r>
    </w:p>
    <w:p w:rsidR="001F2586" w:rsidRPr="001F2586" w:rsidP="001F2586">
      <w:pPr>
        <w:spacing w:line="269" w:lineRule="auto"/>
        <w:ind w:left="-567"/>
        <w:rPr>
          <w:rFonts w:eastAsia="Calibri"/>
          <w:szCs w:val="20"/>
          <w:rtl/>
        </w:rPr>
      </w:pPr>
    </w:p>
    <w:p w:rsidR="006F0DF8">
      <w:pPr>
        <w:bidi w:val="0"/>
        <w:spacing w:after="200" w:line="276" w:lineRule="auto"/>
        <w:rPr>
          <w:rFonts w:eastAsia="Calibri"/>
          <w:rtl/>
        </w:rPr>
      </w:pPr>
      <w:r>
        <w:rPr>
          <w:rFonts w:eastAsia="Calibri"/>
          <w:rtl/>
        </w:rPr>
        <w:br w:type="page"/>
      </w:r>
    </w:p>
    <w:p w:rsidR="001F2586" w:rsidRPr="001F2586" w:rsidP="001F2586">
      <w:pPr>
        <w:spacing w:line="269" w:lineRule="auto"/>
        <w:jc w:val="center"/>
        <w:rPr>
          <w:rFonts w:eastAsia="Calibri"/>
          <w:b/>
          <w:bCs/>
          <w:rtl/>
        </w:rPr>
      </w:pPr>
      <w:r w:rsidRPr="001F2586">
        <w:rPr>
          <w:rFonts w:eastAsia="Calibri" w:hint="cs"/>
          <w:rtl/>
        </w:rPr>
        <w:t xml:space="preserve">לוח 12: </w:t>
      </w:r>
      <w:r w:rsidRPr="001F2586">
        <w:rPr>
          <w:rFonts w:eastAsia="Calibri" w:hint="cs"/>
          <w:b/>
          <w:bCs/>
          <w:rtl/>
        </w:rPr>
        <w:t>הבדלים ברגולציה בין משכנתא בנקאית למשכנתא חוץ בנקאית</w:t>
      </w:r>
    </w:p>
    <w:tbl>
      <w:tblPr>
        <w:tblStyle w:val="TableGrid"/>
        <w:bidiVisual/>
        <w:tblW w:w="0" w:type="auto"/>
        <w:jc w:val="center"/>
        <w:tblLook w:val="04A0"/>
      </w:tblPr>
      <w:tblGrid>
        <w:gridCol w:w="1129"/>
        <w:gridCol w:w="3685"/>
        <w:gridCol w:w="3396"/>
      </w:tblGrid>
      <w:tr w:rsidTr="001F2586">
        <w:tblPrEx>
          <w:tblW w:w="0" w:type="auto"/>
          <w:tblLook w:val="04A0"/>
        </w:tblPrEx>
        <w:tc>
          <w:tcPr>
            <w:tcW w:w="1129" w:type="dxa"/>
            <w:shd w:val="clear" w:color="auto" w:fill="D9D9D9"/>
          </w:tcPr>
          <w:p w:rsidR="001F2586" w:rsidRPr="001F2586" w:rsidP="001F2586">
            <w:pPr>
              <w:spacing w:line="269" w:lineRule="auto"/>
              <w:jc w:val="center"/>
              <w:rPr>
                <w:rFonts w:ascii="David" w:eastAsia="Calibri" w:hAnsi="David"/>
                <w:b/>
                <w:bCs/>
                <w:sz w:val="18"/>
                <w:szCs w:val="22"/>
                <w:rtl/>
              </w:rPr>
            </w:pPr>
          </w:p>
        </w:tc>
        <w:tc>
          <w:tcPr>
            <w:tcW w:w="3686" w:type="dxa"/>
            <w:shd w:val="clear" w:color="auto" w:fill="D9D9D9"/>
          </w:tcPr>
          <w:p w:rsidR="001F2586" w:rsidRPr="001F2586" w:rsidP="001F2586">
            <w:pPr>
              <w:spacing w:line="269" w:lineRule="auto"/>
              <w:jc w:val="center"/>
              <w:rPr>
                <w:rFonts w:ascii="David" w:eastAsia="Calibri" w:hAnsi="David"/>
                <w:b/>
                <w:bCs/>
                <w:sz w:val="18"/>
                <w:szCs w:val="22"/>
                <w:rtl/>
              </w:rPr>
            </w:pPr>
            <w:r w:rsidRPr="001F2586">
              <w:rPr>
                <w:rFonts w:ascii="David" w:eastAsia="Calibri" w:hAnsi="David"/>
                <w:b/>
                <w:bCs/>
                <w:sz w:val="18"/>
                <w:szCs w:val="22"/>
                <w:rtl/>
              </w:rPr>
              <w:t xml:space="preserve">משכנתא </w:t>
            </w:r>
            <w:r w:rsidRPr="001F2586">
              <w:rPr>
                <w:rFonts w:ascii="David" w:eastAsia="Calibri" w:hAnsi="David" w:hint="cs"/>
                <w:b/>
                <w:bCs/>
                <w:sz w:val="18"/>
                <w:szCs w:val="22"/>
                <w:rtl/>
              </w:rPr>
              <w:t>חוץ בנקאית</w:t>
            </w:r>
          </w:p>
        </w:tc>
        <w:tc>
          <w:tcPr>
            <w:tcW w:w="3396" w:type="dxa"/>
            <w:shd w:val="clear" w:color="auto" w:fill="D9D9D9"/>
          </w:tcPr>
          <w:p w:rsidR="001F2586" w:rsidRPr="001F2586" w:rsidP="001F2586">
            <w:pPr>
              <w:spacing w:line="269" w:lineRule="auto"/>
              <w:jc w:val="center"/>
              <w:rPr>
                <w:rFonts w:ascii="David" w:eastAsia="Calibri" w:hAnsi="David"/>
                <w:b/>
                <w:bCs/>
                <w:sz w:val="18"/>
                <w:szCs w:val="22"/>
                <w:rtl/>
              </w:rPr>
            </w:pPr>
            <w:r w:rsidRPr="001F2586">
              <w:rPr>
                <w:rFonts w:ascii="David" w:eastAsia="Calibri" w:hAnsi="David"/>
                <w:b/>
                <w:bCs/>
                <w:sz w:val="18"/>
                <w:szCs w:val="22"/>
                <w:rtl/>
              </w:rPr>
              <w:t xml:space="preserve">משכנתא </w:t>
            </w:r>
            <w:r w:rsidRPr="001F2586">
              <w:rPr>
                <w:rFonts w:ascii="David" w:eastAsia="Calibri" w:hAnsi="David" w:hint="cs"/>
                <w:b/>
                <w:bCs/>
                <w:sz w:val="18"/>
                <w:szCs w:val="22"/>
                <w:rtl/>
              </w:rPr>
              <w:t>בנקאית</w:t>
            </w:r>
          </w:p>
        </w:tc>
      </w:tr>
      <w:tr w:rsidTr="00EB64F7">
        <w:tblPrEx>
          <w:tblW w:w="0" w:type="auto"/>
          <w:tblLook w:val="04A0"/>
        </w:tblPrEx>
        <w:tc>
          <w:tcPr>
            <w:tcW w:w="1129"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 xml:space="preserve">רגולציה </w:t>
            </w:r>
          </w:p>
        </w:tc>
        <w:tc>
          <w:tcPr>
            <w:tcW w:w="3686"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רשות שוק ההון</w:t>
            </w:r>
          </w:p>
        </w:tc>
        <w:tc>
          <w:tcPr>
            <w:tcW w:w="3396"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 xml:space="preserve">הנחיות </w:t>
            </w:r>
            <w:r w:rsidRPr="001F2586">
              <w:rPr>
                <w:rFonts w:ascii="David" w:eastAsia="Calibri" w:hAnsi="David"/>
                <w:sz w:val="22"/>
                <w:szCs w:val="22"/>
                <w:rtl/>
              </w:rPr>
              <w:t>בנק ישראל</w:t>
            </w:r>
          </w:p>
        </w:tc>
      </w:tr>
      <w:tr w:rsidTr="00EB64F7">
        <w:tblPrEx>
          <w:tblW w:w="0" w:type="auto"/>
          <w:tblLook w:val="04A0"/>
        </w:tblPrEx>
        <w:tc>
          <w:tcPr>
            <w:tcW w:w="1129"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hint="cs"/>
                <w:b/>
                <w:bCs/>
                <w:sz w:val="22"/>
                <w:szCs w:val="22"/>
                <w:rtl/>
              </w:rPr>
              <w:t>שיעור</w:t>
            </w:r>
            <w:r w:rsidRPr="001F2586">
              <w:rPr>
                <w:rFonts w:ascii="David" w:eastAsia="Calibri" w:hAnsi="David"/>
                <w:b/>
                <w:bCs/>
                <w:sz w:val="22"/>
                <w:szCs w:val="22"/>
                <w:rtl/>
              </w:rPr>
              <w:t xml:space="preserve"> מימון (</w:t>
            </w:r>
            <w:r w:rsidRPr="001F2586">
              <w:rPr>
                <w:rFonts w:ascii="David" w:eastAsia="Calibri" w:hAnsi="David"/>
                <w:b/>
                <w:bCs/>
                <w:sz w:val="22"/>
                <w:szCs w:val="22"/>
              </w:rPr>
              <w:t>LTV</w:t>
            </w:r>
            <w:r w:rsidRPr="001F2586">
              <w:rPr>
                <w:rFonts w:ascii="David" w:eastAsia="Calibri" w:hAnsi="David"/>
                <w:b/>
                <w:bCs/>
                <w:sz w:val="22"/>
                <w:szCs w:val="22"/>
                <w:rtl/>
              </w:rPr>
              <w:t>)</w:t>
            </w:r>
          </w:p>
        </w:tc>
        <w:tc>
          <w:tcPr>
            <w:tcW w:w="3686"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גמיש</w:t>
            </w:r>
            <w:r w:rsidRPr="001F2586">
              <w:rPr>
                <w:rFonts w:ascii="David" w:eastAsia="Calibri" w:hAnsi="David" w:hint="cs"/>
                <w:sz w:val="22"/>
                <w:szCs w:val="22"/>
                <w:rtl/>
              </w:rPr>
              <w:t xml:space="preserve"> </w:t>
            </w:r>
          </w:p>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בהתאם למדיניות הגוף המלווה בהתאם להגבלות כלליות של רשות שוק ההון</w:t>
            </w:r>
            <w:r>
              <w:rPr>
                <w:rFonts w:ascii="David" w:eastAsia="Calibri" w:hAnsi="David"/>
                <w:sz w:val="22"/>
                <w:szCs w:val="22"/>
                <w:vertAlign w:val="superscript"/>
                <w:rtl/>
              </w:rPr>
              <w:footnoteReference w:id="445"/>
            </w:r>
            <w:r w:rsidRPr="001F2586">
              <w:rPr>
                <w:rFonts w:ascii="David" w:eastAsia="Calibri" w:hAnsi="David" w:hint="cs"/>
                <w:sz w:val="22"/>
                <w:szCs w:val="22"/>
                <w:rtl/>
              </w:rPr>
              <w:t xml:space="preserve">. בפועל שיעור המימון </w:t>
            </w:r>
            <w:r w:rsidRPr="001F2586">
              <w:rPr>
                <w:rFonts w:ascii="David" w:eastAsia="Calibri" w:hAnsi="David"/>
                <w:sz w:val="22"/>
                <w:szCs w:val="22"/>
                <w:rtl/>
              </w:rPr>
              <w:t>יכול להגיע לאחוזים גבוהים יותר</w:t>
            </w:r>
            <w:r w:rsidRPr="001F2586">
              <w:rPr>
                <w:rFonts w:ascii="David" w:eastAsia="Calibri" w:hAnsi="David" w:hint="cs"/>
                <w:sz w:val="22"/>
                <w:szCs w:val="22"/>
                <w:rtl/>
              </w:rPr>
              <w:t xml:space="preserve"> ולעמוד על עד כ-90% משווי הנכס. </w:t>
            </w:r>
          </w:p>
        </w:tc>
        <w:tc>
          <w:tcPr>
            <w:tcW w:w="3396"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קשיח</w:t>
            </w:r>
          </w:p>
          <w:p w:rsidR="001F2586" w:rsidRPr="001F2586" w:rsidP="001F2586">
            <w:pPr>
              <w:spacing w:line="269" w:lineRule="auto"/>
              <w:jc w:val="left"/>
              <w:rPr>
                <w:rFonts w:ascii="David" w:eastAsia="Calibri" w:hAnsi="David"/>
                <w:sz w:val="22"/>
                <w:szCs w:val="22"/>
                <w:rtl/>
              </w:rPr>
            </w:pPr>
          </w:p>
        </w:tc>
      </w:tr>
      <w:tr w:rsidTr="00EB64F7">
        <w:tblPrEx>
          <w:tblW w:w="0" w:type="auto"/>
          <w:tblLook w:val="04A0"/>
        </w:tblPrEx>
        <w:tc>
          <w:tcPr>
            <w:tcW w:w="1129"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יחס החזר</w:t>
            </w:r>
            <w:r w:rsidRPr="001F2586">
              <w:rPr>
                <w:rFonts w:ascii="David" w:eastAsia="Calibri" w:hAnsi="David" w:hint="cs"/>
                <w:b/>
                <w:bCs/>
                <w:sz w:val="22"/>
                <w:szCs w:val="22"/>
                <w:rtl/>
              </w:rPr>
              <w:t xml:space="preserve"> ל</w:t>
            </w:r>
            <w:r w:rsidRPr="001F2586">
              <w:rPr>
                <w:rFonts w:ascii="David" w:eastAsia="Calibri" w:hAnsi="David"/>
                <w:b/>
                <w:bCs/>
                <w:sz w:val="22"/>
                <w:szCs w:val="22"/>
                <w:rtl/>
              </w:rPr>
              <w:t xml:space="preserve">הכנסה </w:t>
            </w:r>
          </w:p>
        </w:tc>
        <w:tc>
          <w:tcPr>
            <w:tcW w:w="3686" w:type="dxa"/>
          </w:tcPr>
          <w:p w:rsidR="001F2586" w:rsidRPr="001F2586" w:rsidP="001F2586">
            <w:pPr>
              <w:spacing w:line="269" w:lineRule="auto"/>
              <w:jc w:val="left"/>
              <w:rPr>
                <w:rFonts w:ascii="David" w:eastAsia="Times New Roman" w:hAnsi="David"/>
                <w:sz w:val="22"/>
                <w:szCs w:val="22"/>
                <w:rtl/>
              </w:rPr>
            </w:pPr>
            <w:r w:rsidRPr="001F2586">
              <w:rPr>
                <w:rFonts w:ascii="David" w:eastAsia="Times New Roman" w:hAnsi="David" w:hint="cs"/>
                <w:sz w:val="22"/>
                <w:szCs w:val="22"/>
                <w:rtl/>
              </w:rPr>
              <w:t>בהתאם למדיניות הגוף המלווה</w:t>
            </w:r>
          </w:p>
          <w:p w:rsidR="001F2586" w:rsidRPr="001F2586" w:rsidP="001F2586">
            <w:pPr>
              <w:spacing w:line="269" w:lineRule="auto"/>
              <w:jc w:val="left"/>
              <w:rPr>
                <w:rFonts w:ascii="David" w:eastAsia="Times New Roman" w:hAnsi="David"/>
                <w:sz w:val="22"/>
                <w:szCs w:val="22"/>
                <w:rtl/>
              </w:rPr>
            </w:pPr>
          </w:p>
          <w:p w:rsidR="001F2586" w:rsidRPr="001F2586" w:rsidP="001F2586">
            <w:pPr>
              <w:spacing w:line="269" w:lineRule="auto"/>
              <w:jc w:val="left"/>
              <w:rPr>
                <w:rFonts w:ascii="David" w:eastAsia="Times New Roman" w:hAnsi="David"/>
                <w:sz w:val="22"/>
                <w:szCs w:val="22"/>
                <w:rtl/>
              </w:rPr>
            </w:pPr>
          </w:p>
          <w:p w:rsidR="001F2586" w:rsidRPr="001F2586" w:rsidP="001F2586">
            <w:pPr>
              <w:spacing w:line="269" w:lineRule="auto"/>
              <w:jc w:val="left"/>
              <w:rPr>
                <w:rFonts w:ascii="David" w:eastAsia="Times New Roman" w:hAnsi="David"/>
                <w:sz w:val="22"/>
                <w:szCs w:val="22"/>
                <w:rtl/>
              </w:rPr>
            </w:pPr>
          </w:p>
          <w:p w:rsidR="001F2586" w:rsidRPr="001F2586" w:rsidP="001F2586">
            <w:pPr>
              <w:spacing w:line="269" w:lineRule="auto"/>
              <w:jc w:val="left"/>
              <w:rPr>
                <w:rFonts w:ascii="David" w:eastAsia="Calibri" w:hAnsi="David"/>
                <w:sz w:val="22"/>
                <w:szCs w:val="22"/>
                <w:rtl/>
              </w:rPr>
            </w:pPr>
          </w:p>
        </w:tc>
        <w:tc>
          <w:tcPr>
            <w:tcW w:w="3396" w:type="dxa"/>
          </w:tcPr>
          <w:p w:rsidR="001F2586" w:rsidRPr="001F2586" w:rsidP="001F2586">
            <w:pPr>
              <w:spacing w:line="269" w:lineRule="auto"/>
              <w:jc w:val="left"/>
              <w:rPr>
                <w:rFonts w:ascii="David" w:eastAsia="Calibri" w:hAnsi="David"/>
                <w:sz w:val="22"/>
                <w:szCs w:val="22"/>
                <w:rtl/>
              </w:rPr>
            </w:pPr>
            <w:r w:rsidRPr="001F2586">
              <w:rPr>
                <w:rFonts w:ascii="David" w:eastAsia="Times New Roman" w:hAnsi="David"/>
                <w:sz w:val="22"/>
                <w:szCs w:val="22"/>
                <w:rtl/>
              </w:rPr>
              <w:t>ההחזר החודשי לרוב לא יעלה על 40% מהכנסת הנטו</w:t>
            </w:r>
            <w:r w:rsidRPr="001F2586">
              <w:rPr>
                <w:rFonts w:ascii="David" w:eastAsia="Calibri" w:hAnsi="David" w:hint="cs"/>
                <w:sz w:val="22"/>
                <w:szCs w:val="22"/>
                <w:rtl/>
              </w:rPr>
              <w:t xml:space="preserve">. </w:t>
            </w:r>
          </w:p>
        </w:tc>
      </w:tr>
      <w:tr w:rsidTr="00EB64F7">
        <w:tblPrEx>
          <w:tblW w:w="0" w:type="auto"/>
          <w:tblLook w:val="04A0"/>
        </w:tblPrEx>
        <w:tc>
          <w:tcPr>
            <w:tcW w:w="1129" w:type="dxa"/>
          </w:tcPr>
          <w:p w:rsidR="001F2586" w:rsidRPr="001F2586" w:rsidP="001F2586">
            <w:pPr>
              <w:spacing w:line="269" w:lineRule="auto"/>
              <w:jc w:val="left"/>
              <w:rPr>
                <w:rFonts w:ascii="David" w:eastAsia="Calibri" w:hAnsi="David"/>
                <w:b/>
                <w:bCs/>
                <w:sz w:val="18"/>
                <w:szCs w:val="22"/>
                <w:rtl/>
              </w:rPr>
            </w:pPr>
            <w:r w:rsidRPr="001F2586">
              <w:rPr>
                <w:rFonts w:ascii="David" w:eastAsia="Calibri" w:hAnsi="David" w:hint="cs"/>
                <w:b/>
                <w:bCs/>
                <w:sz w:val="18"/>
                <w:szCs w:val="22"/>
                <w:rtl/>
              </w:rPr>
              <w:t xml:space="preserve">הגדרת הכנסה </w:t>
            </w:r>
          </w:p>
        </w:tc>
        <w:tc>
          <w:tcPr>
            <w:tcW w:w="3686" w:type="dxa"/>
          </w:tcPr>
          <w:p w:rsidR="001F2586" w:rsidRPr="001F2586" w:rsidP="001F2586">
            <w:pPr>
              <w:spacing w:line="269" w:lineRule="auto"/>
              <w:jc w:val="left"/>
              <w:rPr>
                <w:rFonts w:ascii="David" w:eastAsia="Times New Roman" w:hAnsi="David"/>
                <w:sz w:val="18"/>
                <w:szCs w:val="22"/>
                <w:rtl/>
              </w:rPr>
            </w:pPr>
            <w:r w:rsidRPr="001F2586">
              <w:rPr>
                <w:rFonts w:ascii="David" w:eastAsia="Times New Roman" w:hAnsi="David" w:hint="cs"/>
                <w:sz w:val="18"/>
                <w:szCs w:val="22"/>
                <w:rtl/>
              </w:rPr>
              <w:t>אין הנחיות כיצד יש לחשב הכנסה</w:t>
            </w:r>
            <w:r>
              <w:rPr>
                <w:rFonts w:ascii="David" w:eastAsia="Times New Roman" w:hAnsi="David"/>
                <w:sz w:val="18"/>
                <w:szCs w:val="22"/>
                <w:vertAlign w:val="superscript"/>
                <w:rtl/>
              </w:rPr>
              <w:footnoteReference w:id="446"/>
            </w:r>
            <w:r w:rsidRPr="001F2586">
              <w:rPr>
                <w:rFonts w:ascii="David" w:eastAsia="Times New Roman" w:hAnsi="David" w:hint="cs"/>
                <w:sz w:val="18"/>
                <w:szCs w:val="22"/>
                <w:rtl/>
              </w:rPr>
              <w:t xml:space="preserve">. </w:t>
            </w:r>
          </w:p>
          <w:p w:rsidR="001F2586" w:rsidRPr="001F2586" w:rsidP="001F2586">
            <w:pPr>
              <w:spacing w:line="269" w:lineRule="auto"/>
              <w:jc w:val="left"/>
              <w:rPr>
                <w:rFonts w:ascii="David" w:eastAsia="Times New Roman" w:hAnsi="David"/>
                <w:sz w:val="18"/>
                <w:szCs w:val="22"/>
                <w:rtl/>
              </w:rPr>
            </w:pPr>
          </w:p>
        </w:tc>
        <w:tc>
          <w:tcPr>
            <w:tcW w:w="3396" w:type="dxa"/>
          </w:tcPr>
          <w:p w:rsidR="001F2586" w:rsidRPr="001F2586" w:rsidP="001F2586">
            <w:pPr>
              <w:spacing w:line="269" w:lineRule="auto"/>
              <w:jc w:val="left"/>
              <w:rPr>
                <w:rFonts w:ascii="David" w:eastAsia="Times New Roman" w:hAnsi="David"/>
                <w:b/>
                <w:bCs/>
                <w:sz w:val="18"/>
                <w:szCs w:val="22"/>
                <w:rtl/>
              </w:rPr>
            </w:pPr>
            <w:r w:rsidRPr="001F2586">
              <w:rPr>
                <w:rFonts w:ascii="David" w:eastAsia="Calibri" w:hAnsi="David" w:hint="cs"/>
                <w:sz w:val="18"/>
                <w:szCs w:val="22"/>
                <w:rtl/>
              </w:rPr>
              <w:t xml:space="preserve"> יש הנחיות כיצד לחשב הכנסה פנויה </w:t>
            </w:r>
          </w:p>
        </w:tc>
      </w:tr>
      <w:tr w:rsidTr="00EB64F7">
        <w:tblPrEx>
          <w:tblW w:w="0" w:type="auto"/>
          <w:tblLook w:val="04A0"/>
        </w:tblPrEx>
        <w:tc>
          <w:tcPr>
            <w:tcW w:w="1129" w:type="dxa"/>
          </w:tcPr>
          <w:p w:rsidR="001F2586" w:rsidRPr="001F2586" w:rsidP="001F2586">
            <w:pPr>
              <w:spacing w:line="269" w:lineRule="auto"/>
              <w:jc w:val="left"/>
              <w:rPr>
                <w:rFonts w:ascii="David" w:eastAsia="Calibri" w:hAnsi="David"/>
                <w:b/>
                <w:bCs/>
                <w:sz w:val="18"/>
                <w:szCs w:val="22"/>
                <w:rtl/>
              </w:rPr>
            </w:pPr>
            <w:r w:rsidRPr="001F2586">
              <w:rPr>
                <w:rFonts w:ascii="David" w:eastAsia="Calibri" w:hAnsi="David" w:hint="cs"/>
                <w:b/>
                <w:bCs/>
                <w:sz w:val="18"/>
                <w:szCs w:val="22"/>
                <w:rtl/>
              </w:rPr>
              <w:t xml:space="preserve">משך תקופת המשכנתא </w:t>
            </w:r>
          </w:p>
        </w:tc>
        <w:tc>
          <w:tcPr>
            <w:tcW w:w="3686" w:type="dxa"/>
          </w:tcPr>
          <w:p w:rsidR="001F2586" w:rsidRPr="001F2586" w:rsidP="001F2586">
            <w:pPr>
              <w:spacing w:line="269" w:lineRule="auto"/>
              <w:jc w:val="left"/>
              <w:rPr>
                <w:rFonts w:ascii="David" w:eastAsia="Times New Roman" w:hAnsi="David"/>
                <w:sz w:val="18"/>
                <w:szCs w:val="22"/>
                <w:rtl/>
              </w:rPr>
            </w:pPr>
            <w:r w:rsidRPr="001F2586">
              <w:rPr>
                <w:rFonts w:ascii="David" w:eastAsia="Times New Roman" w:hAnsi="David" w:hint="cs"/>
                <w:sz w:val="18"/>
                <w:szCs w:val="22"/>
                <w:rtl/>
              </w:rPr>
              <w:t>לא קיימת מגבלה ספציפית וההגבלה יכולה להינתן בהתאם למדיניות הגוף המלווה.</w:t>
            </w:r>
          </w:p>
        </w:tc>
        <w:tc>
          <w:tcPr>
            <w:tcW w:w="3396" w:type="dxa"/>
          </w:tcPr>
          <w:p w:rsidR="001F2586" w:rsidRPr="001F2586" w:rsidP="001F2586">
            <w:pPr>
              <w:spacing w:line="269" w:lineRule="auto"/>
              <w:jc w:val="left"/>
              <w:rPr>
                <w:rFonts w:ascii="David" w:eastAsia="Times New Roman" w:hAnsi="David"/>
                <w:sz w:val="18"/>
                <w:szCs w:val="22"/>
                <w:rtl/>
              </w:rPr>
            </w:pPr>
            <w:r w:rsidRPr="001F2586">
              <w:rPr>
                <w:rFonts w:ascii="David" w:eastAsia="Times New Roman" w:hAnsi="David" w:hint="cs"/>
                <w:sz w:val="18"/>
                <w:szCs w:val="22"/>
                <w:rtl/>
              </w:rPr>
              <w:t xml:space="preserve">הגבלה של עד 30 שנה </w:t>
            </w:r>
          </w:p>
        </w:tc>
      </w:tr>
      <w:tr w:rsidTr="00EB64F7">
        <w:tblPrEx>
          <w:tblW w:w="0" w:type="auto"/>
          <w:tblLook w:val="04A0"/>
        </w:tblPrEx>
        <w:tc>
          <w:tcPr>
            <w:tcW w:w="1129" w:type="dxa"/>
          </w:tcPr>
          <w:p w:rsidR="001F2586" w:rsidRPr="001F2586" w:rsidP="001F2586">
            <w:pPr>
              <w:spacing w:line="269" w:lineRule="auto"/>
              <w:jc w:val="left"/>
              <w:rPr>
                <w:rFonts w:ascii="David" w:eastAsia="Calibri" w:hAnsi="David"/>
                <w:b/>
                <w:bCs/>
                <w:sz w:val="18"/>
                <w:szCs w:val="22"/>
                <w:rtl/>
              </w:rPr>
            </w:pPr>
            <w:r w:rsidRPr="001F2586">
              <w:rPr>
                <w:rFonts w:ascii="David" w:eastAsia="Calibri" w:hAnsi="David"/>
                <w:b/>
                <w:bCs/>
                <w:sz w:val="18"/>
                <w:szCs w:val="22"/>
                <w:rtl/>
              </w:rPr>
              <w:t xml:space="preserve">תמהיל משכנתא </w:t>
            </w:r>
          </w:p>
        </w:tc>
        <w:tc>
          <w:tcPr>
            <w:tcW w:w="3686" w:type="dxa"/>
          </w:tcPr>
          <w:p w:rsidR="001F2586" w:rsidRPr="001F2586" w:rsidP="001F2586">
            <w:pPr>
              <w:spacing w:line="269" w:lineRule="auto"/>
              <w:jc w:val="left"/>
              <w:rPr>
                <w:rFonts w:ascii="David" w:eastAsia="Times New Roman" w:hAnsi="David"/>
                <w:sz w:val="18"/>
                <w:szCs w:val="22"/>
                <w:rtl/>
              </w:rPr>
            </w:pPr>
            <w:r w:rsidRPr="001F2586">
              <w:rPr>
                <w:rFonts w:ascii="David" w:eastAsia="Times New Roman" w:hAnsi="David" w:hint="cs"/>
                <w:sz w:val="18"/>
                <w:szCs w:val="22"/>
                <w:rtl/>
              </w:rPr>
              <w:t xml:space="preserve">בהתאם למדיניות הגוף המלווה </w:t>
            </w:r>
          </w:p>
          <w:p w:rsidR="001F2586" w:rsidRPr="001F2586" w:rsidP="001F2586">
            <w:pPr>
              <w:spacing w:line="269" w:lineRule="auto"/>
              <w:jc w:val="left"/>
              <w:rPr>
                <w:rFonts w:ascii="David" w:eastAsia="Times New Roman" w:hAnsi="David"/>
                <w:sz w:val="18"/>
                <w:szCs w:val="22"/>
                <w:rtl/>
              </w:rPr>
            </w:pPr>
            <w:r w:rsidRPr="001F2586">
              <w:rPr>
                <w:rFonts w:ascii="David" w:eastAsia="Times New Roman" w:hAnsi="David" w:hint="cs"/>
                <w:sz w:val="18"/>
                <w:szCs w:val="22"/>
                <w:rtl/>
              </w:rPr>
              <w:t xml:space="preserve">אין מגבלות על תמהיל לקיחת המשכנתא </w:t>
            </w:r>
          </w:p>
        </w:tc>
        <w:tc>
          <w:tcPr>
            <w:tcW w:w="3396" w:type="dxa"/>
          </w:tcPr>
          <w:p w:rsidR="001F2586" w:rsidRPr="001F2586" w:rsidP="001F2586">
            <w:pPr>
              <w:spacing w:line="269" w:lineRule="auto"/>
              <w:jc w:val="left"/>
              <w:rPr>
                <w:rFonts w:ascii="David" w:eastAsia="Times New Roman" w:hAnsi="David"/>
                <w:sz w:val="18"/>
                <w:szCs w:val="22"/>
                <w:rtl/>
              </w:rPr>
            </w:pPr>
            <w:r w:rsidRPr="001F2586">
              <w:rPr>
                <w:rFonts w:ascii="David" w:eastAsia="Times New Roman" w:hAnsi="David" w:hint="cs"/>
                <w:sz w:val="18"/>
                <w:szCs w:val="22"/>
                <w:rtl/>
              </w:rPr>
              <w:t>יש</w:t>
            </w:r>
            <w:r w:rsidRPr="001F2586">
              <w:rPr>
                <w:rFonts w:ascii="David" w:eastAsia="Times New Roman" w:hAnsi="David"/>
                <w:sz w:val="18"/>
                <w:szCs w:val="22"/>
                <w:rtl/>
              </w:rPr>
              <w:t xml:space="preserve"> לקחת לפחות 1/3 מהמשכנתא בריבית קבועה. יש מגבלות על החלק שצמוד לפריים (עד 2/3).</w:t>
            </w:r>
          </w:p>
        </w:tc>
      </w:tr>
      <w:tr w:rsidTr="00EB64F7">
        <w:tblPrEx>
          <w:tblW w:w="0" w:type="auto"/>
          <w:tblLook w:val="04A0"/>
        </w:tblPrEx>
        <w:tc>
          <w:tcPr>
            <w:tcW w:w="1129" w:type="dxa"/>
          </w:tcPr>
          <w:p w:rsidR="001F2586" w:rsidRPr="001F2586" w:rsidP="001F2586">
            <w:pPr>
              <w:spacing w:line="269" w:lineRule="auto"/>
              <w:jc w:val="left"/>
              <w:rPr>
                <w:rFonts w:ascii="David" w:eastAsia="Calibri" w:hAnsi="David"/>
                <w:b/>
                <w:bCs/>
                <w:sz w:val="18"/>
                <w:szCs w:val="22"/>
                <w:rtl/>
              </w:rPr>
            </w:pPr>
            <w:r w:rsidRPr="001F2586">
              <w:rPr>
                <w:rFonts w:ascii="David" w:eastAsia="Calibri" w:hAnsi="David" w:hint="cs"/>
                <w:b/>
                <w:bCs/>
                <w:sz w:val="18"/>
                <w:szCs w:val="22"/>
                <w:rtl/>
              </w:rPr>
              <w:t xml:space="preserve">שמירה על תנאי הצעת המשכנתא </w:t>
            </w:r>
          </w:p>
        </w:tc>
        <w:tc>
          <w:tcPr>
            <w:tcW w:w="3686" w:type="dxa"/>
          </w:tcPr>
          <w:p w:rsidR="001F2586" w:rsidRPr="001F2586" w:rsidP="001F2586">
            <w:pPr>
              <w:spacing w:line="269" w:lineRule="auto"/>
              <w:jc w:val="left"/>
              <w:rPr>
                <w:rFonts w:ascii="David" w:eastAsia="Times New Roman" w:hAnsi="David"/>
                <w:sz w:val="18"/>
                <w:szCs w:val="22"/>
                <w:rtl/>
              </w:rPr>
            </w:pPr>
            <w:r w:rsidRPr="001F2586">
              <w:rPr>
                <w:rFonts w:ascii="David" w:eastAsia="Times New Roman" w:hAnsi="David" w:hint="cs"/>
                <w:sz w:val="18"/>
                <w:szCs w:val="22"/>
                <w:rtl/>
              </w:rPr>
              <w:t xml:space="preserve">אין </w:t>
            </w:r>
          </w:p>
        </w:tc>
        <w:tc>
          <w:tcPr>
            <w:tcW w:w="3396" w:type="dxa"/>
          </w:tcPr>
          <w:p w:rsidR="001F2586" w:rsidRPr="001F2586" w:rsidP="001F2586">
            <w:pPr>
              <w:spacing w:line="269" w:lineRule="auto"/>
              <w:jc w:val="left"/>
              <w:rPr>
                <w:rFonts w:ascii="David" w:eastAsia="Times New Roman" w:hAnsi="David"/>
                <w:sz w:val="18"/>
                <w:szCs w:val="22"/>
                <w:rtl/>
              </w:rPr>
            </w:pPr>
            <w:r w:rsidRPr="001F2586">
              <w:rPr>
                <w:rFonts w:ascii="David" w:eastAsia="Times New Roman" w:hAnsi="David"/>
                <w:sz w:val="18"/>
                <w:szCs w:val="22"/>
                <w:rtl/>
              </w:rPr>
              <w:t xml:space="preserve">האישור </w:t>
            </w:r>
            <w:r w:rsidRPr="001F2586">
              <w:rPr>
                <w:rFonts w:ascii="David" w:eastAsia="Times New Roman" w:hAnsi="David" w:hint="cs"/>
                <w:sz w:val="18"/>
                <w:szCs w:val="22"/>
                <w:rtl/>
              </w:rPr>
              <w:t xml:space="preserve">העקרוני </w:t>
            </w:r>
            <w:r w:rsidRPr="001F2586">
              <w:rPr>
                <w:rFonts w:ascii="David" w:eastAsia="Times New Roman" w:hAnsi="David"/>
                <w:sz w:val="18"/>
                <w:szCs w:val="22"/>
                <w:rtl/>
              </w:rPr>
              <w:t>תקף ל-24 יום לפחות והבנק מחויב להעניק את המשכנתא לפי תנאי האישור כל עוד הוא בתוקף</w:t>
            </w:r>
            <w:r w:rsidRPr="001F2586">
              <w:rPr>
                <w:rFonts w:ascii="David" w:eastAsia="Times New Roman" w:hAnsi="David" w:hint="cs"/>
                <w:sz w:val="18"/>
                <w:szCs w:val="22"/>
                <w:rtl/>
              </w:rPr>
              <w:t xml:space="preserve"> (רפורמת השקיפות)</w:t>
            </w:r>
          </w:p>
        </w:tc>
      </w:tr>
    </w:tbl>
    <w:p w:rsidR="001F2586" w:rsidRPr="001F2586" w:rsidP="001F2586">
      <w:pPr>
        <w:spacing w:line="269" w:lineRule="auto"/>
        <w:rPr>
          <w:rFonts w:eastAsia="Calibri"/>
          <w:szCs w:val="20"/>
          <w:rtl/>
        </w:rPr>
      </w:pPr>
      <w:r w:rsidRPr="001F2586">
        <w:rPr>
          <w:rFonts w:eastAsia="Calibri" w:hint="cs"/>
          <w:szCs w:val="20"/>
          <w:rtl/>
        </w:rPr>
        <w:t>על פי הנחיות בנק ישראל וחוזרי רשות שוק ההון, בעיבוד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מהלוח</w:t>
      </w:r>
      <w:r w:rsidRPr="001F2586">
        <w:rPr>
          <w:rFonts w:eastAsia="Calibri"/>
          <w:b/>
          <w:bCs/>
          <w:rtl/>
        </w:rPr>
        <w:t xml:space="preserve"> עולה כי הבנקים פועלים תחת רגולציה </w:t>
      </w:r>
      <w:r w:rsidRPr="001F2586">
        <w:rPr>
          <w:rFonts w:eastAsia="Calibri" w:hint="eastAsia"/>
          <w:b/>
          <w:bCs/>
          <w:rtl/>
        </w:rPr>
        <w:t>והנחיות</w:t>
      </w:r>
      <w:r w:rsidRPr="001F2586">
        <w:rPr>
          <w:rFonts w:eastAsia="Calibri"/>
          <w:b/>
          <w:bCs/>
          <w:rtl/>
        </w:rPr>
        <w:t xml:space="preserve"> של בנק ישראל, </w:t>
      </w:r>
      <w:r w:rsidRPr="001F2586">
        <w:rPr>
          <w:rFonts w:eastAsia="Calibri" w:hint="eastAsia"/>
          <w:b/>
          <w:bCs/>
          <w:rtl/>
        </w:rPr>
        <w:t>המטילה</w:t>
      </w:r>
      <w:r w:rsidRPr="001F2586">
        <w:rPr>
          <w:rFonts w:eastAsia="Calibri"/>
          <w:b/>
          <w:bCs/>
          <w:rtl/>
        </w:rPr>
        <w:t xml:space="preserve"> מגבלות "קשיחות יותר" שמטרתה לשמור על היציבות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הגופים</w:t>
      </w:r>
      <w:r w:rsidRPr="001F2586">
        <w:rPr>
          <w:rFonts w:eastAsia="Calibri"/>
          <w:b/>
          <w:bCs/>
          <w:rtl/>
        </w:rPr>
        <w:t xml:space="preserve"> </w:t>
      </w:r>
      <w:r w:rsidRPr="001F2586">
        <w:rPr>
          <w:rFonts w:eastAsia="Calibri" w:hint="eastAsia"/>
          <w:b/>
          <w:bCs/>
          <w:rtl/>
        </w:rPr>
        <w:t>הבנקאיים</w:t>
      </w:r>
      <w:r w:rsidRPr="001F2586">
        <w:rPr>
          <w:rFonts w:eastAsia="Calibri"/>
          <w:b/>
          <w:bCs/>
          <w:rtl/>
        </w:rPr>
        <w:t xml:space="preserve"> </w:t>
      </w:r>
      <w:r w:rsidRPr="001F2586">
        <w:rPr>
          <w:rFonts w:eastAsia="Calibri" w:hint="eastAsia"/>
          <w:b/>
          <w:bCs/>
          <w:rtl/>
        </w:rPr>
        <w:t>ומג</w:t>
      </w:r>
      <w:r w:rsidRPr="001F2586">
        <w:rPr>
          <w:rFonts w:eastAsia="Calibri" w:hint="cs"/>
          <w:b/>
          <w:bCs/>
          <w:rtl/>
        </w:rPr>
        <w:t>נה</w:t>
      </w:r>
      <w:r w:rsidRPr="001F2586">
        <w:rPr>
          <w:rFonts w:eastAsia="Calibri"/>
          <w:b/>
          <w:bCs/>
          <w:rtl/>
        </w:rPr>
        <w:t xml:space="preserve"> גם על הלווים, מה שמוביל למוצרי משכנתא "סטנדרטיים" יותר. לעומת זאת, הגופים החוץ-בנקאיים פועלים תחת </w:t>
      </w:r>
      <w:r w:rsidRPr="001F2586">
        <w:rPr>
          <w:rFonts w:eastAsia="Calibri" w:hint="eastAsia"/>
          <w:b/>
          <w:bCs/>
          <w:rtl/>
        </w:rPr>
        <w:t>רגולציה</w:t>
      </w:r>
      <w:r w:rsidRPr="001F2586">
        <w:rPr>
          <w:rFonts w:eastAsia="Calibri"/>
          <w:b/>
          <w:bCs/>
          <w:rtl/>
        </w:rPr>
        <w:t xml:space="preserve"> "רכה יותר" של רשות שוק ההון ומציעים גמישות רבה בתמורה למחיר (ריבית) גבוה יותר.</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כתוצאה</w:t>
      </w:r>
      <w:r w:rsidRPr="001F2586">
        <w:rPr>
          <w:rFonts w:eastAsia="Calibri"/>
          <w:b/>
          <w:bCs/>
          <w:rtl/>
        </w:rPr>
        <w:t xml:space="preserve"> מהפערים ברגולציה, הפך השוק החוץ בנקאי כפתרון שהינו משלים למערכת הבנקאית ולא תחרות של ממש אל מול הבנקים.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רשות שוק ההון ציינה בתשובתה כי היא מסכימה עם המלצת המבקר כי אופן הפיקוח על שירותים פיננסים בתחומי עיסוק דומים צריך להיות מונחה על פי עקרונות דומים וזאת בהתאם לנושאי הסיכון המהותיים המשותפים ובהתאם לתכליות הפיקוח. השוני ברגולציה בינה לבין בנק ישראל נובע הן מהיקפי הפעילות וממקורות המימון השונים והן מהתפקידים השונים שניתנו לבנק ישראל ולרשות בחוק. עוד ציינה הרשות כי אם היא הייתה מחילה על נותני אשראי חוץ בנקאי את אותה הרגולציה החלה על בנקים בדיוק, מדובר היה בנטל שאינו הולם את מאפייני הגופים החוץ בנקאיים, עד כי לא ניתן היה לפתח כלל שוק משכנתאות והלוואות לדיור באמצעות נותני אשראי חוץ בנקאי וכל שכן תחרות מול המערכת הבנקאית.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כן ציינה רשות שוק ההון כי בהתאם לתכנית האסדרה לשנת 2026 בכוונת הרשות לקבוע הוראות שיחייבו את נותן האשראי לתת בידי הלקוח בטרם נטל את ההלוואה, מסמך בו יפורטו מסלולי ההלוואה המוצעים כך שיתאפשר לו לבדוק את טיב ההצעה והתאמתו לצרכיו.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מפגישות שערך משרד מבקר המדינה עם חברות אשראי חוץ בנקאי, גופים מוסדיים והבנקים השונים להלן פילוח של קהל הלווים שיפנו </w:t>
      </w:r>
      <w:r w:rsidRPr="001F2586">
        <w:rPr>
          <w:rFonts w:eastAsia="Calibri" w:hint="eastAsia"/>
          <w:rtl/>
        </w:rPr>
        <w:t>ללקיחת</w:t>
      </w:r>
      <w:r w:rsidRPr="001F2586">
        <w:rPr>
          <w:rFonts w:eastAsia="Calibri"/>
          <w:rtl/>
        </w:rPr>
        <w:t xml:space="preserve"> </w:t>
      </w:r>
      <w:r w:rsidRPr="001F2586">
        <w:rPr>
          <w:rFonts w:eastAsia="Calibri" w:hint="eastAsia"/>
          <w:rtl/>
        </w:rPr>
        <w:t>משכנתא</w:t>
      </w:r>
      <w:r w:rsidRPr="001F2586">
        <w:rPr>
          <w:rFonts w:eastAsia="Calibri"/>
          <w:rtl/>
        </w:rPr>
        <w:t xml:space="preserve"> </w:t>
      </w:r>
      <w:r w:rsidRPr="001F2586">
        <w:rPr>
          <w:rFonts w:eastAsia="Calibri" w:hint="eastAsia"/>
          <w:rtl/>
        </w:rPr>
        <w:t>בשוק</w:t>
      </w:r>
      <w:r w:rsidRPr="001F2586">
        <w:rPr>
          <w:rFonts w:eastAsia="Calibri"/>
          <w:rtl/>
        </w:rPr>
        <w:t xml:space="preserve"> </w:t>
      </w:r>
      <w:r w:rsidRPr="001F2586">
        <w:rPr>
          <w:rFonts w:eastAsia="Calibri" w:hint="eastAsia"/>
          <w:rtl/>
        </w:rPr>
        <w:t>האשראי</w:t>
      </w:r>
      <w:r w:rsidRPr="001F2586">
        <w:rPr>
          <w:rFonts w:eastAsia="Calibri"/>
          <w:rtl/>
        </w:rPr>
        <w:t xml:space="preserve"> </w:t>
      </w:r>
      <w:r w:rsidRPr="001F2586">
        <w:rPr>
          <w:rFonts w:eastAsia="Calibri" w:hint="eastAsia"/>
          <w:rtl/>
        </w:rPr>
        <w:t>חוץ</w:t>
      </w:r>
      <w:r w:rsidRPr="001F2586">
        <w:rPr>
          <w:rFonts w:eastAsia="Calibri"/>
          <w:rtl/>
        </w:rPr>
        <w:t xml:space="preserve"> </w:t>
      </w:r>
      <w:r w:rsidRPr="001F2586">
        <w:rPr>
          <w:rFonts w:eastAsia="Calibri" w:hint="eastAsia"/>
          <w:rtl/>
        </w:rPr>
        <w:t>בנקאי</w:t>
      </w:r>
      <w:r w:rsidRPr="001F2586">
        <w:rPr>
          <w:rFonts w:eastAsia="Calibri" w:hint="cs"/>
          <w:rtl/>
        </w:rPr>
        <w:t xml:space="preserve"> (וזאת בשל מגבלות המוטלות בתאגידים הבנקאיים): </w:t>
      </w:r>
    </w:p>
    <w:p w:rsidR="001F2586" w:rsidRPr="001F2586" w:rsidP="001F2586">
      <w:pPr>
        <w:spacing w:line="269" w:lineRule="auto"/>
        <w:ind w:left="-567"/>
        <w:rPr>
          <w:rFonts w:eastAsia="Calibri"/>
          <w:szCs w:val="20"/>
          <w:rtl/>
        </w:rPr>
      </w:pPr>
    </w:p>
    <w:p w:rsidR="001F2586" w:rsidRPr="001F2586" w:rsidP="001F2586">
      <w:pPr>
        <w:numPr>
          <w:ilvl w:val="0"/>
          <w:numId w:val="23"/>
        </w:numPr>
        <w:spacing w:line="269" w:lineRule="auto"/>
        <w:ind w:left="312"/>
        <w:contextualSpacing/>
        <w:rPr>
          <w:rFonts w:eastAsia="Calibri"/>
          <w:b/>
          <w:bCs/>
          <w:rtl/>
        </w:rPr>
      </w:pPr>
      <w:r w:rsidRPr="001F2586">
        <w:rPr>
          <w:rFonts w:eastAsia="Times New Roman" w:hint="cs"/>
          <w:bCs/>
          <w:spacing w:val="40"/>
          <w:rtl/>
        </w:rPr>
        <w:t>רוכשי</w:t>
      </w:r>
      <w:r w:rsidRPr="001F2586">
        <w:rPr>
          <w:rFonts w:eastAsia="Times New Roman" w:hint="cs"/>
          <w:bCs/>
          <w:spacing w:val="40"/>
          <w:rtl/>
        </w:rPr>
        <w:t xml:space="preserve"> דירה ראשונה המעוניינים בקבלת מימון העולה על 75% משווי הנכס</w:t>
      </w:r>
      <w:r w:rsidR="006F0DF8">
        <w:rPr>
          <w:rFonts w:eastAsia="Times New Roman" w:hint="cs"/>
          <w:bCs/>
          <w:spacing w:val="40"/>
          <w:rtl/>
        </w:rPr>
        <w:t>:</w:t>
      </w:r>
      <w:r w:rsidRPr="001F2586">
        <w:rPr>
          <w:rFonts w:eastAsia="Calibri" w:hint="cs"/>
          <w:b/>
          <w:bCs/>
          <w:rtl/>
        </w:rPr>
        <w:t xml:space="preserve"> </w:t>
      </w:r>
      <w:r w:rsidRPr="001F2586">
        <w:rPr>
          <w:rFonts w:eastAsia="Calibri" w:hint="cs"/>
          <w:rtl/>
        </w:rPr>
        <w:t>רוכשי</w:t>
      </w:r>
      <w:r w:rsidRPr="001F2586">
        <w:rPr>
          <w:rFonts w:eastAsia="Calibri" w:hint="cs"/>
          <w:rtl/>
        </w:rPr>
        <w:t xml:space="preserve"> דירה ראשונה יכולים לקבל מימון מהבנקים בשיעור מרבי של 75%. באמצעות פנייה לגופים חוץ בנקאיים הם יכולים להגדיל את שיעור המימון משווי הנכס ולרכוש דירה עם הון עצמי מינימלי הפחות מ-25%. כלומר, פנייה לשוק החוץ בנקאי למעשה עוקפת בפועל את מגבלות בנק ישראל על לקיחת משכנתא בשיעור של עד 75%. </w:t>
      </w:r>
    </w:p>
    <w:p w:rsidR="001F2586" w:rsidRPr="001F2586" w:rsidP="001F2586">
      <w:pPr>
        <w:spacing w:line="269" w:lineRule="auto"/>
        <w:ind w:left="-567"/>
        <w:rPr>
          <w:rFonts w:eastAsia="Calibri"/>
          <w:szCs w:val="20"/>
          <w:rtl/>
        </w:rPr>
      </w:pPr>
    </w:p>
    <w:p w:rsidR="001F2586" w:rsidRPr="001F2586" w:rsidP="001F2586">
      <w:pPr>
        <w:numPr>
          <w:ilvl w:val="0"/>
          <w:numId w:val="23"/>
        </w:numPr>
        <w:spacing w:line="269" w:lineRule="auto"/>
        <w:ind w:left="312"/>
        <w:contextualSpacing/>
        <w:rPr>
          <w:rFonts w:eastAsia="Calibri"/>
        </w:rPr>
      </w:pPr>
      <w:r w:rsidRPr="001F2586">
        <w:rPr>
          <w:rFonts w:eastAsia="Times New Roman" w:hint="cs"/>
          <w:bCs/>
          <w:spacing w:val="40"/>
          <w:rtl/>
        </w:rPr>
        <w:t>משכנתא לכל מטרה</w:t>
      </w:r>
      <w:r w:rsidR="006F0DF8">
        <w:rPr>
          <w:rFonts w:eastAsia="Times New Roman" w:hint="cs"/>
          <w:bCs/>
          <w:spacing w:val="40"/>
          <w:rtl/>
        </w:rPr>
        <w:t>:</w:t>
      </w:r>
      <w:r w:rsidRPr="001F2586">
        <w:rPr>
          <w:rFonts w:eastAsia="Calibri" w:hint="cs"/>
          <w:b/>
          <w:bCs/>
          <w:rtl/>
        </w:rPr>
        <w:t xml:space="preserve"> </w:t>
      </w:r>
      <w:r w:rsidRPr="001F2586">
        <w:rPr>
          <w:rFonts w:eastAsia="Calibri"/>
          <w:rtl/>
        </w:rPr>
        <w:t>בעלי נכסים למגורים יכולים לקבל משכנתא לכל מטרה, כגון: החזר הלוואות אחרות, חופשה בחו"ל, שיפוץ הנכס, רכישת רכב, הקמת עסק</w:t>
      </w:r>
      <w:r w:rsidRPr="001F2586">
        <w:rPr>
          <w:rFonts w:eastAsia="Calibri" w:hint="cs"/>
          <w:rtl/>
        </w:rPr>
        <w:t xml:space="preserve">. </w:t>
      </w:r>
      <w:r w:rsidRPr="001F2586">
        <w:rPr>
          <w:rFonts w:eastAsia="Calibri"/>
          <w:rtl/>
        </w:rPr>
        <w:t>הבנקים יכולים לתת משכנתא של עד 50% משווי הנכס לכל מטרה</w:t>
      </w:r>
      <w:r w:rsidRPr="001F2586">
        <w:rPr>
          <w:rFonts w:eastAsia="Calibri" w:hint="cs"/>
          <w:rtl/>
        </w:rPr>
        <w:t>, ואף להגדילה עד 70% משווי הנכס</w:t>
      </w:r>
      <w:r w:rsidRPr="001F2586">
        <w:rPr>
          <w:rFonts w:eastAsia="Calibri"/>
          <w:rtl/>
        </w:rPr>
        <w:t xml:space="preserve">, ובלבד, שסכום התוספת מעל ל-50% לא יעלה על 200,000 </w:t>
      </w:r>
      <w:r w:rsidR="00480481">
        <w:rPr>
          <w:rFonts w:eastAsia="Calibri"/>
          <w:rtl/>
        </w:rPr>
        <w:t>ש"ח</w:t>
      </w:r>
      <w:r w:rsidRPr="001F2586">
        <w:rPr>
          <w:rFonts w:eastAsia="Calibri"/>
          <w:rtl/>
        </w:rPr>
        <w:t>. (ובכפוף לכושר ההחזר של הלקוח).</w:t>
      </w:r>
      <w:r w:rsidRPr="001F2586">
        <w:rPr>
          <w:rFonts w:eastAsia="Calibri" w:hint="cs"/>
          <w:rtl/>
        </w:rPr>
        <w:t xml:space="preserve"> באמצעות פנייה לגופים חוץ בנקאיים הלווים יכולים לעקוף את המגבלה של בנק ישראל, ובדרך זו להגדיל את שיעור המימון משווי הנכס. </w:t>
      </w:r>
    </w:p>
    <w:p w:rsidR="001F2586" w:rsidRPr="001F2586" w:rsidP="001F2586">
      <w:pPr>
        <w:spacing w:line="269" w:lineRule="auto"/>
        <w:ind w:left="-567"/>
        <w:rPr>
          <w:rFonts w:eastAsia="Calibri"/>
          <w:szCs w:val="20"/>
          <w:rtl/>
        </w:rPr>
      </w:pPr>
    </w:p>
    <w:p w:rsidR="001F2586" w:rsidRPr="001F2586" w:rsidP="001F2586">
      <w:pPr>
        <w:numPr>
          <w:ilvl w:val="0"/>
          <w:numId w:val="23"/>
        </w:numPr>
        <w:spacing w:line="269" w:lineRule="auto"/>
        <w:ind w:left="312"/>
        <w:contextualSpacing/>
        <w:rPr>
          <w:rFonts w:eastAsia="Calibri"/>
          <w:rtl/>
        </w:rPr>
      </w:pPr>
      <w:r w:rsidRPr="001F2586">
        <w:rPr>
          <w:rFonts w:eastAsia="Times New Roman" w:hint="cs"/>
          <w:bCs/>
          <w:spacing w:val="40"/>
          <w:rtl/>
        </w:rPr>
        <w:t>משפרי דיור:</w:t>
      </w:r>
      <w:r w:rsidRPr="001F2586">
        <w:rPr>
          <w:rFonts w:eastAsia="Calibri" w:hint="cs"/>
          <w:b/>
          <w:bCs/>
          <w:rtl/>
        </w:rPr>
        <w:t xml:space="preserve"> </w:t>
      </w:r>
      <w:r w:rsidRPr="001F2586">
        <w:rPr>
          <w:rFonts w:eastAsia="Calibri"/>
          <w:rtl/>
        </w:rPr>
        <w:t xml:space="preserve">אנשים המעוניינים להחליף את דירתם, בדרך כלל לדירה משופרת ויקרה יותר. משפרי דיור יכולים לקבל מהבנק משכנתא בגובה של עד 70% מימון. </w:t>
      </w:r>
      <w:r w:rsidRPr="001F2586">
        <w:rPr>
          <w:rFonts w:eastAsia="Calibri" w:hint="cs"/>
          <w:rtl/>
        </w:rPr>
        <w:t xml:space="preserve">באמצעות לקיחת משכנתא נוספת באשראי החוץ בנקאי ניתן להגדיל את גובה המשכנתא לאחוז העולה על 70%. </w:t>
      </w:r>
    </w:p>
    <w:p w:rsidR="001F2586" w:rsidRPr="001F2586" w:rsidP="001F2586">
      <w:pPr>
        <w:spacing w:line="269" w:lineRule="auto"/>
        <w:ind w:left="-567"/>
        <w:rPr>
          <w:rFonts w:eastAsia="Calibri"/>
          <w:szCs w:val="20"/>
          <w:rtl/>
        </w:rPr>
      </w:pPr>
    </w:p>
    <w:p w:rsidR="001F2586" w:rsidRPr="001F2586" w:rsidP="001F2586">
      <w:pPr>
        <w:numPr>
          <w:ilvl w:val="0"/>
          <w:numId w:val="23"/>
        </w:numPr>
        <w:spacing w:line="269" w:lineRule="auto"/>
        <w:ind w:left="312"/>
        <w:contextualSpacing/>
        <w:rPr>
          <w:rFonts w:eastAsia="Calibri"/>
          <w:b/>
          <w:bCs/>
        </w:rPr>
      </w:pPr>
      <w:r w:rsidRPr="001F2586">
        <w:rPr>
          <w:rFonts w:eastAsia="Times New Roman" w:hint="cs"/>
          <w:bCs/>
          <w:spacing w:val="40"/>
          <w:rtl/>
        </w:rPr>
        <w:t>דירה להשקעה:</w:t>
      </w:r>
      <w:r w:rsidRPr="001F2586">
        <w:rPr>
          <w:rFonts w:eastAsia="Calibri" w:hint="cs"/>
          <w:b/>
          <w:bCs/>
          <w:rtl/>
        </w:rPr>
        <w:t xml:space="preserve"> </w:t>
      </w:r>
      <w:r w:rsidRPr="001F2586">
        <w:rPr>
          <w:rFonts w:eastAsia="Calibri"/>
          <w:rtl/>
        </w:rPr>
        <w:t xml:space="preserve">בנק ישראל החיל מגבלות מהותיות על </w:t>
      </w:r>
      <w:r w:rsidRPr="001F2586">
        <w:rPr>
          <w:rFonts w:eastAsia="Calibri"/>
          <w:rtl/>
        </w:rPr>
        <w:t>רוכשי</w:t>
      </w:r>
      <w:r w:rsidRPr="001F2586">
        <w:rPr>
          <w:rFonts w:eastAsia="Calibri"/>
          <w:rtl/>
        </w:rPr>
        <w:t xml:space="preserve"> נכס להשקעה המבקשים לקבל משכנתא מהבנק. המגבלות כוללות קבלת משכנתא </w:t>
      </w:r>
      <w:r w:rsidRPr="001F2586">
        <w:rPr>
          <w:rFonts w:eastAsia="Calibri" w:hint="cs"/>
          <w:rtl/>
        </w:rPr>
        <w:t xml:space="preserve">של </w:t>
      </w:r>
      <w:r w:rsidRPr="001F2586">
        <w:rPr>
          <w:rFonts w:eastAsia="Calibri"/>
          <w:rtl/>
        </w:rPr>
        <w:t>עד 50% בלבד משווי הנכס הנרכש ובנוסף הלקוח אינו יכול למשכן את הנכס הקיים שלו ולקבל עבורו מימון לטובת הנכס להשקעה שהוא רוצה לרכוש</w:t>
      </w:r>
      <w:r w:rsidRPr="001F2586">
        <w:rPr>
          <w:rFonts w:eastAsia="Calibri" w:hint="cs"/>
          <w:rtl/>
        </w:rPr>
        <w:t>,</w:t>
      </w:r>
      <w:r w:rsidRPr="001F2586">
        <w:rPr>
          <w:rFonts w:eastAsia="Calibri"/>
          <w:rtl/>
        </w:rPr>
        <w:t xml:space="preserve"> וזאת גם במקרים שהנכס הקיים ברשותו ללא משכנתאות בכלל. משקיעים רבים אינם מקבלים מהבנקים את המימון הנדרש</w:t>
      </w:r>
      <w:r w:rsidRPr="001F2586">
        <w:rPr>
          <w:rFonts w:eastAsia="Calibri" w:hint="cs"/>
          <w:rtl/>
        </w:rPr>
        <w:t xml:space="preserve"> (במידה וברצונם לקבל משכנתא הגבוהה מ-50%</w:t>
      </w:r>
      <w:r w:rsidRPr="001F2586">
        <w:rPr>
          <w:rFonts w:eastAsia="Calibri" w:hint="cs"/>
        </w:rPr>
        <w:t xml:space="preserve"> </w:t>
      </w:r>
      <w:r w:rsidRPr="001F2586">
        <w:rPr>
          <w:rFonts w:eastAsia="Calibri" w:hint="cs"/>
          <w:rtl/>
        </w:rPr>
        <w:t>משווי הנכס)</w:t>
      </w:r>
      <w:r w:rsidRPr="001F2586">
        <w:rPr>
          <w:rFonts w:eastAsia="Calibri"/>
          <w:rtl/>
        </w:rPr>
        <w:t xml:space="preserve"> ואינם יכולים לבצע את עסקה לרכישת נכס להשקעה. עם המשכנתא המשלימה </w:t>
      </w:r>
      <w:r w:rsidRPr="001F2586">
        <w:rPr>
          <w:rFonts w:eastAsia="Calibri" w:hint="cs"/>
          <w:rtl/>
        </w:rPr>
        <w:t xml:space="preserve">באשראי החוץ בנקאי ניתן </w:t>
      </w:r>
      <w:r w:rsidRPr="001F2586">
        <w:rPr>
          <w:rFonts w:eastAsia="Calibri"/>
          <w:rtl/>
        </w:rPr>
        <w:t>לקבל מימון</w:t>
      </w:r>
      <w:r w:rsidRPr="001F2586">
        <w:rPr>
          <w:rFonts w:eastAsia="Calibri" w:hint="cs"/>
          <w:rtl/>
        </w:rPr>
        <w:t xml:space="preserve"> נוסף</w:t>
      </w:r>
      <w:r w:rsidRPr="001F2586">
        <w:rPr>
          <w:rFonts w:eastAsia="Calibri"/>
          <w:rtl/>
        </w:rPr>
        <w:t xml:space="preserve"> לרכישת הנכס להשקעה</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numPr>
          <w:ilvl w:val="0"/>
          <w:numId w:val="23"/>
        </w:numPr>
        <w:spacing w:line="269" w:lineRule="auto"/>
        <w:ind w:left="312"/>
        <w:contextualSpacing/>
        <w:rPr>
          <w:rFonts w:eastAsia="Calibri"/>
          <w:b/>
          <w:bCs/>
        </w:rPr>
      </w:pPr>
      <w:r w:rsidRPr="001F2586">
        <w:rPr>
          <w:rFonts w:eastAsia="Times New Roman" w:hint="cs"/>
          <w:bCs/>
          <w:spacing w:val="40"/>
          <w:rtl/>
        </w:rPr>
        <w:t>תושבי חוץ:</w:t>
      </w:r>
      <w:r w:rsidRPr="001F2586">
        <w:rPr>
          <w:rFonts w:eastAsia="Calibri" w:hint="cs"/>
          <w:rtl/>
        </w:rPr>
        <w:t xml:space="preserve"> לווים</w:t>
      </w:r>
      <w:r w:rsidRPr="001F2586">
        <w:rPr>
          <w:rFonts w:eastAsia="Calibri"/>
          <w:rtl/>
        </w:rPr>
        <w:t xml:space="preserve"> המעוניינים במשכנתא, אשר מתגוררים בחו״ל או בעלי מקורות הכנסה מחו״ל אשר מוגדרים כתושבי חוץ לטובת קבלת משכנתא, מוגבלים בשיעור המימון הניתן לקבל לרכישת נכס בישראל. שיעור המימון המרבי הניתן לקבל מהבנק עבור הנכס הנרכש, במקרה של תושב חוץ, הוא 50% בלבד. כלומר בכדי להשלים את עסקת הרכישה ההון העצמי הנדרש לתושבי חוץ הוא 50%. עם המשכנתא </w:t>
      </w:r>
      <w:r w:rsidRPr="001F2586">
        <w:rPr>
          <w:rFonts w:eastAsia="Calibri" w:hint="cs"/>
          <w:rtl/>
        </w:rPr>
        <w:t xml:space="preserve">באשראי חוץ בנקאי, ניתן להגדיל את אחוז המימון. </w:t>
      </w:r>
    </w:p>
    <w:p w:rsidR="001F2586" w:rsidRPr="001F2586" w:rsidP="001F2586">
      <w:pPr>
        <w:spacing w:line="269" w:lineRule="auto"/>
        <w:ind w:left="-567"/>
        <w:rPr>
          <w:rFonts w:eastAsia="Calibri"/>
          <w:szCs w:val="20"/>
          <w:rtl/>
        </w:rPr>
      </w:pPr>
    </w:p>
    <w:p w:rsidR="001F2586" w:rsidRPr="001F2586" w:rsidP="001F2586">
      <w:pPr>
        <w:numPr>
          <w:ilvl w:val="0"/>
          <w:numId w:val="23"/>
        </w:numPr>
        <w:spacing w:line="269" w:lineRule="auto"/>
        <w:ind w:left="312"/>
        <w:contextualSpacing/>
        <w:rPr>
          <w:rFonts w:eastAsia="Calibri"/>
        </w:rPr>
      </w:pPr>
      <w:r w:rsidRPr="001F2586">
        <w:rPr>
          <w:rFonts w:eastAsia="Times New Roman" w:hint="cs"/>
          <w:bCs/>
          <w:spacing w:val="40"/>
          <w:rtl/>
        </w:rPr>
        <w:t>מסורבי</w:t>
      </w:r>
      <w:r w:rsidRPr="001F2586">
        <w:rPr>
          <w:rFonts w:eastAsia="Times New Roman" w:hint="cs"/>
          <w:bCs/>
          <w:spacing w:val="40"/>
          <w:rtl/>
        </w:rPr>
        <w:t xml:space="preserve"> משכנתא בנקאית:</w:t>
      </w:r>
      <w:r w:rsidRPr="001F2586">
        <w:rPr>
          <w:rFonts w:eastAsia="Calibri" w:hint="cs"/>
          <w:rtl/>
        </w:rPr>
        <w:t xml:space="preserve"> בנק</w:t>
      </w:r>
      <w:r w:rsidRPr="001F2586">
        <w:rPr>
          <w:rFonts w:eastAsia="Calibri"/>
          <w:rtl/>
        </w:rPr>
        <w:t xml:space="preserve"> ישראל לא מגדיר </w:t>
      </w:r>
      <w:r w:rsidRPr="001F2586">
        <w:rPr>
          <w:rFonts w:eastAsia="Calibri" w:hint="cs"/>
          <w:rtl/>
        </w:rPr>
        <w:t xml:space="preserve">מי הוא </w:t>
      </w:r>
      <w:r w:rsidRPr="001F2586">
        <w:rPr>
          <w:rFonts w:eastAsia="Calibri"/>
          <w:rtl/>
        </w:rPr>
        <w:t xml:space="preserve">"מסורב משכנתא" אלא קובע רגולציה ובקרה על תהליכי מתן משכנתאות על ידי הבנקים, </w:t>
      </w:r>
      <w:r w:rsidRPr="001F2586">
        <w:rPr>
          <w:rFonts w:eastAsia="Calibri" w:hint="cs"/>
          <w:rtl/>
        </w:rPr>
        <w:t>הכוללת</w:t>
      </w:r>
      <w:r w:rsidRPr="001F2586">
        <w:rPr>
          <w:rFonts w:eastAsia="Calibri"/>
          <w:rtl/>
        </w:rPr>
        <w:t xml:space="preserve"> מגבלות על תמהיל המשכנתא (כמו שילוב ריבית קבועה ומשתנה) ופיקוח על יציבות הבנקים. דחייה של בקשת משכנתא תלויה במדיניות של כל בנק, אך לעיתים היא קשורה לעמידה בהוראות הרגולציה של בנק ישראל, כמו מגבלה על שיעור המינוף (יחס ההלוואה לשווי הנכס) או היעדר עמידה בתנאי </w:t>
      </w:r>
      <w:r w:rsidRPr="001F2586">
        <w:rPr>
          <w:rFonts w:eastAsia="Calibri" w:hint="cs"/>
          <w:rtl/>
        </w:rPr>
        <w:t xml:space="preserve">שנקבע על ידי הבנק עצמו במדיניות הסיכון שלו. </w:t>
      </w:r>
    </w:p>
    <w:p w:rsidR="001F2586" w:rsidRPr="001F2586" w:rsidP="001F2586">
      <w:pPr>
        <w:spacing w:line="269" w:lineRule="auto"/>
        <w:ind w:left="-567"/>
        <w:rPr>
          <w:rFonts w:eastAsia="Calibri"/>
          <w:szCs w:val="20"/>
          <w:rtl/>
        </w:rPr>
      </w:pPr>
    </w:p>
    <w:p w:rsidR="001F2586" w:rsidRPr="001F2586" w:rsidP="001F2586">
      <w:pPr>
        <w:numPr>
          <w:ilvl w:val="0"/>
          <w:numId w:val="23"/>
        </w:numPr>
        <w:spacing w:line="269" w:lineRule="auto"/>
        <w:ind w:left="312"/>
        <w:contextualSpacing/>
        <w:rPr>
          <w:rFonts w:eastAsia="Calibri"/>
        </w:rPr>
      </w:pPr>
      <w:r w:rsidRPr="001F2586">
        <w:rPr>
          <w:rFonts w:eastAsia="Times New Roman" w:hint="cs"/>
          <w:bCs/>
          <w:spacing w:val="40"/>
          <w:rtl/>
        </w:rPr>
        <w:t>לקוחות המחזיקים בבעלותם נכסים רבים אך אינם עומדים בהנחיות בנק ישראל לעניין הכנסה פנויה:</w:t>
      </w:r>
      <w:r w:rsidRPr="001F2586">
        <w:rPr>
          <w:rFonts w:eastAsia="Calibri" w:hint="cs"/>
          <w:rtl/>
        </w:rPr>
        <w:t xml:space="preserve"> לקוחות המוגדרים כלקוחות "חזקים פיננסית" ובעלי נכסי נדל"ן רבים אך אינם בעלי הכנסה כהגדרתה בהנחיות בנק ישראל, אינם יכולים לקחת משכנתא בתאגיד בנקאי.</w:t>
      </w:r>
    </w:p>
    <w:p w:rsidR="001F2586" w:rsidRPr="001F2586" w:rsidP="001F2586">
      <w:pPr>
        <w:spacing w:line="269" w:lineRule="auto"/>
        <w:rPr>
          <w:rFonts w:eastAsia="Calibri"/>
          <w:b/>
          <w:bCs/>
          <w:rtl/>
        </w:rPr>
      </w:pPr>
      <w:r w:rsidRPr="001F2586">
        <w:rPr>
          <w:rFonts w:eastAsia="Calibri"/>
          <w:b/>
          <w:bCs/>
          <w:rtl/>
        </w:rPr>
        <w:t xml:space="preserve">בחינת פעילות הגופים החוץ-בנקאיים מעלה כי בפועל, </w:t>
      </w:r>
      <w:r w:rsidRPr="001F2586">
        <w:rPr>
          <w:rFonts w:eastAsia="Calibri" w:hint="eastAsia"/>
          <w:b/>
          <w:bCs/>
          <w:rtl/>
        </w:rPr>
        <w:t>הם</w:t>
      </w:r>
      <w:r w:rsidRPr="001F2586">
        <w:rPr>
          <w:rFonts w:eastAsia="Calibri"/>
          <w:b/>
          <w:bCs/>
          <w:rtl/>
        </w:rPr>
        <w:t xml:space="preserve"> אינם מהווים חלופה תחרותית לבנקים עבור לווים העומדים בתנאי החיתום הסטנדרטיים</w:t>
      </w:r>
      <w:r w:rsidRPr="001F2586">
        <w:rPr>
          <w:rFonts w:eastAsia="Calibri" w:hint="cs"/>
          <w:b/>
          <w:bCs/>
          <w:rtl/>
        </w:rPr>
        <w:t>, שכן היקף המשכנתאות החוץ בנקאיות בשנת 2024 עמד על כ-5.5 מיליארד ש"ח ואילו היקף המשכנתאות הבנקאיות עמד כ-587 מיליארד ש"ח.</w:t>
      </w:r>
      <w:r w:rsidRPr="001F2586">
        <w:rPr>
          <w:rFonts w:eastAsia="Calibri"/>
          <w:b/>
          <w:bCs/>
          <w:rtl/>
        </w:rPr>
        <w:t xml:space="preserve"> לפיכך נראה כי השוק החוץ-בנקאי מתפקד כשוק אשראי משלים בלבד, המיועד למקרים בהם המערכת הבנקאית </w:t>
      </w:r>
      <w:r w:rsidRPr="001F2586">
        <w:rPr>
          <w:rFonts w:eastAsia="Calibri" w:hint="eastAsia"/>
          <w:b/>
          <w:bCs/>
          <w:rtl/>
        </w:rPr>
        <w:t>אינה</w:t>
      </w:r>
      <w:r w:rsidRPr="001F2586">
        <w:rPr>
          <w:rFonts w:eastAsia="Calibri"/>
          <w:b/>
          <w:bCs/>
          <w:rtl/>
        </w:rPr>
        <w:t xml:space="preserve"> </w:t>
      </w:r>
      <w:r w:rsidRPr="001F2586">
        <w:rPr>
          <w:rFonts w:eastAsia="Calibri" w:hint="eastAsia"/>
          <w:b/>
          <w:bCs/>
          <w:rtl/>
        </w:rPr>
        <w:t>יכולה</w:t>
      </w:r>
      <w:r w:rsidRPr="001F2586">
        <w:rPr>
          <w:rFonts w:eastAsia="Calibri"/>
          <w:b/>
          <w:bCs/>
          <w:rtl/>
        </w:rPr>
        <w:t xml:space="preserve"> </w:t>
      </w:r>
      <w:r w:rsidRPr="001F2586">
        <w:rPr>
          <w:rFonts w:eastAsia="Calibri" w:hint="eastAsia"/>
          <w:b/>
          <w:bCs/>
          <w:rtl/>
        </w:rPr>
        <w:t>להעניק</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המשכנתא</w:t>
      </w:r>
      <w:r w:rsidRPr="001F2586">
        <w:rPr>
          <w:rFonts w:eastAsia="Calibri"/>
          <w:b/>
          <w:bCs/>
          <w:rtl/>
        </w:rPr>
        <w:t xml:space="preserve"> </w:t>
      </w:r>
      <w:r w:rsidRPr="001F2586">
        <w:rPr>
          <w:rFonts w:eastAsia="Calibri" w:hint="eastAsia"/>
          <w:b/>
          <w:bCs/>
          <w:rtl/>
        </w:rPr>
        <w:t>המבוקשת</w:t>
      </w:r>
      <w:r w:rsidRPr="001F2586">
        <w:rPr>
          <w:rFonts w:eastAsia="Calibri"/>
          <w:b/>
          <w:bCs/>
          <w:rtl/>
        </w:rPr>
        <w:t>. יתרה מכך, קיים חשש כי לקיחת משכנתא מגופים אלו מאפשר</w:t>
      </w:r>
      <w:r w:rsidRPr="001F2586">
        <w:rPr>
          <w:rFonts w:eastAsia="Calibri" w:hint="eastAsia"/>
          <w:b/>
          <w:bCs/>
          <w:rtl/>
        </w:rPr>
        <w:t>ת</w:t>
      </w:r>
      <w:r w:rsidRPr="001F2586">
        <w:rPr>
          <w:rFonts w:eastAsia="Calibri"/>
          <w:b/>
          <w:bCs/>
          <w:rtl/>
        </w:rPr>
        <w:t xml:space="preserve"> ללווים לעקוף את מגבלות הרגולציה של בנק ישראל. מצב זה עלול לעודד נטילת מינוף יתר ומסכן את יציבותם הכלכלית של הלווים, שכן הם פונים לאפיקים חוץ-בנקאיים יקרים יותר רק כדי לעמוד בתנאי הסף של העסקה.</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b/>
          <w:bCs/>
          <w:rtl/>
        </w:rPr>
        <w:t xml:space="preserve">על רשות שוק ההון, בתיאום עם בנק ישראל, לבצע בחינה תקופתית ומעקב שוטף אחר היקף המשכנתאות החוץ-בנקאיות המשמשות לעקיפת מגבלות המינוף הבנקאיות. </w:t>
      </w:r>
      <w:r w:rsidRPr="001F2586">
        <w:rPr>
          <w:rFonts w:eastAsia="Calibri" w:hint="eastAsia"/>
          <w:b/>
          <w:bCs/>
          <w:rtl/>
        </w:rPr>
        <w:t>מומלץ</w:t>
      </w:r>
      <w:r w:rsidRPr="001F2586">
        <w:rPr>
          <w:rFonts w:eastAsia="Calibri"/>
          <w:b/>
          <w:bCs/>
          <w:rtl/>
        </w:rPr>
        <w:t xml:space="preserve"> </w:t>
      </w:r>
      <w:r w:rsidRPr="001F2586">
        <w:rPr>
          <w:rFonts w:eastAsia="Calibri" w:hint="eastAsia"/>
          <w:b/>
          <w:bCs/>
          <w:rtl/>
        </w:rPr>
        <w:t>ל</w:t>
      </w:r>
      <w:r w:rsidRPr="001F2586">
        <w:rPr>
          <w:rFonts w:eastAsia="Calibri"/>
          <w:b/>
          <w:bCs/>
          <w:rtl/>
        </w:rPr>
        <w:t xml:space="preserve">רשות לבחון האם נדרשת התאמה של הרגולציה בשוק החוץ-בנקאי (כגון קביעת מגבלות </w:t>
      </w:r>
      <w:r w:rsidRPr="001F2586">
        <w:rPr>
          <w:rFonts w:eastAsia="Calibri"/>
          <w:b/>
          <w:bCs/>
        </w:rPr>
        <w:t>LTV</w:t>
      </w:r>
      <w:r w:rsidRPr="001F2586">
        <w:rPr>
          <w:rFonts w:eastAsia="Calibri"/>
          <w:b/>
          <w:bCs/>
          <w:rtl/>
        </w:rPr>
        <w:t xml:space="preserve"> דומות) כדי למנוע יצירת ארביטראז' רגולטורי המסכן את הלווים, וזאת לצד המשך הניסיונות להוזלת מקורות הגיוס עבור שחקנים תחרותיים.</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שקיפות צרכנית במשכנתאות חוץ בנקאיות</w:t>
      </w:r>
    </w:p>
    <w:p w:rsidR="001F2586" w:rsidRPr="001F2586" w:rsidP="001F2586">
      <w:pPr>
        <w:spacing w:line="269" w:lineRule="auto"/>
        <w:rPr>
          <w:rFonts w:eastAsia="Calibri"/>
          <w:rtl/>
        </w:rPr>
      </w:pPr>
    </w:p>
    <w:p w:rsidR="001F2586" w:rsidRPr="001F2586" w:rsidP="001F2586">
      <w:pPr>
        <w:spacing w:line="269" w:lineRule="auto"/>
        <w:rPr>
          <w:rFonts w:eastAsia="Calibri"/>
          <w:rtl/>
        </w:rPr>
      </w:pPr>
      <w:r w:rsidRPr="001F2586">
        <w:rPr>
          <w:rFonts w:eastAsia="Calibri"/>
          <w:rtl/>
        </w:rPr>
        <w:t xml:space="preserve">למרות תנאי הריבית והמדד הגבוהים ולמרות תקופה ארוכה של חוסר וודאות בשל </w:t>
      </w:r>
      <w:r w:rsidRPr="001F2586">
        <w:rPr>
          <w:rFonts w:eastAsia="Calibri" w:hint="cs"/>
          <w:rtl/>
        </w:rPr>
        <w:t>מלחמת חרבות ברזל</w:t>
      </w:r>
      <w:r w:rsidRPr="001F2586">
        <w:rPr>
          <w:rFonts w:eastAsia="Calibri"/>
          <w:rtl/>
        </w:rPr>
        <w:t xml:space="preserve">, שוק ההלוואות לדיור החוץ בנקאי נמצא בצמיחה. בשים לב כי הוא מתאפיין במוצרים ובשירותים ייחודים שנועדו לתת פתרונות לציבור הלווים, בהם יש לחברות החוץ בנקאיות יתרון מסוים בייחס למערכת הבנקאית. ברם, בעוד החברות החוץ הבנקאיות מבוססות על תאבון סיכון גדול מאשר במערכת הבנקאית, הן במקביל נדרשות להתמודד עם עלות מימון יקרה, אשר מבוססת על קווי אשראי מהמערכת הבנקאית מולם היא מתחרה, גיוס אג"ח </w:t>
      </w:r>
      <w:r w:rsidRPr="001F2586">
        <w:rPr>
          <w:rFonts w:eastAsia="Calibri"/>
          <w:rtl/>
        </w:rPr>
        <w:t>ו</w:t>
      </w:r>
      <w:r w:rsidRPr="001F2586">
        <w:rPr>
          <w:rFonts w:eastAsia="Calibri" w:hint="cs"/>
          <w:rtl/>
        </w:rPr>
        <w:t>"</w:t>
      </w:r>
      <w:r w:rsidRPr="001F2586">
        <w:rPr>
          <w:rFonts w:eastAsia="Calibri"/>
          <w:rtl/>
        </w:rPr>
        <w:t>איגו"ח</w:t>
      </w:r>
      <w:r w:rsidRPr="001F2586">
        <w:rPr>
          <w:rFonts w:eastAsia="Calibri" w:hint="cs"/>
          <w:rtl/>
        </w:rPr>
        <w:t xml:space="preserve">" </w:t>
      </w:r>
      <w:r w:rsidRPr="001F2586">
        <w:rPr>
          <w:rFonts w:eastAsia="Calibri"/>
          <w:rtl/>
        </w:rPr>
        <w:t xml:space="preserve">תיקי הלוואות.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rtl/>
        </w:rPr>
        <w:t>כך</w:t>
      </w:r>
      <w:r w:rsidRPr="001F2586">
        <w:rPr>
          <w:rFonts w:eastAsia="Calibri"/>
          <w:rtl/>
        </w:rPr>
        <w:t xml:space="preserve"> </w:t>
      </w:r>
      <w:r w:rsidRPr="001F2586">
        <w:rPr>
          <w:rFonts w:eastAsia="Calibri" w:hint="eastAsia"/>
          <w:rtl/>
        </w:rPr>
        <w:t>למשל</w:t>
      </w:r>
      <w:r w:rsidRPr="001F2586">
        <w:rPr>
          <w:rFonts w:eastAsia="Calibri"/>
          <w:rtl/>
        </w:rPr>
        <w:t xml:space="preserve"> </w:t>
      </w:r>
      <w:r w:rsidRPr="001F2586">
        <w:rPr>
          <w:rFonts w:eastAsia="Calibri" w:hint="eastAsia"/>
          <w:rtl/>
        </w:rPr>
        <w:t>מציינת</w:t>
      </w:r>
      <w:r w:rsidRPr="001F2586">
        <w:rPr>
          <w:rFonts w:eastAsia="Calibri"/>
          <w:rtl/>
        </w:rPr>
        <w:t xml:space="preserve"> </w:t>
      </w:r>
      <w:r w:rsidRPr="001F2586">
        <w:rPr>
          <w:rFonts w:eastAsia="Calibri" w:hint="eastAsia"/>
          <w:rtl/>
        </w:rPr>
        <w:t>חברה</w:t>
      </w:r>
      <w:r w:rsidRPr="001F2586">
        <w:rPr>
          <w:rFonts w:eastAsia="Calibri"/>
          <w:rtl/>
        </w:rPr>
        <w:t xml:space="preserve"> </w:t>
      </w:r>
      <w:r w:rsidRPr="001F2586">
        <w:rPr>
          <w:rFonts w:eastAsia="Calibri" w:hint="eastAsia"/>
          <w:rtl/>
        </w:rPr>
        <w:t>א</w:t>
      </w:r>
      <w:r w:rsidRPr="001F2586">
        <w:rPr>
          <w:rFonts w:eastAsia="Calibri"/>
          <w:rtl/>
        </w:rPr>
        <w:t xml:space="preserve">' </w:t>
      </w:r>
      <w:r w:rsidRPr="001F2586">
        <w:rPr>
          <w:rFonts w:eastAsia="Calibri" w:hint="eastAsia"/>
          <w:rtl/>
        </w:rPr>
        <w:t>כי</w:t>
      </w:r>
      <w:r w:rsidRPr="001F2586">
        <w:rPr>
          <w:rFonts w:eastAsia="Calibri"/>
          <w:rtl/>
        </w:rPr>
        <w:t xml:space="preserve"> </w:t>
      </w:r>
      <w:r w:rsidRPr="001F2586">
        <w:rPr>
          <w:rFonts w:eastAsia="Calibri" w:hint="eastAsia"/>
          <w:rtl/>
        </w:rPr>
        <w:t>בשנת</w:t>
      </w:r>
      <w:r w:rsidRPr="001F2586">
        <w:rPr>
          <w:rFonts w:eastAsia="Calibri"/>
          <w:rtl/>
        </w:rPr>
        <w:t xml:space="preserve"> 2024 </w:t>
      </w:r>
      <w:r w:rsidRPr="001F2586">
        <w:rPr>
          <w:rFonts w:eastAsia="Calibri" w:hint="eastAsia"/>
          <w:rtl/>
        </w:rPr>
        <w:t>הושלם</w:t>
      </w:r>
      <w:r w:rsidRPr="001F2586">
        <w:rPr>
          <w:rFonts w:eastAsia="Calibri"/>
          <w:rtl/>
        </w:rPr>
        <w:t xml:space="preserve"> הפיילוט והחברה החלה בפעילות של מתן הלוואות המובטחות בנכסי נדל"ן. בשנת 2024 העמידה החברה הלוואות כאמור בסך של כ-98.3 מיליון ש"ח. </w:t>
      </w:r>
      <w:r w:rsidRPr="001F2586">
        <w:rPr>
          <w:rFonts w:eastAsia="Calibri" w:hint="eastAsia"/>
          <w:rtl/>
        </w:rPr>
        <w:t>לאחר</w:t>
      </w:r>
      <w:r w:rsidRPr="001F2586">
        <w:rPr>
          <w:rFonts w:eastAsia="Calibri"/>
          <w:rtl/>
        </w:rPr>
        <w:t xml:space="preserve"> </w:t>
      </w:r>
      <w:r w:rsidRPr="001F2586">
        <w:rPr>
          <w:rFonts w:eastAsia="Calibri" w:hint="eastAsia"/>
          <w:rtl/>
        </w:rPr>
        <w:t>תקופת</w:t>
      </w:r>
      <w:r w:rsidRPr="001F2586">
        <w:rPr>
          <w:rFonts w:eastAsia="Calibri"/>
          <w:rtl/>
        </w:rPr>
        <w:t xml:space="preserve"> </w:t>
      </w:r>
      <w:r w:rsidRPr="001F2586">
        <w:rPr>
          <w:rFonts w:eastAsia="Calibri" w:hint="eastAsia"/>
          <w:rtl/>
        </w:rPr>
        <w:t>הדוח</w:t>
      </w:r>
      <w:r w:rsidRPr="001F2586">
        <w:rPr>
          <w:rFonts w:eastAsia="Calibri"/>
          <w:rtl/>
        </w:rPr>
        <w:t xml:space="preserve"> (31.12.2024) </w:t>
      </w:r>
      <w:r w:rsidRPr="001F2586">
        <w:rPr>
          <w:rFonts w:eastAsia="Calibri" w:hint="eastAsia"/>
          <w:rtl/>
        </w:rPr>
        <w:t>ועד</w:t>
      </w:r>
      <w:r w:rsidRPr="001F2586">
        <w:rPr>
          <w:rFonts w:eastAsia="Calibri"/>
          <w:rtl/>
        </w:rPr>
        <w:t xml:space="preserve"> </w:t>
      </w:r>
      <w:r w:rsidRPr="001F2586">
        <w:rPr>
          <w:rFonts w:eastAsia="Calibri" w:hint="eastAsia"/>
          <w:rtl/>
        </w:rPr>
        <w:t>ל</w:t>
      </w:r>
      <w:r w:rsidRPr="001F2586">
        <w:rPr>
          <w:rFonts w:eastAsia="Calibri"/>
          <w:rtl/>
        </w:rPr>
        <w:t xml:space="preserve">-1.3.2025 </w:t>
      </w:r>
      <w:r w:rsidRPr="001F2586">
        <w:rPr>
          <w:rFonts w:eastAsia="Calibri" w:hint="eastAsia"/>
          <w:rtl/>
        </w:rPr>
        <w:t>העמידה</w:t>
      </w:r>
      <w:r w:rsidRPr="001F2586">
        <w:rPr>
          <w:rFonts w:eastAsia="Calibri"/>
          <w:rtl/>
        </w:rPr>
        <w:t xml:space="preserve"> </w:t>
      </w:r>
      <w:r w:rsidRPr="001F2586">
        <w:rPr>
          <w:rFonts w:eastAsia="Calibri" w:hint="eastAsia"/>
          <w:rtl/>
        </w:rPr>
        <w:t>החברה</w:t>
      </w:r>
      <w:r w:rsidRPr="001F2586">
        <w:rPr>
          <w:rFonts w:eastAsia="Calibri"/>
          <w:rtl/>
        </w:rPr>
        <w:t xml:space="preserve"> </w:t>
      </w:r>
      <w:r w:rsidRPr="001F2586">
        <w:rPr>
          <w:rFonts w:eastAsia="Calibri" w:hint="eastAsia"/>
          <w:rtl/>
        </w:rPr>
        <w:t>הלוואות</w:t>
      </w:r>
      <w:r w:rsidRPr="001F2586">
        <w:rPr>
          <w:rFonts w:eastAsia="Calibri"/>
          <w:rtl/>
        </w:rPr>
        <w:t xml:space="preserve"> </w:t>
      </w:r>
      <w:r w:rsidRPr="001F2586">
        <w:rPr>
          <w:rFonts w:eastAsia="Calibri" w:hint="eastAsia"/>
          <w:rtl/>
        </w:rPr>
        <w:t>מובטחות</w:t>
      </w:r>
      <w:r w:rsidRPr="001F2586">
        <w:rPr>
          <w:rFonts w:eastAsia="Calibri"/>
          <w:rtl/>
        </w:rPr>
        <w:t xml:space="preserve"> </w:t>
      </w:r>
      <w:r w:rsidRPr="001F2586">
        <w:rPr>
          <w:rFonts w:eastAsia="Calibri" w:hint="eastAsia"/>
          <w:rtl/>
        </w:rPr>
        <w:t>בכנסי</w:t>
      </w:r>
      <w:r w:rsidRPr="001F2586">
        <w:rPr>
          <w:rFonts w:eastAsia="Calibri"/>
          <w:rtl/>
        </w:rPr>
        <w:t xml:space="preserve"> </w:t>
      </w:r>
      <w:r w:rsidRPr="001F2586">
        <w:rPr>
          <w:rFonts w:eastAsia="Calibri" w:hint="eastAsia"/>
          <w:rtl/>
        </w:rPr>
        <w:t>נדל</w:t>
      </w:r>
      <w:r w:rsidRPr="001F2586">
        <w:rPr>
          <w:rFonts w:eastAsia="Calibri"/>
          <w:rtl/>
        </w:rPr>
        <w:t xml:space="preserve">"ן </w:t>
      </w:r>
      <w:r w:rsidRPr="001F2586">
        <w:rPr>
          <w:rFonts w:eastAsia="Calibri" w:hint="eastAsia"/>
          <w:rtl/>
        </w:rPr>
        <w:t>בהיקף</w:t>
      </w:r>
      <w:r w:rsidRPr="001F2586">
        <w:rPr>
          <w:rFonts w:eastAsia="Calibri"/>
          <w:rtl/>
        </w:rPr>
        <w:t xml:space="preserve"> </w:t>
      </w:r>
      <w:r w:rsidRPr="001F2586">
        <w:rPr>
          <w:rFonts w:eastAsia="Calibri" w:hint="eastAsia"/>
          <w:rtl/>
        </w:rPr>
        <w:t>של</w:t>
      </w:r>
      <w:r w:rsidRPr="001F2586">
        <w:rPr>
          <w:rFonts w:eastAsia="Calibri"/>
          <w:rtl/>
        </w:rPr>
        <w:t xml:space="preserve"> </w:t>
      </w:r>
      <w:r w:rsidRPr="001F2586">
        <w:rPr>
          <w:rFonts w:eastAsia="Calibri" w:hint="eastAsia"/>
          <w:rtl/>
        </w:rPr>
        <w:t>כ</w:t>
      </w:r>
      <w:r w:rsidRPr="001F2586">
        <w:rPr>
          <w:rFonts w:eastAsia="Calibri"/>
          <w:rtl/>
        </w:rPr>
        <w:t>-</w:t>
      </w:r>
      <w:r w:rsidRPr="001F2586">
        <w:rPr>
          <w:rFonts w:eastAsia="Calibri" w:hint="cs"/>
          <w:rtl/>
        </w:rPr>
        <w:t>47.2</w:t>
      </w:r>
      <w:r w:rsidRPr="001F2586">
        <w:rPr>
          <w:rFonts w:eastAsia="Calibri"/>
          <w:rtl/>
        </w:rPr>
        <w:t xml:space="preserve"> </w:t>
      </w:r>
      <w:r w:rsidRPr="001F2586">
        <w:rPr>
          <w:rFonts w:eastAsia="Calibri" w:hint="eastAsia"/>
          <w:rtl/>
        </w:rPr>
        <w:t>מיליון</w:t>
      </w:r>
      <w:r w:rsidRPr="001F2586">
        <w:rPr>
          <w:rFonts w:eastAsia="Calibri"/>
          <w:rtl/>
        </w:rPr>
        <w:t xml:space="preserve"> </w:t>
      </w:r>
      <w:r w:rsidRPr="001F2586">
        <w:rPr>
          <w:rFonts w:eastAsia="Calibri" w:hint="eastAsia"/>
          <w:rtl/>
        </w:rPr>
        <w:t>ש</w:t>
      </w:r>
      <w:r w:rsidRPr="001F2586">
        <w:rPr>
          <w:rFonts w:eastAsia="Calibri"/>
          <w:rtl/>
        </w:rPr>
        <w:t>"ח.</w:t>
      </w:r>
      <w:r w:rsidRPr="001F2586">
        <w:rPr>
          <w:rFonts w:eastAsia="Calibri" w:hint="cs"/>
          <w:rtl/>
        </w:rPr>
        <w:t xml:space="preserve"> כלומר, כבר בחודשיים הראשונים של השנה, סכום ההלוואות שניתן היה מחצית מהסכום שניתן בשנת 2024.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בניגוד למערכת הבנקאית, המעניקה אשראי לדיור מתוך פיקדונות הציבור ולכן מחייבת פיקוח יציבותי הדוק, המודל החוץ-בנקאי פועל אחרת: רוב האשראי מקורו בקווי מימון מהבנקים עצמם או מגיוס חוב. כתוצאה מכך, מרכז הכובד של הפיקוח (מצד רשות שוק ההון) עובר מהגנה על יציבות הגוף המלווה להגנה על היבטים צרכניים. חשיבותה של הגנה צרכנית זו מתעצמת במיוחד כשמדובר בהלוואות מורכבות לטווח ארוך, הכוללות סכומי כסף גבוהים ושעבוד של דירת מגורים.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בדוח השנתי של רשות שוק ההון לשנת 2020</w:t>
      </w:r>
      <w:r>
        <w:rPr>
          <w:rFonts w:eastAsia="Calibri"/>
          <w:vertAlign w:val="superscript"/>
          <w:rtl/>
        </w:rPr>
        <w:footnoteReference w:id="447"/>
      </w:r>
      <w:r w:rsidRPr="001F2586">
        <w:rPr>
          <w:rFonts w:eastAsia="Calibri" w:hint="cs"/>
          <w:rtl/>
        </w:rPr>
        <w:t xml:space="preserve"> פירטה רשות שוק ההון את מדיניות האסדרה והחקיקה בתחום של שירותים פיננסים: "</w:t>
      </w:r>
      <w:r w:rsidRPr="001F2586">
        <w:rPr>
          <w:rFonts w:eastAsia="Calibri"/>
          <w:rtl/>
        </w:rPr>
        <w:t xml:space="preserve">הרשות בוחנת לגבי כל אסדרה את מידת נחיצותה מבחינת נטל רגולטורי על הגופים אל מול התועלת ביישום האסדרה, וזאת על מנת שלא להעיב על התפתחות השוק והתחרות לגופים הפיננסיים המסורתיים. שכן, השוק מתאפיין בגופים קטנים יחסית, אשר אינם בעלי ניסיון בעבודה מפוקחת, ואשר עלות רגולטורית גבוהה מדי עלולה </w:t>
      </w:r>
      <w:r w:rsidRPr="001F2586">
        <w:rPr>
          <w:rFonts w:eastAsia="Calibri"/>
          <w:rtl/>
        </w:rPr>
        <w:t>להדירם</w:t>
      </w:r>
      <w:r w:rsidRPr="001F2586">
        <w:rPr>
          <w:rFonts w:eastAsia="Calibri"/>
          <w:rtl/>
        </w:rPr>
        <w:t xml:space="preserve"> מהשוק</w:t>
      </w:r>
      <w:r w:rsidRPr="001F2586">
        <w:rPr>
          <w:rFonts w:eastAsia="Calibri" w:hint="cs"/>
          <w:rtl/>
        </w:rPr>
        <w:t>"</w:t>
      </w:r>
      <w:r w:rsidRPr="001F2586">
        <w:rPr>
          <w:rFonts w:eastAsia="Calibri"/>
        </w:rPr>
        <w:t>.</w:t>
      </w:r>
      <w:r w:rsidRPr="001F2586">
        <w:rPr>
          <w:rFonts w:eastAsia="Calibri" w:hint="cs"/>
          <w:rtl/>
        </w:rPr>
        <w:t xml:space="preserve"> יחד עם זאת, אמורה </w:t>
      </w:r>
      <w:r w:rsidRPr="001F2586">
        <w:rPr>
          <w:rFonts w:eastAsia="Calibri"/>
          <w:rtl/>
        </w:rPr>
        <w:t xml:space="preserve">רשות שוק ההון </w:t>
      </w:r>
      <w:r w:rsidRPr="001F2586">
        <w:rPr>
          <w:rFonts w:eastAsia="Calibri" w:hint="cs"/>
          <w:rtl/>
        </w:rPr>
        <w:t>לקדם</w:t>
      </w:r>
      <w:r w:rsidRPr="001F2586">
        <w:rPr>
          <w:rFonts w:eastAsia="Calibri"/>
          <w:rtl/>
        </w:rPr>
        <w:t xml:space="preserve"> שקיפות צרכנית בקרב נותני אשראי חוץ-בנקאיים </w:t>
      </w:r>
      <w:r w:rsidRPr="001F2586">
        <w:rPr>
          <w:rFonts w:eastAsia="Calibri" w:hint="cs"/>
          <w:rtl/>
        </w:rPr>
        <w:t xml:space="preserve">כך שיינתן ללקוח גילוי מלא ומעודכן אודות המשכנתא החוץ בנקאית אותה הוא לקח וזאת על מנת לאפשר ללקוח שקיפות ולחזק את אמון הלקוח בבעל הרישיון ולקדם שוק אשראי המושתת על אמינות והוגנות.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משרד מבקר המדינה בחן מספר היבטים בשקיפות צרכנית בעת לקיחת משכנתא חוץ בנקאית:</w:t>
      </w:r>
    </w:p>
    <w:p w:rsidR="001F2586" w:rsidRPr="001F2586" w:rsidP="001F2586">
      <w:pPr>
        <w:spacing w:line="269" w:lineRule="auto"/>
        <w:ind w:left="-567"/>
        <w:rPr>
          <w:rFonts w:eastAsia="Calibri"/>
          <w:szCs w:val="20"/>
          <w:rtl/>
        </w:rPr>
      </w:pPr>
    </w:p>
    <w:p w:rsidR="001F2586" w:rsidRPr="001F2586" w:rsidP="001F2586">
      <w:pPr>
        <w:keepNext/>
        <w:keepLines/>
        <w:numPr>
          <w:ilvl w:val="0"/>
          <w:numId w:val="29"/>
        </w:numPr>
        <w:spacing w:line="269" w:lineRule="auto"/>
        <w:ind w:left="312"/>
        <w:outlineLvl w:val="4"/>
        <w:rPr>
          <w:rFonts w:eastAsia="Times New Roman"/>
          <w:bCs/>
          <w:spacing w:val="40"/>
          <w:rtl/>
        </w:rPr>
      </w:pPr>
      <w:r w:rsidRPr="001F2586">
        <w:rPr>
          <w:rFonts w:eastAsia="Times New Roman" w:hint="cs"/>
          <w:bCs/>
          <w:spacing w:val="40"/>
          <w:rtl/>
        </w:rPr>
        <w:t xml:space="preserve">היעדר נתונים גלויים לציבור בדבר מידע סטטיסטי אודות משכנתאות חוץ בנקאיות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rtl/>
        </w:rPr>
        <w:t>פרסום נתונים</w:t>
      </w:r>
      <w:r w:rsidRPr="001F2586">
        <w:rPr>
          <w:rFonts w:eastAsia="Calibri" w:hint="cs"/>
          <w:rtl/>
        </w:rPr>
        <w:t xml:space="preserve"> בדבר משכנתאות חוץ בנקאיות</w:t>
      </w:r>
      <w:r w:rsidRPr="001F2586">
        <w:rPr>
          <w:rFonts w:eastAsia="Calibri"/>
          <w:rtl/>
        </w:rPr>
        <w:t xml:space="preserve"> מאפשר לציבור הרחב וללווים פוטנציאליים לבצע השוואה מושכלת של תנאי ההלוואה (מחיר וסוגי הריבית</w:t>
      </w:r>
      <w:r w:rsidRPr="001F2586">
        <w:rPr>
          <w:rFonts w:eastAsia="Calibri" w:hint="cs"/>
          <w:rtl/>
        </w:rPr>
        <w:t xml:space="preserve"> השונות - ריבית קבועה, ריבית משתנה צמודה, ריבית פריים וכיוצא בזאת</w:t>
      </w:r>
      <w:r w:rsidRPr="001F2586">
        <w:rPr>
          <w:rFonts w:eastAsia="Calibri"/>
          <w:rtl/>
        </w:rPr>
        <w:t xml:space="preserve">) בין </w:t>
      </w:r>
      <w:r w:rsidRPr="001F2586">
        <w:rPr>
          <w:rFonts w:eastAsia="Calibri" w:hint="cs"/>
          <w:rtl/>
        </w:rPr>
        <w:t>הגופים החוץ בנקאיים</w:t>
      </w:r>
      <w:r w:rsidRPr="001F2586">
        <w:rPr>
          <w:rFonts w:eastAsia="Calibri"/>
          <w:rtl/>
        </w:rPr>
        <w:t xml:space="preserve"> השונים. כמו כן, פרסום הנתונים</w:t>
      </w:r>
      <w:r w:rsidRPr="001F2586">
        <w:rPr>
          <w:rFonts w:eastAsia="Calibri" w:hint="cs"/>
          <w:rtl/>
        </w:rPr>
        <w:t xml:space="preserve"> לציבור</w:t>
      </w:r>
      <w:r w:rsidRPr="001F2586">
        <w:rPr>
          <w:rFonts w:eastAsia="Calibri"/>
          <w:rtl/>
        </w:rPr>
        <w:t xml:space="preserve"> מצמצם את פערי הידע </w:t>
      </w:r>
      <w:r w:rsidRPr="001F2586">
        <w:rPr>
          <w:rFonts w:eastAsia="Calibri"/>
        </w:rPr>
        <w:t>Information Asymmetry)</w:t>
      </w:r>
      <w:r w:rsidRPr="001F2586">
        <w:rPr>
          <w:rFonts w:eastAsia="Calibri"/>
          <w:rtl/>
        </w:rPr>
        <w:t>)</w:t>
      </w:r>
      <w:r w:rsidRPr="001F2586">
        <w:rPr>
          <w:rFonts w:eastAsia="Calibri" w:hint="cs"/>
          <w:rtl/>
        </w:rPr>
        <w:t xml:space="preserve"> </w:t>
      </w:r>
      <w:r w:rsidRPr="001F2586">
        <w:rPr>
          <w:rFonts w:eastAsia="Calibri"/>
          <w:rtl/>
        </w:rPr>
        <w:t xml:space="preserve">בין </w:t>
      </w:r>
      <w:r w:rsidRPr="001F2586">
        <w:rPr>
          <w:rFonts w:eastAsia="Calibri" w:hint="cs"/>
          <w:rtl/>
        </w:rPr>
        <w:t>הגופים החוץ בנקאיים</w:t>
      </w:r>
      <w:r w:rsidRPr="001F2586">
        <w:rPr>
          <w:rFonts w:eastAsia="Calibri"/>
          <w:rtl/>
        </w:rPr>
        <w:t xml:space="preserve"> לבין הלקוחות הפרטיים</w:t>
      </w:r>
      <w:r>
        <w:rPr>
          <w:rFonts w:eastAsia="Calibri"/>
          <w:vertAlign w:val="superscript"/>
          <w:rtl/>
        </w:rPr>
        <w:footnoteReference w:id="448"/>
      </w:r>
      <w:r w:rsidRPr="001F2586">
        <w:rPr>
          <w:rFonts w:eastAsia="Calibri"/>
          <w:rtl/>
        </w:rPr>
        <w:t xml:space="preserve">. כמו כן, הנתונים </w:t>
      </w:r>
      <w:r w:rsidRPr="001F2586">
        <w:rPr>
          <w:rFonts w:eastAsia="Calibri" w:hint="cs"/>
          <w:rtl/>
        </w:rPr>
        <w:t xml:space="preserve">יכולים לשמש </w:t>
      </w:r>
      <w:r w:rsidRPr="001F2586">
        <w:rPr>
          <w:rFonts w:eastAsia="Calibri"/>
          <w:rtl/>
        </w:rPr>
        <w:t xml:space="preserve">את </w:t>
      </w:r>
      <w:r w:rsidRPr="001F2586">
        <w:rPr>
          <w:rFonts w:eastAsia="Calibri" w:hint="cs"/>
          <w:rtl/>
        </w:rPr>
        <w:t>רשות שוק ההון</w:t>
      </w:r>
      <w:r w:rsidRPr="001F2586">
        <w:rPr>
          <w:rFonts w:eastAsia="Calibri"/>
          <w:rtl/>
        </w:rPr>
        <w:t xml:space="preserve"> ככלי מרכזי לזיהוי סיכונים מערכתיים</w:t>
      </w:r>
      <w:r w:rsidRPr="001F2586">
        <w:rPr>
          <w:rFonts w:eastAsia="Calibri" w:hint="cs"/>
          <w:rtl/>
        </w:rPr>
        <w:t xml:space="preserve">. כך למשל, </w:t>
      </w:r>
      <w:r w:rsidRPr="001F2586">
        <w:rPr>
          <w:rFonts w:eastAsia="Calibri"/>
          <w:rtl/>
        </w:rPr>
        <w:t>ניתוח זרמי האשראי מאפשר לבחון האם</w:t>
      </w:r>
      <w:r w:rsidRPr="001F2586">
        <w:rPr>
          <w:rFonts w:eastAsia="Calibri" w:hint="cs"/>
          <w:rtl/>
        </w:rPr>
        <w:t xml:space="preserve"> קיימת</w:t>
      </w:r>
      <w:r w:rsidRPr="001F2586">
        <w:rPr>
          <w:rFonts w:eastAsia="Calibri"/>
          <w:rtl/>
        </w:rPr>
        <w:t xml:space="preserve"> </w:t>
      </w:r>
      <w:r w:rsidRPr="001F2586">
        <w:rPr>
          <w:rFonts w:eastAsia="Calibri" w:hint="cs"/>
          <w:rtl/>
        </w:rPr>
        <w:t xml:space="preserve">עלייה בהיקף </w:t>
      </w:r>
      <w:r w:rsidRPr="001F2586">
        <w:rPr>
          <w:rFonts w:eastAsia="Calibri" w:hint="cs"/>
          <w:rtl/>
        </w:rPr>
        <w:t>הביקושים</w:t>
      </w:r>
      <w:r w:rsidRPr="001F2586">
        <w:rPr>
          <w:rFonts w:eastAsia="Calibri" w:hint="cs"/>
          <w:rtl/>
        </w:rPr>
        <w:t xml:space="preserve"> ב</w:t>
      </w:r>
      <w:r w:rsidRPr="001F2586">
        <w:rPr>
          <w:rFonts w:eastAsia="Calibri"/>
          <w:rtl/>
        </w:rPr>
        <w:t xml:space="preserve">שוק הדיור, האם </w:t>
      </w:r>
      <w:r w:rsidRPr="001F2586">
        <w:rPr>
          <w:rFonts w:eastAsia="Calibri" w:hint="cs"/>
          <w:rtl/>
        </w:rPr>
        <w:t>הגופים החוץ בנקאיים</w:t>
      </w:r>
      <w:r w:rsidRPr="001F2586">
        <w:rPr>
          <w:rFonts w:eastAsia="Calibri"/>
          <w:rtl/>
        </w:rPr>
        <w:t xml:space="preserve"> נוטלים סיכונים מופרזים במתן הלוואות,</w:t>
      </w:r>
      <w:r w:rsidRPr="001F2586">
        <w:rPr>
          <w:rFonts w:eastAsia="Calibri" w:hint="cs"/>
          <w:rtl/>
        </w:rPr>
        <w:t xml:space="preserve"> האם קיימת תופעה של גידול בהיקף הפיגורים כתוצאה מעליית הריבית על פני השנים</w:t>
      </w:r>
      <w:r w:rsidRPr="001F2586">
        <w:rPr>
          <w:rFonts w:eastAsia="Calibri"/>
          <w:rtl/>
        </w:rPr>
        <w:t xml:space="preserve"> והאם יש צורך בהתערבות רגולטורית</w:t>
      </w:r>
      <w:r w:rsidRPr="001F2586">
        <w:rPr>
          <w:rFonts w:eastAsia="Calibri" w:hint="cs"/>
          <w:rtl/>
        </w:rPr>
        <w:t xml:space="preserve"> מצד רשות שוק ההון. </w:t>
      </w:r>
      <w:r w:rsidRPr="001F2586">
        <w:rPr>
          <w:rFonts w:eastAsia="Calibri"/>
          <w:rtl/>
        </w:rPr>
        <w:t>איתור המידע בקלות ובנוחות</w:t>
      </w:r>
      <w:r w:rsidRPr="001F2586">
        <w:rPr>
          <w:rFonts w:eastAsia="Calibri" w:hint="cs"/>
          <w:rtl/>
        </w:rPr>
        <w:t xml:space="preserve"> על ידי הלווים אף </w:t>
      </w:r>
      <w:r w:rsidRPr="001F2586">
        <w:rPr>
          <w:rFonts w:eastAsia="Calibri"/>
          <w:rtl/>
        </w:rPr>
        <w:t>עשוי להקל על ביצוע סקרי שוק</w:t>
      </w:r>
      <w:r w:rsidRPr="001F2586">
        <w:rPr>
          <w:rFonts w:eastAsia="Calibri" w:hint="cs"/>
          <w:rtl/>
        </w:rPr>
        <w:t xml:space="preserve"> שכן</w:t>
      </w:r>
      <w:r w:rsidRPr="001F2586">
        <w:rPr>
          <w:rFonts w:eastAsia="Calibri"/>
          <w:rtl/>
        </w:rPr>
        <w:t xml:space="preserve"> מטרת פרסום המידע היא לסייע לציבור הרחב לנהל משא־ומתן מול </w:t>
      </w:r>
      <w:r w:rsidRPr="001F2586">
        <w:rPr>
          <w:rFonts w:eastAsia="Calibri" w:hint="cs"/>
          <w:rtl/>
        </w:rPr>
        <w:t>הגוף החוץ בנקאי</w:t>
      </w:r>
      <w:r w:rsidRPr="001F2586">
        <w:rPr>
          <w:rFonts w:eastAsia="Calibri"/>
          <w:rtl/>
        </w:rPr>
        <w:t xml:space="preserve"> ולהקטין חסמי מעבר</w:t>
      </w:r>
      <w:r w:rsidRPr="001F2586">
        <w:rPr>
          <w:rFonts w:eastAsia="Calibri" w:hint="cs"/>
          <w:rtl/>
        </w:rPr>
        <w:t xml:space="preserve"> בין גופים חוץ בנקאיים ובין גופים בנקאיים</w:t>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cs"/>
          <w:b/>
          <w:bCs/>
          <w:rtl/>
        </w:rPr>
        <w:t xml:space="preserve">נמצא כי עד שנת 2025 לרשות שוק ההון לא היו את הנתונים המלאים בדבר שוק האשראי החוץ בנקאי, וכי רק באותה שנה התחילה הרשות לטייב את הנתונים אודות שוק האשראי החוץ בנקאי. עוד נמצא כי הרשות </w:t>
      </w:r>
      <w:r w:rsidRPr="001F2586">
        <w:rPr>
          <w:rFonts w:eastAsia="Calibri"/>
          <w:b/>
          <w:bCs/>
          <w:rtl/>
        </w:rPr>
        <w:t>אינה מפרסמת נתונים</w:t>
      </w:r>
      <w:r w:rsidRPr="001F2586">
        <w:rPr>
          <w:rFonts w:eastAsia="Calibri" w:hint="cs"/>
          <w:b/>
          <w:bCs/>
          <w:rtl/>
        </w:rPr>
        <w:t xml:space="preserve"> </w:t>
      </w:r>
      <w:r w:rsidRPr="001F2586">
        <w:rPr>
          <w:rFonts w:eastAsia="Calibri"/>
          <w:b/>
          <w:bCs/>
          <w:rtl/>
        </w:rPr>
        <w:t>בדבר השוק החוץ הבנקאי</w:t>
      </w:r>
      <w:r w:rsidRPr="001F2586">
        <w:rPr>
          <w:rFonts w:eastAsia="Calibri" w:hint="cs"/>
          <w:b/>
          <w:bCs/>
          <w:rtl/>
        </w:rPr>
        <w:t xml:space="preserve"> בתחום הלוואות לדיור</w:t>
      </w:r>
      <w:r w:rsidRPr="001F2586">
        <w:rPr>
          <w:rFonts w:eastAsia="Calibri"/>
          <w:b/>
          <w:bCs/>
          <w:rtl/>
        </w:rPr>
        <w:t xml:space="preserve"> מלבד </w:t>
      </w:r>
      <w:r w:rsidRPr="001F2586">
        <w:rPr>
          <w:rFonts w:eastAsia="Calibri" w:hint="cs"/>
          <w:b/>
          <w:bCs/>
          <w:rtl/>
        </w:rPr>
        <w:t>נתונים אגרגטיביי</w:t>
      </w:r>
      <w:r w:rsidRPr="001F2586">
        <w:rPr>
          <w:rFonts w:eastAsia="Calibri" w:hint="eastAsia"/>
          <w:b/>
          <w:bCs/>
          <w:rtl/>
        </w:rPr>
        <w:t>ם</w:t>
      </w:r>
      <w:r w:rsidRPr="001F2586">
        <w:rPr>
          <w:rFonts w:eastAsia="Calibri" w:hint="cs"/>
          <w:b/>
          <w:bCs/>
          <w:rtl/>
        </w:rPr>
        <w:t xml:space="preserve"> כוללים בתחומים נקודתיים וזאת </w:t>
      </w:r>
      <w:r w:rsidRPr="001F2586">
        <w:rPr>
          <w:rFonts w:eastAsia="Calibri"/>
          <w:b/>
          <w:bCs/>
          <w:rtl/>
        </w:rPr>
        <w:t>במסגרת דוח המתפרסם אחת לשנה</w:t>
      </w:r>
      <w:r w:rsidRPr="001F2586">
        <w:rPr>
          <w:rFonts w:eastAsia="Calibri" w:hint="cs"/>
          <w:b/>
          <w:bCs/>
          <w:rtl/>
        </w:rPr>
        <w:t xml:space="preserve">. כך למשל, הרשות לא מפרסמת לציבור נתונים בדבר הרכבי משכנתאות נפוצות אצל הגופים החוץ בנקאיים השונים, ריביות ממוצעות, ריביות מקסימליות ועלות </w:t>
      </w:r>
      <w:r w:rsidRPr="001F2586">
        <w:rPr>
          <w:rFonts w:eastAsia="Calibri"/>
          <w:b/>
          <w:bCs/>
          <w:rtl/>
        </w:rPr>
        <w:t>הריבית הכוללת החזויה</w:t>
      </w:r>
      <w:r w:rsidRPr="001F2586">
        <w:rPr>
          <w:rFonts w:eastAsia="Calibri" w:hint="cs"/>
          <w:b/>
          <w:bCs/>
          <w:rtl/>
        </w:rPr>
        <w:t xml:space="preserve"> (שהינה </w:t>
      </w:r>
      <w:r w:rsidRPr="001F2586">
        <w:rPr>
          <w:rFonts w:eastAsia="Calibri"/>
          <w:b/>
          <w:bCs/>
          <w:rtl/>
        </w:rPr>
        <w:t>העלות הכוללת והאמתית של הלוואה, כפי שמוערכת על בסיס תחזיות לשינויי ריבית ואינפלציה</w:t>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eastAsia"/>
          <w:b/>
          <w:bCs/>
          <w:rtl/>
        </w:rPr>
        <w:t>כן</w:t>
      </w:r>
      <w:r w:rsidRPr="001F2586">
        <w:rPr>
          <w:rFonts w:eastAsia="Calibri"/>
          <w:b/>
          <w:bCs/>
          <w:rtl/>
        </w:rPr>
        <w:t xml:space="preserve"> </w:t>
      </w:r>
      <w:r w:rsidRPr="001F2586">
        <w:rPr>
          <w:rFonts w:eastAsia="Calibri" w:hint="eastAsia"/>
          <w:b/>
          <w:bCs/>
          <w:rtl/>
        </w:rPr>
        <w:t>נמצא</w:t>
      </w:r>
      <w:r w:rsidRPr="001F2586">
        <w:rPr>
          <w:rFonts w:eastAsia="Calibri"/>
          <w:b/>
          <w:bCs/>
          <w:rtl/>
        </w:rPr>
        <w:t xml:space="preserve"> כי רק בדוח הממונה </w:t>
      </w:r>
      <w:r w:rsidRPr="001F2586">
        <w:rPr>
          <w:rFonts w:eastAsia="Calibri" w:hint="eastAsia"/>
          <w:b/>
          <w:bCs/>
          <w:rtl/>
        </w:rPr>
        <w:t>על</w:t>
      </w:r>
      <w:r w:rsidRPr="001F2586">
        <w:rPr>
          <w:rFonts w:eastAsia="Calibri"/>
          <w:b/>
          <w:bCs/>
          <w:rtl/>
        </w:rPr>
        <w:t xml:space="preserve"> רשות שוק ההון לשנת 2024 הצגת הנתונים האגרגטיביי</w:t>
      </w:r>
      <w:r w:rsidRPr="001F2586">
        <w:rPr>
          <w:rFonts w:eastAsia="Calibri" w:hint="eastAsia"/>
          <w:b/>
          <w:bCs/>
          <w:rtl/>
        </w:rPr>
        <w:t>ם</w:t>
      </w:r>
      <w:r w:rsidRPr="001F2586">
        <w:rPr>
          <w:rFonts w:eastAsia="Calibri"/>
          <w:b/>
          <w:bCs/>
          <w:rtl/>
        </w:rPr>
        <w:t xml:space="preserve"> אודות השוק החוץ בנקאי התבססה גם על דיווחים של גופים בעלי רישיון מורחב, שמסרו מידע למפקח על נותני שירותים פיננסיים וגם על דיווחי החברות הציבוריות הפועלות בתחום האשראי החוץ בנקאי. כלומר, עד שנת 2024 הנתונים שהיו אצל </w:t>
      </w:r>
      <w:r w:rsidRPr="001F2586">
        <w:rPr>
          <w:rFonts w:eastAsia="Calibri" w:hint="eastAsia"/>
          <w:b/>
          <w:bCs/>
          <w:rtl/>
        </w:rPr>
        <w:t>רשות</w:t>
      </w:r>
      <w:r w:rsidRPr="001F2586">
        <w:rPr>
          <w:rFonts w:eastAsia="Calibri"/>
          <w:b/>
          <w:bCs/>
          <w:rtl/>
        </w:rPr>
        <w:t xml:space="preserve"> </w:t>
      </w:r>
      <w:r w:rsidRPr="001F2586">
        <w:rPr>
          <w:rFonts w:eastAsia="Calibri" w:hint="eastAsia"/>
          <w:b/>
          <w:bCs/>
          <w:rtl/>
        </w:rPr>
        <w:t>שוק</w:t>
      </w:r>
      <w:r w:rsidRPr="001F2586">
        <w:rPr>
          <w:rFonts w:eastAsia="Calibri"/>
          <w:b/>
          <w:bCs/>
          <w:rtl/>
        </w:rPr>
        <w:t xml:space="preserve"> </w:t>
      </w:r>
      <w:r w:rsidRPr="001F2586">
        <w:rPr>
          <w:rFonts w:eastAsia="Calibri" w:hint="eastAsia"/>
          <w:b/>
          <w:bCs/>
          <w:rtl/>
        </w:rPr>
        <w:t>ההון</w:t>
      </w:r>
      <w:r w:rsidRPr="001F2586">
        <w:rPr>
          <w:rFonts w:eastAsia="Calibri"/>
          <w:b/>
          <w:bCs/>
          <w:rtl/>
        </w:rPr>
        <w:t xml:space="preserve"> היו חלקיים עד מאוד. </w:t>
      </w:r>
    </w:p>
    <w:p w:rsidR="001F2586" w:rsidRPr="001F2586" w:rsidP="001F2586">
      <w:pPr>
        <w:spacing w:line="269" w:lineRule="auto"/>
        <w:ind w:left="-567"/>
        <w:rPr>
          <w:rFonts w:eastAsia="Calibri"/>
          <w:szCs w:val="20"/>
          <w:rtl/>
        </w:rPr>
      </w:pPr>
    </w:p>
    <w:p w:rsidR="004163F6" w:rsidP="001F2586">
      <w:pPr>
        <w:spacing w:line="269" w:lineRule="auto"/>
        <w:ind w:left="312"/>
        <w:rPr>
          <w:rFonts w:eastAsia="Calibri"/>
          <w:rtl/>
        </w:rPr>
      </w:pPr>
      <w:r w:rsidRPr="001F2586">
        <w:rPr>
          <w:rFonts w:eastAsia="Calibri" w:hint="cs"/>
          <w:rtl/>
        </w:rPr>
        <w:t>גם בדוחות הכספיים של חברה חוץ בנקאית ציבורית צוין כי אין נתונים בדבר היקף השוק החוץ בנקאי, וכי היקפו של שוק זה הוא לא מהותי.</w:t>
      </w:r>
    </w:p>
    <w:p w:rsidR="004163F6" w:rsidP="004163F6">
      <w:pPr>
        <w:pStyle w:val="a"/>
        <w:spacing w:line="360" w:lineRule="auto"/>
        <w:ind w:left="283"/>
        <w:rPr>
          <w:b/>
          <w:bCs/>
          <w:sz w:val="24"/>
          <w:szCs w:val="24"/>
          <w:rtl/>
        </w:rPr>
      </w:pPr>
    </w:p>
    <w:p w:rsidR="004163F6" w:rsidRPr="0038455B" w:rsidP="0070405E">
      <w:pPr>
        <w:pStyle w:val="a"/>
        <w:spacing w:line="269" w:lineRule="auto"/>
        <w:ind w:left="284"/>
        <w:rPr>
          <w:b/>
          <w:bCs/>
          <w:sz w:val="24"/>
          <w:szCs w:val="24"/>
          <w:rtl/>
        </w:rPr>
      </w:pPr>
      <w:r w:rsidRPr="0038455B">
        <w:rPr>
          <w:b/>
          <w:bCs/>
          <w:sz w:val="24"/>
          <w:szCs w:val="24"/>
          <w:rtl/>
        </w:rPr>
        <w:t xml:space="preserve">נוכח העובדה כי נטילת משכנתא מהווה את אחת ההחלטות הכלכליות המשמעותיות והמורכבות בחייו של אדם, ונושאת עמה השלכות ארוכות טווח על חוסנו הכלכלי ועל עתיד משפחתו, מומלץ כי רשות שוק ההון תפעל לקידום </w:t>
      </w:r>
      <w:r w:rsidRPr="0038455B">
        <w:rPr>
          <w:rFonts w:hint="cs"/>
          <w:b/>
          <w:bCs/>
          <w:sz w:val="24"/>
          <w:szCs w:val="24"/>
          <w:rtl/>
        </w:rPr>
        <w:t>קביעת סטנדרט אחיד לשקיפות והקמת מאגר מידע והשוואה לציבור בדבר המשכנתאות החוץ בנקאיות.</w:t>
      </w:r>
    </w:p>
    <w:p w:rsidR="001F2586" w:rsidRPr="001F2586" w:rsidP="004163F6">
      <w:pPr>
        <w:spacing w:line="269" w:lineRule="auto"/>
        <w:ind w:left="312"/>
        <w:rPr>
          <w:rFonts w:eastAsia="Calibri"/>
          <w:szCs w:val="20"/>
          <w:rtl/>
        </w:rPr>
      </w:pPr>
      <w:r w:rsidRPr="001F2586">
        <w:rPr>
          <w:rFonts w:eastAsia="Calibri" w:hint="cs"/>
          <w:rtl/>
        </w:rPr>
        <w:t xml:space="preserve"> </w:t>
      </w:r>
    </w:p>
    <w:p w:rsidR="001F2586" w:rsidRPr="001F2586" w:rsidP="001F2586">
      <w:pPr>
        <w:spacing w:line="269" w:lineRule="auto"/>
        <w:ind w:left="312"/>
        <w:rPr>
          <w:rFonts w:eastAsia="Calibri"/>
          <w:rtl/>
        </w:rPr>
      </w:pPr>
      <w:r w:rsidRPr="001F2586">
        <w:rPr>
          <w:rFonts w:eastAsia="Calibri" w:hint="cs"/>
          <w:rtl/>
        </w:rPr>
        <w:t xml:space="preserve">יצוין כי בניגוד לרשות שוק ההון, </w:t>
      </w:r>
      <w:r w:rsidRPr="001F2586">
        <w:rPr>
          <w:rFonts w:eastAsia="Calibri"/>
          <w:rtl/>
        </w:rPr>
        <w:t>בנק ישראל מפרסם באתר האינטרנט נתונים חודשיים על פעילות הבנקים בתחום מתן אשראי לדיור. הנתונים מציגים את זרמי האשראי (</w:t>
      </w:r>
      <w:r w:rsidRPr="001F2586">
        <w:rPr>
          <w:rFonts w:eastAsia="Calibri" w:hint="cs"/>
          <w:rtl/>
        </w:rPr>
        <w:t>היקפים ועלויות</w:t>
      </w:r>
      <w:r w:rsidRPr="001F2586">
        <w:rPr>
          <w:rFonts w:eastAsia="Calibri"/>
          <w:rtl/>
        </w:rPr>
        <w:t xml:space="preserve">) במתן הלוואות </w:t>
      </w:r>
      <w:r w:rsidRPr="001F2586">
        <w:rPr>
          <w:rFonts w:eastAsia="Calibri" w:hint="cs"/>
          <w:rtl/>
        </w:rPr>
        <w:t>ל</w:t>
      </w:r>
      <w:r w:rsidRPr="001F2586">
        <w:rPr>
          <w:rFonts w:eastAsia="Calibri"/>
          <w:rtl/>
        </w:rPr>
        <w:t xml:space="preserve">מטרת מגורים לפי מגזרי הצמדה (אשראי צמוד, אשראי לא צמוד, אשראי נקוב וצמוד מט"ח), ולפי סוג הריבית (ריבית קבועה </w:t>
      </w:r>
      <w:r w:rsidRPr="001F2586">
        <w:rPr>
          <w:rFonts w:eastAsia="Calibri" w:hint="cs"/>
          <w:rtl/>
        </w:rPr>
        <w:t>ו</w:t>
      </w:r>
      <w:r w:rsidRPr="001F2586">
        <w:rPr>
          <w:rFonts w:eastAsia="Calibri"/>
          <w:rtl/>
        </w:rPr>
        <w:t xml:space="preserve">בריבית משתנה). נתונים נוספים הם האשראי שניתן למשקי הבית שלא לצורך רכישת דירה </w:t>
      </w:r>
      <w:r w:rsidRPr="001F2586">
        <w:rPr>
          <w:rFonts w:eastAsia="Calibri" w:hint="cs"/>
          <w:rtl/>
        </w:rPr>
        <w:t xml:space="preserve">תוך </w:t>
      </w:r>
      <w:r w:rsidRPr="001F2586">
        <w:rPr>
          <w:rFonts w:eastAsia="Calibri"/>
          <w:rtl/>
        </w:rPr>
        <w:t>משכון דירת מגורים</w:t>
      </w:r>
      <w:r w:rsidRPr="001F2586">
        <w:rPr>
          <w:rFonts w:eastAsia="Calibri" w:hint="cs"/>
          <w:rtl/>
        </w:rPr>
        <w:t xml:space="preserve"> (ראו הרחבה בנושא בפרק "בחינת יישום כלים להגברת השקיפות והתחרות בשוק המשכנתאות")</w:t>
      </w:r>
      <w:r w:rsidRPr="001F2586">
        <w:rPr>
          <w:rFonts w:eastAsia="Calibri"/>
          <w:rtl/>
        </w:rPr>
        <w:t>.</w:t>
      </w:r>
    </w:p>
    <w:p w:rsidR="001F2586" w:rsidRPr="001F2586" w:rsidP="001F2586">
      <w:pPr>
        <w:spacing w:line="269" w:lineRule="auto"/>
        <w:ind w:left="-567"/>
        <w:rPr>
          <w:rFonts w:eastAsia="Calibri"/>
          <w:szCs w:val="20"/>
          <w:rtl/>
        </w:rPr>
      </w:pPr>
    </w:p>
    <w:p w:rsidR="004163F6" w:rsidP="001F2586">
      <w:pPr>
        <w:spacing w:line="269" w:lineRule="auto"/>
        <w:ind w:left="312"/>
        <w:rPr>
          <w:rFonts w:eastAsia="Calibri"/>
          <w:rtl/>
        </w:rPr>
      </w:pPr>
      <w:r w:rsidRPr="001F2586">
        <w:rPr>
          <w:rFonts w:eastAsia="Calibri" w:hint="cs"/>
          <w:rtl/>
        </w:rPr>
        <w:t>משרד מבקר המדינה ציין בדוח עבר בנושא "הפיקוח של רשות שוק ההון על הגופים המוסדיים המנהלים חיסכון ארוך טווח"</w:t>
      </w:r>
      <w:r>
        <w:rPr>
          <w:rFonts w:eastAsia="Calibri"/>
          <w:vertAlign w:val="superscript"/>
          <w:rtl/>
        </w:rPr>
        <w:footnoteReference w:id="449"/>
      </w:r>
      <w:r w:rsidRPr="001F2586">
        <w:rPr>
          <w:rFonts w:eastAsia="Calibri" w:hint="cs"/>
          <w:rtl/>
        </w:rPr>
        <w:t xml:space="preserve"> כי בהשוואה </w:t>
      </w:r>
      <w:r w:rsidRPr="001F2586">
        <w:rPr>
          <w:rFonts w:eastAsia="Calibri" w:hint="cs"/>
          <w:rtl/>
        </w:rPr>
        <w:t>למאסדרים</w:t>
      </w:r>
      <w:r w:rsidRPr="001F2586">
        <w:rPr>
          <w:rFonts w:eastAsia="Calibri" w:hint="cs"/>
          <w:rtl/>
        </w:rPr>
        <w:t xml:space="preserve"> פיננסים אחרים, משאבי הרשות </w:t>
      </w:r>
      <w:r w:rsidRPr="001F2586">
        <w:rPr>
          <w:rFonts w:eastAsia="Calibri" w:hint="cs"/>
          <w:rtl/>
        </w:rPr>
        <w:t>דלים (התקציב לעובד ברשות שוק ההון הוא כמחצית מהתקציב לעובד ברשות ניירות ערך וכשליש מהתקציב לעובד בבנק ישראל), קיים גידול משמעותי בהיקף תחומי פעילותה, והדבר משפיעה על טיבן והקיפן של פעולות הפיקוח של הרשות. המחסור במשאבים מעלה חשש כי תשומות הרשות לא יתאימו לכל תחומי הפעילות הנדרשים ממנה ובין היתר הדבר עשוי לפגוע ביכולתה לפקח ביעילות על כספי החוסכים בחיסכון ארוך טווח. יצוין כי על פי נתוני רשות שוק ההון תחום המשכנתאות החוץ בנקאיות 5.7 מיליארד ש"ח שמהווה שיעור זעיר מסך הנכסים של הגופים המוסדיים המפוקחים על ידי הרשות (2.9 טריליונ</w:t>
      </w:r>
      <w:r w:rsidRPr="001F2586">
        <w:rPr>
          <w:rFonts w:eastAsia="Calibri" w:hint="eastAsia"/>
          <w:rtl/>
        </w:rPr>
        <w:t>י</w:t>
      </w:r>
      <w:r w:rsidRPr="001F2586">
        <w:rPr>
          <w:rFonts w:eastAsia="Calibri" w:hint="cs"/>
          <w:rtl/>
        </w:rPr>
        <w:t xml:space="preserve"> ש"ח נכון לשנת 2025).</w:t>
      </w:r>
    </w:p>
    <w:p w:rsidR="004163F6" w:rsidP="004163F6">
      <w:pPr>
        <w:pStyle w:val="a"/>
        <w:spacing w:line="360" w:lineRule="auto"/>
        <w:ind w:left="312"/>
        <w:rPr>
          <w:b/>
          <w:bCs/>
          <w:sz w:val="24"/>
          <w:szCs w:val="24"/>
          <w:rtl/>
        </w:rPr>
      </w:pPr>
    </w:p>
    <w:p w:rsidR="001F2586" w:rsidRPr="001F2586" w:rsidP="004163F6">
      <w:pPr>
        <w:spacing w:line="269" w:lineRule="auto"/>
        <w:ind w:left="312"/>
        <w:rPr>
          <w:rFonts w:eastAsia="Calibri"/>
          <w:szCs w:val="20"/>
          <w:rtl/>
        </w:rPr>
      </w:pPr>
      <w:r w:rsidRPr="00460A3B">
        <w:rPr>
          <w:b/>
          <w:bCs/>
          <w:sz w:val="24"/>
          <w:rtl/>
        </w:rPr>
        <w:t>היעדר נתונים השוואתיים על עלויות האשראי</w:t>
      </w:r>
      <w:r w:rsidRPr="00460A3B">
        <w:rPr>
          <w:rFonts w:hint="cs"/>
          <w:b/>
          <w:bCs/>
          <w:sz w:val="24"/>
          <w:rtl/>
        </w:rPr>
        <w:t xml:space="preserve"> </w:t>
      </w:r>
      <w:r w:rsidRPr="00460A3B">
        <w:rPr>
          <w:rFonts w:hint="eastAsia"/>
          <w:b/>
          <w:bCs/>
          <w:sz w:val="24"/>
          <w:rtl/>
        </w:rPr>
        <w:t>של</w:t>
      </w:r>
      <w:r w:rsidRPr="00460A3B">
        <w:rPr>
          <w:b/>
          <w:bCs/>
          <w:sz w:val="24"/>
          <w:rtl/>
        </w:rPr>
        <w:t xml:space="preserve"> </w:t>
      </w:r>
      <w:r w:rsidRPr="00460A3B">
        <w:rPr>
          <w:rFonts w:hint="eastAsia"/>
          <w:b/>
          <w:bCs/>
          <w:sz w:val="24"/>
          <w:rtl/>
        </w:rPr>
        <w:t>הגופים</w:t>
      </w:r>
      <w:r w:rsidRPr="00460A3B">
        <w:rPr>
          <w:rFonts w:hint="cs"/>
          <w:b/>
          <w:bCs/>
          <w:sz w:val="24"/>
          <w:rtl/>
        </w:rPr>
        <w:t xml:space="preserve"> </w:t>
      </w:r>
      <w:r w:rsidRPr="00460A3B">
        <w:rPr>
          <w:rFonts w:hint="eastAsia"/>
          <w:b/>
          <w:bCs/>
          <w:sz w:val="24"/>
          <w:rtl/>
        </w:rPr>
        <w:t>החוץ</w:t>
      </w:r>
      <w:r w:rsidRPr="00460A3B">
        <w:rPr>
          <w:b/>
          <w:bCs/>
          <w:sz w:val="24"/>
          <w:rtl/>
        </w:rPr>
        <w:t xml:space="preserve"> </w:t>
      </w:r>
      <w:r w:rsidRPr="00460A3B">
        <w:rPr>
          <w:rFonts w:hint="eastAsia"/>
          <w:b/>
          <w:bCs/>
          <w:sz w:val="24"/>
          <w:rtl/>
        </w:rPr>
        <w:t>בנקאיים</w:t>
      </w:r>
      <w:r w:rsidRPr="00460A3B">
        <w:rPr>
          <w:b/>
          <w:bCs/>
          <w:sz w:val="24"/>
          <w:rtl/>
        </w:rPr>
        <w:t xml:space="preserve">, מונעים מהלווה החוץ-בנקאי את היכולת לבצע השוואת מחירים אפקטיבית אל מול הריביות המקובלות בשוק </w:t>
      </w:r>
      <w:r w:rsidRPr="00460A3B">
        <w:rPr>
          <w:rFonts w:hint="cs"/>
          <w:b/>
          <w:bCs/>
          <w:sz w:val="24"/>
          <w:rtl/>
        </w:rPr>
        <w:t>המשכנתאות החוץ בנקאי בפרט ובשוק המשכנתאות הבנקאי</w:t>
      </w:r>
      <w:r>
        <w:rPr>
          <w:rFonts w:hint="cs"/>
          <w:b/>
          <w:bCs/>
          <w:sz w:val="24"/>
          <w:rtl/>
        </w:rPr>
        <w:t>.</w:t>
      </w:r>
    </w:p>
    <w:p w:rsidR="001F2586" w:rsidRPr="001F2586" w:rsidP="001F2586">
      <w:pPr>
        <w:spacing w:line="269" w:lineRule="auto"/>
        <w:ind w:left="312"/>
        <w:rPr>
          <w:rFonts w:eastAsia="Calibri"/>
          <w:rtl/>
        </w:rPr>
      </w:pPr>
      <w:r w:rsidRPr="001F2586">
        <w:rPr>
          <w:rFonts w:eastAsia="Calibri" w:hint="cs"/>
          <w:rtl/>
        </w:rPr>
        <w:t xml:space="preserve">רשות שוק ההון ציינה בתשובתה כי במסגרת תכנית האסדרה שפורסמה בשנת 2026, מתכננת הרשות גם לקבוע הוראות שיחייבו נותן אשראי לתת ללקוח בעת מתן הצעה לאשראי מסוג משכנתא מסמך מחייב, אשר מסכם את תנאי ההלוואה. עוד ציינה הרשות כי סביר הוא כי מעטים הם הלווים, אם בכלל, שפונים לשוק החוץ בנקאי לבקש משכנתא לפני שהם פונים לבנק וכי ככל הנראה הגיעו לנותן האשראי לאחר </w:t>
      </w:r>
      <w:r w:rsidRPr="001F2586">
        <w:rPr>
          <w:rFonts w:eastAsia="Calibri" w:hint="cs"/>
          <w:rtl/>
        </w:rPr>
        <w:t>שסורבו</w:t>
      </w:r>
      <w:r w:rsidRPr="001F2586">
        <w:rPr>
          <w:rFonts w:eastAsia="Calibri" w:hint="cs"/>
          <w:rtl/>
        </w:rPr>
        <w:t xml:space="preserve"> בבנק.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 xml:space="preserve">בהיעדר נתונים המפורסמים לציבור הרחב בדבר הרכב שוק המשכנתאות החוץ בנקאיות, פנה משרד מבקר המדינה לרשות שוק ההון ביולי 2025 לצורך קבלת נתונים בדבר שוק המשכנתאות החוץ בנקאיות.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 xml:space="preserve">בתשובת רשות שוק ההון למשרד מבקר המדינה ביולי 2025 נמסר כי </w:t>
      </w:r>
      <w:r w:rsidRPr="001F2586">
        <w:rPr>
          <w:rFonts w:eastAsia="Calibri"/>
          <w:rtl/>
        </w:rPr>
        <w:t>בישראל ישנם כ-12 נותני אשראי חוץ בנקאים שעוסקים בתחום מתן הלווא</w:t>
      </w:r>
      <w:r w:rsidRPr="001F2586">
        <w:rPr>
          <w:rFonts w:eastAsia="Calibri" w:hint="cs"/>
          <w:rtl/>
        </w:rPr>
        <w:t>ו</w:t>
      </w:r>
      <w:r w:rsidRPr="001F2586">
        <w:rPr>
          <w:rFonts w:eastAsia="Calibri"/>
          <w:rtl/>
        </w:rPr>
        <w:t>ת לדיור באופן משמעותי.</w:t>
      </w:r>
      <w:r w:rsidRPr="001F2586">
        <w:rPr>
          <w:rFonts w:eastAsia="Calibri" w:hint="cs"/>
          <w:rtl/>
        </w:rPr>
        <w:t xml:space="preserve"> </w:t>
      </w:r>
      <w:r w:rsidRPr="001F2586">
        <w:rPr>
          <w:rFonts w:eastAsia="Calibri"/>
          <w:rtl/>
        </w:rPr>
        <w:t xml:space="preserve">חברות אלו מתמחות במוצרים ושירותים שונים - כך בעוד חלק מהחברות מתמחות במתן אשראי לטווח קצר, בעיקר לצורך הסדרים של מימון ביניים, השלמת הון עצמי, מימון קבוצות רכישה וכדומה, ישנן חברות שמתמחות במתן מימון ארוך טווח </w:t>
      </w:r>
      <w:r w:rsidRPr="001F2586">
        <w:rPr>
          <w:rFonts w:eastAsia="Calibri"/>
          <w:rtl/>
        </w:rPr>
        <w:t>לרוכשי</w:t>
      </w:r>
      <w:r w:rsidRPr="001F2586">
        <w:rPr>
          <w:rFonts w:eastAsia="Calibri"/>
          <w:rtl/>
        </w:rPr>
        <w:t xml:space="preserve"> דירה, בעיקר למשקיעים. </w:t>
      </w:r>
      <w:r w:rsidRPr="001F2586">
        <w:rPr>
          <w:rFonts w:eastAsia="Calibri" w:hint="cs"/>
          <w:rtl/>
        </w:rPr>
        <w:t>להלן נתונים אודות היקף ההלוואו</w:t>
      </w:r>
      <w:r w:rsidRPr="001F2586">
        <w:rPr>
          <w:rFonts w:eastAsia="Calibri" w:hint="eastAsia"/>
          <w:rtl/>
        </w:rPr>
        <w:t>ת</w:t>
      </w:r>
      <w:r w:rsidRPr="001F2586">
        <w:rPr>
          <w:rFonts w:eastAsia="Calibri" w:hint="cs"/>
          <w:rtl/>
        </w:rPr>
        <w:t xml:space="preserve"> לדיור שניתנו על ידי גופים אלו בשנת 2024 בהתאם למשך הזמן הממוצע של פירעון הקרן ותשלומי הריבית של המשכנתא נכון לסוף שנת 2024:</w:t>
      </w:r>
    </w:p>
    <w:p w:rsidR="001F2586" w:rsidRPr="001F2586" w:rsidP="001F2586">
      <w:pPr>
        <w:spacing w:line="269" w:lineRule="auto"/>
        <w:ind w:left="-567"/>
        <w:rPr>
          <w:rFonts w:eastAsia="Calibri"/>
          <w:szCs w:val="20"/>
          <w:rtl/>
        </w:rPr>
      </w:pPr>
    </w:p>
    <w:p w:rsidR="001F2586" w:rsidRPr="001F2586" w:rsidP="00504E2C">
      <w:pPr>
        <w:spacing w:line="269" w:lineRule="auto"/>
        <w:ind w:firstLine="312"/>
        <w:jc w:val="center"/>
        <w:rPr>
          <w:rFonts w:eastAsia="Calibri"/>
          <w:rtl/>
        </w:rPr>
      </w:pPr>
      <w:r w:rsidRPr="001F2586">
        <w:rPr>
          <w:rFonts w:eastAsia="Calibri" w:hint="cs"/>
          <w:b/>
          <w:bCs/>
          <w:rtl/>
        </w:rPr>
        <w:t>לוח 13: פילוח משך החיים הממוצע (</w:t>
      </w:r>
      <w:r w:rsidRPr="001F2586">
        <w:rPr>
          <w:rFonts w:eastAsia="Calibri" w:hint="cs"/>
          <w:b/>
          <w:bCs/>
          <w:rtl/>
        </w:rPr>
        <w:t>מח"מ</w:t>
      </w:r>
      <w:r w:rsidRPr="001F2586">
        <w:rPr>
          <w:rFonts w:eastAsia="Calibri" w:hint="cs"/>
          <w:b/>
          <w:bCs/>
          <w:rtl/>
        </w:rPr>
        <w:t>) של משכנתאות בגופים חוץ בנקאיים לשנת 2024</w:t>
      </w:r>
    </w:p>
    <w:tbl>
      <w:tblPr>
        <w:tblStyle w:val="TableGrid"/>
        <w:bidiVisual/>
        <w:tblW w:w="0" w:type="auto"/>
        <w:tblInd w:w="296" w:type="dxa"/>
        <w:tblLook w:val="04A0"/>
      </w:tblPr>
      <w:tblGrid>
        <w:gridCol w:w="2638"/>
        <w:gridCol w:w="2638"/>
        <w:gridCol w:w="2638"/>
      </w:tblGrid>
      <w:tr w:rsidTr="00504E2C">
        <w:tblPrEx>
          <w:tblW w:w="0" w:type="auto"/>
          <w:tblInd w:w="296" w:type="dxa"/>
          <w:tblLook w:val="04A0"/>
        </w:tblPrEx>
        <w:tc>
          <w:tcPr>
            <w:tcW w:w="2638" w:type="dxa"/>
            <w:shd w:val="clear" w:color="auto" w:fill="D9D9D9"/>
          </w:tcPr>
          <w:p w:rsidR="001F2586" w:rsidRPr="001F2586" w:rsidP="001F2586">
            <w:pPr>
              <w:spacing w:line="269" w:lineRule="auto"/>
              <w:rPr>
                <w:rFonts w:eastAsia="Calibri"/>
                <w:b/>
                <w:bCs/>
                <w:rtl/>
              </w:rPr>
            </w:pPr>
            <w:r w:rsidRPr="001F2586">
              <w:rPr>
                <w:rFonts w:eastAsia="Calibri" w:hint="cs"/>
                <w:b/>
                <w:bCs/>
                <w:rtl/>
              </w:rPr>
              <w:t xml:space="preserve">סוג </w:t>
            </w:r>
            <w:r w:rsidRPr="001F2586">
              <w:rPr>
                <w:rFonts w:eastAsia="Calibri" w:hint="cs"/>
                <w:b/>
                <w:bCs/>
                <w:rtl/>
              </w:rPr>
              <w:t>מח"מ</w:t>
            </w:r>
          </w:p>
        </w:tc>
        <w:tc>
          <w:tcPr>
            <w:tcW w:w="2638" w:type="dxa"/>
            <w:shd w:val="clear" w:color="auto" w:fill="D9D9D9"/>
          </w:tcPr>
          <w:p w:rsidR="001F2586" w:rsidRPr="001F2586" w:rsidP="001F2586">
            <w:pPr>
              <w:spacing w:line="269" w:lineRule="auto"/>
              <w:rPr>
                <w:rFonts w:eastAsia="Calibri"/>
                <w:b/>
                <w:bCs/>
                <w:rtl/>
              </w:rPr>
            </w:pPr>
            <w:r w:rsidRPr="001F2586">
              <w:rPr>
                <w:rFonts w:eastAsia="Calibri" w:hint="cs"/>
                <w:b/>
                <w:bCs/>
                <w:rtl/>
              </w:rPr>
              <w:t>סה"כ אשראי חוץ בנקאי</w:t>
            </w:r>
          </w:p>
        </w:tc>
        <w:tc>
          <w:tcPr>
            <w:tcW w:w="2638" w:type="dxa"/>
            <w:shd w:val="clear" w:color="auto" w:fill="D9D9D9"/>
          </w:tcPr>
          <w:p w:rsidR="001F2586" w:rsidRPr="001F2586" w:rsidP="001F2586">
            <w:pPr>
              <w:spacing w:line="269" w:lineRule="auto"/>
              <w:rPr>
                <w:rFonts w:eastAsia="Calibri"/>
                <w:b/>
                <w:bCs/>
              </w:rPr>
            </w:pPr>
            <w:r w:rsidRPr="001F2586">
              <w:rPr>
                <w:rFonts w:eastAsia="Calibri" w:hint="cs"/>
                <w:b/>
                <w:bCs/>
                <w:rtl/>
              </w:rPr>
              <w:t>סכום הלוואה ממוצעת</w:t>
            </w:r>
          </w:p>
        </w:tc>
      </w:tr>
      <w:tr w:rsidTr="00504E2C">
        <w:tblPrEx>
          <w:tblW w:w="0" w:type="auto"/>
          <w:tblInd w:w="296" w:type="dxa"/>
          <w:tblLook w:val="04A0"/>
        </w:tblPrEx>
        <w:tc>
          <w:tcPr>
            <w:tcW w:w="2638" w:type="dxa"/>
          </w:tcPr>
          <w:p w:rsidR="001F2586" w:rsidRPr="001F2586" w:rsidP="001F2586">
            <w:pPr>
              <w:spacing w:line="269" w:lineRule="auto"/>
              <w:rPr>
                <w:rFonts w:eastAsia="Calibri"/>
                <w:rtl/>
              </w:rPr>
            </w:pPr>
            <w:r w:rsidRPr="001F2586">
              <w:rPr>
                <w:rFonts w:eastAsia="Calibri" w:hint="cs"/>
                <w:rtl/>
              </w:rPr>
              <w:t>ארוך (20 עד 30 שנה)</w:t>
            </w:r>
          </w:p>
        </w:tc>
        <w:tc>
          <w:tcPr>
            <w:tcW w:w="2638" w:type="dxa"/>
          </w:tcPr>
          <w:p w:rsidR="001F2586" w:rsidRPr="001F2586" w:rsidP="001F2586">
            <w:pPr>
              <w:spacing w:line="269" w:lineRule="auto"/>
              <w:rPr>
                <w:rFonts w:eastAsia="Calibri"/>
                <w:rtl/>
              </w:rPr>
            </w:pPr>
            <w:r w:rsidRPr="001F2586">
              <w:rPr>
                <w:rFonts w:eastAsia="Calibri" w:hint="cs"/>
                <w:rtl/>
              </w:rPr>
              <w:t xml:space="preserve">4.5 מיליארד ש"ח </w:t>
            </w:r>
          </w:p>
        </w:tc>
        <w:tc>
          <w:tcPr>
            <w:tcW w:w="2638" w:type="dxa"/>
          </w:tcPr>
          <w:p w:rsidR="001F2586" w:rsidRPr="001F2586" w:rsidP="001F2586">
            <w:pPr>
              <w:spacing w:line="269" w:lineRule="auto"/>
              <w:rPr>
                <w:rFonts w:eastAsia="Calibri"/>
                <w:rtl/>
              </w:rPr>
            </w:pPr>
            <w:r w:rsidRPr="001F2586">
              <w:rPr>
                <w:rFonts w:eastAsia="Calibri" w:hint="cs"/>
                <w:rtl/>
              </w:rPr>
              <w:t xml:space="preserve">590,000 </w:t>
            </w:r>
            <w:r w:rsidR="00480481">
              <w:rPr>
                <w:rFonts w:eastAsia="Calibri" w:hint="cs"/>
                <w:rtl/>
              </w:rPr>
              <w:t>ש</w:t>
            </w:r>
            <w:r w:rsidR="00480481">
              <w:rPr>
                <w:rFonts w:eastAsia="Calibri"/>
                <w:rtl/>
              </w:rPr>
              <w:t>"</w:t>
            </w:r>
            <w:r w:rsidR="00480481">
              <w:rPr>
                <w:rFonts w:eastAsia="Calibri" w:hint="cs"/>
                <w:rtl/>
              </w:rPr>
              <w:t>ח</w:t>
            </w:r>
          </w:p>
        </w:tc>
      </w:tr>
      <w:tr w:rsidTr="00504E2C">
        <w:tblPrEx>
          <w:tblW w:w="0" w:type="auto"/>
          <w:tblInd w:w="296" w:type="dxa"/>
          <w:tblLook w:val="04A0"/>
        </w:tblPrEx>
        <w:tc>
          <w:tcPr>
            <w:tcW w:w="2638" w:type="dxa"/>
          </w:tcPr>
          <w:p w:rsidR="001F2586" w:rsidRPr="001F2586" w:rsidP="001F2586">
            <w:pPr>
              <w:spacing w:line="269" w:lineRule="auto"/>
              <w:rPr>
                <w:rFonts w:eastAsia="Calibri"/>
                <w:rtl/>
              </w:rPr>
            </w:pPr>
            <w:r w:rsidRPr="001F2586">
              <w:rPr>
                <w:rFonts w:eastAsia="Calibri" w:hint="cs"/>
                <w:rtl/>
              </w:rPr>
              <w:t>קצר (עד 6 שנים)</w:t>
            </w:r>
          </w:p>
        </w:tc>
        <w:tc>
          <w:tcPr>
            <w:tcW w:w="2638" w:type="dxa"/>
          </w:tcPr>
          <w:p w:rsidR="001F2586" w:rsidRPr="001F2586" w:rsidP="001F2586">
            <w:pPr>
              <w:spacing w:line="269" w:lineRule="auto"/>
              <w:rPr>
                <w:rFonts w:eastAsia="Calibri"/>
                <w:rtl/>
              </w:rPr>
            </w:pPr>
            <w:r w:rsidRPr="001F2586">
              <w:rPr>
                <w:rFonts w:eastAsia="Calibri" w:hint="cs"/>
                <w:rtl/>
              </w:rPr>
              <w:t xml:space="preserve">1.2 מיליארד ש"ח </w:t>
            </w:r>
          </w:p>
        </w:tc>
        <w:tc>
          <w:tcPr>
            <w:tcW w:w="2638" w:type="dxa"/>
          </w:tcPr>
          <w:p w:rsidR="001F2586" w:rsidRPr="001F2586" w:rsidP="001F2586">
            <w:pPr>
              <w:spacing w:line="269" w:lineRule="auto"/>
              <w:rPr>
                <w:rFonts w:eastAsia="Calibri"/>
                <w:rtl/>
              </w:rPr>
            </w:pPr>
            <w:r w:rsidRPr="001F2586">
              <w:rPr>
                <w:rFonts w:eastAsia="Calibri" w:hint="cs"/>
                <w:rtl/>
              </w:rPr>
              <w:t xml:space="preserve">290,000 ש"ח </w:t>
            </w:r>
          </w:p>
        </w:tc>
      </w:tr>
    </w:tbl>
    <w:p w:rsidR="001F2586" w:rsidRPr="001F2586" w:rsidP="00504E2C">
      <w:pPr>
        <w:spacing w:line="269" w:lineRule="auto"/>
        <w:ind w:firstLine="312"/>
        <w:rPr>
          <w:rFonts w:eastAsia="Calibri"/>
          <w:szCs w:val="20"/>
          <w:rtl/>
        </w:rPr>
      </w:pPr>
      <w:r w:rsidRPr="001F2586">
        <w:rPr>
          <w:rFonts w:eastAsia="Calibri" w:hint="cs"/>
          <w:szCs w:val="20"/>
          <w:rtl/>
        </w:rPr>
        <w:t xml:space="preserve">המקור: נתוני רשות שוק ההון כפי שהועברו למשרד מבקר המדינה, יולי 2025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cs"/>
          <w:b/>
          <w:bCs/>
          <w:rtl/>
        </w:rPr>
        <w:t xml:space="preserve">מהנתונים עולה כי סך האשראי החוץ-בנקאי שניתן למשכנתאות עמד על כ-5.7 מיליארד ש"ח. עוד עולה כי המשכנתא החוץ בנקאית הממוצעת לטווח ארוך עומדת על כ-590 אלף ש"ח, ולטווח קצר על כ-290 אלף ש"ח. זאת לעומת היקף משכנתא ממוצעת בבנקים, העומדת על כ-1 מיליון ש"ח בשנת 2024.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 xml:space="preserve">מפגישות שנערכו עם חברות חוץ בנקאיות, ציינו החברות החוץ בנקאיות כי ההלוואות לזמן קצר שנלקחות על ידי לקוחות לרוב מוחזרות, שכן הן מהוות תחליף להון העצמי הנדרש על ידי הבנקים לשם לקיחת משכנתא בנקאית.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eastAsia"/>
          <w:b/>
          <w:bCs/>
          <w:rtl/>
        </w:rPr>
        <w:t>משרד</w:t>
      </w:r>
      <w:r w:rsidRPr="001F2586">
        <w:rPr>
          <w:rFonts w:eastAsia="Calibri"/>
          <w:b/>
          <w:bCs/>
          <w:rtl/>
        </w:rPr>
        <w:t xml:space="preserve"> מבקר המדינה מציין כי נתונים אלה </w:t>
      </w:r>
      <w:r w:rsidRPr="001F2586">
        <w:rPr>
          <w:rFonts w:eastAsia="Calibri" w:hint="eastAsia"/>
          <w:b/>
          <w:bCs/>
          <w:rtl/>
        </w:rPr>
        <w:t>עשויים</w:t>
      </w:r>
      <w:r w:rsidRPr="001F2586">
        <w:rPr>
          <w:rFonts w:eastAsia="Calibri"/>
          <w:b/>
          <w:bCs/>
          <w:rtl/>
        </w:rPr>
        <w:t xml:space="preserve"> </w:t>
      </w:r>
      <w:r w:rsidRPr="001F2586">
        <w:rPr>
          <w:rFonts w:eastAsia="Calibri" w:hint="eastAsia"/>
          <w:b/>
          <w:bCs/>
          <w:rtl/>
        </w:rPr>
        <w:t>להעיד</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כך שלעיתים </w:t>
      </w:r>
      <w:r w:rsidRPr="001F2586">
        <w:rPr>
          <w:rFonts w:eastAsia="Calibri" w:hint="eastAsia"/>
          <w:b/>
          <w:bCs/>
          <w:rtl/>
        </w:rPr>
        <w:t>לוקחי</w:t>
      </w:r>
      <w:r w:rsidRPr="001F2586">
        <w:rPr>
          <w:rFonts w:eastAsia="Calibri"/>
          <w:b/>
          <w:bCs/>
          <w:rtl/>
        </w:rPr>
        <w:t xml:space="preserve"> משכנתא בנקאית פונים לשוק האשראי חוץ בנקאי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מנת</w:t>
      </w:r>
      <w:r w:rsidRPr="001F2586">
        <w:rPr>
          <w:rFonts w:eastAsia="Calibri"/>
          <w:b/>
          <w:bCs/>
          <w:rtl/>
        </w:rPr>
        <w:t xml:space="preserve"> </w:t>
      </w:r>
      <w:r w:rsidRPr="001F2586">
        <w:rPr>
          <w:rFonts w:eastAsia="Calibri" w:hint="eastAsia"/>
          <w:b/>
          <w:bCs/>
          <w:rtl/>
        </w:rPr>
        <w:t>להשלים</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ה</w:t>
      </w:r>
      <w:r w:rsidRPr="001F2586">
        <w:rPr>
          <w:rFonts w:eastAsia="Calibri"/>
          <w:b/>
          <w:bCs/>
          <w:rtl/>
        </w:rPr>
        <w:t>הון עצמי לצורך רכישת דירה</w:t>
      </w:r>
      <w:r>
        <w:rPr>
          <w:rFonts w:eastAsia="Calibri"/>
          <w:b/>
          <w:bCs/>
          <w:vertAlign w:val="superscript"/>
          <w:rtl/>
        </w:rPr>
        <w:footnoteReference w:id="450"/>
      </w:r>
      <w:r w:rsidRPr="001F2586">
        <w:rPr>
          <w:rFonts w:eastAsia="Calibri"/>
          <w:b/>
          <w:bCs/>
          <w:rtl/>
        </w:rPr>
        <w:t xml:space="preserve"> וכך למעשה להימנע באופן אפקטיבי ממגבלות בנק ישראל המוטלות על מקבלי משכנתאות בנקאיות. ייתכן אף וההלוואות האמורות לטווח קצר, הינן הלוואות גישור כלומר הלוואות שייסגרו בטווח קצר בהינתן צפייה של הלווה לקבלת כספים ממקורות אחרים. </w:t>
      </w:r>
    </w:p>
    <w:p w:rsidR="001F2586" w:rsidRPr="001F2586" w:rsidP="001F2586">
      <w:pPr>
        <w:spacing w:line="269" w:lineRule="auto"/>
        <w:ind w:left="312"/>
        <w:rPr>
          <w:rFonts w:eastAsia="Calibri"/>
          <w:b/>
          <w:bCs/>
          <w:rtl/>
        </w:rPr>
      </w:pPr>
      <w:r w:rsidRPr="001F2586">
        <w:rPr>
          <w:rFonts w:eastAsia="Calibri" w:hint="cs"/>
          <w:b/>
          <w:bCs/>
          <w:rtl/>
        </w:rPr>
        <w:t xml:space="preserve">עוד נמצא כי הנתונים המוצגים על ידי בנק ישראל בדבר </w:t>
      </w:r>
      <w:r w:rsidRPr="001F2586">
        <w:rPr>
          <w:rFonts w:eastAsia="Calibri"/>
          <w:b/>
          <w:bCs/>
          <w:rtl/>
        </w:rPr>
        <w:t>יתרות חוב</w:t>
      </w:r>
      <w:r w:rsidRPr="001F2586">
        <w:rPr>
          <w:rFonts w:eastAsia="Calibri" w:hint="cs"/>
          <w:b/>
          <w:bCs/>
          <w:rtl/>
        </w:rPr>
        <w:t>ות</w:t>
      </w:r>
      <w:r w:rsidRPr="001F2586">
        <w:rPr>
          <w:rFonts w:eastAsia="Calibri"/>
          <w:b/>
          <w:bCs/>
          <w:rtl/>
        </w:rPr>
        <w:t xml:space="preserve"> המשכנתאות</w:t>
      </w:r>
      <w:r w:rsidRPr="001F2586">
        <w:rPr>
          <w:rFonts w:eastAsia="Calibri" w:hint="cs"/>
          <w:b/>
          <w:bCs/>
          <w:rtl/>
        </w:rPr>
        <w:t xml:space="preserve"> של משקי הבית הם רק של הבנקים והגופים המוסדיים. כך למעשה, לאף רגולטור פיננסי אין נתונים כוללים בדבר שוק המשכנתאות הניתן על ידי כלל נותני המשכנתאות. החוב לדיור של משקי הבית נמצא במגמת עלייה וזאת בעקבות מחירי הדירות וסביבת הריבית. היעדר נתונים כוללים עלול לגרום לקושי עבור מקבלי ההחלטות לראות את כלל התמונה הפיננסית של משקי הבית לדיור.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רשות שוק ההון ציינה בתשובתה כי היא מכירה בחשיבות הפעלה של מערכת מידע שתהווה מקור מידע מרכזי אודות אשראי ומשכנתאות בפרט, מידע זה יכול לשמש הן את הרגולטורי</w:t>
      </w:r>
      <w:r w:rsidRPr="001F2586">
        <w:rPr>
          <w:rFonts w:eastAsia="Calibri" w:hint="eastAsia"/>
          <w:rtl/>
        </w:rPr>
        <w:t>ם</w:t>
      </w:r>
      <w:r w:rsidRPr="001F2586">
        <w:rPr>
          <w:rFonts w:eastAsia="Calibri" w:hint="cs"/>
          <w:rtl/>
        </w:rPr>
        <w:t xml:space="preserve"> לצורך קביעת מדיניות והן את נותני האשראי לצורך ביסוס מודל חיתום בעת מתן אשראי ללווה. בפני נותני האשראי ובפני בנק ישראל עומדת האפשרות לפנות למאגר נתוני האשראי לצורך קבלת מידע אודות אשראי. בנק ישראל בכובעו כממונה על שיתוף נתוני האשראי רשאי לפנות למאגר ולקבל מידע הדרוש לצורך מילוי סמכויותיו ותפקידו לפי החוק זאת בכפוף לעקרונות של סודיות, שימוש למטרה מותרת והגנת פרטיות.</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 xml:space="preserve">בנק ישראל ציין בתשובתו כי הנתונים הנאספים בבנק ישראל הינם מוגנים במסגרת חוק (פקודת הבנקאות או חוק נתונים אשראי) ועל כן לא ניתן להעבירם לגורמים חיצוניים. </w:t>
      </w:r>
    </w:p>
    <w:p w:rsidR="001F2586" w:rsidRPr="001F2586" w:rsidP="001F2586">
      <w:pPr>
        <w:spacing w:line="269" w:lineRule="auto"/>
        <w:ind w:left="-567"/>
        <w:rPr>
          <w:rFonts w:eastAsia="Calibri"/>
          <w:szCs w:val="20"/>
          <w:rtl/>
        </w:rPr>
      </w:pPr>
    </w:p>
    <w:p w:rsidR="001F2586" w:rsidRPr="00E85EB9" w:rsidP="00E85EB9">
      <w:pPr>
        <w:spacing w:line="269" w:lineRule="auto"/>
        <w:ind w:left="312"/>
        <w:rPr>
          <w:rFonts w:eastAsia="Calibri"/>
          <w:b/>
          <w:bCs/>
          <w:rtl/>
        </w:rPr>
      </w:pPr>
      <w:r w:rsidRPr="001F2586">
        <w:rPr>
          <w:rFonts w:eastAsia="Calibri" w:hint="eastAsia"/>
          <w:b/>
          <w:bCs/>
          <w:rtl/>
        </w:rPr>
        <w:t>מומלץ</w:t>
      </w:r>
      <w:r w:rsidRPr="001F2586">
        <w:rPr>
          <w:rFonts w:eastAsia="Calibri"/>
          <w:b/>
          <w:bCs/>
          <w:rtl/>
        </w:rPr>
        <w:t xml:space="preserve"> </w:t>
      </w:r>
      <w:r w:rsidRPr="001F2586">
        <w:rPr>
          <w:rFonts w:eastAsia="Calibri" w:hint="eastAsia"/>
          <w:b/>
          <w:bCs/>
          <w:rtl/>
        </w:rPr>
        <w:t>ל</w:t>
      </w:r>
      <w:r w:rsidRPr="001F2586">
        <w:rPr>
          <w:rFonts w:eastAsia="Calibri"/>
          <w:b/>
          <w:bCs/>
          <w:rtl/>
        </w:rPr>
        <w:t xml:space="preserve">בנק ישראל, רשות שוק ההון ומשרד האוצר לפעול ליצירת מסד נתונים </w:t>
      </w:r>
      <w:r w:rsidRPr="001F2586">
        <w:rPr>
          <w:rFonts w:eastAsia="Calibri" w:hint="cs"/>
          <w:b/>
          <w:bCs/>
          <w:rtl/>
        </w:rPr>
        <w:t>משותף אשר</w:t>
      </w:r>
      <w:r w:rsidRPr="001F2586">
        <w:rPr>
          <w:rFonts w:eastAsia="Calibri"/>
          <w:b/>
          <w:bCs/>
          <w:rtl/>
        </w:rPr>
        <w:t xml:space="preserve"> ירכז את כלל המידע על הלוואות לדיור מכלל נותני האשראי </w:t>
      </w:r>
      <w:r w:rsidRPr="001F2586">
        <w:rPr>
          <w:rFonts w:eastAsia="Calibri" w:hint="cs"/>
          <w:b/>
          <w:bCs/>
          <w:rtl/>
        </w:rPr>
        <w:t xml:space="preserve">במשק </w:t>
      </w:r>
      <w:r w:rsidRPr="001F2586">
        <w:rPr>
          <w:rFonts w:eastAsia="Calibri"/>
          <w:b/>
          <w:bCs/>
          <w:rtl/>
        </w:rPr>
        <w:t>(בנקאיים וחוץ-בנקאיים כאחד)</w:t>
      </w:r>
      <w:r w:rsidRPr="001F2586">
        <w:rPr>
          <w:rFonts w:eastAsia="Calibri" w:hint="cs"/>
          <w:b/>
          <w:bCs/>
          <w:rtl/>
        </w:rPr>
        <w:t xml:space="preserve"> והכול בהתאם לחוק ולדין</w:t>
      </w:r>
      <w:r w:rsidRPr="001F2586">
        <w:rPr>
          <w:rFonts w:eastAsia="Calibri"/>
          <w:b/>
          <w:bCs/>
          <w:rtl/>
        </w:rPr>
        <w:t xml:space="preserve">. קבלת תמונה </w:t>
      </w:r>
      <w:r w:rsidRPr="001F2586">
        <w:rPr>
          <w:rFonts w:eastAsia="Calibri" w:hint="cs"/>
          <w:b/>
          <w:bCs/>
          <w:rtl/>
        </w:rPr>
        <w:t>כוללת</w:t>
      </w:r>
      <w:r w:rsidRPr="001F2586">
        <w:rPr>
          <w:rFonts w:eastAsia="Calibri"/>
          <w:b/>
          <w:bCs/>
          <w:rtl/>
        </w:rPr>
        <w:t xml:space="preserve"> של חוב הדיור </w:t>
      </w:r>
      <w:r w:rsidRPr="001F2586">
        <w:rPr>
          <w:rFonts w:eastAsia="Calibri" w:hint="eastAsia"/>
          <w:b/>
          <w:bCs/>
          <w:rtl/>
        </w:rPr>
        <w:t>תתרום</w:t>
      </w:r>
      <w:r w:rsidRPr="001F2586">
        <w:rPr>
          <w:rFonts w:eastAsia="Calibri"/>
          <w:b/>
          <w:bCs/>
          <w:rtl/>
        </w:rPr>
        <w:t xml:space="preserve"> </w:t>
      </w:r>
      <w:r w:rsidRPr="001F2586">
        <w:rPr>
          <w:rFonts w:eastAsia="Calibri" w:hint="eastAsia"/>
          <w:b/>
          <w:bCs/>
          <w:rtl/>
        </w:rPr>
        <w:t>ל</w:t>
      </w:r>
      <w:r w:rsidRPr="001F2586">
        <w:rPr>
          <w:rFonts w:eastAsia="Calibri"/>
          <w:b/>
          <w:bCs/>
          <w:rtl/>
        </w:rPr>
        <w:t>פיקוח על יציבות משקי הבית ומניעת מצבי מינוף יתר</w:t>
      </w:r>
      <w:r w:rsidRPr="001F2586">
        <w:rPr>
          <w:rFonts w:eastAsia="Calibri" w:hint="cs"/>
          <w:b/>
          <w:bCs/>
          <w:rtl/>
        </w:rPr>
        <w:t>,</w:t>
      </w:r>
      <w:r w:rsidRPr="001F2586">
        <w:rPr>
          <w:rFonts w:eastAsia="Calibri"/>
          <w:b/>
          <w:bCs/>
          <w:rtl/>
        </w:rPr>
        <w:t xml:space="preserve"> </w:t>
      </w:r>
      <w:r w:rsidRPr="001F2586">
        <w:rPr>
          <w:rFonts w:eastAsia="Calibri" w:hint="cs"/>
          <w:b/>
          <w:bCs/>
          <w:rtl/>
        </w:rPr>
        <w:t>שאינם ידועים לרגולטורים הפיננסיים.</w:t>
      </w:r>
    </w:p>
    <w:p w:rsidR="001F2586" w:rsidRPr="001F2586" w:rsidP="001F2586">
      <w:pPr>
        <w:spacing w:line="269" w:lineRule="auto"/>
        <w:ind w:left="-567"/>
        <w:rPr>
          <w:rFonts w:eastAsia="Calibri"/>
          <w:szCs w:val="20"/>
          <w:rtl/>
        </w:rPr>
      </w:pPr>
    </w:p>
    <w:p w:rsidR="001F2586" w:rsidRPr="001F2586" w:rsidP="001F2586">
      <w:pPr>
        <w:keepNext/>
        <w:keepLines/>
        <w:numPr>
          <w:ilvl w:val="0"/>
          <w:numId w:val="29"/>
        </w:numPr>
        <w:spacing w:line="269" w:lineRule="auto"/>
        <w:outlineLvl w:val="4"/>
        <w:rPr>
          <w:rFonts w:eastAsia="Times New Roman"/>
          <w:bCs/>
          <w:spacing w:val="40"/>
        </w:rPr>
      </w:pPr>
      <w:r w:rsidRPr="001F2586">
        <w:rPr>
          <w:rFonts w:eastAsia="Times New Roman" w:hint="cs"/>
          <w:bCs/>
          <w:spacing w:val="40"/>
          <w:rtl/>
        </w:rPr>
        <w:t>עמלת פתיחת תיק להלוואה לדיור</w:t>
      </w:r>
    </w:p>
    <w:p w:rsidR="001F2586" w:rsidRPr="001F2586" w:rsidP="001F2586">
      <w:pPr>
        <w:spacing w:line="269" w:lineRule="auto"/>
        <w:ind w:left="-567"/>
        <w:rPr>
          <w:rFonts w:eastAsia="Times New Roman"/>
          <w:spacing w:val="40"/>
          <w:rtl/>
        </w:rPr>
      </w:pPr>
    </w:p>
    <w:p w:rsidR="001F2586" w:rsidRPr="001F2586" w:rsidP="001F2586">
      <w:pPr>
        <w:spacing w:line="269" w:lineRule="auto"/>
        <w:ind w:left="312"/>
        <w:rPr>
          <w:rFonts w:eastAsia="Calibri"/>
          <w:rtl/>
        </w:rPr>
      </w:pPr>
      <w:r w:rsidRPr="001F2586">
        <w:rPr>
          <w:rFonts w:eastAsia="Calibri"/>
          <w:rtl/>
        </w:rPr>
        <w:t>עמלת פתיחת תיק היא עמלה חד-פעמית הנגבית מהלווה עם העמדת הלוואה לדיור</w:t>
      </w:r>
      <w:r w:rsidRPr="001F2586">
        <w:rPr>
          <w:rFonts w:eastAsia="Calibri" w:hint="cs"/>
          <w:rtl/>
        </w:rPr>
        <w:t xml:space="preserve">. </w:t>
      </w:r>
      <w:r w:rsidRPr="001F2586">
        <w:rPr>
          <w:rFonts w:eastAsia="Calibri"/>
          <w:rtl/>
        </w:rPr>
        <w:t xml:space="preserve">עד לשנת 2022, עמלה זו נגבתה כשיעור מהיקף ההלוואה, דבר שהשית עלויות של אלפי ואף עשרות אלפי שקלים על ציבור </w:t>
      </w:r>
      <w:r w:rsidRPr="001F2586">
        <w:rPr>
          <w:rFonts w:eastAsia="Calibri"/>
          <w:rtl/>
        </w:rPr>
        <w:t>רוכשי</w:t>
      </w:r>
      <w:r w:rsidRPr="001F2586">
        <w:rPr>
          <w:rFonts w:eastAsia="Calibri"/>
          <w:rtl/>
        </w:rPr>
        <w:t xml:space="preserve"> הדירות. ביולי 2022 נכנס לתוקף תיקון 34 לחוק הבנקאות (שירות ללקוח), אשר נועד לצמצם את נטל העלויות על הלווים ולהגביר את הוודאות הצרכנית</w:t>
      </w:r>
      <w:r w:rsidRPr="001F2586">
        <w:rPr>
          <w:rFonts w:eastAsia="Calibri" w:hint="cs"/>
          <w:rtl/>
        </w:rPr>
        <w:t xml:space="preserve"> בעת לקיחת משכנתא.</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rtl/>
        </w:rPr>
        <w:t xml:space="preserve">עד לתיקון החקיקה, נהגו התאגידים הבנקאיים לגבות עמלה בשיעור של </w:t>
      </w:r>
      <w:r w:rsidRPr="001F2586">
        <w:rPr>
          <w:rFonts w:eastAsia="Calibri" w:hint="cs"/>
          <w:rtl/>
        </w:rPr>
        <w:t>0.25%</w:t>
      </w:r>
      <w:r w:rsidRPr="001F2586">
        <w:rPr>
          <w:rFonts w:eastAsia="Calibri"/>
        </w:rPr>
        <w:t xml:space="preserve"> </w:t>
      </w:r>
      <w:r w:rsidRPr="001F2586">
        <w:rPr>
          <w:rFonts w:eastAsia="Calibri"/>
          <w:rtl/>
        </w:rPr>
        <w:t>מערך ההלוואה</w:t>
      </w:r>
      <w:r w:rsidRPr="001F2586">
        <w:rPr>
          <w:rFonts w:eastAsia="Calibri"/>
        </w:rPr>
        <w:t xml:space="preserve">. </w:t>
      </w:r>
      <w:r w:rsidRPr="001F2586">
        <w:rPr>
          <w:rFonts w:eastAsia="Calibri"/>
          <w:rtl/>
        </w:rPr>
        <w:t xml:space="preserve">למרות קיומו של רף מינימלי (500 ש"ח), </w:t>
      </w:r>
      <w:r w:rsidRPr="001F2586">
        <w:rPr>
          <w:rFonts w:eastAsia="Calibri" w:hint="cs"/>
          <w:rtl/>
        </w:rPr>
        <w:t>ה</w:t>
      </w:r>
      <w:r w:rsidRPr="001F2586">
        <w:rPr>
          <w:rFonts w:eastAsia="Calibri"/>
          <w:rtl/>
        </w:rPr>
        <w:t>רף המקסימלי לא היה אחיד</w:t>
      </w:r>
      <w:r w:rsidRPr="001F2586">
        <w:rPr>
          <w:rFonts w:eastAsia="Calibri" w:hint="cs"/>
          <w:rtl/>
        </w:rPr>
        <w:t xml:space="preserve"> בין הבנקים השונים</w:t>
      </w:r>
      <w:r w:rsidRPr="001F2586">
        <w:rPr>
          <w:rFonts w:eastAsia="Calibri"/>
          <w:rtl/>
        </w:rPr>
        <w:t xml:space="preserve"> ונע בטווח רחב שבין 5,000 ש"ח ל-50,000 ש"ח</w:t>
      </w:r>
      <w:r w:rsidRPr="001F2586">
        <w:rPr>
          <w:rFonts w:eastAsia="Calibri" w:hint="cs"/>
          <w:rtl/>
        </w:rPr>
        <w:t xml:space="preserve">. </w:t>
      </w:r>
      <w:r w:rsidRPr="001F2586">
        <w:rPr>
          <w:rFonts w:eastAsia="Calibri"/>
          <w:rtl/>
        </w:rPr>
        <w:t>גובה העמלה הסופי נקבע לעיתים קרובות על בסיס משא ומתן פרטני, תוך העדפת לווים בעלי חוסן כלכלי או כושר מיקוח, בעוד לווים חלשים נאלצו לשאת במלוא העלות</w:t>
      </w:r>
      <w:r w:rsidRPr="001F2586">
        <w:rPr>
          <w:rFonts w:eastAsia="Calibri"/>
        </w:rPr>
        <w:t>.</w:t>
      </w:r>
      <w:r w:rsidRPr="001F2586">
        <w:rPr>
          <w:rFonts w:eastAsia="Calibri" w:hint="cs"/>
          <w:rtl/>
        </w:rPr>
        <w:t xml:space="preserve"> </w:t>
      </w:r>
      <w:r w:rsidRPr="001F2586">
        <w:rPr>
          <w:rFonts w:eastAsia="Calibri" w:hint="eastAsia"/>
          <w:rtl/>
        </w:rPr>
        <w:t>כלומר</w:t>
      </w:r>
      <w:r w:rsidRPr="001F2586">
        <w:rPr>
          <w:rFonts w:eastAsia="Calibri"/>
          <w:rtl/>
        </w:rPr>
        <w:t xml:space="preserve"> עמלה זו </w:t>
      </w:r>
      <w:r w:rsidRPr="001F2586">
        <w:rPr>
          <w:rFonts w:eastAsia="Calibri" w:hint="eastAsia"/>
          <w:rtl/>
        </w:rPr>
        <w:t>לא</w:t>
      </w:r>
      <w:r w:rsidRPr="001F2586">
        <w:rPr>
          <w:rFonts w:eastAsia="Calibri"/>
          <w:rtl/>
        </w:rPr>
        <w:t xml:space="preserve"> </w:t>
      </w:r>
      <w:r w:rsidRPr="001F2586">
        <w:rPr>
          <w:rFonts w:eastAsia="Calibri" w:hint="eastAsia"/>
          <w:rtl/>
        </w:rPr>
        <w:t>הייתה</w:t>
      </w:r>
      <w:r w:rsidRPr="001F2586">
        <w:rPr>
          <w:rFonts w:eastAsia="Calibri"/>
          <w:rtl/>
        </w:rPr>
        <w:t xml:space="preserve"> מפוקחת והתאגידים הבנקאיים היו רשאים לקבוע את השיעורים ואת תעריפי המינימום והמקסימום בעצמם.</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sz w:val="24"/>
          <w:rtl/>
        </w:rPr>
      </w:pPr>
      <w:r w:rsidRPr="001F2586">
        <w:rPr>
          <w:rFonts w:eastAsia="Calibri"/>
          <w:rtl/>
        </w:rPr>
        <w:t>ביום 22 ביוני 2022 פורסם ברשומות תיקון מס' 34 לחוק הבנקאות (שירות ללקוח), התשמ"א-1981 אשר</w:t>
      </w:r>
      <w:r w:rsidRPr="001F2586">
        <w:rPr>
          <w:rFonts w:eastAsia="Calibri" w:hint="cs"/>
          <w:rtl/>
        </w:rPr>
        <w:t xml:space="preserve"> תיקן את סעיף 9ז לחוק וקבע כי </w:t>
      </w:r>
      <w:r w:rsidRPr="001F2586">
        <w:rPr>
          <w:rFonts w:eastAsia="Calibri"/>
          <w:rtl/>
        </w:rPr>
        <w:t>תאגיד בנקאי רשאי לגבות עמלה בעד טיפול בבקשה להלוואה לדיור, כהגדרת הלוואה זו בסעיף 9ב לחוק, בתנאי כי העמלה שתגבה לא תעלה על סך של 360 שקלים חדשי</w:t>
      </w:r>
      <w:r w:rsidRPr="001F2586">
        <w:rPr>
          <w:rFonts w:eastAsia="Calibri" w:hint="eastAsia"/>
          <w:rtl/>
        </w:rPr>
        <w:t>ם</w:t>
      </w:r>
      <w:r w:rsidRPr="001F2586">
        <w:rPr>
          <w:rFonts w:eastAsia="Calibri"/>
          <w:rtl/>
        </w:rPr>
        <w:t xml:space="preserve">. </w:t>
      </w:r>
      <w:r w:rsidRPr="001F2586">
        <w:rPr>
          <w:rFonts w:eastAsia="Calibri" w:hint="cs"/>
          <w:sz w:val="24"/>
          <w:rtl/>
        </w:rPr>
        <w:t>"</w:t>
      </w:r>
      <w:r w:rsidRPr="001F2586">
        <w:rPr>
          <w:rFonts w:eastAsia="Calibri"/>
          <w:sz w:val="24"/>
          <w:rtl/>
        </w:rPr>
        <w:t xml:space="preserve">הלוואה לדיור" </w:t>
      </w:r>
      <w:r w:rsidRPr="001F2586">
        <w:rPr>
          <w:rFonts w:eastAsia="Calibri" w:hint="eastAsia"/>
          <w:sz w:val="24"/>
          <w:rtl/>
        </w:rPr>
        <w:t>מוגדרת</w:t>
      </w:r>
      <w:r w:rsidRPr="001F2586">
        <w:rPr>
          <w:rFonts w:eastAsia="Calibri"/>
          <w:sz w:val="24"/>
          <w:rtl/>
        </w:rPr>
        <w:t xml:space="preserve"> בסעיף 9ב כל אחד מאלה: (1) הלוואה שניתנה לשם רכישת דירת מגורים (2) הלוואה לדיור כהגדרתה בחוק הלוואות לדיור, התשנ"ב-1992.</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sz w:val="24"/>
          <w:rtl/>
        </w:rPr>
        <w:t xml:space="preserve">בעקבות שאלות שעלו מהתאגידים הבנקאים </w:t>
      </w:r>
      <w:r w:rsidRPr="001F2586">
        <w:rPr>
          <w:rFonts w:eastAsia="Calibri" w:hint="eastAsia"/>
          <w:sz w:val="24"/>
          <w:rtl/>
        </w:rPr>
        <w:t>ביולי</w:t>
      </w:r>
      <w:r w:rsidRPr="001F2586">
        <w:rPr>
          <w:rFonts w:eastAsia="Calibri"/>
          <w:sz w:val="24"/>
          <w:rtl/>
        </w:rPr>
        <w:t xml:space="preserve"> 2022 </w:t>
      </w:r>
      <w:r w:rsidRPr="001F2586">
        <w:rPr>
          <w:rFonts w:eastAsia="Calibri" w:hint="eastAsia"/>
          <w:sz w:val="24"/>
          <w:rtl/>
        </w:rPr>
        <w:t>פרסם</w:t>
      </w:r>
      <w:r w:rsidRPr="001F2586">
        <w:rPr>
          <w:rFonts w:eastAsia="Calibri"/>
          <w:sz w:val="24"/>
          <w:rtl/>
        </w:rPr>
        <w:t xml:space="preserve"> </w:t>
      </w:r>
      <w:r w:rsidRPr="001F2586">
        <w:rPr>
          <w:rFonts w:eastAsia="Calibri" w:hint="eastAsia"/>
          <w:sz w:val="24"/>
          <w:rtl/>
        </w:rPr>
        <w:t>בנק</w:t>
      </w:r>
      <w:r w:rsidRPr="001F2586">
        <w:rPr>
          <w:rFonts w:eastAsia="Calibri"/>
          <w:sz w:val="24"/>
          <w:rtl/>
        </w:rPr>
        <w:t xml:space="preserve"> ישראל </w:t>
      </w:r>
      <w:r w:rsidRPr="001F2586">
        <w:rPr>
          <w:rFonts w:eastAsia="Calibri" w:hint="eastAsia"/>
          <w:rtl/>
        </w:rPr>
        <w:t>מסמך</w:t>
      </w:r>
      <w:r w:rsidRPr="001F2586">
        <w:rPr>
          <w:rFonts w:eastAsia="Calibri"/>
          <w:rtl/>
        </w:rPr>
        <w:t xml:space="preserve"> </w:t>
      </w:r>
      <w:r w:rsidRPr="001F2586">
        <w:rPr>
          <w:rFonts w:eastAsia="Calibri" w:hint="eastAsia"/>
          <w:rtl/>
        </w:rPr>
        <w:t>הבהרה</w:t>
      </w:r>
      <w:r w:rsidRPr="001F2586">
        <w:rPr>
          <w:rFonts w:eastAsia="Calibri"/>
          <w:sz w:val="24"/>
          <w:rtl/>
        </w:rPr>
        <w:t xml:space="preserve"> בנושא. </w:t>
      </w:r>
      <w:r w:rsidRPr="001F2586">
        <w:rPr>
          <w:rFonts w:eastAsia="Calibri" w:hint="eastAsia"/>
          <w:sz w:val="24"/>
          <w:rtl/>
        </w:rPr>
        <w:t>במסמך</w:t>
      </w:r>
      <w:r w:rsidRPr="001F2586">
        <w:rPr>
          <w:rFonts w:eastAsia="Calibri"/>
          <w:sz w:val="24"/>
          <w:rtl/>
        </w:rPr>
        <w:t xml:space="preserve"> הבהיר בנק ישראל כי תיקון החוק חל ביחס לכל סוגי הלקוחות</w:t>
      </w:r>
      <w:r w:rsidRPr="001F2586">
        <w:rPr>
          <w:rFonts w:eastAsia="Calibri" w:hint="cs"/>
          <w:sz w:val="24"/>
          <w:rtl/>
        </w:rPr>
        <w:t xml:space="preserve"> של התאגידים הבנקאיים.</w:t>
      </w:r>
      <w:r w:rsidRPr="001F2586">
        <w:rPr>
          <w:rFonts w:eastAsia="Calibri"/>
          <w:sz w:val="24"/>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eastAsia"/>
          <w:rtl/>
        </w:rPr>
        <w:t>בדיון</w:t>
      </w:r>
      <w:r w:rsidRPr="001F2586">
        <w:rPr>
          <w:rFonts w:eastAsia="Calibri"/>
          <w:rtl/>
        </w:rPr>
        <w:t xml:space="preserve"> </w:t>
      </w:r>
      <w:r w:rsidRPr="001F2586">
        <w:rPr>
          <w:rFonts w:eastAsia="Calibri" w:hint="eastAsia"/>
          <w:rtl/>
        </w:rPr>
        <w:t>בוועדת</w:t>
      </w:r>
      <w:r w:rsidRPr="001F2586">
        <w:rPr>
          <w:rFonts w:eastAsia="Calibri"/>
          <w:rtl/>
        </w:rPr>
        <w:t xml:space="preserve"> </w:t>
      </w:r>
      <w:r w:rsidRPr="001F2586">
        <w:rPr>
          <w:rFonts w:eastAsia="Calibri" w:hint="eastAsia"/>
          <w:rtl/>
        </w:rPr>
        <w:t>הכלכלה</w:t>
      </w:r>
      <w:r w:rsidRPr="001F2586">
        <w:rPr>
          <w:rFonts w:eastAsia="Calibri"/>
          <w:rtl/>
        </w:rPr>
        <w:t xml:space="preserve"> </w:t>
      </w:r>
      <w:r w:rsidRPr="001F2586">
        <w:rPr>
          <w:rFonts w:eastAsia="Calibri" w:hint="eastAsia"/>
          <w:rtl/>
        </w:rPr>
        <w:t>בקריאה</w:t>
      </w:r>
      <w:r w:rsidRPr="001F2586">
        <w:rPr>
          <w:rFonts w:eastAsia="Calibri"/>
          <w:rtl/>
        </w:rPr>
        <w:t xml:space="preserve"> </w:t>
      </w:r>
      <w:r w:rsidRPr="001F2586">
        <w:rPr>
          <w:rFonts w:eastAsia="Calibri" w:hint="eastAsia"/>
          <w:rtl/>
        </w:rPr>
        <w:t>ראשונה</w:t>
      </w:r>
      <w:r>
        <w:rPr>
          <w:rFonts w:eastAsia="Calibri"/>
          <w:vertAlign w:val="superscript"/>
          <w:rtl/>
        </w:rPr>
        <w:footnoteReference w:id="451"/>
      </w:r>
      <w:r w:rsidRPr="001F2586">
        <w:rPr>
          <w:rFonts w:eastAsia="Calibri"/>
          <w:rtl/>
        </w:rPr>
        <w:t xml:space="preserve"> התריע בנק ישראל כי החלת המגבלה </w:t>
      </w:r>
      <w:r w:rsidRPr="001F2586">
        <w:rPr>
          <w:rFonts w:eastAsia="Calibri" w:hint="eastAsia"/>
          <w:rtl/>
        </w:rPr>
        <w:t>על</w:t>
      </w:r>
      <w:r w:rsidRPr="001F2586">
        <w:rPr>
          <w:rFonts w:eastAsia="Calibri"/>
          <w:rtl/>
        </w:rPr>
        <w:t xml:space="preserve"> תקרת העמלה על בנקים בלבד עלולה ליצור "ארביטראז' רגולטורי" (פער רגולטורי המנוצל לרעה). בעת הכנת הצעת החוק לקריאה השנייה ולקריאה השלישית </w:t>
      </w:r>
      <w:r w:rsidRPr="001F2586">
        <w:rPr>
          <w:rFonts w:eastAsia="Calibri" w:hint="eastAsia"/>
          <w:rtl/>
        </w:rPr>
        <w:t>דנה</w:t>
      </w:r>
      <w:r w:rsidRPr="001F2586">
        <w:rPr>
          <w:rFonts w:eastAsia="Calibri"/>
          <w:rtl/>
        </w:rPr>
        <w:t xml:space="preserve"> ועדת הכלכלה של הכנסת בהחלת ההסדר המוצע על גופים נוספים, חוץ</w:t>
      </w:r>
      <w:r w:rsidRPr="001F2586">
        <w:rPr>
          <w:rFonts w:eastAsia="Calibri" w:hint="cs"/>
          <w:rtl/>
        </w:rPr>
        <w:t xml:space="preserve"> </w:t>
      </w:r>
      <w:r w:rsidRPr="001F2586">
        <w:rPr>
          <w:rFonts w:eastAsia="Calibri"/>
          <w:rtl/>
        </w:rPr>
        <w:t>־</w:t>
      </w:r>
      <w:r w:rsidRPr="001F2586">
        <w:rPr>
          <w:rFonts w:eastAsia="Calibri" w:hint="cs"/>
          <w:rtl/>
        </w:rPr>
        <w:t xml:space="preserve"> </w:t>
      </w:r>
      <w:r w:rsidRPr="001F2586">
        <w:rPr>
          <w:rFonts w:eastAsia="Calibri"/>
          <w:rtl/>
        </w:rPr>
        <w:t>בנקאים, העוסקים במתן הלוואות לדיור.</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בעקבות כך תוקנו גם</w:t>
      </w:r>
      <w:r w:rsidRPr="001F2586">
        <w:rPr>
          <w:rFonts w:eastAsia="Calibri"/>
          <w:rtl/>
        </w:rPr>
        <w:t xml:space="preserve"> חוק הפיקוח על שירותים פיננסיים (ביטוח), </w:t>
      </w:r>
      <w:r w:rsidRPr="001F2586">
        <w:rPr>
          <w:rFonts w:eastAsia="Calibri" w:hint="eastAsia"/>
          <w:rtl/>
        </w:rPr>
        <w:t>חוק</w:t>
      </w:r>
      <w:r w:rsidRPr="001F2586">
        <w:rPr>
          <w:rFonts w:eastAsia="Calibri"/>
          <w:rtl/>
        </w:rPr>
        <w:t xml:space="preserve"> </w:t>
      </w:r>
      <w:r w:rsidRPr="001F2586">
        <w:rPr>
          <w:rFonts w:eastAsia="Calibri" w:hint="eastAsia"/>
          <w:rtl/>
        </w:rPr>
        <w:t>הפיקוח</w:t>
      </w:r>
      <w:r w:rsidRPr="001F2586">
        <w:rPr>
          <w:rFonts w:eastAsia="Calibri"/>
          <w:rtl/>
        </w:rPr>
        <w:t xml:space="preserve"> </w:t>
      </w:r>
      <w:r w:rsidRPr="001F2586">
        <w:rPr>
          <w:rFonts w:eastAsia="Calibri" w:hint="eastAsia"/>
          <w:rtl/>
        </w:rPr>
        <w:t>על</w:t>
      </w:r>
      <w:r w:rsidRPr="001F2586">
        <w:rPr>
          <w:rFonts w:eastAsia="Calibri"/>
          <w:rtl/>
        </w:rPr>
        <w:t xml:space="preserve"> </w:t>
      </w:r>
      <w:r w:rsidRPr="001F2586">
        <w:rPr>
          <w:rFonts w:eastAsia="Calibri" w:hint="eastAsia"/>
          <w:rtl/>
        </w:rPr>
        <w:t>שירותים</w:t>
      </w:r>
      <w:r w:rsidRPr="001F2586">
        <w:rPr>
          <w:rFonts w:eastAsia="Calibri"/>
          <w:rtl/>
        </w:rPr>
        <w:t xml:space="preserve"> </w:t>
      </w:r>
      <w:r w:rsidRPr="001F2586">
        <w:rPr>
          <w:rFonts w:eastAsia="Calibri" w:hint="eastAsia"/>
          <w:rtl/>
        </w:rPr>
        <w:t>פיננסים</w:t>
      </w:r>
      <w:r w:rsidRPr="001F2586">
        <w:rPr>
          <w:rFonts w:eastAsia="Calibri"/>
          <w:rtl/>
        </w:rPr>
        <w:t xml:space="preserve"> (קופות </w:t>
      </w:r>
      <w:r w:rsidRPr="001F2586">
        <w:rPr>
          <w:rFonts w:eastAsia="Calibri" w:hint="eastAsia"/>
          <w:rtl/>
        </w:rPr>
        <w:t>גמל</w:t>
      </w:r>
      <w:r w:rsidRPr="001F2586">
        <w:rPr>
          <w:rFonts w:eastAsia="Calibri"/>
          <w:rtl/>
        </w:rPr>
        <w:t xml:space="preserve">) </w:t>
      </w:r>
      <w:r w:rsidRPr="001F2586">
        <w:rPr>
          <w:rFonts w:eastAsia="Calibri" w:hint="eastAsia"/>
          <w:rtl/>
        </w:rPr>
        <w:t>וחוק</w:t>
      </w:r>
      <w:r w:rsidRPr="001F2586">
        <w:rPr>
          <w:rFonts w:eastAsia="Calibri"/>
          <w:rtl/>
        </w:rPr>
        <w:t xml:space="preserve"> </w:t>
      </w:r>
      <w:r w:rsidRPr="001F2586">
        <w:rPr>
          <w:rFonts w:eastAsia="Calibri" w:hint="eastAsia"/>
          <w:rtl/>
        </w:rPr>
        <w:t>הפיקוח</w:t>
      </w:r>
      <w:r w:rsidRPr="001F2586">
        <w:rPr>
          <w:rFonts w:eastAsia="Calibri"/>
          <w:rtl/>
        </w:rPr>
        <w:t xml:space="preserve"> </w:t>
      </w:r>
      <w:r w:rsidRPr="001F2586">
        <w:rPr>
          <w:rFonts w:eastAsia="Calibri" w:hint="eastAsia"/>
          <w:rtl/>
        </w:rPr>
        <w:t>על</w:t>
      </w:r>
      <w:r w:rsidRPr="001F2586">
        <w:rPr>
          <w:rFonts w:eastAsia="Calibri"/>
          <w:rtl/>
        </w:rPr>
        <w:t xml:space="preserve"> </w:t>
      </w:r>
      <w:r w:rsidRPr="001F2586">
        <w:rPr>
          <w:rFonts w:eastAsia="Calibri" w:hint="eastAsia"/>
          <w:rtl/>
        </w:rPr>
        <w:t>שירותים</w:t>
      </w:r>
      <w:r w:rsidRPr="001F2586">
        <w:rPr>
          <w:rFonts w:eastAsia="Calibri"/>
          <w:rtl/>
        </w:rPr>
        <w:t xml:space="preserve"> </w:t>
      </w:r>
      <w:r w:rsidRPr="001F2586">
        <w:rPr>
          <w:rFonts w:eastAsia="Calibri" w:hint="eastAsia"/>
          <w:rtl/>
        </w:rPr>
        <w:t>פיננסים</w:t>
      </w:r>
      <w:r w:rsidRPr="001F2586">
        <w:rPr>
          <w:rFonts w:eastAsia="Calibri"/>
          <w:rtl/>
        </w:rPr>
        <w:t xml:space="preserve"> (שירותים </w:t>
      </w:r>
      <w:r w:rsidRPr="001F2586">
        <w:rPr>
          <w:rFonts w:eastAsia="Calibri" w:hint="eastAsia"/>
          <w:rtl/>
        </w:rPr>
        <w:t>פיננסים</w:t>
      </w:r>
      <w:r w:rsidRPr="001F2586">
        <w:rPr>
          <w:rFonts w:eastAsia="Calibri"/>
          <w:rtl/>
        </w:rPr>
        <w:t xml:space="preserve"> </w:t>
      </w:r>
      <w:r w:rsidRPr="001F2586">
        <w:rPr>
          <w:rFonts w:eastAsia="Calibri" w:hint="eastAsia"/>
          <w:rtl/>
        </w:rPr>
        <w:t>מוסדרים</w:t>
      </w:r>
      <w:r w:rsidRPr="001F2586">
        <w:rPr>
          <w:rFonts w:eastAsia="Calibri"/>
          <w:rtl/>
        </w:rPr>
        <w:t xml:space="preserve">). </w:t>
      </w:r>
      <w:r w:rsidRPr="001F2586">
        <w:rPr>
          <w:rFonts w:eastAsia="Calibri" w:hint="eastAsia"/>
          <w:rtl/>
        </w:rPr>
        <w:t>בכל</w:t>
      </w:r>
      <w:r w:rsidRPr="001F2586">
        <w:rPr>
          <w:rFonts w:eastAsia="Calibri"/>
          <w:rtl/>
        </w:rPr>
        <w:t xml:space="preserve"> </w:t>
      </w:r>
      <w:r w:rsidRPr="001F2586">
        <w:rPr>
          <w:rFonts w:eastAsia="Calibri" w:hint="eastAsia"/>
          <w:rtl/>
        </w:rPr>
        <w:t>שלושת</w:t>
      </w:r>
      <w:r w:rsidRPr="001F2586">
        <w:rPr>
          <w:rFonts w:eastAsia="Calibri"/>
          <w:rtl/>
        </w:rPr>
        <w:t xml:space="preserve"> </w:t>
      </w:r>
      <w:r w:rsidRPr="001F2586">
        <w:rPr>
          <w:rFonts w:eastAsia="Calibri" w:hint="eastAsia"/>
          <w:rtl/>
        </w:rPr>
        <w:t>החוקים</w:t>
      </w:r>
      <w:r w:rsidRPr="001F2586">
        <w:rPr>
          <w:rFonts w:eastAsia="Calibri"/>
          <w:rtl/>
        </w:rPr>
        <w:t xml:space="preserve"> </w:t>
      </w:r>
      <w:r w:rsidRPr="001F2586">
        <w:rPr>
          <w:rFonts w:eastAsia="Calibri" w:hint="eastAsia"/>
          <w:rtl/>
        </w:rPr>
        <w:t>האמורים</w:t>
      </w:r>
      <w:r w:rsidRPr="001F2586">
        <w:rPr>
          <w:rFonts w:eastAsia="Calibri"/>
          <w:rtl/>
        </w:rPr>
        <w:t xml:space="preserve">, הוגבלה העמלה בעד טיפול בבקשה להלוואה לדיור. </w:t>
      </w:r>
      <w:r w:rsidRPr="001F2586">
        <w:rPr>
          <w:rFonts w:eastAsia="Calibri" w:hint="eastAsia"/>
          <w:rtl/>
        </w:rPr>
        <w:t>שלושת</w:t>
      </w:r>
      <w:r w:rsidRPr="001F2586">
        <w:rPr>
          <w:rFonts w:eastAsia="Calibri"/>
          <w:rtl/>
        </w:rPr>
        <w:t xml:space="preserve"> התיקונים לחוקים האמורים קובעים כי "הלוואה לדיור" </w:t>
      </w:r>
      <w:r w:rsidRPr="001F2586">
        <w:rPr>
          <w:rFonts w:eastAsia="Calibri" w:hint="cs"/>
          <w:rtl/>
        </w:rPr>
        <w:t>-</w:t>
      </w:r>
      <w:r w:rsidRPr="001F2586">
        <w:rPr>
          <w:rFonts w:eastAsia="Calibri"/>
          <w:rtl/>
        </w:rPr>
        <w:t xml:space="preserve"> הלוואה לשם רכישת דירה יחידה כהגדרתה בסעיף 9א1(ד) לחוק הבנקאות (שירות ללקוח), התשמ"א-1981. כלומר, תיקון החקיקה שחל על הגופים החוץ בנקאיים מגביל את העמלה לפתיחת תיק משכנתא רק לדירה ראשונה וזאת בניגוד לבנקים שם תיקון החקיקה חל על כלל ההלוואות לדיור.</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eastAsia"/>
          <w:rtl/>
        </w:rPr>
        <w:t>כך</w:t>
      </w:r>
      <w:r w:rsidRPr="001F2586">
        <w:rPr>
          <w:rFonts w:eastAsia="Calibri"/>
          <w:rtl/>
        </w:rPr>
        <w:t xml:space="preserve"> שלמעשה, השפעת תיקון החקיקה על </w:t>
      </w:r>
      <w:r w:rsidRPr="001F2586">
        <w:rPr>
          <w:rFonts w:eastAsia="Calibri" w:hint="eastAsia"/>
          <w:rtl/>
        </w:rPr>
        <w:t>לוקחי</w:t>
      </w:r>
      <w:r w:rsidRPr="001F2586">
        <w:rPr>
          <w:rFonts w:eastAsia="Calibri"/>
          <w:rtl/>
        </w:rPr>
        <w:t xml:space="preserve"> המשכנתא בגופים החוץ בנקאיים זניחה שכן רוב האשראי לדיור בגופים החוץ-בנקאיים </w:t>
      </w:r>
      <w:r w:rsidRPr="001F2586">
        <w:rPr>
          <w:rFonts w:eastAsia="Calibri" w:hint="cs"/>
          <w:rtl/>
        </w:rPr>
        <w:t xml:space="preserve">ניתן </w:t>
      </w:r>
      <w:r w:rsidRPr="001F2586">
        <w:rPr>
          <w:rFonts w:eastAsia="Calibri"/>
          <w:rtl/>
        </w:rPr>
        <w:t xml:space="preserve">ללווים </w:t>
      </w:r>
      <w:r w:rsidRPr="001F2586">
        <w:rPr>
          <w:rFonts w:eastAsia="Calibri" w:hint="eastAsia"/>
          <w:rtl/>
        </w:rPr>
        <w:t>שאינם</w:t>
      </w:r>
      <w:r w:rsidRPr="001F2586">
        <w:rPr>
          <w:rFonts w:eastAsia="Calibri"/>
          <w:rtl/>
        </w:rPr>
        <w:t xml:space="preserve"> </w:t>
      </w:r>
      <w:r w:rsidRPr="001F2586">
        <w:rPr>
          <w:rFonts w:eastAsia="Calibri" w:hint="eastAsia"/>
          <w:rtl/>
        </w:rPr>
        <w:t>רוכשי</w:t>
      </w:r>
      <w:r w:rsidRPr="001F2586">
        <w:rPr>
          <w:rFonts w:eastAsia="Calibri"/>
          <w:rtl/>
        </w:rPr>
        <w:t xml:space="preserve"> דירה ראשונה.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b/>
          <w:bCs/>
          <w:rtl/>
        </w:rPr>
        <w:t>בבחינת נתוני חברות נבחרות עלה כי חברה א גובה עמלת פתיחת תיק בשיעור של 1%</w:t>
      </w:r>
      <w:r w:rsidRPr="001F2586">
        <w:rPr>
          <w:rFonts w:eastAsia="Calibri"/>
          <w:b/>
          <w:bCs/>
        </w:rPr>
        <w:t xml:space="preserve"> </w:t>
      </w:r>
      <w:r w:rsidRPr="001F2586">
        <w:rPr>
          <w:rFonts w:eastAsia="Calibri"/>
          <w:b/>
          <w:bCs/>
          <w:rtl/>
        </w:rPr>
        <w:t>מגובה ההלוואה</w:t>
      </w:r>
      <w:r w:rsidRPr="001F2586">
        <w:rPr>
          <w:rFonts w:eastAsia="Calibri"/>
          <w:b/>
          <w:bCs/>
        </w:rPr>
        <w:t>.</w:t>
      </w:r>
      <w:r w:rsidRPr="001F2586">
        <w:rPr>
          <w:rFonts w:eastAsia="Calibri"/>
          <w:b/>
          <w:bCs/>
          <w:rtl/>
        </w:rPr>
        <w:t xml:space="preserve"> חברה </w:t>
      </w:r>
      <w:r w:rsidRPr="001F2586">
        <w:rPr>
          <w:rFonts w:eastAsia="Calibri" w:hint="eastAsia"/>
          <w:b/>
          <w:bCs/>
          <w:rtl/>
        </w:rPr>
        <w:t>מ</w:t>
      </w:r>
      <w:r w:rsidRPr="001F2586">
        <w:rPr>
          <w:rFonts w:eastAsia="Calibri"/>
          <w:b/>
          <w:bCs/>
          <w:rtl/>
        </w:rPr>
        <w:t>' גובה עמלה של 0.5%</w:t>
      </w:r>
      <w:r w:rsidRPr="001F2586">
        <w:rPr>
          <w:rFonts w:eastAsia="Calibri"/>
          <w:b/>
          <w:bCs/>
        </w:rPr>
        <w:t xml:space="preserve"> </w:t>
      </w:r>
      <w:r w:rsidRPr="001F2586">
        <w:rPr>
          <w:rFonts w:eastAsia="Calibri"/>
          <w:b/>
          <w:bCs/>
          <w:rtl/>
        </w:rPr>
        <w:t>עם רף מקסימלי של 25,000 ש"ח</w:t>
      </w:r>
      <w:r w:rsidRPr="001F2586">
        <w:rPr>
          <w:rFonts w:eastAsia="Calibri"/>
          <w:b/>
          <w:bCs/>
        </w:rPr>
        <w:t>.</w:t>
      </w:r>
      <w:r w:rsidRPr="001F2586">
        <w:rPr>
          <w:rFonts w:eastAsia="Calibri"/>
          <w:b/>
          <w:bCs/>
          <w:rtl/>
        </w:rPr>
        <w:t xml:space="preserve"> מדובר בפער של אלפי אחוזים לעומת העמלה המפוקחת במערכת הבנקאית</w:t>
      </w:r>
      <w:r w:rsidRPr="001F2586">
        <w:rPr>
          <w:rFonts w:eastAsia="Calibri"/>
          <w:b/>
          <w:bCs/>
        </w:rPr>
        <w:t xml:space="preserve"> </w:t>
      </w:r>
      <w:r w:rsidRPr="001F2586">
        <w:rPr>
          <w:rFonts w:eastAsia="Calibri" w:hint="cs"/>
          <w:b/>
          <w:bCs/>
          <w:rtl/>
        </w:rPr>
        <w:t>שיכולה לעמוד על מקסימום של 360 ש"ח</w:t>
      </w:r>
      <w:r w:rsidRPr="001F2586">
        <w:rPr>
          <w:rFonts w:eastAsia="Calibri"/>
          <w:b/>
          <w:bCs/>
        </w:rPr>
        <w:t>.</w:t>
      </w:r>
      <w:r w:rsidRPr="001F2586">
        <w:rPr>
          <w:rFonts w:eastAsia="Calibri"/>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b/>
          <w:bCs/>
          <w:rtl/>
        </w:rPr>
        <w:t xml:space="preserve">בניגוד למערכת הבנקאית, הכפופה </w:t>
      </w:r>
      <w:r w:rsidRPr="001F2586">
        <w:rPr>
          <w:rFonts w:eastAsia="Calibri" w:hint="cs"/>
          <w:b/>
          <w:bCs/>
          <w:rtl/>
        </w:rPr>
        <w:t>להנחיות בנק ישראל</w:t>
      </w:r>
      <w:r w:rsidRPr="001F2586">
        <w:rPr>
          <w:rFonts w:eastAsia="Calibri"/>
          <w:b/>
          <w:bCs/>
          <w:rtl/>
        </w:rPr>
        <w:t xml:space="preserve"> ולחובת פרסום תעריפ</w:t>
      </w:r>
      <w:r w:rsidRPr="001F2586">
        <w:rPr>
          <w:rFonts w:eastAsia="Calibri" w:hint="cs"/>
          <w:b/>
          <w:bCs/>
          <w:rtl/>
        </w:rPr>
        <w:t>י עמלות</w:t>
      </w:r>
      <w:r>
        <w:rPr>
          <w:rFonts w:eastAsia="Calibri"/>
          <w:b/>
          <w:bCs/>
          <w:vertAlign w:val="superscript"/>
          <w:rtl/>
        </w:rPr>
        <w:footnoteReference w:id="452"/>
      </w:r>
      <w:r w:rsidRPr="001F2586">
        <w:rPr>
          <w:rFonts w:eastAsia="Calibri"/>
          <w:b/>
          <w:bCs/>
          <w:rtl/>
        </w:rPr>
        <w:t>, בשוק החוץ-בנקאי קיים חוסר בשקיפות נאותה</w:t>
      </w:r>
      <w:r w:rsidRPr="001F2586">
        <w:rPr>
          <w:rFonts w:eastAsia="Calibri" w:hint="cs"/>
          <w:b/>
          <w:bCs/>
          <w:rtl/>
        </w:rPr>
        <w:t xml:space="preserve"> </w:t>
      </w:r>
      <w:r w:rsidRPr="001F2586">
        <w:rPr>
          <w:rFonts w:eastAsia="Calibri" w:hint="eastAsia"/>
          <w:b/>
          <w:bCs/>
          <w:rtl/>
        </w:rPr>
        <w:t>בעמלת</w:t>
      </w:r>
      <w:r w:rsidRPr="001F2586">
        <w:rPr>
          <w:rFonts w:eastAsia="Calibri"/>
          <w:b/>
          <w:bCs/>
          <w:rtl/>
        </w:rPr>
        <w:t xml:space="preserve"> </w:t>
      </w:r>
      <w:r w:rsidRPr="001F2586">
        <w:rPr>
          <w:rFonts w:eastAsia="Calibri" w:hint="eastAsia"/>
          <w:b/>
          <w:bCs/>
          <w:rtl/>
        </w:rPr>
        <w:t>פתיחת</w:t>
      </w:r>
      <w:r w:rsidRPr="001F2586">
        <w:rPr>
          <w:rFonts w:eastAsia="Calibri"/>
          <w:b/>
          <w:bCs/>
          <w:rtl/>
        </w:rPr>
        <w:t xml:space="preserve"> </w:t>
      </w:r>
      <w:r w:rsidRPr="001F2586">
        <w:rPr>
          <w:rFonts w:eastAsia="Calibri" w:hint="eastAsia"/>
          <w:b/>
          <w:bCs/>
          <w:rtl/>
        </w:rPr>
        <w:t>תיק</w:t>
      </w:r>
      <w:r w:rsidRPr="001F2586">
        <w:rPr>
          <w:rFonts w:eastAsia="Calibri" w:hint="cs"/>
          <w:b/>
          <w:bCs/>
          <w:rtl/>
        </w:rPr>
        <w:t xml:space="preserve"> שכן לא קיימת חובה לפרסם תעריפון כפי שהבנקים מחויבים</w:t>
      </w:r>
      <w:r w:rsidRPr="001F2586">
        <w:rPr>
          <w:rFonts w:eastAsia="Calibri"/>
          <w:b/>
          <w:bCs/>
          <w:rtl/>
        </w:rPr>
        <w:t xml:space="preserve">. לווים רבים אינם מקבלים מידע השוואתי זמין על גובה העמלות טרם הגשת הבקשה. יתרה מכך, בעוד שבבנקים עמלת פתיחת התיק משוקללת בחישוב הריבית האפקטיבית המוצגת ללקוח, בגופים חוץ-בנקאיים רבים לא קיים מנגנון אחיד המאפשר ללווה להבין את ההשפעה של </w:t>
      </w:r>
      <w:r w:rsidRPr="001F2586">
        <w:rPr>
          <w:rFonts w:eastAsia="Calibri" w:hint="cs"/>
          <w:b/>
          <w:bCs/>
          <w:rtl/>
        </w:rPr>
        <w:t>העמלה</w:t>
      </w:r>
      <w:r w:rsidRPr="001F2586">
        <w:rPr>
          <w:rFonts w:eastAsia="Calibri"/>
          <w:b/>
          <w:bCs/>
          <w:rtl/>
        </w:rPr>
        <w:t xml:space="preserve"> </w:t>
      </w:r>
      <w:r w:rsidRPr="001F2586">
        <w:rPr>
          <w:rFonts w:eastAsia="Calibri" w:hint="cs"/>
          <w:b/>
          <w:bCs/>
          <w:rtl/>
        </w:rPr>
        <w:t>שכן אין חובה להציג את</w:t>
      </w:r>
      <w:r w:rsidRPr="001F2586">
        <w:rPr>
          <w:rFonts w:eastAsia="Calibri"/>
          <w:b/>
          <w:bCs/>
          <w:rtl/>
        </w:rPr>
        <w:t xml:space="preserve"> העלות הכוללת של האשראי</w:t>
      </w:r>
      <w:r w:rsidRPr="001F2586">
        <w:rPr>
          <w:rFonts w:eastAsia="Calibri"/>
          <w:b/>
          <w:bCs/>
        </w:rPr>
        <w:t>.</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eastAsia"/>
          <w:b/>
          <w:bCs/>
          <w:rtl/>
        </w:rPr>
        <w:t>משרד</w:t>
      </w:r>
      <w:r w:rsidRPr="001F2586">
        <w:rPr>
          <w:rFonts w:eastAsia="Calibri"/>
          <w:b/>
          <w:bCs/>
          <w:rtl/>
        </w:rPr>
        <w:t xml:space="preserve"> </w:t>
      </w:r>
      <w:r w:rsidRPr="001F2586">
        <w:rPr>
          <w:rFonts w:eastAsia="Calibri" w:hint="eastAsia"/>
          <w:b/>
          <w:bCs/>
          <w:rtl/>
        </w:rPr>
        <w:t>מבקר</w:t>
      </w:r>
      <w:r w:rsidRPr="001F2586">
        <w:rPr>
          <w:rFonts w:eastAsia="Calibri"/>
          <w:b/>
          <w:bCs/>
          <w:rtl/>
        </w:rPr>
        <w:t xml:space="preserve"> </w:t>
      </w:r>
      <w:r w:rsidRPr="001F2586">
        <w:rPr>
          <w:rFonts w:eastAsia="Calibri" w:hint="eastAsia"/>
          <w:b/>
          <w:bCs/>
          <w:rtl/>
        </w:rPr>
        <w:t>המדינה</w:t>
      </w:r>
      <w:r w:rsidRPr="001F2586">
        <w:rPr>
          <w:rFonts w:eastAsia="Calibri"/>
          <w:b/>
          <w:bCs/>
          <w:rtl/>
        </w:rPr>
        <w:t xml:space="preserve"> </w:t>
      </w:r>
      <w:r w:rsidRPr="001F2586">
        <w:rPr>
          <w:rFonts w:eastAsia="Calibri" w:hint="eastAsia"/>
          <w:b/>
          <w:bCs/>
          <w:rtl/>
        </w:rPr>
        <w:t>ממליץ</w:t>
      </w:r>
      <w:r w:rsidRPr="001F2586">
        <w:rPr>
          <w:rFonts w:eastAsia="Calibri"/>
          <w:b/>
          <w:bCs/>
          <w:rtl/>
        </w:rPr>
        <w:t xml:space="preserve"> </w:t>
      </w:r>
      <w:r w:rsidRPr="001F2586">
        <w:rPr>
          <w:rFonts w:eastAsia="Calibri" w:hint="cs"/>
          <w:b/>
          <w:bCs/>
          <w:rtl/>
        </w:rPr>
        <w:t>ל</w:t>
      </w:r>
      <w:r w:rsidRPr="001F2586">
        <w:rPr>
          <w:rFonts w:eastAsia="Calibri"/>
          <w:b/>
          <w:bCs/>
          <w:rtl/>
        </w:rPr>
        <w:t xml:space="preserve">רשות שוק ההון, ביטוח וחיסכון </w:t>
      </w:r>
      <w:r w:rsidRPr="001F2586">
        <w:rPr>
          <w:rFonts w:eastAsia="Calibri" w:hint="cs"/>
          <w:b/>
          <w:bCs/>
          <w:rtl/>
        </w:rPr>
        <w:t>להגביר את</w:t>
      </w:r>
      <w:r w:rsidRPr="001F2586">
        <w:rPr>
          <w:rFonts w:eastAsia="Calibri"/>
          <w:b/>
          <w:bCs/>
          <w:rtl/>
        </w:rPr>
        <w:t xml:space="preserve"> השקיפות והפיקוח בשוק ההלוואות לדיור החוץ-בנקאיות. כך למשל, </w:t>
      </w:r>
      <w:r w:rsidRPr="001F2586">
        <w:rPr>
          <w:rFonts w:eastAsia="Calibri" w:hint="cs"/>
          <w:b/>
          <w:bCs/>
          <w:rtl/>
        </w:rPr>
        <w:t xml:space="preserve">מומלץ </w:t>
      </w:r>
      <w:r w:rsidRPr="001F2586">
        <w:rPr>
          <w:rFonts w:eastAsia="Calibri"/>
          <w:b/>
          <w:bCs/>
          <w:rtl/>
        </w:rPr>
        <w:t>לשקול להשית את החובה על גופים על גופים חוץ-בנקאיים לפרסם תעריפון עמלות שקוף ונגיש לציבור, בדומה למקובל במערכת הבנקאית</w:t>
      </w:r>
      <w:r w:rsidRPr="001F2586">
        <w:rPr>
          <w:rFonts w:eastAsia="Calibri"/>
          <w:b/>
          <w:bCs/>
        </w:rPr>
        <w:t>.</w:t>
      </w:r>
      <w:r w:rsidRPr="001F2586">
        <w:rPr>
          <w:rFonts w:eastAsia="Calibri" w:hint="cs"/>
          <w:b/>
          <w:bCs/>
          <w:rtl/>
        </w:rPr>
        <w:t xml:space="preserve"> כמו כן, מומלץ </w:t>
      </w:r>
      <w:r w:rsidRPr="001F2586">
        <w:rPr>
          <w:rFonts w:eastAsia="Calibri"/>
          <w:b/>
          <w:bCs/>
          <w:rtl/>
        </w:rPr>
        <w:t>לוודא כי כל גוף מלווה יציג ללקוח את העלות הכוללת של ההלוואה, הכוללת את עמלת פתיחת התיק בחישוב הריבית האפקטיבית, כדי למנוע הטעיה של לווים</w:t>
      </w:r>
      <w:r w:rsidRPr="001F2586">
        <w:rPr>
          <w:rFonts w:eastAsia="Calibri"/>
          <w:b/>
          <w:bCs/>
        </w:rPr>
        <w:t>.</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Pr>
      </w:pPr>
      <w:r w:rsidRPr="001F2586">
        <w:rPr>
          <w:rFonts w:eastAsia="Calibri" w:hint="eastAsia"/>
          <w:rtl/>
        </w:rPr>
        <w:t>רשות</w:t>
      </w:r>
      <w:r w:rsidRPr="001F2586">
        <w:rPr>
          <w:rFonts w:eastAsia="Calibri"/>
          <w:rtl/>
        </w:rPr>
        <w:t xml:space="preserve"> שוק ההון ציינה בתשובתה כי "...חלק מההמלצות בנוגע לפרסום הוראות מאסדר שמוזכרות בטיוטת הדוח כבר פורסמו על ידי הרשות או שמתוכננות להתפרסם".</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cs"/>
          <w:b/>
          <w:bCs/>
          <w:rtl/>
        </w:rPr>
        <w:t xml:space="preserve">עוד </w:t>
      </w:r>
      <w:r w:rsidRPr="001F2586">
        <w:rPr>
          <w:rFonts w:eastAsia="Calibri"/>
          <w:b/>
          <w:bCs/>
          <w:rtl/>
        </w:rPr>
        <w:t>מומלץ כי משרד האוצר ורשות שוק ההון יבחנו את הצורך בהרחבת</w:t>
      </w:r>
      <w:r w:rsidRPr="001F2586">
        <w:rPr>
          <w:rFonts w:eastAsia="Calibri" w:hint="cs"/>
          <w:b/>
          <w:bCs/>
          <w:rtl/>
        </w:rPr>
        <w:t xml:space="preserve"> </w:t>
      </w:r>
      <w:r w:rsidRPr="001F2586">
        <w:rPr>
          <w:rFonts w:eastAsia="Calibri"/>
          <w:b/>
          <w:bCs/>
          <w:rtl/>
        </w:rPr>
        <w:t xml:space="preserve">תקרת העמלה </w:t>
      </w:r>
      <w:r w:rsidRPr="001F2586">
        <w:rPr>
          <w:rFonts w:eastAsia="Calibri" w:hint="eastAsia"/>
          <w:b/>
          <w:bCs/>
          <w:rtl/>
        </w:rPr>
        <w:t>בגופים</w:t>
      </w:r>
      <w:r w:rsidRPr="001F2586">
        <w:rPr>
          <w:rFonts w:eastAsia="Calibri"/>
          <w:b/>
          <w:bCs/>
          <w:rtl/>
        </w:rPr>
        <w:t xml:space="preserve"> </w:t>
      </w:r>
      <w:r w:rsidRPr="001F2586">
        <w:rPr>
          <w:rFonts w:eastAsia="Calibri" w:hint="eastAsia"/>
          <w:b/>
          <w:bCs/>
          <w:rtl/>
        </w:rPr>
        <w:t>החוץ</w:t>
      </w:r>
      <w:r w:rsidRPr="001F2586">
        <w:rPr>
          <w:rFonts w:eastAsia="Calibri"/>
          <w:b/>
          <w:bCs/>
          <w:rtl/>
        </w:rPr>
        <w:t xml:space="preserve"> </w:t>
      </w:r>
      <w:r w:rsidRPr="001F2586">
        <w:rPr>
          <w:rFonts w:eastAsia="Calibri" w:hint="eastAsia"/>
          <w:b/>
          <w:bCs/>
          <w:rtl/>
        </w:rPr>
        <w:t>בנקאיים</w:t>
      </w:r>
      <w:r w:rsidRPr="001F2586">
        <w:rPr>
          <w:rFonts w:eastAsia="Calibri" w:hint="cs"/>
          <w:b/>
          <w:bCs/>
          <w:rtl/>
        </w:rPr>
        <w:t xml:space="preserve"> גם</w:t>
      </w:r>
      <w:r w:rsidRPr="001F2586">
        <w:rPr>
          <w:rFonts w:eastAsia="Calibri"/>
          <w:b/>
          <w:bCs/>
          <w:rtl/>
        </w:rPr>
        <w:t xml:space="preserve"> לסוגי הלוואות נוספים או לקהלי יעד נוספים, במטרה למנוע גביית עמלות מופרזות מלווים המצויים בעמדת מיקוח נחותה</w:t>
      </w:r>
      <w:r w:rsidRPr="001F2586">
        <w:rPr>
          <w:rFonts w:eastAsia="Calibri"/>
          <w:b/>
          <w:bCs/>
        </w:rPr>
        <w:t>.</w:t>
      </w:r>
    </w:p>
    <w:p w:rsidR="00E85EB9" w:rsidP="001F2586">
      <w:pPr>
        <w:spacing w:line="269" w:lineRule="auto"/>
        <w:rPr>
          <w:rFonts w:eastAsia="Calibri"/>
          <w:rtl/>
        </w:rPr>
      </w:pPr>
      <w:r w:rsidRPr="001F2586">
        <w:rPr>
          <w:rFonts w:eastAsia="Calibri"/>
          <w:rtl/>
        </w:rPr>
        <w:tab/>
      </w:r>
    </w:p>
    <w:p w:rsidR="001F2586" w:rsidRPr="001F2586" w:rsidP="00E85EB9">
      <w:pPr>
        <w:bidi w:val="0"/>
        <w:spacing w:after="200" w:line="276" w:lineRule="auto"/>
        <w:rPr>
          <w:rFonts w:eastAsia="Calibri"/>
          <w:rtl/>
        </w:rPr>
      </w:pPr>
      <w:r>
        <w:rPr>
          <w:rFonts w:eastAsia="Calibri"/>
          <w:rtl/>
        </w:rPr>
        <w:br w:type="page"/>
      </w:r>
    </w:p>
    <w:p w:rsidR="001F2586" w:rsidRPr="001F2586" w:rsidP="001F2586">
      <w:pPr>
        <w:keepNext/>
        <w:keepLines/>
        <w:numPr>
          <w:ilvl w:val="0"/>
          <w:numId w:val="29"/>
        </w:numPr>
        <w:spacing w:line="269" w:lineRule="auto"/>
        <w:outlineLvl w:val="4"/>
        <w:rPr>
          <w:rFonts w:eastAsia="Times New Roman"/>
          <w:bCs/>
          <w:spacing w:val="40"/>
          <w:rtl/>
        </w:rPr>
      </w:pPr>
      <w:r w:rsidRPr="001F2586">
        <w:rPr>
          <w:rFonts w:eastAsia="Times New Roman" w:hint="cs"/>
          <w:bCs/>
          <w:spacing w:val="40"/>
          <w:rtl/>
        </w:rPr>
        <w:t xml:space="preserve">השוואת עלויות בין משכנתאות חוץ בנקאיות </w:t>
      </w:r>
    </w:p>
    <w:p w:rsidR="001F2586" w:rsidRPr="001F2586" w:rsidP="001F2586">
      <w:pPr>
        <w:spacing w:line="269" w:lineRule="auto"/>
        <w:ind w:left="-567"/>
        <w:rPr>
          <w:rFonts w:eastAsia="Calibri"/>
          <w:szCs w:val="20"/>
          <w:rtl/>
        </w:rPr>
      </w:pPr>
    </w:p>
    <w:p w:rsidR="001F2586" w:rsidP="001F2586">
      <w:pPr>
        <w:spacing w:line="269" w:lineRule="auto"/>
        <w:ind w:left="312"/>
        <w:rPr>
          <w:rFonts w:eastAsia="Calibri"/>
          <w:rtl/>
        </w:rPr>
      </w:pPr>
      <w:r w:rsidRPr="001F2586">
        <w:rPr>
          <w:rFonts w:eastAsia="Calibri" w:hint="cs"/>
          <w:rtl/>
        </w:rPr>
        <w:t>בשנת 2021 פרסמה רשות התחרות דוח מחקר</w:t>
      </w:r>
      <w:r>
        <w:rPr>
          <w:rFonts w:eastAsia="Calibri"/>
          <w:vertAlign w:val="superscript"/>
          <w:rtl/>
        </w:rPr>
        <w:footnoteReference w:id="453"/>
      </w:r>
      <w:r w:rsidRPr="001F2586">
        <w:rPr>
          <w:rFonts w:eastAsia="Calibri" w:hint="cs"/>
          <w:rtl/>
        </w:rPr>
        <w:t xml:space="preserve"> בנושא המחירים ופערי המידע בשוק המשכנתאות. ממצאי המחקר מלמדים כי </w:t>
      </w:r>
      <w:r w:rsidRPr="001F2586">
        <w:rPr>
          <w:rFonts w:eastAsia="Calibri" w:hint="cs"/>
          <w:rtl/>
        </w:rPr>
        <w:t>לנוטלי</w:t>
      </w:r>
      <w:r w:rsidRPr="001F2586">
        <w:rPr>
          <w:rFonts w:eastAsia="Calibri" w:hint="cs"/>
          <w:rtl/>
        </w:rPr>
        <w:t xml:space="preserve"> ההלוואו</w:t>
      </w:r>
      <w:r w:rsidRPr="001F2586">
        <w:rPr>
          <w:rFonts w:eastAsia="Calibri" w:hint="eastAsia"/>
          <w:rtl/>
        </w:rPr>
        <w:t>ת</w:t>
      </w:r>
      <w:r w:rsidRPr="001F2586">
        <w:rPr>
          <w:rFonts w:eastAsia="Calibri" w:hint="cs"/>
          <w:rtl/>
        </w:rPr>
        <w:t xml:space="preserve"> קשה להשוות הצעות מחיר של בנקים שונים ולקבל את התנאים המשתלמים ביותר עבורם. רשות התחרות המליצה על יצירת התנאים שיקלו על הלווים לקבל מספר הצעות מחיר לפני לקיחת המשכנתא, וכן יקלו עליהם להשוות בין ההצעות השונות. עוד המליצה רשות התחרות כי יש לשפר את הליך קבלת הצעת המחיר באמצעות אישורים עקרוניים, כך שלווים יוכלו להגיש בקשות ולקבל הצעות מחיר עבור התמהיל שבחרו ובהתאם למאפיינים שלהם - הכול באופן מקוון. </w:t>
      </w:r>
    </w:p>
    <w:p w:rsidR="00E85EB9" w:rsidRPr="001F2586" w:rsidP="001F2586">
      <w:pPr>
        <w:spacing w:line="269" w:lineRule="auto"/>
        <w:ind w:left="312"/>
        <w:rPr>
          <w:rFonts w:eastAsia="Calibri"/>
          <w:rtl/>
        </w:rPr>
      </w:pPr>
    </w:p>
    <w:p w:rsidR="001F2586" w:rsidRPr="001F2586" w:rsidP="001F2586">
      <w:pPr>
        <w:spacing w:line="269" w:lineRule="auto"/>
        <w:ind w:left="312"/>
        <w:rPr>
          <w:rFonts w:eastAsia="Calibri"/>
          <w:rtl/>
        </w:rPr>
      </w:pPr>
      <w:r w:rsidRPr="001F2586">
        <w:rPr>
          <w:rFonts w:eastAsia="Calibri" w:hint="cs"/>
          <w:rtl/>
        </w:rPr>
        <w:t>בשנת 2022 הנהיג בנק ישראל את רפורמת ה</w:t>
      </w:r>
      <w:r w:rsidRPr="001F2586">
        <w:rPr>
          <w:rFonts w:eastAsia="Calibri"/>
          <w:rtl/>
        </w:rPr>
        <w:t>שקיפות בשוק המשכנתאות</w:t>
      </w:r>
      <w:r w:rsidRPr="001F2586">
        <w:rPr>
          <w:rFonts w:eastAsia="Calibri" w:hint="cs"/>
          <w:rtl/>
        </w:rPr>
        <w:t xml:space="preserve"> (ראה הרחבה בפרק רפורמת השקיפות) ו</w:t>
      </w:r>
      <w:r w:rsidRPr="001F2586">
        <w:rPr>
          <w:rFonts w:eastAsia="Calibri"/>
          <w:rtl/>
        </w:rPr>
        <w:t xml:space="preserve">זאת במטרה להקל על הציבור בעריכת השוואות בין המשכנתאות המוצעות </w:t>
      </w:r>
      <w:r w:rsidRPr="001F2586">
        <w:rPr>
          <w:rFonts w:eastAsia="Calibri" w:hint="cs"/>
          <w:rtl/>
        </w:rPr>
        <w:t xml:space="preserve">על ידי </w:t>
      </w:r>
      <w:r w:rsidRPr="001F2586">
        <w:rPr>
          <w:rFonts w:eastAsia="Calibri"/>
          <w:rtl/>
        </w:rPr>
        <w:t>הבנקים, ולהבין טוב יותר את עלות ההלוואה שתוטל עליו.</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cs"/>
          <w:b/>
          <w:bCs/>
          <w:rtl/>
        </w:rPr>
        <w:t xml:space="preserve">נמצא כי </w:t>
      </w:r>
      <w:r w:rsidRPr="001F2586">
        <w:rPr>
          <w:rFonts w:eastAsia="Calibri"/>
          <w:b/>
          <w:bCs/>
          <w:rtl/>
        </w:rPr>
        <w:t xml:space="preserve">בתחום המשכנתאות החוץ בנקאיות, </w:t>
      </w:r>
      <w:r w:rsidRPr="001F2586">
        <w:rPr>
          <w:rFonts w:eastAsia="Calibri" w:hint="cs"/>
          <w:b/>
          <w:bCs/>
          <w:rtl/>
        </w:rPr>
        <w:t>לא קבע הממונה על רשות שוק ההון</w:t>
      </w:r>
      <w:r w:rsidRPr="001F2586">
        <w:rPr>
          <w:rFonts w:eastAsia="Calibri"/>
          <w:b/>
          <w:bCs/>
          <w:rtl/>
        </w:rPr>
        <w:t xml:space="preserve"> על </w:t>
      </w:r>
      <w:r w:rsidRPr="001F2586">
        <w:rPr>
          <w:rFonts w:eastAsia="Calibri" w:hint="cs"/>
          <w:b/>
          <w:bCs/>
          <w:rtl/>
        </w:rPr>
        <w:t xml:space="preserve">נותני אשראי חוץ בנקאי חובה </w:t>
      </w:r>
      <w:r w:rsidRPr="001F2586">
        <w:rPr>
          <w:rFonts w:eastAsia="Calibri"/>
          <w:b/>
          <w:bCs/>
          <w:rtl/>
        </w:rPr>
        <w:t xml:space="preserve">להציג </w:t>
      </w:r>
      <w:r w:rsidRPr="001F2586">
        <w:rPr>
          <w:rFonts w:eastAsia="Calibri" w:hint="cs"/>
          <w:b/>
          <w:bCs/>
          <w:rtl/>
        </w:rPr>
        <w:t>"</w:t>
      </w:r>
      <w:r w:rsidRPr="001F2586">
        <w:rPr>
          <w:rFonts w:eastAsia="Calibri"/>
          <w:b/>
          <w:bCs/>
          <w:rtl/>
        </w:rPr>
        <w:t>סלים אחידים</w:t>
      </w:r>
      <w:r w:rsidRPr="001F2586">
        <w:rPr>
          <w:rFonts w:eastAsia="Calibri" w:hint="cs"/>
          <w:b/>
          <w:bCs/>
          <w:rtl/>
        </w:rPr>
        <w:t>"</w:t>
      </w:r>
      <w:r w:rsidRPr="001F2586">
        <w:rPr>
          <w:rFonts w:eastAsia="Calibri"/>
          <w:b/>
          <w:bCs/>
          <w:rtl/>
        </w:rPr>
        <w:t xml:space="preserve"> (מסלולים הקבועים מראש להשוואה) או לספק</w:t>
      </w:r>
      <w:r w:rsidRPr="001F2586">
        <w:rPr>
          <w:rFonts w:eastAsia="Calibri" w:hint="cs"/>
          <w:b/>
          <w:bCs/>
          <w:rtl/>
        </w:rPr>
        <w:t xml:space="preserve"> </w:t>
      </w:r>
      <w:r w:rsidRPr="001F2586">
        <w:rPr>
          <w:rFonts w:eastAsia="Calibri"/>
          <w:b/>
          <w:bCs/>
          <w:rtl/>
        </w:rPr>
        <w:t>אישור עקרוני בפורמט אחיד ומפורט כפי שמחייב בנק ישראל את הבנקים</w:t>
      </w:r>
      <w:r w:rsidRPr="001F2586">
        <w:rPr>
          <w:rFonts w:eastAsia="Calibri" w:hint="cs"/>
          <w:b/>
          <w:bCs/>
          <w:rtl/>
        </w:rPr>
        <w:t>, כלומר אין מסמך הניתן ללקוח ומאפשר את השוואתיות המוצר בין נותני האשראי השונים.</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b/>
          <w:bCs/>
          <w:rtl/>
        </w:rPr>
        <w:t xml:space="preserve">בהיעדר "סלים אחידים", הלווה מקבל הצעות במבנים שונים לחלוטין מכל גוף, דבר המונע ממנו לבצע השוואה </w:t>
      </w:r>
      <w:r w:rsidRPr="001F2586">
        <w:rPr>
          <w:rFonts w:eastAsia="Calibri" w:hint="eastAsia"/>
          <w:b/>
          <w:bCs/>
          <w:rtl/>
        </w:rPr>
        <w:t>למוצרים</w:t>
      </w:r>
      <w:r w:rsidRPr="001F2586">
        <w:rPr>
          <w:rFonts w:eastAsia="Calibri"/>
          <w:b/>
          <w:bCs/>
          <w:rtl/>
        </w:rPr>
        <w:t xml:space="preserve"> </w:t>
      </w:r>
      <w:r w:rsidRPr="001F2586">
        <w:rPr>
          <w:rFonts w:eastAsia="Calibri" w:hint="eastAsia"/>
          <w:b/>
          <w:bCs/>
          <w:rtl/>
        </w:rPr>
        <w:t>שיכולים</w:t>
      </w:r>
      <w:r w:rsidRPr="001F2586">
        <w:rPr>
          <w:rFonts w:eastAsia="Calibri"/>
          <w:b/>
          <w:bCs/>
          <w:rtl/>
        </w:rPr>
        <w:t xml:space="preserve"> </w:t>
      </w:r>
      <w:r w:rsidRPr="001F2586">
        <w:rPr>
          <w:rFonts w:eastAsia="Calibri" w:hint="eastAsia"/>
          <w:b/>
          <w:bCs/>
          <w:rtl/>
        </w:rPr>
        <w:t>להיות</w:t>
      </w:r>
      <w:r w:rsidRPr="001F2586">
        <w:rPr>
          <w:rFonts w:eastAsia="Calibri"/>
          <w:b/>
          <w:bCs/>
          <w:rtl/>
        </w:rPr>
        <w:t xml:space="preserve"> </w:t>
      </w:r>
      <w:r w:rsidRPr="001F2586">
        <w:rPr>
          <w:rFonts w:eastAsia="Calibri" w:hint="eastAsia"/>
          <w:b/>
          <w:bCs/>
          <w:rtl/>
        </w:rPr>
        <w:t>שונים</w:t>
      </w:r>
      <w:r w:rsidRPr="001F2586">
        <w:rPr>
          <w:rFonts w:eastAsia="Calibri"/>
          <w:b/>
          <w:bCs/>
          <w:rtl/>
        </w:rPr>
        <w:t xml:space="preserve"> </w:t>
      </w:r>
      <w:r w:rsidRPr="001F2586">
        <w:rPr>
          <w:rFonts w:eastAsia="Calibri" w:hint="eastAsia"/>
          <w:b/>
          <w:bCs/>
          <w:rtl/>
        </w:rPr>
        <w:t>בתכלית</w:t>
      </w:r>
      <w:r w:rsidRPr="001F2586">
        <w:rPr>
          <w:rFonts w:eastAsia="Calibri"/>
          <w:b/>
          <w:bCs/>
          <w:rtl/>
        </w:rPr>
        <w:t>. חוסר היכולת להשוות מחירים ותנאים באופן שקוף פוגע ביכולת הצרכן לקבל את ההחלטה הכלכלית המיטבית עבורו</w:t>
      </w:r>
      <w:r w:rsidRPr="001F2586">
        <w:rPr>
          <w:rFonts w:eastAsia="Calibri"/>
          <w:b/>
          <w:bCs/>
        </w:rPr>
        <w:t>.</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 xml:space="preserve">להלן תיאור הפערים הקיימים כיום בעת מתן הצעת משכנתא בין הגופים הבנקאיים לגופים החוץ בנקאיים: </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b/>
          <w:bCs/>
          <w:rtl/>
        </w:rPr>
      </w:pPr>
      <w:r w:rsidRPr="001F2586">
        <w:rPr>
          <w:rFonts w:eastAsia="Calibri" w:hint="cs"/>
          <w:rtl/>
        </w:rPr>
        <w:t>לוח 14:</w:t>
      </w:r>
      <w:r w:rsidRPr="001F2586">
        <w:rPr>
          <w:rFonts w:eastAsia="Calibri" w:hint="cs"/>
          <w:b/>
          <w:bCs/>
          <w:rtl/>
        </w:rPr>
        <w:t xml:space="preserve"> אופן הצגת הצעה למשכנתא ללווה </w:t>
      </w:r>
    </w:p>
    <w:tbl>
      <w:tblPr>
        <w:tblStyle w:val="TableGrid"/>
        <w:bidiVisual/>
        <w:tblW w:w="0" w:type="auto"/>
        <w:tblInd w:w="423" w:type="dxa"/>
        <w:tblLook w:val="04A0"/>
      </w:tblPr>
      <w:tblGrid>
        <w:gridCol w:w="1415"/>
        <w:gridCol w:w="3402"/>
        <w:gridCol w:w="2970"/>
      </w:tblGrid>
      <w:tr w:rsidTr="00504E2C">
        <w:tblPrEx>
          <w:tblW w:w="0" w:type="auto"/>
          <w:tblInd w:w="423" w:type="dxa"/>
          <w:tblLook w:val="04A0"/>
        </w:tblPrEx>
        <w:tc>
          <w:tcPr>
            <w:tcW w:w="1415" w:type="dxa"/>
            <w:shd w:val="clear" w:color="auto" w:fill="D9D9D9"/>
          </w:tcPr>
          <w:p w:rsidR="001F2586" w:rsidRPr="001F2586" w:rsidP="001F2586">
            <w:pPr>
              <w:spacing w:line="269" w:lineRule="auto"/>
              <w:rPr>
                <w:rFonts w:eastAsia="Calibri"/>
                <w:b/>
                <w:bCs/>
                <w:rtl/>
              </w:rPr>
            </w:pPr>
          </w:p>
        </w:tc>
        <w:tc>
          <w:tcPr>
            <w:tcW w:w="3402" w:type="dxa"/>
            <w:shd w:val="clear" w:color="auto" w:fill="D9D9D9"/>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משכנתא בנקאית</w:t>
            </w:r>
          </w:p>
        </w:tc>
        <w:tc>
          <w:tcPr>
            <w:tcW w:w="2970" w:type="dxa"/>
            <w:shd w:val="clear" w:color="auto" w:fill="D9D9D9"/>
          </w:tcPr>
          <w:p w:rsidR="001F2586" w:rsidRPr="001F2586" w:rsidP="001F2586">
            <w:pPr>
              <w:spacing w:line="269" w:lineRule="auto"/>
              <w:jc w:val="center"/>
              <w:rPr>
                <w:rFonts w:eastAsia="Calibri"/>
                <w:b/>
                <w:bCs/>
                <w:sz w:val="18"/>
                <w:szCs w:val="22"/>
                <w:rtl/>
              </w:rPr>
            </w:pPr>
            <w:r w:rsidRPr="001F2586">
              <w:rPr>
                <w:rFonts w:eastAsia="Calibri" w:hint="cs"/>
                <w:b/>
                <w:bCs/>
                <w:sz w:val="18"/>
                <w:szCs w:val="22"/>
                <w:rtl/>
              </w:rPr>
              <w:t>משכנתא חוץ בנקאית</w:t>
            </w:r>
          </w:p>
        </w:tc>
      </w:tr>
      <w:tr w:rsidTr="00504E2C">
        <w:tblPrEx>
          <w:tblW w:w="0" w:type="auto"/>
          <w:tblInd w:w="423" w:type="dxa"/>
          <w:tblLook w:val="04A0"/>
        </w:tblPrEx>
        <w:tc>
          <w:tcPr>
            <w:tcW w:w="1415"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הצגת מספר סלים אחידים</w:t>
            </w:r>
          </w:p>
        </w:tc>
        <w:tc>
          <w:tcPr>
            <w:tcW w:w="340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חובת הצגת 3 תמהילים קבועים (למשל: 100% קבועה לא צמודה) לצד התמהיל שהלקוח ביקש או הבנק התאים ללקוח.</w:t>
            </w:r>
          </w:p>
        </w:tc>
        <w:tc>
          <w:tcPr>
            <w:tcW w:w="2970"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לא קיים. הגוף החוץ בנקאי מציג רק את מה שהלקוח ביקש או מה שהגוף החוץ בנקאי רוצה למכור.</w:t>
            </w:r>
          </w:p>
        </w:tc>
      </w:tr>
      <w:tr w:rsidTr="00504E2C">
        <w:tblPrEx>
          <w:tblW w:w="0" w:type="auto"/>
          <w:tblInd w:w="423" w:type="dxa"/>
          <w:tblLook w:val="04A0"/>
        </w:tblPrEx>
        <w:tc>
          <w:tcPr>
            <w:tcW w:w="1415"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הצגת ריבית כוללת חזויה</w:t>
            </w:r>
          </w:p>
        </w:tc>
        <w:tc>
          <w:tcPr>
            <w:tcW w:w="340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קיימת</w:t>
            </w:r>
          </w:p>
        </w:tc>
        <w:tc>
          <w:tcPr>
            <w:tcW w:w="2970"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 xml:space="preserve">מוצג לרוב כ"עלות אשראי ממשית" (ממוצעת), ללא פירוט תחזיות שונות. </w:t>
            </w:r>
          </w:p>
        </w:tc>
      </w:tr>
      <w:tr w:rsidTr="00504E2C">
        <w:tblPrEx>
          <w:tblW w:w="0" w:type="auto"/>
          <w:tblInd w:w="423" w:type="dxa"/>
          <w:tblLook w:val="04A0"/>
        </w:tblPrEx>
        <w:tc>
          <w:tcPr>
            <w:tcW w:w="1415"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b/>
                <w:bCs/>
                <w:sz w:val="22"/>
                <w:szCs w:val="22"/>
                <w:rtl/>
              </w:rPr>
              <w:t>הצגת התשלום החודשי הגבוה ביותר</w:t>
            </w:r>
          </w:p>
        </w:tc>
        <w:tc>
          <w:tcPr>
            <w:tcW w:w="3402"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קיימת חובה להצגת נתון זה</w:t>
            </w:r>
          </w:p>
        </w:tc>
        <w:tc>
          <w:tcPr>
            <w:tcW w:w="2970"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אין חובה להציג את הנתון האמור</w:t>
            </w:r>
            <w:r w:rsidRPr="001F2586">
              <w:rPr>
                <w:rFonts w:ascii="David" w:eastAsia="Calibri" w:hAnsi="David"/>
                <w:sz w:val="22"/>
                <w:szCs w:val="22"/>
              </w:rPr>
              <w:t>.</w:t>
            </w:r>
          </w:p>
        </w:tc>
      </w:tr>
      <w:tr w:rsidTr="00504E2C">
        <w:tblPrEx>
          <w:tblW w:w="0" w:type="auto"/>
          <w:tblInd w:w="423" w:type="dxa"/>
          <w:tblLook w:val="04A0"/>
        </w:tblPrEx>
        <w:tc>
          <w:tcPr>
            <w:tcW w:w="141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b/>
                <w:bCs/>
                <w:sz w:val="22"/>
                <w:szCs w:val="22"/>
                <w:rtl/>
              </w:rPr>
              <w:t>פורמט המסמך</w:t>
            </w:r>
          </w:p>
        </w:tc>
        <w:tc>
          <w:tcPr>
            <w:tcW w:w="3402" w:type="dxa"/>
          </w:tcPr>
          <w:p w:rsidR="001F2586" w:rsidRPr="001F2586" w:rsidP="001F2586">
            <w:pPr>
              <w:spacing w:line="269" w:lineRule="auto"/>
              <w:jc w:val="left"/>
              <w:rPr>
                <w:rFonts w:ascii="David" w:eastAsia="Calibri" w:hAnsi="David"/>
                <w:sz w:val="22"/>
                <w:szCs w:val="22"/>
              </w:rPr>
            </w:pPr>
            <w:r w:rsidRPr="001F2586">
              <w:rPr>
                <w:rFonts w:ascii="David" w:eastAsia="Calibri" w:hAnsi="David"/>
                <w:sz w:val="22"/>
                <w:szCs w:val="22"/>
                <w:rtl/>
              </w:rPr>
              <w:t xml:space="preserve">טופס אחיד בכל הבנקים. </w:t>
            </w:r>
          </w:p>
        </w:tc>
        <w:tc>
          <w:tcPr>
            <w:tcW w:w="2970"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כל גוף חוץ בנקאי מציג ללקוח את ההצעה בפורמט שהוא בחר להציג</w:t>
            </w:r>
          </w:p>
        </w:tc>
      </w:tr>
    </w:tbl>
    <w:p w:rsidR="001F2586" w:rsidRPr="001F2586" w:rsidP="00E85EB9">
      <w:pPr>
        <w:spacing w:line="269" w:lineRule="auto"/>
        <w:ind w:firstLine="312"/>
        <w:rPr>
          <w:rFonts w:eastAsia="Calibri"/>
          <w:szCs w:val="20"/>
          <w:rtl/>
        </w:rPr>
      </w:pPr>
      <w:r w:rsidRPr="001F2586">
        <w:rPr>
          <w:rFonts w:eastAsia="Calibri" w:hint="cs"/>
          <w:szCs w:val="20"/>
          <w:rtl/>
        </w:rPr>
        <w:t>הוכן על ידי משרד מבקר המדינה.</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 xml:space="preserve">משרד מבקר המדינה </w:t>
      </w:r>
      <w:r w:rsidRPr="001F2586">
        <w:rPr>
          <w:rFonts w:eastAsia="Calibri" w:hint="eastAsia"/>
          <w:rtl/>
        </w:rPr>
        <w:t>מציין</w:t>
      </w:r>
      <w:r w:rsidRPr="001F2586">
        <w:rPr>
          <w:rFonts w:eastAsia="Calibri"/>
          <w:rtl/>
        </w:rPr>
        <w:t xml:space="preserve"> </w:t>
      </w:r>
      <w:r w:rsidRPr="001F2586">
        <w:rPr>
          <w:rFonts w:eastAsia="Calibri" w:hint="eastAsia"/>
          <w:rtl/>
        </w:rPr>
        <w:t>כי</w:t>
      </w:r>
      <w:r w:rsidRPr="001F2586">
        <w:rPr>
          <w:rFonts w:eastAsia="Calibri"/>
          <w:rtl/>
        </w:rPr>
        <w:t xml:space="preserve"> </w:t>
      </w:r>
      <w:r w:rsidRPr="001F2586">
        <w:rPr>
          <w:rFonts w:eastAsia="Calibri" w:hint="cs"/>
          <w:rtl/>
        </w:rPr>
        <w:t xml:space="preserve">יישום הרפורמה דרשה מהבנקים להתאים את מערכות המיכון המורכבות שלהם לאור השינויים האמורים. בעיון מהדוחות הכספיים של הבנקים, </w:t>
      </w:r>
      <w:r w:rsidRPr="001F2586">
        <w:rPr>
          <w:rFonts w:eastAsia="Calibri"/>
          <w:rtl/>
        </w:rPr>
        <w:t xml:space="preserve">לא ניתן לקבוע מהן עלויות המיכון המדויקות בבנקים עקב </w:t>
      </w:r>
      <w:r w:rsidRPr="001F2586">
        <w:rPr>
          <w:rFonts w:eastAsia="Calibri" w:hint="cs"/>
          <w:rtl/>
        </w:rPr>
        <w:t>הרפורמה האמורה אך אין ספק כי נדרשה השקעה כספית מהותית</w:t>
      </w:r>
      <w:r w:rsidRPr="001F2586">
        <w:rPr>
          <w:rFonts w:eastAsia="Calibri"/>
          <w:rtl/>
        </w:rPr>
        <w:t xml:space="preserve"> במיכון ומערכות מחשוב כדי לעמוד בדרישות החדשות</w:t>
      </w:r>
      <w:r w:rsidRPr="001F2586">
        <w:rPr>
          <w:rFonts w:eastAsia="Calibri" w:hint="cs"/>
          <w:rtl/>
        </w:rPr>
        <w:t xml:space="preserve"> שהוטלו על ידי בנק ישראל</w:t>
      </w:r>
      <w:r>
        <w:rPr>
          <w:rFonts w:eastAsia="Calibri"/>
          <w:vertAlign w:val="superscript"/>
          <w:rtl/>
        </w:rPr>
        <w:footnoteReference w:id="454"/>
      </w:r>
      <w:r w:rsidRPr="001F2586">
        <w:rPr>
          <w:rFonts w:eastAsia="Calibri" w:hint="cs"/>
          <w:rtl/>
        </w:rPr>
        <w:t>. יצוין כי הטלת חובה שכזאת על גופים חוץ בנקאיים יכולה להיות משמעותית ואף לגרום לכך שחלק מהעלות תגולגל על הלקוח הסופי.</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b/>
          <w:bCs/>
          <w:rtl/>
        </w:rPr>
        <w:t xml:space="preserve">מומלץ לרשות שוק ההון </w:t>
      </w:r>
      <w:r w:rsidRPr="001F2586">
        <w:rPr>
          <w:rFonts w:eastAsia="Calibri" w:hint="eastAsia"/>
          <w:b/>
          <w:bCs/>
          <w:rtl/>
        </w:rPr>
        <w:t>לשקול</w:t>
      </w:r>
      <w:r w:rsidRPr="001F2586">
        <w:rPr>
          <w:rFonts w:eastAsia="Calibri" w:hint="cs"/>
          <w:b/>
          <w:bCs/>
          <w:rtl/>
        </w:rPr>
        <w:t xml:space="preserve"> לחייב את נותני האשראי החוץ בנקאי לעשות שימוש בטופס גילוי מידע אחיד כפי שקיים בבנקים, המציג בבירור את העלות האפקטיבית של האשראי המוצע ללקוח, דבר שיקל על הצרכן לאמוד את ההבדלים בין ההצעה הבנקאית להצעה החוץ בנקאית, ובין הצעות שונות של חברות חוץ בנקאיות.</w:t>
      </w:r>
    </w:p>
    <w:p w:rsidR="001F2586" w:rsidRPr="001F2586" w:rsidP="001F2586">
      <w:pPr>
        <w:spacing w:line="269" w:lineRule="auto"/>
        <w:ind w:left="-567"/>
        <w:rPr>
          <w:rFonts w:eastAsia="Calibri"/>
          <w:szCs w:val="20"/>
          <w:rtl/>
        </w:rPr>
      </w:pPr>
    </w:p>
    <w:p w:rsidR="001F2586" w:rsidRPr="001F2586" w:rsidP="001F2586">
      <w:pPr>
        <w:spacing w:line="269" w:lineRule="auto"/>
        <w:ind w:left="360"/>
        <w:rPr>
          <w:rFonts w:eastAsia="Calibri"/>
        </w:rPr>
      </w:pPr>
      <w:r w:rsidRPr="001F2586">
        <w:rPr>
          <w:rFonts w:eastAsia="Calibri" w:hint="cs"/>
          <w:rtl/>
        </w:rPr>
        <w:t>רשות שוק ההון ציינה בתשובתה כי הרשות סבורה כי גם בשוק האשראי החוץ בנקאי נדרש לתת בידי הלווה כלים משמעותיים לבחון את ההצעה שקיבל מנותן האשראי וכי בימים אלו הרשות מקדמת הוראות חוזר שיטיל חובה למתן מסמך "אישור עקרוני" בפורמט אחיד שיאפשר ללווה להשוות בין הצעות של נותני אשראי חוץ בנקאיים שונים. עוד ציינה הרשות כי שיטת "הסלים האחידים" בדומה לאופן שמפרסם בנק ישראל אינה רלוונטית בשלב זה לנותני אשראי.</w:t>
      </w:r>
    </w:p>
    <w:p w:rsidR="001F2586" w:rsidRPr="001F2586" w:rsidP="001F2586">
      <w:pPr>
        <w:spacing w:line="269" w:lineRule="auto"/>
        <w:ind w:left="312"/>
        <w:rPr>
          <w:rFonts w:eastAsia="Calibri"/>
          <w:rtl/>
        </w:rPr>
      </w:pPr>
    </w:p>
    <w:p w:rsidR="001F2586" w:rsidRPr="001F2586" w:rsidP="001F2586">
      <w:pPr>
        <w:spacing w:line="269" w:lineRule="auto"/>
        <w:rPr>
          <w:rFonts w:eastAsia="Calibri"/>
          <w:rtl/>
        </w:rPr>
      </w:pPr>
    </w:p>
    <w:p w:rsidR="001F2586" w:rsidRPr="001F2586" w:rsidP="001F2586">
      <w:pPr>
        <w:keepNext/>
        <w:keepLines/>
        <w:numPr>
          <w:ilvl w:val="0"/>
          <w:numId w:val="29"/>
        </w:numPr>
        <w:spacing w:line="269" w:lineRule="auto"/>
        <w:outlineLvl w:val="4"/>
        <w:rPr>
          <w:rFonts w:eastAsia="Times New Roman"/>
          <w:bCs/>
          <w:spacing w:val="40"/>
          <w:rtl/>
        </w:rPr>
      </w:pPr>
      <w:r w:rsidRPr="001F2586">
        <w:rPr>
          <w:rFonts w:eastAsia="Times New Roman" w:hint="cs"/>
          <w:bCs/>
          <w:spacing w:val="40"/>
          <w:rtl/>
        </w:rPr>
        <w:t>הצגת מידע ללקוח באתר האינטרנט של הגוף החוץ בנקאי</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ascii="David" w:eastAsia="Calibri" w:hAnsi="David"/>
          <w:rtl/>
        </w:rPr>
      </w:pPr>
      <w:r w:rsidRPr="001F2586">
        <w:rPr>
          <w:rFonts w:ascii="David" w:eastAsia="Calibri" w:hAnsi="David" w:hint="cs"/>
          <w:rtl/>
        </w:rPr>
        <w:t xml:space="preserve">כיום, בשוק האשראי החוץ בנקאי, אין הנחיות </w:t>
      </w:r>
      <w:r w:rsidRPr="001F2586">
        <w:rPr>
          <w:rFonts w:ascii="David" w:eastAsia="Calibri" w:hAnsi="David"/>
          <w:rtl/>
        </w:rPr>
        <w:t>המחייב</w:t>
      </w:r>
      <w:r w:rsidRPr="001F2586">
        <w:rPr>
          <w:rFonts w:ascii="David" w:eastAsia="Calibri" w:hAnsi="David" w:hint="cs"/>
          <w:rtl/>
        </w:rPr>
        <w:t>ו</w:t>
      </w:r>
      <w:r w:rsidRPr="001F2586">
        <w:rPr>
          <w:rFonts w:ascii="David" w:eastAsia="Calibri" w:hAnsi="David"/>
          <w:rtl/>
        </w:rPr>
        <w:t>ת את המלווים להעמיד לרשות הלקוח את המידע הפיננסי שלו בצורה שקופה, נגישה ודיגיטלית.</w:t>
      </w:r>
      <w:r w:rsidRPr="001F2586">
        <w:rPr>
          <w:rFonts w:ascii="David" w:eastAsia="Calibri" w:hAnsi="David" w:hint="cs"/>
          <w:rtl/>
        </w:rPr>
        <w:t xml:space="preserve"> </w:t>
      </w:r>
      <w:r w:rsidRPr="001F2586">
        <w:rPr>
          <w:rFonts w:ascii="David" w:eastAsia="Calibri" w:hAnsi="David"/>
          <w:rtl/>
        </w:rPr>
        <w:t xml:space="preserve">בהיעדר דרישה מחייבת להקמת אזור אישי מקוון, נוצרת אסימטריה במידע, המותירה את </w:t>
      </w:r>
      <w:r w:rsidRPr="001F2586">
        <w:rPr>
          <w:rFonts w:ascii="David" w:eastAsia="Calibri" w:hAnsi="David" w:hint="cs"/>
          <w:rtl/>
        </w:rPr>
        <w:t>הלווה</w:t>
      </w:r>
      <w:r w:rsidRPr="001F2586">
        <w:rPr>
          <w:rFonts w:ascii="David" w:eastAsia="Calibri" w:hAnsi="David"/>
          <w:rtl/>
        </w:rPr>
        <w:t xml:space="preserve"> תלוי לחלוטין ברצונו של הגוף המלווה ומונעת ממנו את היכולת הבסיסית לנהל מעקב ובקרה אפקטיביים על התחייבויותיו הכלכליות</w:t>
      </w:r>
      <w:r w:rsidRPr="001F2586">
        <w:rPr>
          <w:rFonts w:ascii="David" w:eastAsia="Calibri" w:hAnsi="David"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ascii="David" w:eastAsia="Calibri" w:hAnsi="David"/>
          <w:rtl/>
        </w:rPr>
      </w:pPr>
      <w:r w:rsidRPr="001F2586">
        <w:rPr>
          <w:rFonts w:ascii="David" w:eastAsia="Calibri" w:hAnsi="David" w:hint="cs"/>
          <w:rtl/>
        </w:rPr>
        <w:t>ב-11.5.25 פרסם הממונה על רשות ההון טיוטת חוזר "</w:t>
      </w:r>
      <w:r w:rsidRPr="001F2586">
        <w:rPr>
          <w:rFonts w:ascii="David" w:eastAsia="Calibri" w:hAnsi="David"/>
          <w:rtl/>
        </w:rPr>
        <w:t>הצגת מידע ללקוח אודות אשראי באתר אינטרנט של נותן שירותים פיננסיים -</w:t>
      </w:r>
      <w:r w:rsidRPr="001F2586">
        <w:rPr>
          <w:rFonts w:ascii="David" w:eastAsia="Calibri" w:hAnsi="David" w:hint="cs"/>
          <w:rtl/>
        </w:rPr>
        <w:t xml:space="preserve"> </w:t>
      </w:r>
      <w:r w:rsidRPr="001F2586">
        <w:rPr>
          <w:rFonts w:ascii="David" w:eastAsia="Calibri" w:hAnsi="David"/>
          <w:rtl/>
        </w:rPr>
        <w:t>טיוטה</w:t>
      </w:r>
      <w:r w:rsidRPr="001F2586">
        <w:rPr>
          <w:rFonts w:ascii="David" w:eastAsia="Calibri" w:hAnsi="David" w:hint="cs"/>
          <w:rtl/>
        </w:rPr>
        <w:t xml:space="preserve">". מטרת החוזר היא </w:t>
      </w:r>
      <w:r w:rsidRPr="001F2586">
        <w:rPr>
          <w:rFonts w:ascii="David" w:eastAsia="Calibri" w:hAnsi="David"/>
          <w:rtl/>
        </w:rPr>
        <w:t xml:space="preserve">לקבוע חובה על בעל רישיון </w:t>
      </w:r>
      <w:r w:rsidRPr="001F2586">
        <w:rPr>
          <w:rFonts w:ascii="David" w:eastAsia="Calibri" w:hAnsi="David" w:hint="cs"/>
          <w:rtl/>
        </w:rPr>
        <w:t xml:space="preserve">אשראי </w:t>
      </w:r>
      <w:r w:rsidRPr="001F2586">
        <w:rPr>
          <w:rFonts w:ascii="David" w:eastAsia="Calibri" w:hAnsi="David"/>
          <w:rtl/>
        </w:rPr>
        <w:t xml:space="preserve">מורחב להציג מידע עדכני אודות ההלוואה שניתנה ללקוח, באופן שוטף באמצעות הקמה והפעלה של אזור ייעודי באתר אינטרנט וכן לקבוע את פרטי המידע שיוצגו.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ascii="David" w:eastAsia="Calibri" w:hAnsi="David"/>
          <w:rtl/>
        </w:rPr>
      </w:pPr>
      <w:r w:rsidRPr="001F2586">
        <w:rPr>
          <w:rFonts w:ascii="David" w:eastAsia="Calibri" w:hAnsi="David" w:hint="cs"/>
          <w:rtl/>
        </w:rPr>
        <w:t>במסגרת הטיוטה הציעה רשות שוק ההון ל</w:t>
      </w:r>
      <w:r w:rsidRPr="001F2586">
        <w:rPr>
          <w:rFonts w:ascii="David" w:eastAsia="Calibri" w:hAnsi="David"/>
          <w:rtl/>
        </w:rPr>
        <w:t xml:space="preserve">קבוע חובה על בעל רישיון מורחב הנותן אשראי לתקופה שמעל 90 ימים, להקים אתר אינטרנט ולנהל בו אזור אישי ייעודי אשר ישמש להצגת המידע הפיננסי של הלווה. </w:t>
      </w:r>
      <w:r w:rsidRPr="001F2586">
        <w:rPr>
          <w:rFonts w:ascii="David" w:eastAsia="Calibri" w:hAnsi="David" w:hint="cs"/>
          <w:rtl/>
        </w:rPr>
        <w:t>בטיוטת החוזר הוצע</w:t>
      </w:r>
      <w:r w:rsidRPr="001F2586">
        <w:rPr>
          <w:rFonts w:ascii="David" w:eastAsia="Calibri" w:hAnsi="David"/>
          <w:rtl/>
        </w:rPr>
        <w:t xml:space="preserve"> לקבוע מהו המידע הפיננסי המינימלי אשר נדרש בעל רישיון להציג באזור האישי. מידע זה כולל מידע כללי על ההלוואה</w:t>
      </w:r>
      <w:r w:rsidRPr="001F2586">
        <w:rPr>
          <w:rFonts w:ascii="David" w:eastAsia="Calibri" w:hAnsi="David" w:hint="cs"/>
          <w:rtl/>
        </w:rPr>
        <w:t>,</w:t>
      </w:r>
      <w:r w:rsidRPr="001F2586">
        <w:rPr>
          <w:rFonts w:ascii="David" w:eastAsia="Calibri" w:hAnsi="David"/>
          <w:rtl/>
        </w:rPr>
        <w:t xml:space="preserve"> לרבות פרטים כללי</w:t>
      </w:r>
      <w:r w:rsidRPr="001F2586">
        <w:rPr>
          <w:rFonts w:ascii="David" w:eastAsia="Calibri" w:hAnsi="David" w:hint="cs"/>
          <w:rtl/>
        </w:rPr>
        <w:t>י</w:t>
      </w:r>
      <w:r w:rsidRPr="001F2586">
        <w:rPr>
          <w:rFonts w:ascii="David" w:eastAsia="Calibri" w:hAnsi="David"/>
          <w:rtl/>
        </w:rPr>
        <w:t xml:space="preserve">ם על הצדדים לחוזה ההלוואה, פרטים כלליים על ההלוואה עצמה תוך התייחסות בין היתר לסכומה, יתרתה, מסלולים, תקופת ההלוואה ולוח סילוקין, פרטים על ריבית והצמדה, עמלות והוצאות נלוות, מידע על קיומה </w:t>
      </w:r>
      <w:r w:rsidRPr="001F2586">
        <w:rPr>
          <w:rFonts w:ascii="David" w:eastAsia="Calibri" w:hAnsi="David"/>
          <w:color w:val="000000"/>
          <w:rtl/>
        </w:rPr>
        <w:t>של זכות לפירעון מוקדם ותנאיה</w:t>
      </w:r>
      <w:r w:rsidRPr="001F2586">
        <w:rPr>
          <w:rFonts w:ascii="David" w:eastAsia="Calibri" w:hAnsi="David"/>
          <w:rtl/>
        </w:rPr>
        <w:t xml:space="preserve"> ונתונים נוספים </w:t>
      </w:r>
      <w:r w:rsidRPr="001F2586">
        <w:rPr>
          <w:rFonts w:ascii="David" w:eastAsia="Calibri" w:hAnsi="David"/>
          <w:color w:val="000000"/>
          <w:rtl/>
        </w:rPr>
        <w:t>בהתאם להוראות חוק אשראי הוגן</w:t>
      </w:r>
      <w:r w:rsidRPr="001F2586">
        <w:rPr>
          <w:rFonts w:ascii="David" w:eastAsia="Calibri" w:hAnsi="David" w:hint="cs"/>
          <w:color w:val="000000"/>
          <w:rtl/>
        </w:rPr>
        <w:t>, התשנ"ג-1993</w:t>
      </w:r>
      <w:r w:rsidRPr="001F2586">
        <w:rPr>
          <w:rFonts w:ascii="David" w:eastAsia="Calibri" w:hAnsi="David"/>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ascii="David" w:eastAsia="Calibri" w:hAnsi="David"/>
          <w:rtl/>
        </w:rPr>
      </w:pPr>
      <w:r w:rsidRPr="001F2586">
        <w:rPr>
          <w:rFonts w:ascii="David" w:eastAsia="Calibri" w:hAnsi="David" w:hint="cs"/>
          <w:rtl/>
        </w:rPr>
        <w:t xml:space="preserve">סעיף 4(א) לחוק הפיקוח על שירותים פיננסים קובע כי </w:t>
      </w:r>
      <w:r w:rsidRPr="001F2586">
        <w:rPr>
          <w:rFonts w:ascii="David" w:eastAsia="Calibri" w:hAnsi="David"/>
          <w:rtl/>
        </w:rPr>
        <w:t>המפקח רשאי, לשם ביצוע תפקידו ולאחר התייעצות עם הוועדה</w:t>
      </w:r>
      <w:r w:rsidRPr="001F2586">
        <w:rPr>
          <w:rFonts w:ascii="David" w:eastAsia="Calibri" w:hAnsi="David" w:hint="cs"/>
          <w:rtl/>
        </w:rPr>
        <w:t xml:space="preserve"> המייעצת לממונה על שוק ההון, ביטוח וחיסכון</w:t>
      </w:r>
      <w:r w:rsidRPr="001F2586">
        <w:rPr>
          <w:rFonts w:ascii="David" w:eastAsia="Calibri" w:hAnsi="David"/>
          <w:rtl/>
        </w:rPr>
        <w:t>, לתת הוראות הנוגעות לדרכי פעולתם וניהולם של נותני שירותים פיננסיים, של נושאי משרה בהם ושל כל מי שמועסק על ידם, והכול כדי להבטיח את ניהולם התקין ואת השמירה על עניינם של לקוחותיהם, כדי למנוע פגיעה ביכולתו של נותן השירותים הפיננסיים לקיים את התחייבויותיו וכדי לתמוך ביציבותה של המערכת הפיננסית ובפעילותה הסדירה</w:t>
      </w:r>
      <w:r w:rsidRPr="001F2586">
        <w:rPr>
          <w:rFonts w:ascii="David" w:eastAsia="Calibri" w:hAnsi="David" w:hint="cs"/>
          <w:rtl/>
        </w:rPr>
        <w:t xml:space="preserve">. </w:t>
      </w:r>
    </w:p>
    <w:p w:rsidR="001F2586" w:rsidRPr="001F2586" w:rsidP="001F2586">
      <w:pPr>
        <w:spacing w:line="269" w:lineRule="auto"/>
        <w:ind w:left="-567"/>
        <w:rPr>
          <w:rFonts w:eastAsia="Calibri"/>
          <w:szCs w:val="20"/>
          <w:rtl/>
        </w:rPr>
      </w:pPr>
    </w:p>
    <w:p w:rsidR="001F2586" w:rsidP="001F2586">
      <w:pPr>
        <w:spacing w:line="269" w:lineRule="auto"/>
        <w:ind w:left="312"/>
        <w:rPr>
          <w:rFonts w:ascii="David" w:eastAsia="Calibri" w:hAnsi="David"/>
          <w:rtl/>
        </w:rPr>
      </w:pPr>
      <w:r w:rsidRPr="001F2586">
        <w:rPr>
          <w:rFonts w:ascii="David" w:eastAsia="Calibri" w:hAnsi="David" w:hint="cs"/>
          <w:rtl/>
        </w:rPr>
        <w:t>סעיף 6(א) לחוק הפיקוח על שירותים פיננסים קובע כי שר האוצר</w:t>
      </w:r>
      <w:r w:rsidRPr="001F2586">
        <w:rPr>
          <w:rFonts w:ascii="David" w:eastAsia="Calibri" w:hAnsi="David"/>
          <w:rtl/>
        </w:rPr>
        <w:t xml:space="preserve"> ימנה ועדה שתפקידה לייעץ למפקח בכל עניין כנדרש לפי חוק זה</w:t>
      </w:r>
      <w:r w:rsidRPr="001F2586">
        <w:rPr>
          <w:rFonts w:ascii="David" w:eastAsia="Calibri" w:hAnsi="David" w:hint="cs"/>
          <w:rtl/>
        </w:rPr>
        <w:t>. ה</w:t>
      </w:r>
      <w:r w:rsidRPr="001F2586">
        <w:rPr>
          <w:rFonts w:ascii="David" w:eastAsia="Calibri" w:hAnsi="David"/>
          <w:rtl/>
        </w:rPr>
        <w:t>וועדה תהיה בת חמישה חברים שימונו מקרב הציבור ומקרב עובדי המדינ</w:t>
      </w:r>
      <w:r w:rsidRPr="001F2586">
        <w:rPr>
          <w:rFonts w:ascii="David" w:eastAsia="Calibri" w:hAnsi="David" w:hint="cs"/>
          <w:rtl/>
        </w:rPr>
        <w:t xml:space="preserve">ה. עוד קובע הסעיף כי </w:t>
      </w:r>
      <w:r w:rsidRPr="001F2586">
        <w:rPr>
          <w:rFonts w:ascii="David" w:eastAsia="Calibri" w:hAnsi="David"/>
          <w:rtl/>
        </w:rPr>
        <w:t>הוועדה תתכנס לבקשת יושב ראש הוועדה או לבקשת המפקח, ותכלול בסדר יומה כל נושא שבסמכותה על פי בקשת היושב ראש או המפקח.</w:t>
      </w:r>
    </w:p>
    <w:p w:rsidR="00326AEA" w:rsidP="00326AEA">
      <w:pPr>
        <w:pStyle w:val="a"/>
        <w:spacing w:line="360" w:lineRule="auto"/>
        <w:ind w:left="312"/>
        <w:rPr>
          <w:rFonts w:ascii="David" w:hAnsi="David"/>
          <w:b/>
          <w:bCs/>
          <w:sz w:val="24"/>
          <w:szCs w:val="24"/>
          <w:rtl/>
        </w:rPr>
      </w:pPr>
    </w:p>
    <w:p w:rsidR="00326AEA" w:rsidRPr="00460A3B" w:rsidP="0070405E">
      <w:pPr>
        <w:pStyle w:val="a"/>
        <w:spacing w:line="269" w:lineRule="auto"/>
        <w:ind w:left="312"/>
        <w:rPr>
          <w:rFonts w:ascii="David" w:hAnsi="David"/>
          <w:b/>
          <w:bCs/>
          <w:sz w:val="24"/>
          <w:szCs w:val="24"/>
          <w:rtl/>
        </w:rPr>
      </w:pPr>
      <w:r w:rsidRPr="00460A3B">
        <w:rPr>
          <w:rFonts w:ascii="David" w:hAnsi="David" w:hint="cs"/>
          <w:b/>
          <w:bCs/>
          <w:sz w:val="24"/>
          <w:szCs w:val="24"/>
          <w:rtl/>
        </w:rPr>
        <w:t>נמצא כי נכון למועד סיום הביקורת בדצמב</w:t>
      </w:r>
      <w:r w:rsidRPr="00460A3B">
        <w:rPr>
          <w:rFonts w:ascii="David" w:hAnsi="David" w:hint="eastAsia"/>
          <w:b/>
          <w:bCs/>
          <w:sz w:val="24"/>
          <w:szCs w:val="24"/>
          <w:rtl/>
        </w:rPr>
        <w:t>ר</w:t>
      </w:r>
      <w:r w:rsidRPr="00460A3B">
        <w:rPr>
          <w:rFonts w:ascii="David" w:hAnsi="David" w:hint="cs"/>
          <w:b/>
          <w:bCs/>
          <w:sz w:val="24"/>
          <w:szCs w:val="24"/>
          <w:rtl/>
        </w:rPr>
        <w:t xml:space="preserve"> 2025, טיוטת החוזר</w:t>
      </w:r>
      <w:r w:rsidRPr="00460A3B">
        <w:rPr>
          <w:rFonts w:ascii="David" w:hAnsi="David"/>
          <w:b/>
          <w:bCs/>
          <w:sz w:val="24"/>
          <w:szCs w:val="24"/>
          <w:rtl/>
        </w:rPr>
        <w:t xml:space="preserve"> </w:t>
      </w:r>
      <w:r w:rsidRPr="00460A3B">
        <w:rPr>
          <w:rFonts w:ascii="David" w:hAnsi="David" w:hint="eastAsia"/>
          <w:b/>
          <w:bCs/>
          <w:sz w:val="24"/>
          <w:szCs w:val="24"/>
          <w:rtl/>
        </w:rPr>
        <w:t>בנושא</w:t>
      </w:r>
      <w:r w:rsidRPr="00460A3B">
        <w:rPr>
          <w:rFonts w:ascii="David" w:hAnsi="David"/>
          <w:b/>
          <w:bCs/>
          <w:sz w:val="24"/>
          <w:szCs w:val="24"/>
          <w:rtl/>
        </w:rPr>
        <w:t xml:space="preserve"> הצגת מידע ללקוח אודות אשראי באתר אינטרנט של נותן שירותים פיננסיים</w:t>
      </w:r>
      <w:r w:rsidRPr="00460A3B">
        <w:rPr>
          <w:rFonts w:ascii="David" w:hAnsi="David" w:hint="cs"/>
          <w:b/>
          <w:bCs/>
          <w:sz w:val="24"/>
          <w:szCs w:val="24"/>
          <w:rtl/>
        </w:rPr>
        <w:t xml:space="preserve"> שפרסם הממונה על שוק ההון </w:t>
      </w:r>
      <w:r w:rsidRPr="00460A3B">
        <w:rPr>
          <w:rFonts w:ascii="David" w:hAnsi="David" w:hint="cs"/>
          <w:b/>
          <w:bCs/>
          <w:sz w:val="24"/>
          <w:szCs w:val="24"/>
          <w:rtl/>
        </w:rPr>
        <w:t>במאי 2025 לא אושרה, וזאת כי הוועדה המייעצת לא התכנסה שכן שר האוצר טרם מינה את יו"ר הוועדה</w:t>
      </w:r>
      <w:r>
        <w:rPr>
          <w:rStyle w:val="FootnoteReference1"/>
          <w:rFonts w:ascii="David" w:hAnsi="David"/>
          <w:b/>
          <w:bCs/>
          <w:sz w:val="24"/>
          <w:szCs w:val="24"/>
          <w:rtl/>
        </w:rPr>
        <w:footnoteReference w:id="455"/>
      </w:r>
      <w:r>
        <w:rPr>
          <w:rFonts w:ascii="David" w:hAnsi="David" w:hint="cs"/>
          <w:b/>
          <w:bCs/>
          <w:sz w:val="24"/>
          <w:szCs w:val="24"/>
          <w:rtl/>
        </w:rPr>
        <w:t>.</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 xml:space="preserve">רשות שוק ההון ציינה בתשובתה כי החוזר יובא להתייעצות עם הוועדה המייעצת ב-19 במאי 2026.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ascii="David" w:eastAsia="Calibri" w:hAnsi="David"/>
          <w:b/>
          <w:bCs/>
          <w:rtl/>
        </w:rPr>
      </w:pPr>
      <w:r w:rsidRPr="001F2586">
        <w:rPr>
          <w:rFonts w:ascii="David" w:eastAsia="Calibri" w:hAnsi="David" w:hint="eastAsia"/>
          <w:b/>
          <w:bCs/>
          <w:rtl/>
        </w:rPr>
        <w:t>פועל</w:t>
      </w:r>
      <w:r w:rsidRPr="001F2586">
        <w:rPr>
          <w:rFonts w:ascii="David" w:eastAsia="Calibri" w:hAnsi="David"/>
          <w:b/>
          <w:bCs/>
          <w:rtl/>
        </w:rPr>
        <w:t xml:space="preserve"> יוצא של אי אישור טיוטת החוזר היא פגיעה בהגנה על הצרכן, שכן הלווים במגזר החוץ בנקאי מנועים מלראות את הנתונים הפיננסיים של ההלוואה בצורה שוטפת ונגישה. </w:t>
      </w:r>
      <w:r w:rsidRPr="001F2586">
        <w:rPr>
          <w:rFonts w:ascii="David" w:eastAsia="Calibri" w:hAnsi="David" w:hint="eastAsia"/>
          <w:b/>
          <w:bCs/>
          <w:rtl/>
        </w:rPr>
        <w:t>כמו</w:t>
      </w:r>
      <w:r w:rsidRPr="001F2586">
        <w:rPr>
          <w:rFonts w:ascii="David" w:eastAsia="Calibri" w:hAnsi="David"/>
          <w:b/>
          <w:bCs/>
          <w:rtl/>
        </w:rPr>
        <w:t xml:space="preserve"> </w:t>
      </w:r>
      <w:r w:rsidRPr="001F2586">
        <w:rPr>
          <w:rFonts w:ascii="David" w:eastAsia="Calibri" w:hAnsi="David" w:hint="eastAsia"/>
          <w:b/>
          <w:bCs/>
          <w:rtl/>
        </w:rPr>
        <w:t>כן</w:t>
      </w:r>
      <w:r w:rsidRPr="001F2586">
        <w:rPr>
          <w:rFonts w:ascii="David" w:eastAsia="Calibri" w:hAnsi="David"/>
          <w:b/>
          <w:bCs/>
          <w:rtl/>
        </w:rPr>
        <w:t xml:space="preserve">, </w:t>
      </w:r>
      <w:r w:rsidRPr="001F2586">
        <w:rPr>
          <w:rFonts w:ascii="David" w:eastAsia="Calibri" w:hAnsi="David" w:hint="eastAsia"/>
          <w:b/>
          <w:bCs/>
          <w:rtl/>
        </w:rPr>
        <w:t>קיימת</w:t>
      </w:r>
      <w:r w:rsidRPr="001F2586">
        <w:rPr>
          <w:rFonts w:ascii="David" w:eastAsia="Calibri" w:hAnsi="David"/>
          <w:b/>
          <w:bCs/>
          <w:rtl/>
        </w:rPr>
        <w:t xml:space="preserve"> </w:t>
      </w:r>
      <w:r w:rsidRPr="001F2586">
        <w:rPr>
          <w:rFonts w:ascii="David" w:eastAsia="Calibri" w:hAnsi="David" w:hint="eastAsia"/>
          <w:b/>
          <w:bCs/>
          <w:rtl/>
        </w:rPr>
        <w:t>פגיעה</w:t>
      </w:r>
      <w:r w:rsidRPr="001F2586">
        <w:rPr>
          <w:rFonts w:ascii="David" w:eastAsia="Calibri" w:hAnsi="David"/>
          <w:b/>
          <w:bCs/>
          <w:rtl/>
        </w:rPr>
        <w:t xml:space="preserve"> </w:t>
      </w:r>
      <w:r w:rsidRPr="001F2586">
        <w:rPr>
          <w:rFonts w:ascii="David" w:eastAsia="Calibri" w:hAnsi="David" w:hint="eastAsia"/>
          <w:b/>
          <w:bCs/>
          <w:rtl/>
        </w:rPr>
        <w:t>בתחרות</w:t>
      </w:r>
      <w:r w:rsidRPr="001F2586">
        <w:rPr>
          <w:rFonts w:ascii="David" w:eastAsia="Calibri" w:hAnsi="David"/>
          <w:b/>
          <w:bCs/>
          <w:rtl/>
        </w:rPr>
        <w:t xml:space="preserve"> </w:t>
      </w:r>
      <w:r w:rsidRPr="001F2586">
        <w:rPr>
          <w:rFonts w:ascii="David" w:eastAsia="Calibri" w:hAnsi="David" w:hint="eastAsia"/>
          <w:b/>
          <w:bCs/>
          <w:rtl/>
        </w:rPr>
        <w:t>שכן</w:t>
      </w:r>
      <w:r w:rsidRPr="001F2586">
        <w:rPr>
          <w:rFonts w:ascii="David" w:eastAsia="Calibri" w:hAnsi="David"/>
          <w:b/>
          <w:bCs/>
          <w:rtl/>
        </w:rPr>
        <w:t xml:space="preserve"> </w:t>
      </w:r>
      <w:r w:rsidRPr="001F2586">
        <w:rPr>
          <w:rFonts w:ascii="David" w:eastAsia="Calibri" w:hAnsi="David" w:hint="eastAsia"/>
          <w:b/>
          <w:bCs/>
          <w:rtl/>
        </w:rPr>
        <w:t>הלקוח</w:t>
      </w:r>
      <w:r w:rsidRPr="001F2586">
        <w:rPr>
          <w:rFonts w:ascii="David" w:eastAsia="Calibri" w:hAnsi="David"/>
          <w:b/>
          <w:bCs/>
          <w:rtl/>
        </w:rPr>
        <w:t xml:space="preserve"> </w:t>
      </w:r>
      <w:r w:rsidRPr="001F2586">
        <w:rPr>
          <w:rFonts w:ascii="David" w:eastAsia="Calibri" w:hAnsi="David" w:hint="eastAsia"/>
          <w:b/>
          <w:bCs/>
          <w:rtl/>
        </w:rPr>
        <w:t>אינו</w:t>
      </w:r>
      <w:r w:rsidRPr="001F2586">
        <w:rPr>
          <w:rFonts w:ascii="David" w:eastAsia="Calibri" w:hAnsi="David"/>
          <w:b/>
          <w:bCs/>
          <w:rtl/>
        </w:rPr>
        <w:t xml:space="preserve"> </w:t>
      </w:r>
      <w:r w:rsidRPr="001F2586">
        <w:rPr>
          <w:rFonts w:ascii="David" w:eastAsia="Calibri" w:hAnsi="David" w:hint="eastAsia"/>
          <w:b/>
          <w:bCs/>
          <w:rtl/>
        </w:rPr>
        <w:t>יכול</w:t>
      </w:r>
      <w:r w:rsidRPr="001F2586">
        <w:rPr>
          <w:rFonts w:ascii="David" w:eastAsia="Calibri" w:hAnsi="David"/>
          <w:b/>
          <w:bCs/>
          <w:rtl/>
        </w:rPr>
        <w:t xml:space="preserve"> </w:t>
      </w:r>
      <w:r w:rsidRPr="001F2586">
        <w:rPr>
          <w:rFonts w:ascii="David" w:eastAsia="Calibri" w:hAnsi="David" w:hint="eastAsia"/>
          <w:b/>
          <w:bCs/>
          <w:rtl/>
        </w:rPr>
        <w:t>להשוות</w:t>
      </w:r>
      <w:r w:rsidRPr="001F2586">
        <w:rPr>
          <w:rFonts w:ascii="David" w:eastAsia="Calibri" w:hAnsi="David"/>
          <w:b/>
          <w:bCs/>
          <w:rtl/>
        </w:rPr>
        <w:t xml:space="preserve"> </w:t>
      </w:r>
      <w:r w:rsidRPr="001F2586">
        <w:rPr>
          <w:rFonts w:ascii="David" w:eastAsia="Calibri" w:hAnsi="David" w:hint="eastAsia"/>
          <w:b/>
          <w:bCs/>
          <w:rtl/>
        </w:rPr>
        <w:t>בצורה</w:t>
      </w:r>
      <w:r w:rsidRPr="001F2586">
        <w:rPr>
          <w:rFonts w:ascii="David" w:eastAsia="Calibri" w:hAnsi="David"/>
          <w:b/>
          <w:bCs/>
          <w:rtl/>
        </w:rPr>
        <w:t xml:space="preserve"> </w:t>
      </w:r>
      <w:r w:rsidRPr="001F2586">
        <w:rPr>
          <w:rFonts w:ascii="David" w:eastAsia="Calibri" w:hAnsi="David" w:hint="eastAsia"/>
          <w:b/>
          <w:bCs/>
          <w:rtl/>
        </w:rPr>
        <w:t>קלה</w:t>
      </w:r>
      <w:r w:rsidRPr="001F2586">
        <w:rPr>
          <w:rFonts w:ascii="David" w:eastAsia="Calibri" w:hAnsi="David"/>
          <w:b/>
          <w:bCs/>
          <w:rtl/>
        </w:rPr>
        <w:t xml:space="preserve"> </w:t>
      </w:r>
      <w:r w:rsidRPr="001F2586">
        <w:rPr>
          <w:rFonts w:ascii="David" w:eastAsia="Calibri" w:hAnsi="David" w:hint="eastAsia"/>
          <w:b/>
          <w:bCs/>
          <w:rtl/>
        </w:rPr>
        <w:t>את</w:t>
      </w:r>
      <w:r w:rsidRPr="001F2586">
        <w:rPr>
          <w:rFonts w:ascii="David" w:eastAsia="Calibri" w:hAnsi="David"/>
          <w:b/>
          <w:bCs/>
          <w:rtl/>
        </w:rPr>
        <w:t xml:space="preserve"> </w:t>
      </w:r>
      <w:r w:rsidRPr="001F2586">
        <w:rPr>
          <w:rFonts w:ascii="David" w:eastAsia="Calibri" w:hAnsi="David" w:hint="eastAsia"/>
          <w:b/>
          <w:bCs/>
          <w:rtl/>
        </w:rPr>
        <w:t>עלות</w:t>
      </w:r>
      <w:r w:rsidRPr="001F2586">
        <w:rPr>
          <w:rFonts w:ascii="David" w:eastAsia="Calibri" w:hAnsi="David"/>
          <w:b/>
          <w:bCs/>
          <w:rtl/>
        </w:rPr>
        <w:t xml:space="preserve"> </w:t>
      </w:r>
      <w:r w:rsidRPr="001F2586">
        <w:rPr>
          <w:rFonts w:ascii="David" w:eastAsia="Calibri" w:hAnsi="David" w:hint="eastAsia"/>
          <w:b/>
          <w:bCs/>
          <w:rtl/>
        </w:rPr>
        <w:t>האשראי</w:t>
      </w:r>
      <w:r w:rsidRPr="001F2586">
        <w:rPr>
          <w:rFonts w:ascii="David" w:eastAsia="Calibri" w:hAnsi="David"/>
          <w:b/>
          <w:bCs/>
          <w:rtl/>
        </w:rPr>
        <w:t xml:space="preserve"> </w:t>
      </w:r>
      <w:r w:rsidRPr="001F2586">
        <w:rPr>
          <w:rFonts w:ascii="David" w:eastAsia="Calibri" w:hAnsi="David" w:hint="eastAsia"/>
          <w:b/>
          <w:bCs/>
          <w:rtl/>
        </w:rPr>
        <w:t>הכוללת</w:t>
      </w:r>
      <w:r w:rsidRPr="001F2586">
        <w:rPr>
          <w:rFonts w:ascii="David" w:eastAsia="Calibri" w:hAnsi="David"/>
          <w:b/>
          <w:bCs/>
          <w:rtl/>
        </w:rPr>
        <w:t xml:space="preserve"> </w:t>
      </w:r>
      <w:r w:rsidRPr="001F2586">
        <w:rPr>
          <w:rFonts w:ascii="David" w:eastAsia="Calibri" w:hAnsi="David" w:hint="eastAsia"/>
          <w:b/>
          <w:bCs/>
          <w:rtl/>
        </w:rPr>
        <w:t>שלו</w:t>
      </w:r>
      <w:r w:rsidRPr="001F2586">
        <w:rPr>
          <w:rFonts w:ascii="David" w:eastAsia="Calibri" w:hAnsi="David"/>
          <w:b/>
          <w:bCs/>
          <w:rtl/>
        </w:rPr>
        <w:t xml:space="preserve"> </w:t>
      </w:r>
      <w:r w:rsidRPr="001F2586">
        <w:rPr>
          <w:rFonts w:ascii="David" w:eastAsia="Calibri" w:hAnsi="David" w:hint="eastAsia"/>
          <w:b/>
          <w:bCs/>
          <w:rtl/>
        </w:rPr>
        <w:t>מול</w:t>
      </w:r>
      <w:r w:rsidRPr="001F2586">
        <w:rPr>
          <w:rFonts w:ascii="David" w:eastAsia="Calibri" w:hAnsi="David"/>
          <w:b/>
          <w:bCs/>
          <w:rtl/>
        </w:rPr>
        <w:t xml:space="preserve"> </w:t>
      </w:r>
      <w:r w:rsidRPr="001F2586">
        <w:rPr>
          <w:rFonts w:ascii="David" w:eastAsia="Calibri" w:hAnsi="David" w:hint="eastAsia"/>
          <w:b/>
          <w:bCs/>
          <w:rtl/>
        </w:rPr>
        <w:t>הצעות</w:t>
      </w:r>
      <w:r w:rsidRPr="001F2586">
        <w:rPr>
          <w:rFonts w:ascii="David" w:eastAsia="Calibri" w:hAnsi="David"/>
          <w:b/>
          <w:bCs/>
          <w:rtl/>
        </w:rPr>
        <w:t xml:space="preserve"> </w:t>
      </w:r>
      <w:r w:rsidRPr="001F2586">
        <w:rPr>
          <w:rFonts w:ascii="David" w:eastAsia="Calibri" w:hAnsi="David" w:hint="eastAsia"/>
          <w:b/>
          <w:bCs/>
          <w:rtl/>
        </w:rPr>
        <w:t>חדשות</w:t>
      </w:r>
      <w:r w:rsidRPr="001F2586">
        <w:rPr>
          <w:rFonts w:ascii="David" w:eastAsia="Calibri" w:hAnsi="David"/>
          <w:b/>
          <w:bCs/>
          <w:rtl/>
        </w:rPr>
        <w:t xml:space="preserve"> </w:t>
      </w:r>
      <w:r w:rsidRPr="001F2586">
        <w:rPr>
          <w:rFonts w:ascii="David" w:eastAsia="Calibri" w:hAnsi="David" w:hint="eastAsia"/>
          <w:b/>
          <w:bCs/>
          <w:rtl/>
        </w:rPr>
        <w:t>שהוא</w:t>
      </w:r>
      <w:r w:rsidRPr="001F2586">
        <w:rPr>
          <w:rFonts w:ascii="David" w:eastAsia="Calibri" w:hAnsi="David"/>
          <w:b/>
          <w:bCs/>
          <w:rtl/>
        </w:rPr>
        <w:t xml:space="preserve"> </w:t>
      </w:r>
      <w:r w:rsidRPr="001F2586">
        <w:rPr>
          <w:rFonts w:ascii="David" w:eastAsia="Calibri" w:hAnsi="David" w:hint="eastAsia"/>
          <w:b/>
          <w:bCs/>
          <w:rtl/>
        </w:rPr>
        <w:t>עשוי</w:t>
      </w:r>
      <w:r w:rsidRPr="001F2586">
        <w:rPr>
          <w:rFonts w:ascii="David" w:eastAsia="Calibri" w:hAnsi="David"/>
          <w:b/>
          <w:bCs/>
          <w:rtl/>
        </w:rPr>
        <w:t xml:space="preserve"> </w:t>
      </w:r>
      <w:r w:rsidRPr="001F2586">
        <w:rPr>
          <w:rFonts w:ascii="David" w:eastAsia="Calibri" w:hAnsi="David" w:hint="eastAsia"/>
          <w:b/>
          <w:bCs/>
          <w:rtl/>
        </w:rPr>
        <w:t>לקבל</w:t>
      </w:r>
      <w:r w:rsidRPr="001F2586">
        <w:rPr>
          <w:rFonts w:ascii="David" w:eastAsia="Calibri" w:hAnsi="David"/>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ascii="David" w:eastAsia="Calibri" w:hAnsi="David"/>
          <w:b/>
          <w:bCs/>
          <w:rtl/>
        </w:rPr>
      </w:pPr>
      <w:r w:rsidRPr="001F2586">
        <w:rPr>
          <w:rFonts w:ascii="David" w:eastAsia="Calibri" w:hAnsi="David"/>
          <w:b/>
          <w:bCs/>
          <w:rtl/>
        </w:rPr>
        <w:t>נוכח החשיבות המכרעת של הסדרת שוק האשראי החוץ-בנקאי והצורך בהגנה על ציבור הלווים</w:t>
      </w:r>
      <w:r w:rsidRPr="001F2586">
        <w:rPr>
          <w:rFonts w:ascii="David" w:eastAsia="Calibri" w:hAnsi="David" w:hint="cs"/>
          <w:b/>
          <w:bCs/>
          <w:rtl/>
        </w:rPr>
        <w:t xml:space="preserve">, </w:t>
      </w:r>
      <w:r w:rsidRPr="001F2586">
        <w:rPr>
          <w:rFonts w:ascii="David" w:eastAsia="Calibri" w:hAnsi="David"/>
          <w:b/>
          <w:bCs/>
          <w:rtl/>
        </w:rPr>
        <w:t xml:space="preserve">על שר האוצר לפעול </w:t>
      </w:r>
      <w:r w:rsidRPr="001F2586">
        <w:rPr>
          <w:rFonts w:ascii="David" w:eastAsia="Calibri" w:hAnsi="David" w:hint="cs"/>
          <w:b/>
          <w:bCs/>
          <w:rtl/>
        </w:rPr>
        <w:t xml:space="preserve">בהקדם </w:t>
      </w:r>
      <w:r w:rsidRPr="001F2586">
        <w:rPr>
          <w:rFonts w:ascii="David" w:eastAsia="Calibri" w:hAnsi="David"/>
          <w:b/>
          <w:bCs/>
          <w:rtl/>
        </w:rPr>
        <w:t xml:space="preserve">למינוי יושב ראש לוועדה המייעצת </w:t>
      </w:r>
      <w:r w:rsidRPr="001F2586">
        <w:rPr>
          <w:rFonts w:ascii="David" w:eastAsia="Calibri" w:hAnsi="David" w:hint="cs"/>
          <w:b/>
          <w:bCs/>
          <w:rtl/>
        </w:rPr>
        <w:t xml:space="preserve">למפקח על שוק ההון </w:t>
      </w:r>
      <w:r w:rsidRPr="001F2586">
        <w:rPr>
          <w:rFonts w:ascii="David" w:eastAsia="Calibri" w:hAnsi="David"/>
          <w:b/>
          <w:bCs/>
          <w:rtl/>
        </w:rPr>
        <w:t>לעניין נותני שירותים פיננסיים</w:t>
      </w:r>
      <w:r w:rsidRPr="001F2586">
        <w:rPr>
          <w:rFonts w:ascii="David" w:eastAsia="Calibri" w:hAnsi="David" w:hint="cs"/>
          <w:b/>
          <w:bCs/>
          <w:rtl/>
        </w:rPr>
        <w:t>, שכן מילוי</w:t>
      </w:r>
      <w:r w:rsidRPr="001F2586">
        <w:rPr>
          <w:rFonts w:ascii="David" w:eastAsia="Calibri" w:hAnsi="David"/>
          <w:b/>
          <w:bCs/>
          <w:rtl/>
        </w:rPr>
        <w:t xml:space="preserve"> תפקיד זה הוא תנאי סף הכרחי להפעלת סמכויות הרשות ולקידום הרפורמות הנדרשות בתחום</w:t>
      </w:r>
      <w:r w:rsidRPr="001F2586">
        <w:rPr>
          <w:rFonts w:ascii="David" w:eastAsia="Calibri" w:hAnsi="David"/>
          <w:b/>
          <w:bCs/>
        </w:rPr>
        <w:t>.</w:t>
      </w:r>
      <w:r w:rsidRPr="001F2586">
        <w:rPr>
          <w:rFonts w:ascii="David" w:eastAsia="Calibri" w:hAnsi="David"/>
          <w:b/>
          <w:bCs/>
          <w:rtl/>
        </w:rPr>
        <w:t xml:space="preserve"> עם מינוי יו"ר לוועדה על רשות שוק ההון להשלים את הליך ההיוועצות הנדרש ולפרסם את ההוראות להגברת השקיפות והתחרות</w:t>
      </w:r>
      <w:r w:rsidRPr="001F2586">
        <w:rPr>
          <w:rFonts w:ascii="David" w:eastAsia="Calibri" w:hAnsi="David" w:hint="cs"/>
          <w:b/>
          <w:bCs/>
          <w:rtl/>
        </w:rPr>
        <w:t xml:space="preserve">. </w:t>
      </w:r>
    </w:p>
    <w:p w:rsidR="006F0DF8" w:rsidRPr="00E85EB9">
      <w:pPr>
        <w:bidi w:val="0"/>
        <w:spacing w:after="200" w:line="276" w:lineRule="auto"/>
        <w:rPr>
          <w:rFonts w:ascii="David" w:eastAsia="Calibri" w:hAnsi="David"/>
          <w:szCs w:val="20"/>
        </w:rPr>
      </w:pPr>
    </w:p>
    <w:p w:rsidR="001F2586" w:rsidRPr="001F2586" w:rsidP="001F2586">
      <w:pPr>
        <w:keepNext/>
        <w:keepLines/>
        <w:numPr>
          <w:ilvl w:val="0"/>
          <w:numId w:val="29"/>
        </w:numPr>
        <w:spacing w:line="269" w:lineRule="auto"/>
        <w:outlineLvl w:val="4"/>
        <w:rPr>
          <w:rFonts w:eastAsia="Times New Roman"/>
          <w:bCs/>
          <w:spacing w:val="40"/>
          <w:rtl/>
        </w:rPr>
      </w:pPr>
      <w:r w:rsidRPr="001F2586">
        <w:rPr>
          <w:rFonts w:eastAsia="Times New Roman" w:hint="cs"/>
          <w:bCs/>
          <w:spacing w:val="40"/>
          <w:rtl/>
        </w:rPr>
        <w:t xml:space="preserve">כלי השוואתי להשוואת מידע במשכנתאות חוץ בנקאיות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u w:val="single"/>
          <w:rtl/>
        </w:rPr>
      </w:pPr>
      <w:r w:rsidRPr="001F2586">
        <w:rPr>
          <w:rFonts w:eastAsia="Calibri"/>
          <w:rtl/>
        </w:rPr>
        <w:t xml:space="preserve">בנק ישראל והפיקוח על הבנקים נוקטים צעדים לשיפור התחרות וההוגנות במערכת הבנקאות, כאשר העיקריים שבהם </w:t>
      </w:r>
      <w:r w:rsidRPr="001F2586">
        <w:rPr>
          <w:rFonts w:eastAsia="Calibri" w:hint="cs"/>
          <w:rtl/>
        </w:rPr>
        <w:t>בתחום המשכנתאות הינם</w:t>
      </w:r>
      <w:r w:rsidRPr="001F2586">
        <w:rPr>
          <w:rFonts w:eastAsia="Calibri"/>
          <w:rtl/>
        </w:rPr>
        <w:t xml:space="preserve">: </w:t>
      </w:r>
      <w:r w:rsidRPr="001F2586">
        <w:rPr>
          <w:rFonts w:eastAsia="Calibri" w:hint="cs"/>
          <w:rtl/>
        </w:rPr>
        <w:t xml:space="preserve">רפורמת השקיפות, </w:t>
      </w:r>
      <w:r w:rsidRPr="001F2586">
        <w:rPr>
          <w:rFonts w:eastAsia="Calibri"/>
          <w:rtl/>
        </w:rPr>
        <w:t xml:space="preserve">שכוללת צעדים להקלה וקיצור של תהליך קבלת הצעות </w:t>
      </w:r>
      <w:r w:rsidRPr="001F2586">
        <w:rPr>
          <w:rFonts w:eastAsia="Calibri" w:hint="cs"/>
          <w:rtl/>
        </w:rPr>
        <w:t>למשכנתא</w:t>
      </w:r>
      <w:r w:rsidRPr="001F2586">
        <w:rPr>
          <w:rFonts w:eastAsia="Calibri"/>
          <w:rtl/>
        </w:rPr>
        <w:t xml:space="preserve"> מהבנקים ולפישוט המידע כדי שהלקוח יוכל להשוות בין ההצעות השונות</w:t>
      </w:r>
      <w:r w:rsidRPr="001F2586">
        <w:rPr>
          <w:rFonts w:eastAsia="Calibri" w:hint="cs"/>
          <w:rtl/>
        </w:rPr>
        <w:t xml:space="preserve">, </w:t>
      </w:r>
      <w:r w:rsidRPr="001F2586">
        <w:rPr>
          <w:rFonts w:eastAsia="Calibri"/>
          <w:rtl/>
        </w:rPr>
        <w:t>הקלות בתהליך ביצוע מחזור משכנתא בבנק אחר</w:t>
      </w:r>
      <w:r w:rsidRPr="001F2586">
        <w:rPr>
          <w:rFonts w:eastAsia="Calibri" w:hint="cs"/>
          <w:rtl/>
        </w:rPr>
        <w:t>, ו</w:t>
      </w:r>
      <w:r w:rsidRPr="001F2586">
        <w:rPr>
          <w:rFonts w:eastAsia="Calibri"/>
          <w:rtl/>
        </w:rPr>
        <w:t xml:space="preserve">פרסום הריביות הממוצעות על </w:t>
      </w:r>
      <w:r w:rsidRPr="001F2586">
        <w:rPr>
          <w:rFonts w:eastAsia="Calibri" w:hint="cs"/>
          <w:rtl/>
        </w:rPr>
        <w:t>הלוואות למטרות מגורים. ה</w:t>
      </w:r>
      <w:r w:rsidRPr="001F2586">
        <w:rPr>
          <w:rFonts w:eastAsia="Calibri"/>
          <w:rtl/>
        </w:rPr>
        <w:t xml:space="preserve">השוואה בין השירותים והמוצרים הבנקאיים השונים </w:t>
      </w:r>
      <w:r w:rsidRPr="001F2586">
        <w:rPr>
          <w:rFonts w:eastAsia="Calibri" w:hint="cs"/>
          <w:rtl/>
        </w:rPr>
        <w:t xml:space="preserve">נעשית באמצעות אתר </w:t>
      </w:r>
      <w:r w:rsidRPr="001F2586">
        <w:rPr>
          <w:rFonts w:eastAsia="Calibri"/>
          <w:rtl/>
        </w:rPr>
        <w:t xml:space="preserve">בנק ישראל </w:t>
      </w:r>
      <w:r w:rsidRPr="001F2586">
        <w:rPr>
          <w:rFonts w:eastAsia="Calibri" w:hint="cs"/>
          <w:rtl/>
        </w:rPr>
        <w:t xml:space="preserve">- </w:t>
      </w:r>
      <w:r w:rsidRPr="001F2586">
        <w:rPr>
          <w:rFonts w:eastAsia="Calibri"/>
          <w:rtl/>
        </w:rPr>
        <w:t>"קו המשווה"</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P="001F2586">
      <w:pPr>
        <w:spacing w:line="269" w:lineRule="auto"/>
        <w:ind w:left="312"/>
        <w:rPr>
          <w:rFonts w:eastAsia="Calibri"/>
          <w:b/>
          <w:bCs/>
          <w:rtl/>
        </w:rPr>
      </w:pPr>
      <w:r w:rsidRPr="001F2586">
        <w:rPr>
          <w:rFonts w:eastAsia="Calibri" w:hint="cs"/>
          <w:b/>
          <w:bCs/>
          <w:rtl/>
        </w:rPr>
        <w:t>נמצא כי רשות שוק ההון אינה מפרסמת נתונים השוואתיים שיכולים לאפשר ללקוחות הגופים החוץ בנקאיים לבצע השוואה של תנאי ההלוואות השונות המוצעות להם על ידי הגופים החוץ בנקאיים, והלקוח אינו יכול לקבל תמונה כוללת בדבר שיעורי הריבית והמסלולים האפשריים המוצעים על ידם, ובדבר הריבית הכוללת החזויה אצל כל אחד מהם.</w:t>
      </w:r>
    </w:p>
    <w:p w:rsidR="00326AEA" w:rsidRPr="001F2586" w:rsidP="001F2586">
      <w:pPr>
        <w:spacing w:line="269" w:lineRule="auto"/>
        <w:ind w:left="312"/>
        <w:rPr>
          <w:rFonts w:eastAsia="Calibri"/>
          <w:b/>
          <w:bCs/>
          <w:rtl/>
        </w:rPr>
      </w:pPr>
    </w:p>
    <w:p w:rsidR="001F2586" w:rsidRPr="001F2586" w:rsidP="001F2586">
      <w:pPr>
        <w:spacing w:line="269" w:lineRule="auto"/>
        <w:ind w:left="283"/>
        <w:rPr>
          <w:rFonts w:eastAsia="Calibri"/>
          <w:rtl/>
        </w:rPr>
      </w:pPr>
      <w:r w:rsidRPr="001F2586">
        <w:rPr>
          <w:rFonts w:eastAsia="Calibri"/>
          <w:rtl/>
        </w:rPr>
        <w:t xml:space="preserve">רשות שוק ההון ציינה בתשובתה כי פרסום ריביות ממוצעות בדומה לאופן שמפרסם בנק ישראל אינו רלוונטי בשלב זה לנותני אשראי, ואף עשוי להטעות את הלווים, בין היתר משום שהמוצרים המוצעים בשוק החוץ בנקאי שונים במהותם מאלו המועמדים על ידי הבנקים. כמו כן לעיתים מדובר בלווים </w:t>
      </w:r>
      <w:r w:rsidRPr="001F2586">
        <w:rPr>
          <w:rFonts w:eastAsia="Calibri"/>
          <w:rtl/>
        </w:rPr>
        <w:t>שסורבו</w:t>
      </w:r>
      <w:r w:rsidRPr="001F2586">
        <w:rPr>
          <w:rFonts w:eastAsia="Calibri"/>
          <w:rtl/>
        </w:rPr>
        <w:t xml:space="preserve"> במערכת הבנקאית ואמידת הסיכון הנלווה למתן אשראי תלוי במאפיינים הפרטניים שאינם שכיחים. במצב זה מידע כמו "ריבית ממוצעת" עלול להיות נתון כמעט חסר משמעות ואולי אף מטעה.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cs"/>
          <w:b/>
          <w:bCs/>
          <w:rtl/>
        </w:rPr>
        <w:t xml:space="preserve">יצוין כי למרות המורכבות ביצירת מאגר נתונים השוואתי נוכח המאפיינים השונים של הלווים במערכת החוץ בנקאית, </w:t>
      </w:r>
      <w:r w:rsidRPr="001F2586">
        <w:rPr>
          <w:rFonts w:eastAsia="Calibri" w:hint="eastAsia"/>
          <w:b/>
          <w:bCs/>
          <w:rtl/>
        </w:rPr>
        <w:t>היעדרו</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כלי</w:t>
      </w:r>
      <w:r w:rsidRPr="001F2586">
        <w:rPr>
          <w:rFonts w:eastAsia="Calibri"/>
          <w:b/>
          <w:bCs/>
          <w:rtl/>
        </w:rPr>
        <w:t xml:space="preserve"> </w:t>
      </w:r>
      <w:r w:rsidRPr="001F2586">
        <w:rPr>
          <w:rFonts w:eastAsia="Calibri" w:hint="eastAsia"/>
          <w:b/>
          <w:bCs/>
          <w:rtl/>
        </w:rPr>
        <w:t>השוואתי</w:t>
      </w:r>
      <w:r w:rsidRPr="001F2586">
        <w:rPr>
          <w:rFonts w:eastAsia="Calibri"/>
          <w:b/>
          <w:bCs/>
          <w:rtl/>
        </w:rPr>
        <w:t xml:space="preserve"> </w:t>
      </w:r>
      <w:r w:rsidRPr="001F2586">
        <w:rPr>
          <w:rFonts w:eastAsia="Calibri" w:hint="eastAsia"/>
          <w:b/>
          <w:bCs/>
          <w:rtl/>
        </w:rPr>
        <w:t>כאמור</w:t>
      </w:r>
      <w:r w:rsidRPr="001F2586">
        <w:rPr>
          <w:rFonts w:eastAsia="Calibri"/>
          <w:b/>
          <w:bCs/>
          <w:rtl/>
        </w:rPr>
        <w:t xml:space="preserve"> </w:t>
      </w:r>
      <w:r w:rsidRPr="001F2586">
        <w:rPr>
          <w:rFonts w:eastAsia="Calibri" w:hint="eastAsia"/>
          <w:b/>
          <w:bCs/>
          <w:rtl/>
        </w:rPr>
        <w:t>מעלה</w:t>
      </w:r>
      <w:r w:rsidRPr="001F2586">
        <w:rPr>
          <w:rFonts w:eastAsia="Calibri"/>
          <w:b/>
          <w:bCs/>
          <w:rtl/>
        </w:rPr>
        <w:t xml:space="preserve"> קושי </w:t>
      </w:r>
      <w:r w:rsidRPr="001F2586">
        <w:rPr>
          <w:rFonts w:eastAsia="Calibri" w:hint="cs"/>
          <w:b/>
          <w:bCs/>
          <w:rtl/>
        </w:rPr>
        <w:t xml:space="preserve">אצל הלווים </w:t>
      </w:r>
      <w:r w:rsidRPr="001F2586">
        <w:rPr>
          <w:rFonts w:eastAsia="Calibri"/>
          <w:b/>
          <w:bCs/>
          <w:rtl/>
        </w:rPr>
        <w:t xml:space="preserve">בעת </w:t>
      </w:r>
      <w:r w:rsidRPr="001F2586">
        <w:rPr>
          <w:rFonts w:eastAsia="Calibri" w:hint="eastAsia"/>
          <w:b/>
          <w:bCs/>
          <w:rtl/>
        </w:rPr>
        <w:t>בחינת</w:t>
      </w:r>
      <w:r w:rsidRPr="001F2586">
        <w:rPr>
          <w:rFonts w:eastAsia="Calibri"/>
          <w:b/>
          <w:bCs/>
          <w:rtl/>
        </w:rPr>
        <w:t xml:space="preserve"> </w:t>
      </w:r>
      <w:r w:rsidRPr="001F2586">
        <w:rPr>
          <w:rFonts w:eastAsia="Calibri" w:hint="eastAsia"/>
          <w:b/>
          <w:bCs/>
          <w:rtl/>
        </w:rPr>
        <w:t>תנאי</w:t>
      </w:r>
      <w:r w:rsidRPr="001F2586">
        <w:rPr>
          <w:rFonts w:eastAsia="Calibri"/>
          <w:b/>
          <w:bCs/>
          <w:rtl/>
        </w:rPr>
        <w:t xml:space="preserve"> הצעת משכנתא חוץ-בנקאית ל</w:t>
      </w:r>
      <w:r w:rsidRPr="001F2586">
        <w:rPr>
          <w:rFonts w:eastAsia="Calibri" w:hint="eastAsia"/>
          <w:b/>
          <w:bCs/>
          <w:rtl/>
        </w:rPr>
        <w:t>משכנתא</w:t>
      </w:r>
      <w:r w:rsidRPr="001F2586">
        <w:rPr>
          <w:rFonts w:eastAsia="Calibri"/>
          <w:b/>
          <w:bCs/>
          <w:rtl/>
        </w:rPr>
        <w:t xml:space="preserve"> בנקאית, ואף בין הצעה חוץ בנקאית אחת להצעה חוץ בנקאית אחרת, כיוון שיש פחות סטנדרטיזציה באופן הצגת </w:t>
      </w:r>
      <w:r w:rsidRPr="001F2586">
        <w:rPr>
          <w:rFonts w:eastAsia="Calibri" w:hint="eastAsia"/>
          <w:b/>
          <w:bCs/>
          <w:rtl/>
        </w:rPr>
        <w:t>תנאי</w:t>
      </w:r>
      <w:r w:rsidRPr="001F2586">
        <w:rPr>
          <w:rFonts w:eastAsia="Calibri"/>
          <w:b/>
          <w:bCs/>
          <w:rtl/>
        </w:rPr>
        <w:t xml:space="preserve"> ההלוואות - שיעורי הריב</w:t>
      </w:r>
      <w:r w:rsidRPr="001F2586">
        <w:rPr>
          <w:rFonts w:eastAsia="Calibri" w:hint="eastAsia"/>
          <w:b/>
          <w:bCs/>
          <w:rtl/>
        </w:rPr>
        <w:t>ית</w:t>
      </w:r>
      <w:r w:rsidRPr="001F2586">
        <w:rPr>
          <w:rFonts w:eastAsia="Calibri"/>
          <w:b/>
          <w:bCs/>
          <w:rtl/>
        </w:rPr>
        <w:t xml:space="preserve">, </w:t>
      </w:r>
      <w:r w:rsidRPr="001F2586">
        <w:rPr>
          <w:rFonts w:eastAsia="Calibri" w:hint="eastAsia"/>
          <w:b/>
          <w:bCs/>
          <w:rtl/>
        </w:rPr>
        <w:t>סוגי</w:t>
      </w:r>
      <w:r w:rsidRPr="001F2586">
        <w:rPr>
          <w:rFonts w:eastAsia="Calibri"/>
          <w:b/>
          <w:bCs/>
          <w:rtl/>
        </w:rPr>
        <w:t xml:space="preserve"> </w:t>
      </w:r>
      <w:r w:rsidRPr="001F2586">
        <w:rPr>
          <w:rFonts w:eastAsia="Calibri" w:hint="eastAsia"/>
          <w:b/>
          <w:bCs/>
          <w:rtl/>
        </w:rPr>
        <w:t>המסלולים</w:t>
      </w:r>
      <w:r w:rsidRPr="001F2586">
        <w:rPr>
          <w:rFonts w:eastAsia="Calibri"/>
          <w:b/>
          <w:bCs/>
          <w:rtl/>
        </w:rPr>
        <w:t xml:space="preserve"> </w:t>
      </w:r>
      <w:r w:rsidRPr="001F2586">
        <w:rPr>
          <w:rFonts w:eastAsia="Calibri" w:hint="eastAsia"/>
          <w:b/>
          <w:bCs/>
          <w:rtl/>
        </w:rPr>
        <w:t>ותעריפי</w:t>
      </w:r>
      <w:r w:rsidRPr="001F2586">
        <w:rPr>
          <w:rFonts w:eastAsia="Calibri"/>
          <w:b/>
          <w:bCs/>
          <w:rtl/>
        </w:rPr>
        <w:t xml:space="preserve"> </w:t>
      </w:r>
      <w:r w:rsidRPr="001F2586">
        <w:rPr>
          <w:rFonts w:eastAsia="Calibri" w:hint="eastAsia"/>
          <w:b/>
          <w:bCs/>
          <w:rtl/>
        </w:rPr>
        <w:t>העמלות</w:t>
      </w:r>
      <w:r w:rsidRPr="001F2586">
        <w:rPr>
          <w:rFonts w:eastAsia="Calibri"/>
          <w:b/>
          <w:bCs/>
          <w:rtl/>
        </w:rPr>
        <w:t xml:space="preserve"> </w:t>
      </w:r>
      <w:r w:rsidRPr="001F2586">
        <w:rPr>
          <w:rFonts w:eastAsia="Calibri" w:hint="eastAsia"/>
          <w:b/>
          <w:bCs/>
          <w:rtl/>
        </w:rPr>
        <w:t>השונות</w:t>
      </w:r>
      <w:r w:rsidRPr="001F2586">
        <w:rPr>
          <w:rFonts w:eastAsia="Calibri"/>
          <w:b/>
          <w:bCs/>
          <w:rtl/>
        </w:rPr>
        <w:t xml:space="preserve">, </w:t>
      </w:r>
      <w:r w:rsidRPr="001F2586">
        <w:rPr>
          <w:rFonts w:eastAsia="Calibri" w:hint="eastAsia"/>
          <w:b/>
          <w:bCs/>
          <w:rtl/>
        </w:rPr>
        <w:t>ובדרך</w:t>
      </w:r>
      <w:r w:rsidRPr="001F2586">
        <w:rPr>
          <w:rFonts w:eastAsia="Calibri"/>
          <w:b/>
          <w:bCs/>
          <w:rtl/>
        </w:rPr>
        <w:t xml:space="preserve"> זו </w:t>
      </w:r>
      <w:r w:rsidRPr="001F2586">
        <w:rPr>
          <w:rFonts w:eastAsia="Calibri" w:hint="eastAsia"/>
          <w:b/>
          <w:bCs/>
          <w:rtl/>
        </w:rPr>
        <w:t>הלקוח</w:t>
      </w:r>
      <w:r w:rsidRPr="001F2586">
        <w:rPr>
          <w:rFonts w:eastAsia="Calibri"/>
          <w:b/>
          <w:bCs/>
          <w:rtl/>
        </w:rPr>
        <w:t xml:space="preserve"> </w:t>
      </w:r>
      <w:r w:rsidRPr="001F2586">
        <w:rPr>
          <w:rFonts w:eastAsia="Calibri" w:hint="eastAsia"/>
          <w:b/>
          <w:bCs/>
          <w:rtl/>
        </w:rPr>
        <w:t>אינו</w:t>
      </w:r>
      <w:r w:rsidRPr="001F2586">
        <w:rPr>
          <w:rFonts w:eastAsia="Calibri"/>
          <w:b/>
          <w:bCs/>
          <w:rtl/>
        </w:rPr>
        <w:t xml:space="preserve"> מקבל את המידע הנחוץ לו </w:t>
      </w:r>
      <w:r w:rsidRPr="001F2586">
        <w:rPr>
          <w:rFonts w:eastAsia="Calibri" w:hint="eastAsia"/>
          <w:b/>
          <w:bCs/>
          <w:rtl/>
        </w:rPr>
        <w:t>בדבר</w:t>
      </w:r>
      <w:r w:rsidRPr="001F2586">
        <w:rPr>
          <w:rFonts w:eastAsia="Calibri"/>
          <w:b/>
          <w:bCs/>
          <w:rtl/>
        </w:rPr>
        <w:t xml:space="preserve"> מלוא עלות האשראי בצורה בהירה לחלוטין. ללא שקיפות מלאה בנוגע לעמלות פתיחת תיק, תנאי פירעון מוקדם ויתרת חוב שוטפת (הנגשה דיגיטלית), הלקוח אינו יכול לבצע השוואה מושכלת והוא חשוף לניצול פערי מידע המעמיקים את מצוקתו הפיננסית.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cs"/>
          <w:b/>
          <w:bCs/>
          <w:rtl/>
        </w:rPr>
        <w:t>מומלץ לרשות שוק ההון לבחון גיבוש הדרגתי של עקרונות ואמות מידה עקביות ואחידות של הוגנות בכל הקשור למשכנתא חוץ בנקאית, וזאת אף בהתחשב בקשיים ביצירת מנגנוני השוואה לנוכח המאפיינים השונים של הלווים.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רשות שוק ההון ציינה בתשובתה כי התנאים בהם פועלים נותני האשראי החוץ בנקאים, קרי מקורות המימון ומאפייני הלווים, שונה באופן מהותי מאלו של הבנקים. נתון זה הינו בעל משמעות רבה כאשר יש לבחון את סוג הפיקוח הנדרש על שוק האשראי, זאת בשים לב כי שוק האשראי החוץ בנקאי עדיין בשלבי התהוות וכי ללא </w:t>
      </w:r>
      <w:r w:rsidRPr="001F2586">
        <w:rPr>
          <w:rFonts w:eastAsia="Calibri" w:hint="cs"/>
          <w:rtl/>
        </w:rPr>
        <w:t>איזונים</w:t>
      </w:r>
      <w:r w:rsidRPr="001F2586">
        <w:rPr>
          <w:rFonts w:eastAsia="Calibri" w:hint="cs"/>
          <w:rtl/>
        </w:rPr>
        <w:t xml:space="preserve"> נכונים בין הגנות צרכניות וניהול סיכונים לבין נטל עודף של רגולציה, התחרות בשוק האשראי שהחלה להתפתח עלולה להיפגע. מאז חקיקת חוק השירותים הפיננסים חלה התפתחות משמעותית בשוק האשראי החוץ בנקאי והרשות עמלה על יצירת סביבה בטוחה המאזנת בין הגנה על הצרכן לבין עידוד חדשנות ותחרות.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עוד ציינה רשות שוק ההון כי היא מחויבת להמשך פיתוח שוק משכנתאות חוץ בנקאי תחרותי והוגן תוך הבטחת הגנה צרכנית וניהול סיכונים מוקפד ובשיתוף פעולה עם יתר המאסדרים הפיננסי</w:t>
      </w:r>
      <w:r w:rsidRPr="001F2586">
        <w:rPr>
          <w:rFonts w:eastAsia="Calibri" w:hint="eastAsia"/>
          <w:rtl/>
        </w:rPr>
        <w:t>ם</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Times New Roman" w:cs="Times New Roman"/>
          <w:sz w:val="24"/>
        </w:rPr>
      </w:pPr>
      <w:r w:rsidRPr="001F2586">
        <w:rPr>
          <w:rFonts w:eastAsia="Calibri"/>
          <w:rtl/>
        </w:rPr>
        <w:t xml:space="preserve">משרד מבקר המדינה רואה בחיוב את פעולות רשות שוק ההון לפיתוח שוק משכנתאות חוץ-בנקאי תחרותי ומגוון, </w:t>
      </w:r>
      <w:r w:rsidRPr="001F2586">
        <w:rPr>
          <w:rFonts w:eastAsia="Calibri" w:hint="cs"/>
          <w:rtl/>
        </w:rPr>
        <w:t>וזאת נוכח העובדה שמדובר</w:t>
      </w:r>
      <w:r w:rsidRPr="001F2586">
        <w:rPr>
          <w:rFonts w:eastAsia="Calibri"/>
          <w:rtl/>
        </w:rPr>
        <w:t xml:space="preserve"> בשוק הנמצא בתהליכי התהוות וצמיחה. יחד עם זאת, בשל מאפייניו הייחודיים של השוק והסיכונים הגלומים בו, </w:t>
      </w:r>
      <w:r w:rsidRPr="001F2586">
        <w:rPr>
          <w:rFonts w:eastAsia="Calibri" w:hint="eastAsia"/>
          <w:rtl/>
        </w:rPr>
        <w:t>מומלץ</w:t>
      </w:r>
      <w:r w:rsidRPr="001F2586">
        <w:rPr>
          <w:rFonts w:eastAsia="Calibri"/>
          <w:rtl/>
        </w:rPr>
        <w:t xml:space="preserve"> לחתור לגיבוש סטנדרטים של שקיפות הדרגתית, שיאפשרו לצרכן לקבל החלטות מושכלות מבלי להכביד בנטל רגולטורי בלתי מידתי על הגופים הפועלים בו. </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היבטים בפיקוח רשות שוק ההון על משכנתאות חוץ בנקאיות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חוק הפיקוח על שירותים פיננסיים חוקק במטרה לתת מענה למספר תכליות ובכללן הגנה ושמירה על עניינם של לקוחות של נותני השירותים הפיננסים, יצירת סביבה אמינה, בטוחה ויציבה למתן השירותים, וכן קידום התחרות בתחום השירותים הפיננסיים והגברת הנגישות לשירותים אלו.</w:t>
      </w:r>
      <w:r w:rsidRPr="001F2586">
        <w:rPr>
          <w:rFonts w:eastAsia="Calibri" w:hint="cs"/>
          <w:rtl/>
        </w:rPr>
        <w:t xml:space="preserve"> רשות שוק ההון</w:t>
      </w:r>
      <w:r w:rsidRPr="001F2586">
        <w:rPr>
          <w:rFonts w:eastAsia="Calibri"/>
          <w:rtl/>
        </w:rPr>
        <w:t xml:space="preserve"> עוקבת אחר התפתחות שוק ההלוואות </w:t>
      </w:r>
      <w:r w:rsidRPr="001F2586">
        <w:rPr>
          <w:rFonts w:eastAsia="Calibri" w:hint="cs"/>
          <w:rtl/>
        </w:rPr>
        <w:t xml:space="preserve">החוץ בנקאי </w:t>
      </w:r>
      <w:r w:rsidRPr="001F2586">
        <w:rPr>
          <w:rFonts w:eastAsia="Calibri"/>
          <w:rtl/>
        </w:rPr>
        <w:t xml:space="preserve">לדיור במספר אופנים: אגב פעולות הרישוי כפי שבא לידי ביטוי בנוהל הרישוי, כאשר במסגרת בקשת הרישיון בודקת הרשות את המודל העסקי, נהלי החברה ועמידתם בהוראות המפקח. בנוסף, הרשות מפקחת על פעילות שוק ההלוואות לדיור באופן שוטף על ידי איסוף מידע באמצעות דרישות דיווח תקופתיות החלות על נותני אשראי בהתאם לחוזר 2022-10-4 "הוראות לבעלי רישיון למתן אשראי </w:t>
      </w:r>
      <w:r w:rsidRPr="001F2586">
        <w:rPr>
          <w:rFonts w:eastAsia="Calibri" w:hint="cs"/>
          <w:rtl/>
        </w:rPr>
        <w:t>-</w:t>
      </w:r>
      <w:r w:rsidRPr="001F2586">
        <w:rPr>
          <w:rFonts w:eastAsia="Calibri"/>
          <w:rtl/>
        </w:rPr>
        <w:t xml:space="preserve"> דיווחי אשראי למפקח"</w:t>
      </w:r>
      <w:r w:rsidRPr="001F2586">
        <w:rPr>
          <w:rFonts w:eastAsia="Calibri" w:hint="cs"/>
          <w:rtl/>
        </w:rPr>
        <w:t>,</w:t>
      </w:r>
      <w:r w:rsidRPr="001F2586">
        <w:rPr>
          <w:rFonts w:eastAsia="Calibri"/>
          <w:rtl/>
        </w:rPr>
        <w:t xml:space="preserve"> ו</w:t>
      </w:r>
      <w:r w:rsidRPr="001F2586">
        <w:rPr>
          <w:rFonts w:eastAsia="Calibri" w:hint="cs"/>
          <w:rtl/>
        </w:rPr>
        <w:t xml:space="preserve">כן בביצוע של </w:t>
      </w:r>
      <w:r w:rsidRPr="001F2586">
        <w:rPr>
          <w:rFonts w:eastAsia="Calibri"/>
          <w:rtl/>
        </w:rPr>
        <w:t xml:space="preserve">ביקורות ייעודיות </w:t>
      </w:r>
      <w:r w:rsidRPr="001F2586">
        <w:rPr>
          <w:rFonts w:eastAsia="Calibri" w:hint="cs"/>
          <w:rtl/>
        </w:rPr>
        <w:t>שאמורה ליזום</w:t>
      </w:r>
      <w:r w:rsidRPr="001F2586">
        <w:rPr>
          <w:rFonts w:eastAsia="Calibri"/>
          <w:rtl/>
        </w:rPr>
        <w:t xml:space="preserve"> הרשות.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משרד מבקר המדינה בדק את אופן פעילותה של רשות שוק ההון במספר תחומים פיקוחיים על נותני משכנתאות חוץ בנקאיות: </w:t>
      </w:r>
    </w:p>
    <w:p w:rsidR="001F2586" w:rsidRPr="001F2586" w:rsidP="001F2586">
      <w:pPr>
        <w:keepNext/>
        <w:keepLines/>
        <w:spacing w:line="269" w:lineRule="auto"/>
        <w:outlineLvl w:val="4"/>
        <w:rPr>
          <w:rFonts w:eastAsia="Times New Roman"/>
          <w:bCs/>
          <w:spacing w:val="40"/>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ביקורות בקרב נותני משכנתאו</w:t>
      </w:r>
      <w:r w:rsidRPr="001F2586">
        <w:rPr>
          <w:rFonts w:eastAsia="Times New Roman" w:hint="eastAsia"/>
          <w:bCs/>
          <w:szCs w:val="26"/>
          <w:rtl/>
        </w:rPr>
        <w:t>ת</w:t>
      </w:r>
      <w:r w:rsidRPr="001F2586">
        <w:rPr>
          <w:rFonts w:eastAsia="Times New Roman" w:hint="cs"/>
          <w:bCs/>
          <w:szCs w:val="26"/>
          <w:rtl/>
        </w:rPr>
        <w:t xml:space="preserve"> החוץ בנקאיות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w:t>
      </w:r>
      <w:r w:rsidRPr="001F2586">
        <w:rPr>
          <w:rFonts w:eastAsia="Calibri"/>
          <w:rtl/>
        </w:rPr>
        <w:t>חטיב</w:t>
      </w:r>
      <w:r w:rsidRPr="001F2586">
        <w:rPr>
          <w:rFonts w:eastAsia="Calibri" w:hint="cs"/>
          <w:rtl/>
        </w:rPr>
        <w:t>ת נותני שירותי מטבע</w:t>
      </w:r>
      <w:r w:rsidRPr="001F2586">
        <w:rPr>
          <w:rFonts w:eastAsia="Calibri"/>
          <w:rtl/>
        </w:rPr>
        <w:t xml:space="preserve"> </w:t>
      </w:r>
      <w:r w:rsidRPr="001F2586">
        <w:rPr>
          <w:rFonts w:eastAsia="Calibri" w:hint="cs"/>
          <w:rtl/>
        </w:rPr>
        <w:t xml:space="preserve">ברשות שוק ההון </w:t>
      </w:r>
      <w:r w:rsidRPr="001F2586">
        <w:rPr>
          <w:rFonts w:eastAsia="Calibri"/>
          <w:rtl/>
        </w:rPr>
        <w:t xml:space="preserve">קיימת מחלקת ביקורת ואכיפה העוסקת בביקורת על נותני שירותים פיננסיים. לביקורות </w:t>
      </w:r>
      <w:r w:rsidRPr="001F2586">
        <w:rPr>
          <w:rFonts w:eastAsia="Calibri" w:hint="cs"/>
          <w:rtl/>
        </w:rPr>
        <w:t xml:space="preserve">יש </w:t>
      </w:r>
      <w:r w:rsidRPr="001F2586">
        <w:rPr>
          <w:rFonts w:eastAsia="Calibri"/>
          <w:rtl/>
        </w:rPr>
        <w:t>כמה מטרות: יצירת משטר של מחויבות מתמדת של הגופים המפוקחים לקיום הוראות</w:t>
      </w:r>
      <w:r w:rsidRPr="001F2586">
        <w:rPr>
          <w:rFonts w:eastAsia="Calibri" w:hint="cs"/>
          <w:rtl/>
        </w:rPr>
        <w:t xml:space="preserve"> </w:t>
      </w:r>
      <w:r w:rsidRPr="001F2586">
        <w:rPr>
          <w:rFonts w:eastAsia="Calibri"/>
          <w:rtl/>
        </w:rPr>
        <w:t>הדין, לשיפור סביבת הבקרה ולשכלול מנגנוני הבקרה; בדיקת הציות שלהם להוראות הדין</w:t>
      </w:r>
      <w:r w:rsidRPr="001F2586">
        <w:rPr>
          <w:rFonts w:eastAsia="Calibri" w:hint="cs"/>
          <w:rtl/>
        </w:rPr>
        <w:t xml:space="preserve"> </w:t>
      </w:r>
      <w:r w:rsidRPr="001F2586">
        <w:rPr>
          <w:rFonts w:eastAsia="Calibri"/>
          <w:rtl/>
        </w:rPr>
        <w:t>החלות עליהם; ולימוד השטח לצורך איתור כשלים הטעונים אסדרה או הוראות דין הטעונות</w:t>
      </w:r>
      <w:r w:rsidRPr="001F2586">
        <w:rPr>
          <w:rFonts w:eastAsia="Calibri" w:hint="cs"/>
          <w:rtl/>
        </w:rPr>
        <w:t xml:space="preserve"> </w:t>
      </w:r>
      <w:r w:rsidRPr="001F2586">
        <w:rPr>
          <w:rFonts w:eastAsia="Calibri"/>
          <w:rtl/>
        </w:rPr>
        <w:t>תיקון.</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hint="cs"/>
          <w:rtl/>
        </w:rPr>
        <w:t xml:space="preserve">מהדוחות השנתיים של רשות שוק ההון עולה כי תחום המשכנתאות החוץ בנקאיות נמצא בצמיחה. גם מהדוחות הכספיים של החברות הציבוריות המעניקות משכנתא חוץ בנקאית נראה כי קיימת צמיחה בהיקף הפעילות. כך למשל, </w:t>
      </w:r>
      <w:r w:rsidRPr="001F2586">
        <w:rPr>
          <w:rFonts w:eastAsia="Calibri"/>
          <w:rtl/>
        </w:rPr>
        <w:t xml:space="preserve">מדו"חות הרבעון </w:t>
      </w:r>
      <w:r w:rsidRPr="001F2586">
        <w:rPr>
          <w:rFonts w:eastAsia="Calibri" w:hint="cs"/>
          <w:rtl/>
        </w:rPr>
        <w:t>השלישי</w:t>
      </w:r>
      <w:r w:rsidRPr="001F2586">
        <w:rPr>
          <w:rFonts w:eastAsia="Calibri"/>
          <w:rtl/>
        </w:rPr>
        <w:t xml:space="preserve"> של 2025 </w:t>
      </w:r>
      <w:r w:rsidRPr="001F2586">
        <w:rPr>
          <w:rFonts w:eastAsia="Calibri" w:hint="cs"/>
          <w:rtl/>
        </w:rPr>
        <w:t>של חברה מ'</w:t>
      </w:r>
      <w:r w:rsidRPr="001F2586">
        <w:rPr>
          <w:rFonts w:eastAsia="Calibri"/>
          <w:rtl/>
        </w:rPr>
        <w:t xml:space="preserve"> עולה כי היקף </w:t>
      </w:r>
      <w:r w:rsidRPr="001F2586">
        <w:rPr>
          <w:rFonts w:eastAsia="Calibri" w:hint="cs"/>
          <w:rtl/>
        </w:rPr>
        <w:t>ה</w:t>
      </w:r>
      <w:r w:rsidRPr="001F2586">
        <w:rPr>
          <w:rFonts w:eastAsia="Calibri"/>
          <w:rtl/>
        </w:rPr>
        <w:t xml:space="preserve">משכנתאות שהעמידה החברה הבת עמד במהלך הרבעון השני של השנה על </w:t>
      </w:r>
      <w:r w:rsidRPr="001F2586">
        <w:rPr>
          <w:rFonts w:eastAsia="Calibri" w:hint="cs"/>
          <w:rtl/>
        </w:rPr>
        <w:t>521</w:t>
      </w:r>
      <w:r w:rsidRPr="001F2586">
        <w:rPr>
          <w:rFonts w:eastAsia="Calibri"/>
          <w:rtl/>
        </w:rPr>
        <w:t xml:space="preserve"> מיליון שקל </w:t>
      </w:r>
      <w:r w:rsidRPr="001F2586">
        <w:rPr>
          <w:rFonts w:eastAsia="Calibri" w:hint="cs"/>
          <w:rtl/>
        </w:rPr>
        <w:t>-</w:t>
      </w:r>
      <w:r w:rsidRPr="001F2586">
        <w:rPr>
          <w:rFonts w:eastAsia="Calibri"/>
          <w:rtl/>
        </w:rPr>
        <w:t xml:space="preserve"> גידול של </w:t>
      </w:r>
      <w:r w:rsidRPr="001F2586">
        <w:rPr>
          <w:rFonts w:eastAsia="Calibri" w:hint="cs"/>
          <w:rtl/>
        </w:rPr>
        <w:t>41</w:t>
      </w:r>
      <w:r w:rsidRPr="001F2586">
        <w:rPr>
          <w:rFonts w:eastAsia="Calibri"/>
          <w:rtl/>
        </w:rPr>
        <w:t>.4</w:t>
      </w:r>
      <w:r w:rsidRPr="001F2586">
        <w:rPr>
          <w:rFonts w:eastAsia="Calibri" w:hint="cs"/>
          <w:rtl/>
        </w:rPr>
        <w:t>1%</w:t>
      </w:r>
      <w:r w:rsidRPr="001F2586">
        <w:rPr>
          <w:rFonts w:eastAsia="Calibri"/>
          <w:rtl/>
        </w:rPr>
        <w:t xml:space="preserve"> לעומת הרבעון המקביל ב</w:t>
      </w:r>
      <w:r w:rsidRPr="001F2586">
        <w:rPr>
          <w:rFonts w:eastAsia="Calibri" w:hint="cs"/>
          <w:rtl/>
        </w:rPr>
        <w:t>-</w:t>
      </w:r>
      <w:r w:rsidRPr="001F2586">
        <w:rPr>
          <w:rFonts w:eastAsia="Calibri"/>
          <w:rtl/>
        </w:rPr>
        <w:t>2024.</w:t>
      </w:r>
      <w:r w:rsidRPr="001F2586">
        <w:rPr>
          <w:rFonts w:eastAsia="Calibri" w:hint="cs"/>
          <w:rtl/>
        </w:rPr>
        <w:t xml:space="preserve"> </w:t>
      </w:r>
      <w:r w:rsidRPr="001F2586">
        <w:rPr>
          <w:rFonts w:eastAsia="Calibri"/>
          <w:rtl/>
        </w:rPr>
        <w:t xml:space="preserve">תיק המשכנתאות של </w:t>
      </w:r>
      <w:r w:rsidRPr="001F2586">
        <w:rPr>
          <w:rFonts w:eastAsia="Calibri" w:hint="cs"/>
          <w:rtl/>
        </w:rPr>
        <w:t>חברה מ'</w:t>
      </w:r>
      <w:r w:rsidRPr="001F2586">
        <w:rPr>
          <w:rFonts w:eastAsia="Calibri"/>
          <w:rtl/>
        </w:rPr>
        <w:t xml:space="preserve"> הסתכם, נכון לסוף </w:t>
      </w:r>
      <w:r w:rsidRPr="001F2586">
        <w:rPr>
          <w:rFonts w:eastAsia="Calibri" w:hint="cs"/>
          <w:rtl/>
        </w:rPr>
        <w:t>ספטמבר</w:t>
      </w:r>
      <w:r w:rsidRPr="001F2586">
        <w:rPr>
          <w:rFonts w:eastAsia="Calibri"/>
          <w:rtl/>
        </w:rPr>
        <w:t xml:space="preserve"> 2025, ב</w:t>
      </w:r>
      <w:r w:rsidRPr="001F2586">
        <w:rPr>
          <w:rFonts w:eastAsia="Calibri" w:hint="cs"/>
          <w:rtl/>
        </w:rPr>
        <w:t>-3</w:t>
      </w:r>
      <w:r w:rsidRPr="001F2586">
        <w:rPr>
          <w:rFonts w:eastAsia="Calibri"/>
          <w:rtl/>
        </w:rPr>
        <w:t>.</w:t>
      </w:r>
      <w:r w:rsidRPr="001F2586">
        <w:rPr>
          <w:rFonts w:eastAsia="Calibri" w:hint="cs"/>
          <w:rtl/>
        </w:rPr>
        <w:t>06</w:t>
      </w:r>
      <w:r w:rsidRPr="001F2586">
        <w:rPr>
          <w:rFonts w:eastAsia="Calibri"/>
          <w:rtl/>
        </w:rPr>
        <w:t xml:space="preserve"> מיליארד שקל </w:t>
      </w:r>
      <w:r w:rsidRPr="001F2586">
        <w:rPr>
          <w:rFonts w:eastAsia="Calibri" w:hint="cs"/>
          <w:rtl/>
        </w:rPr>
        <w:t>-</w:t>
      </w:r>
      <w:r w:rsidRPr="001F2586">
        <w:rPr>
          <w:rFonts w:eastAsia="Calibri"/>
          <w:rtl/>
        </w:rPr>
        <w:t xml:space="preserve"> צמיחה של </w:t>
      </w:r>
      <w:r w:rsidRPr="001F2586">
        <w:rPr>
          <w:rFonts w:eastAsia="Calibri" w:hint="cs"/>
          <w:rtl/>
        </w:rPr>
        <w:t>63</w:t>
      </w:r>
      <w:r w:rsidRPr="001F2586">
        <w:rPr>
          <w:rFonts w:eastAsia="Calibri"/>
          <w:rtl/>
        </w:rPr>
        <w:t>% לעומת הרבעון המקביל ב</w:t>
      </w:r>
      <w:r w:rsidRPr="001F2586">
        <w:rPr>
          <w:rFonts w:eastAsia="Calibri" w:hint="cs"/>
          <w:rtl/>
        </w:rPr>
        <w:t>-</w:t>
      </w:r>
      <w:r w:rsidRPr="001F2586">
        <w:rPr>
          <w:rFonts w:eastAsia="Calibri"/>
          <w:rtl/>
        </w:rPr>
        <w:t xml:space="preserve">2024. התיק של </w:t>
      </w:r>
      <w:r w:rsidRPr="001F2586">
        <w:rPr>
          <w:rFonts w:eastAsia="Calibri" w:hint="cs"/>
          <w:rtl/>
        </w:rPr>
        <w:t>חברה מ'</w:t>
      </w:r>
      <w:r w:rsidRPr="001F2586">
        <w:rPr>
          <w:rFonts w:eastAsia="Calibri"/>
          <w:rtl/>
        </w:rPr>
        <w:t xml:space="preserve">, בעל </w:t>
      </w:r>
      <w:r w:rsidRPr="001F2586">
        <w:rPr>
          <w:rFonts w:eastAsia="Calibri"/>
          <w:rtl/>
        </w:rPr>
        <w:t>מח"מ</w:t>
      </w:r>
      <w:r w:rsidRPr="001F2586">
        <w:rPr>
          <w:rFonts w:eastAsia="Calibri"/>
          <w:rtl/>
        </w:rPr>
        <w:t xml:space="preserve"> (משך חיים ממוצע) של כ</w:t>
      </w:r>
      <w:r w:rsidRPr="001F2586">
        <w:rPr>
          <w:rFonts w:eastAsia="Calibri" w:hint="cs"/>
          <w:rtl/>
        </w:rPr>
        <w:t>-</w:t>
      </w:r>
      <w:r w:rsidRPr="001F2586">
        <w:rPr>
          <w:rFonts w:eastAsia="Calibri"/>
          <w:rtl/>
        </w:rPr>
        <w:t xml:space="preserve">7.2 שנים, יצר ברבעון השני </w:t>
      </w:r>
      <w:r w:rsidRPr="001F2586">
        <w:rPr>
          <w:rFonts w:eastAsia="Calibri"/>
          <w:rtl/>
        </w:rPr>
        <w:t>מרווח פיננסי ממוצע של כ</w:t>
      </w:r>
      <w:r w:rsidRPr="001F2586">
        <w:rPr>
          <w:rFonts w:eastAsia="Calibri" w:hint="cs"/>
          <w:rtl/>
        </w:rPr>
        <w:t>-</w:t>
      </w:r>
      <w:r w:rsidRPr="001F2586">
        <w:rPr>
          <w:rFonts w:eastAsia="Calibri"/>
          <w:rtl/>
        </w:rPr>
        <w:t>4.11% לעומת 3.66% ברבעון המקביל ב</w:t>
      </w:r>
      <w:r w:rsidRPr="001F2586">
        <w:rPr>
          <w:rFonts w:eastAsia="Calibri" w:hint="cs"/>
          <w:rtl/>
        </w:rPr>
        <w:t>-</w:t>
      </w:r>
      <w:r w:rsidRPr="001F2586">
        <w:rPr>
          <w:rFonts w:eastAsia="Calibri"/>
          <w:rtl/>
        </w:rPr>
        <w:t>2024. מרווח זה מחושב כממוצע משוקלל של הפער בין הריבית הממוצעת בהלוואות שהעמידה החברה, ושעומדת על 8.5%</w:t>
      </w:r>
      <w:r w:rsidRPr="001F2586">
        <w:rPr>
          <w:rFonts w:eastAsia="Calibri" w:hint="cs"/>
          <w:rtl/>
        </w:rPr>
        <w:t>-</w:t>
      </w:r>
      <w:r w:rsidRPr="001F2586">
        <w:rPr>
          <w:rFonts w:eastAsia="Calibri"/>
          <w:rtl/>
        </w:rPr>
        <w:t xml:space="preserve">9%, לבין הריבית הממוצעת בהלוואות שנטלה </w:t>
      </w:r>
      <w:r w:rsidRPr="001F2586">
        <w:rPr>
          <w:rFonts w:eastAsia="Calibri" w:hint="cs"/>
          <w:rtl/>
        </w:rPr>
        <w:t xml:space="preserve">החברה </w:t>
      </w:r>
      <w:r w:rsidRPr="001F2586">
        <w:rPr>
          <w:rFonts w:eastAsia="Calibri"/>
          <w:rtl/>
        </w:rPr>
        <w:t>מבנקים ומ</w:t>
      </w:r>
      <w:r w:rsidRPr="001F2586">
        <w:rPr>
          <w:rFonts w:eastAsia="Calibri" w:hint="cs"/>
          <w:rtl/>
        </w:rPr>
        <w:t xml:space="preserve">גופים </w:t>
      </w:r>
      <w:r w:rsidRPr="001F2586">
        <w:rPr>
          <w:rFonts w:eastAsia="Calibri"/>
          <w:rtl/>
        </w:rPr>
        <w:t xml:space="preserve">מוסדיים. הגידול במרווח, לצד הפרשות מזעריות להפסדי אשראי, תורגם לכך שפעילות המשכנתאות יצרה </w:t>
      </w:r>
      <w:r w:rsidRPr="001F2586">
        <w:rPr>
          <w:rFonts w:eastAsia="Calibri" w:hint="cs"/>
          <w:rtl/>
        </w:rPr>
        <w:t xml:space="preserve">לחברה </w:t>
      </w:r>
      <w:r w:rsidRPr="001F2586">
        <w:rPr>
          <w:rFonts w:eastAsia="Calibri"/>
          <w:rtl/>
        </w:rPr>
        <w:t xml:space="preserve">רווח נקי של 18.7 מיליון שקל במחצית הראשונה של השנה </w:t>
      </w:r>
      <w:r w:rsidRPr="001F2586">
        <w:rPr>
          <w:rFonts w:eastAsia="Calibri" w:hint="cs"/>
          <w:rtl/>
        </w:rPr>
        <w:t>-</w:t>
      </w:r>
      <w:r w:rsidRPr="001F2586">
        <w:rPr>
          <w:rFonts w:eastAsia="Calibri"/>
          <w:rtl/>
        </w:rPr>
        <w:t xml:space="preserve"> גידול של 58% לעומת התקופה המקבילה ב</w:t>
      </w:r>
      <w:r w:rsidRPr="001F2586">
        <w:rPr>
          <w:rFonts w:eastAsia="Calibri" w:hint="cs"/>
          <w:rtl/>
        </w:rPr>
        <w:t>-</w:t>
      </w:r>
      <w:r w:rsidRPr="001F2586">
        <w:rPr>
          <w:rFonts w:eastAsia="Calibri"/>
          <w:rtl/>
        </w:rPr>
        <w:t>2024.</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על</w:t>
      </w:r>
      <w:r w:rsidRPr="001F2586">
        <w:rPr>
          <w:rFonts w:eastAsia="Calibri"/>
          <w:b/>
          <w:bCs/>
          <w:rtl/>
        </w:rPr>
        <w:t xml:space="preserve"> פי נתוני רשות שוק ההון </w:t>
      </w:r>
      <w:r w:rsidRPr="001F2586">
        <w:rPr>
          <w:rFonts w:eastAsia="Calibri" w:hint="eastAsia"/>
          <w:b/>
          <w:bCs/>
          <w:rtl/>
        </w:rPr>
        <w:t>שהועברו</w:t>
      </w:r>
      <w:r w:rsidRPr="001F2586">
        <w:rPr>
          <w:rFonts w:eastAsia="Calibri"/>
          <w:b/>
          <w:bCs/>
          <w:rtl/>
        </w:rPr>
        <w:t xml:space="preserve"> למשרד מבקר המדינה ביולי 2025 בשנים 2022-2024 ביצעה הרשות שלוש ביקורות </w:t>
      </w:r>
      <w:r w:rsidRPr="001F2586">
        <w:rPr>
          <w:rFonts w:eastAsia="Calibri" w:hint="eastAsia"/>
          <w:b/>
          <w:bCs/>
          <w:rtl/>
        </w:rPr>
        <w:t>בלבד</w:t>
      </w:r>
      <w:r w:rsidRPr="001F2586">
        <w:rPr>
          <w:rFonts w:eastAsia="Calibri"/>
          <w:b/>
          <w:bCs/>
          <w:rtl/>
        </w:rPr>
        <w:t xml:space="preserve"> בחברות שנותנות אשראי בתחום הלוואות למגורים. </w:t>
      </w:r>
      <w:r w:rsidRPr="001F2586">
        <w:rPr>
          <w:rFonts w:eastAsia="Calibri" w:hint="eastAsia"/>
          <w:b/>
          <w:bCs/>
          <w:rtl/>
        </w:rPr>
        <w:t>הביקורות</w:t>
      </w:r>
      <w:r w:rsidRPr="001F2586">
        <w:rPr>
          <w:rFonts w:eastAsia="Calibri"/>
          <w:b/>
          <w:bCs/>
          <w:rtl/>
        </w:rPr>
        <w:t xml:space="preserve"> </w:t>
      </w:r>
      <w:r w:rsidRPr="001F2586">
        <w:rPr>
          <w:rFonts w:eastAsia="Calibri" w:hint="eastAsia"/>
          <w:b/>
          <w:bCs/>
          <w:rtl/>
        </w:rPr>
        <w:t>התמקדו</w:t>
      </w:r>
      <w:r w:rsidRPr="001F2586">
        <w:rPr>
          <w:rFonts w:eastAsia="Calibri"/>
          <w:b/>
          <w:bCs/>
          <w:rtl/>
        </w:rPr>
        <w:t xml:space="preserve"> </w:t>
      </w:r>
      <w:r w:rsidRPr="001F2586">
        <w:rPr>
          <w:rFonts w:eastAsia="Calibri" w:hint="eastAsia"/>
          <w:b/>
          <w:bCs/>
          <w:rtl/>
        </w:rPr>
        <w:t>ב</w:t>
      </w:r>
      <w:r w:rsidRPr="001F2586">
        <w:rPr>
          <w:rFonts w:eastAsia="Calibri"/>
          <w:b/>
          <w:bCs/>
          <w:rtl/>
        </w:rPr>
        <w:t>בחינ</w:t>
      </w:r>
      <w:r w:rsidRPr="001F2586">
        <w:rPr>
          <w:rFonts w:eastAsia="Calibri" w:hint="eastAsia"/>
          <w:b/>
          <w:bCs/>
          <w:rtl/>
        </w:rPr>
        <w:t>ה</w:t>
      </w:r>
      <w:r w:rsidRPr="001F2586">
        <w:rPr>
          <w:rFonts w:eastAsia="Calibri"/>
          <w:b/>
          <w:bCs/>
          <w:rtl/>
        </w:rPr>
        <w:t xml:space="preserve"> של תהליכי החיתום </w:t>
      </w:r>
      <w:r w:rsidRPr="001F2586">
        <w:rPr>
          <w:rFonts w:eastAsia="Calibri" w:hint="eastAsia"/>
          <w:b/>
          <w:bCs/>
          <w:rtl/>
        </w:rPr>
        <w:t>של</w:t>
      </w:r>
      <w:r w:rsidRPr="001F2586">
        <w:rPr>
          <w:rFonts w:eastAsia="Calibri"/>
          <w:b/>
          <w:bCs/>
          <w:rtl/>
        </w:rPr>
        <w:t xml:space="preserve"> הלווים, אופן התיעוד של מסמכים אשר קשורים לעסקת ההלוואה, יישום נהלי</w:t>
      </w:r>
      <w:r w:rsidRPr="001F2586">
        <w:rPr>
          <w:rFonts w:eastAsia="Calibri" w:hint="eastAsia"/>
          <w:b/>
          <w:bCs/>
          <w:rtl/>
        </w:rPr>
        <w:t>ם</w:t>
      </w:r>
      <w:r w:rsidRPr="001F2586">
        <w:rPr>
          <w:rFonts w:eastAsia="Calibri"/>
          <w:b/>
          <w:bCs/>
          <w:rtl/>
        </w:rPr>
        <w:t xml:space="preserve"> במספר נושאים בנוגע למדיניות אשראי ומדיניות גביי</w:t>
      </w:r>
      <w:r w:rsidRPr="001F2586">
        <w:rPr>
          <w:rFonts w:eastAsia="Calibri" w:hint="eastAsia"/>
          <w:b/>
          <w:bCs/>
          <w:rtl/>
        </w:rPr>
        <w:t>ה</w:t>
      </w:r>
      <w:r w:rsidRPr="001F2586">
        <w:rPr>
          <w:rFonts w:eastAsia="Calibri"/>
          <w:b/>
          <w:bCs/>
          <w:rtl/>
        </w:rPr>
        <w:t>. בנוגע למערכות תיווך באשראי נבדקו גם בחינת מודל דירוג לקוחו</w:t>
      </w:r>
      <w:r w:rsidRPr="001F2586">
        <w:rPr>
          <w:rFonts w:eastAsia="Calibri" w:hint="eastAsia"/>
          <w:b/>
          <w:bCs/>
          <w:rtl/>
        </w:rPr>
        <w:t>ת</w:t>
      </w:r>
      <w:r w:rsidRPr="001F2586">
        <w:rPr>
          <w:rFonts w:eastAsia="Calibri"/>
          <w:b/>
          <w:bCs/>
          <w:rtl/>
        </w:rPr>
        <w:t>, ניהול סיכוני ריבית ונזיל</w:t>
      </w:r>
      <w:r w:rsidRPr="001F2586">
        <w:rPr>
          <w:rFonts w:eastAsia="Calibri" w:hint="eastAsia"/>
          <w:b/>
          <w:bCs/>
          <w:rtl/>
        </w:rPr>
        <w:t>ות</w:t>
      </w:r>
      <w:r w:rsidRPr="001F2586">
        <w:rPr>
          <w:rFonts w:eastAsia="Calibri"/>
          <w:b/>
          <w:bCs/>
          <w:rtl/>
        </w:rPr>
        <w:t xml:space="preserve"> מקורות ושימושים.</w:t>
      </w:r>
      <w:r w:rsidRPr="001F2586">
        <w:rPr>
          <w:rFonts w:eastAsia="Calibri"/>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ביצוע</w:t>
      </w:r>
      <w:r w:rsidRPr="001F2586">
        <w:rPr>
          <w:rFonts w:eastAsia="Calibri"/>
          <w:b/>
          <w:bCs/>
          <w:rtl/>
        </w:rPr>
        <w:t xml:space="preserve"> ביקורות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יישום</w:t>
      </w:r>
      <w:r w:rsidRPr="001F2586">
        <w:rPr>
          <w:rFonts w:eastAsia="Calibri"/>
          <w:b/>
          <w:bCs/>
          <w:rtl/>
        </w:rPr>
        <w:t xml:space="preserve"> </w:t>
      </w:r>
      <w:r w:rsidRPr="001F2586">
        <w:rPr>
          <w:rFonts w:eastAsia="Calibri" w:hint="eastAsia"/>
          <w:b/>
          <w:bCs/>
          <w:rtl/>
        </w:rPr>
        <w:t>חובות</w:t>
      </w:r>
      <w:r w:rsidRPr="001F2586">
        <w:rPr>
          <w:rFonts w:eastAsia="Calibri"/>
          <w:b/>
          <w:bCs/>
          <w:rtl/>
        </w:rPr>
        <w:t xml:space="preserve"> </w:t>
      </w:r>
      <w:r w:rsidRPr="001F2586">
        <w:rPr>
          <w:rFonts w:eastAsia="Calibri" w:hint="eastAsia"/>
          <w:b/>
          <w:bCs/>
          <w:rtl/>
        </w:rPr>
        <w:t>הרגולציה</w:t>
      </w:r>
      <w:r w:rsidRPr="001F2586">
        <w:rPr>
          <w:rFonts w:eastAsia="Calibri"/>
          <w:b/>
          <w:bCs/>
          <w:rtl/>
        </w:rPr>
        <w:t xml:space="preserve"> </w:t>
      </w:r>
      <w:r w:rsidRPr="001F2586">
        <w:rPr>
          <w:rFonts w:eastAsia="Calibri" w:hint="eastAsia"/>
          <w:b/>
          <w:bCs/>
          <w:rtl/>
        </w:rPr>
        <w:t>בתחום</w:t>
      </w:r>
      <w:r w:rsidRPr="001F2586">
        <w:rPr>
          <w:rFonts w:eastAsia="Calibri"/>
          <w:b/>
          <w:bCs/>
          <w:rtl/>
        </w:rPr>
        <w:t xml:space="preserve"> המשכנתאות לדיור בגופים החוץ בנקאיים </w:t>
      </w:r>
      <w:r w:rsidRPr="001F2586">
        <w:rPr>
          <w:rFonts w:eastAsia="Calibri" w:hint="eastAsia"/>
          <w:b/>
          <w:bCs/>
          <w:rtl/>
        </w:rPr>
        <w:t>נדרש</w:t>
      </w:r>
      <w:r w:rsidRPr="001F2586">
        <w:rPr>
          <w:rFonts w:eastAsia="Calibri"/>
          <w:b/>
          <w:bCs/>
          <w:rtl/>
        </w:rPr>
        <w:t xml:space="preserve"> וזאת לאור </w:t>
      </w:r>
      <w:r w:rsidRPr="001F2586">
        <w:rPr>
          <w:rFonts w:eastAsia="Calibri" w:hint="eastAsia"/>
          <w:b/>
          <w:bCs/>
          <w:rtl/>
        </w:rPr>
        <w:t>הגידול</w:t>
      </w:r>
      <w:r w:rsidRPr="001F2586">
        <w:rPr>
          <w:rFonts w:eastAsia="Calibri"/>
          <w:b/>
          <w:bCs/>
          <w:rtl/>
        </w:rPr>
        <w:t xml:space="preserve"> </w:t>
      </w:r>
      <w:r w:rsidRPr="001F2586">
        <w:rPr>
          <w:rFonts w:eastAsia="Calibri" w:hint="eastAsia"/>
          <w:b/>
          <w:bCs/>
          <w:rtl/>
        </w:rPr>
        <w:t>בביקוש</w:t>
      </w:r>
      <w:r w:rsidRPr="001F2586">
        <w:rPr>
          <w:rFonts w:eastAsia="Calibri"/>
          <w:b/>
          <w:bCs/>
          <w:rtl/>
        </w:rPr>
        <w:t xml:space="preserve"> </w:t>
      </w:r>
      <w:r w:rsidRPr="001F2586">
        <w:rPr>
          <w:rFonts w:eastAsia="Calibri" w:hint="eastAsia"/>
          <w:b/>
          <w:bCs/>
          <w:rtl/>
        </w:rPr>
        <w:t>למשכנתאות</w:t>
      </w:r>
      <w:r w:rsidRPr="001F2586">
        <w:rPr>
          <w:rFonts w:eastAsia="Calibri"/>
          <w:b/>
          <w:bCs/>
          <w:rtl/>
        </w:rPr>
        <w:t xml:space="preserve"> </w:t>
      </w:r>
      <w:r w:rsidRPr="001F2586">
        <w:rPr>
          <w:rFonts w:eastAsia="Calibri" w:hint="eastAsia"/>
          <w:b/>
          <w:bCs/>
          <w:rtl/>
        </w:rPr>
        <w:t>חוץ</w:t>
      </w:r>
      <w:r w:rsidRPr="001F2586">
        <w:rPr>
          <w:rFonts w:eastAsia="Calibri"/>
          <w:b/>
          <w:bCs/>
          <w:rtl/>
        </w:rPr>
        <w:t xml:space="preserve"> </w:t>
      </w:r>
      <w:r w:rsidRPr="001F2586">
        <w:rPr>
          <w:rFonts w:eastAsia="Calibri" w:hint="eastAsia"/>
          <w:b/>
          <w:bCs/>
          <w:rtl/>
        </w:rPr>
        <w:t>בנקאיות</w:t>
      </w:r>
      <w:r w:rsidRPr="001F2586">
        <w:rPr>
          <w:rFonts w:eastAsia="Calibri"/>
          <w:b/>
          <w:bCs/>
          <w:rtl/>
        </w:rPr>
        <w:t xml:space="preserve">. </w:t>
      </w:r>
      <w:r w:rsidRPr="001F2586">
        <w:rPr>
          <w:rFonts w:eastAsia="Calibri" w:hint="eastAsia"/>
          <w:b/>
          <w:bCs/>
          <w:rtl/>
        </w:rPr>
        <w:t>אי</w:t>
      </w:r>
      <w:r w:rsidRPr="001F2586">
        <w:rPr>
          <w:rFonts w:eastAsia="Calibri"/>
          <w:b/>
          <w:bCs/>
          <w:rtl/>
        </w:rPr>
        <w:t xml:space="preserve"> </w:t>
      </w:r>
      <w:r w:rsidRPr="001F2586">
        <w:rPr>
          <w:rFonts w:eastAsia="Calibri" w:hint="eastAsia"/>
          <w:b/>
          <w:bCs/>
          <w:rtl/>
        </w:rPr>
        <w:t>ביצוע</w:t>
      </w:r>
      <w:r w:rsidRPr="001F2586">
        <w:rPr>
          <w:rFonts w:eastAsia="Calibri"/>
          <w:b/>
          <w:bCs/>
          <w:rtl/>
        </w:rPr>
        <w:t xml:space="preserve"> </w:t>
      </w:r>
      <w:r w:rsidRPr="001F2586">
        <w:rPr>
          <w:rFonts w:eastAsia="Calibri" w:hint="eastAsia"/>
          <w:b/>
          <w:bCs/>
          <w:rtl/>
        </w:rPr>
        <w:t>מספק</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ביקורות</w:t>
      </w:r>
      <w:r w:rsidRPr="001F2586">
        <w:rPr>
          <w:rFonts w:eastAsia="Calibri" w:hint="cs"/>
          <w:b/>
          <w:bCs/>
          <w:rtl/>
        </w:rPr>
        <w:t xml:space="preserve"> (שלוש ביקורות)</w:t>
      </w:r>
      <w:r w:rsidRPr="001F2586">
        <w:rPr>
          <w:rFonts w:eastAsia="Calibri"/>
          <w:b/>
          <w:bCs/>
          <w:rtl/>
        </w:rPr>
        <w:t xml:space="preserve"> </w:t>
      </w:r>
      <w:r w:rsidRPr="001F2586">
        <w:rPr>
          <w:rFonts w:eastAsia="Calibri" w:hint="eastAsia"/>
          <w:b/>
          <w:bCs/>
          <w:rtl/>
        </w:rPr>
        <w:t>יכול</w:t>
      </w:r>
      <w:r w:rsidRPr="001F2586">
        <w:rPr>
          <w:rFonts w:eastAsia="Calibri"/>
          <w:b/>
          <w:bCs/>
          <w:rtl/>
        </w:rPr>
        <w:t xml:space="preserve"> </w:t>
      </w:r>
      <w:r w:rsidRPr="001F2586">
        <w:rPr>
          <w:rFonts w:eastAsia="Calibri" w:hint="eastAsia"/>
          <w:b/>
          <w:bCs/>
          <w:rtl/>
        </w:rPr>
        <w:t>ליצור</w:t>
      </w:r>
      <w:r w:rsidRPr="001F2586">
        <w:rPr>
          <w:rFonts w:eastAsia="Calibri"/>
          <w:b/>
          <w:bCs/>
          <w:rtl/>
        </w:rPr>
        <w:t xml:space="preserve"> </w:t>
      </w:r>
      <w:r w:rsidRPr="001F2586">
        <w:rPr>
          <w:rFonts w:eastAsia="Calibri" w:hint="eastAsia"/>
          <w:b/>
          <w:bCs/>
          <w:rtl/>
        </w:rPr>
        <w:t>מצב</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חוסר</w:t>
      </w:r>
      <w:r w:rsidRPr="001F2586">
        <w:rPr>
          <w:rFonts w:eastAsia="Calibri"/>
          <w:b/>
          <w:bCs/>
          <w:rtl/>
        </w:rPr>
        <w:t xml:space="preserve"> </w:t>
      </w:r>
      <w:r w:rsidRPr="001F2586">
        <w:rPr>
          <w:rFonts w:eastAsia="Calibri" w:hint="eastAsia"/>
          <w:b/>
          <w:bCs/>
          <w:rtl/>
        </w:rPr>
        <w:t>הרתעה</w:t>
      </w:r>
      <w:r w:rsidRPr="001F2586">
        <w:rPr>
          <w:rFonts w:eastAsia="Calibri"/>
          <w:b/>
          <w:bCs/>
          <w:rtl/>
        </w:rPr>
        <w:t xml:space="preserve"> </w:t>
      </w:r>
      <w:r w:rsidRPr="001F2586">
        <w:rPr>
          <w:rFonts w:eastAsia="Calibri" w:hint="eastAsia"/>
          <w:b/>
          <w:bCs/>
          <w:rtl/>
        </w:rPr>
        <w:t>בגופים</w:t>
      </w:r>
      <w:r w:rsidRPr="001F2586">
        <w:rPr>
          <w:rFonts w:eastAsia="Calibri"/>
          <w:b/>
          <w:bCs/>
          <w:rtl/>
        </w:rPr>
        <w:t xml:space="preserve"> </w:t>
      </w:r>
      <w:r w:rsidRPr="001F2586">
        <w:rPr>
          <w:rFonts w:eastAsia="Calibri" w:hint="eastAsia"/>
          <w:b/>
          <w:bCs/>
          <w:rtl/>
        </w:rPr>
        <w:t>האמורים</w:t>
      </w:r>
      <w:r w:rsidRPr="001F2586">
        <w:rPr>
          <w:rFonts w:eastAsia="Calibri"/>
          <w:b/>
          <w:bCs/>
          <w:rtl/>
        </w:rPr>
        <w:t xml:space="preserve"> </w:t>
      </w:r>
      <w:r w:rsidRPr="001F2586">
        <w:rPr>
          <w:rFonts w:eastAsia="Calibri" w:hint="eastAsia"/>
          <w:b/>
          <w:bCs/>
          <w:rtl/>
        </w:rPr>
        <w:t>שכן</w:t>
      </w:r>
      <w:r w:rsidRPr="001F2586">
        <w:rPr>
          <w:rFonts w:eastAsia="Calibri"/>
          <w:b/>
          <w:bCs/>
          <w:rtl/>
        </w:rPr>
        <w:t xml:space="preserve"> </w:t>
      </w:r>
      <w:r w:rsidRPr="001F2586">
        <w:rPr>
          <w:rFonts w:eastAsia="Calibri" w:hint="eastAsia"/>
          <w:b/>
          <w:bCs/>
          <w:rtl/>
        </w:rPr>
        <w:t>קיום</w:t>
      </w:r>
      <w:r w:rsidRPr="001F2586">
        <w:rPr>
          <w:rFonts w:eastAsia="Calibri"/>
          <w:b/>
          <w:bCs/>
          <w:rtl/>
        </w:rPr>
        <w:t xml:space="preserve"> </w:t>
      </w:r>
      <w:r w:rsidRPr="001F2586">
        <w:rPr>
          <w:rFonts w:eastAsia="Calibri" w:hint="eastAsia"/>
          <w:b/>
          <w:bCs/>
          <w:rtl/>
        </w:rPr>
        <w:t>ביקורות</w:t>
      </w:r>
      <w:r w:rsidRPr="001F2586">
        <w:rPr>
          <w:rFonts w:eastAsia="Calibri"/>
          <w:b/>
          <w:bCs/>
          <w:rtl/>
        </w:rPr>
        <w:t xml:space="preserve"> </w:t>
      </w:r>
      <w:r w:rsidRPr="001F2586">
        <w:rPr>
          <w:rFonts w:eastAsia="Calibri" w:hint="eastAsia"/>
          <w:b/>
          <w:bCs/>
          <w:rtl/>
        </w:rPr>
        <w:t>נרחבות</w:t>
      </w:r>
      <w:r w:rsidRPr="001F2586">
        <w:rPr>
          <w:rFonts w:eastAsia="Calibri"/>
          <w:b/>
          <w:bCs/>
          <w:rtl/>
        </w:rPr>
        <w:t xml:space="preserve"> </w:t>
      </w:r>
      <w:r w:rsidRPr="001F2586">
        <w:rPr>
          <w:rFonts w:eastAsia="Calibri" w:hint="eastAsia"/>
          <w:b/>
          <w:bCs/>
          <w:rtl/>
        </w:rPr>
        <w:t>הוא</w:t>
      </w:r>
      <w:r w:rsidRPr="001F2586">
        <w:rPr>
          <w:rFonts w:eastAsia="Calibri"/>
          <w:b/>
          <w:bCs/>
          <w:rtl/>
        </w:rPr>
        <w:t xml:space="preserve"> </w:t>
      </w:r>
      <w:r w:rsidRPr="001F2586">
        <w:rPr>
          <w:rFonts w:eastAsia="Calibri" w:hint="eastAsia"/>
          <w:b/>
          <w:bCs/>
          <w:rtl/>
        </w:rPr>
        <w:t>חלק</w:t>
      </w:r>
      <w:r w:rsidRPr="001F2586">
        <w:rPr>
          <w:rFonts w:eastAsia="Calibri"/>
          <w:b/>
          <w:bCs/>
          <w:rtl/>
        </w:rPr>
        <w:t xml:space="preserve"> </w:t>
      </w:r>
      <w:r w:rsidRPr="001F2586">
        <w:rPr>
          <w:rFonts w:eastAsia="Calibri" w:hint="eastAsia"/>
          <w:b/>
          <w:bCs/>
          <w:rtl/>
        </w:rPr>
        <w:t>מהותי</w:t>
      </w:r>
      <w:r w:rsidRPr="001F2586">
        <w:rPr>
          <w:rFonts w:eastAsia="Calibri"/>
          <w:b/>
          <w:bCs/>
          <w:rtl/>
        </w:rPr>
        <w:t xml:space="preserve"> </w:t>
      </w:r>
      <w:r w:rsidRPr="001F2586">
        <w:rPr>
          <w:rFonts w:eastAsia="Calibri" w:hint="eastAsia"/>
          <w:b/>
          <w:bCs/>
          <w:rtl/>
        </w:rPr>
        <w:t>ממנגנון</w:t>
      </w:r>
      <w:r w:rsidRPr="001F2586">
        <w:rPr>
          <w:rFonts w:eastAsia="Calibri"/>
          <w:b/>
          <w:bCs/>
          <w:rtl/>
        </w:rPr>
        <w:t xml:space="preserve"> </w:t>
      </w:r>
      <w:r w:rsidRPr="001F2586">
        <w:rPr>
          <w:rFonts w:eastAsia="Calibri" w:hint="eastAsia"/>
          <w:b/>
          <w:bCs/>
          <w:rtl/>
        </w:rPr>
        <w:t>ההרתעה</w:t>
      </w:r>
      <w:r w:rsidRPr="001F2586">
        <w:rPr>
          <w:rFonts w:eastAsia="Calibri"/>
          <w:b/>
          <w:bCs/>
          <w:rtl/>
        </w:rPr>
        <w:t xml:space="preserve"> </w:t>
      </w:r>
      <w:r w:rsidRPr="001F2586">
        <w:rPr>
          <w:rFonts w:eastAsia="Calibri" w:hint="eastAsia"/>
          <w:b/>
          <w:bCs/>
          <w:rtl/>
        </w:rPr>
        <w:t>והפיקוח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הגופים</w:t>
      </w:r>
      <w:r w:rsidRPr="001F2586">
        <w:rPr>
          <w:rFonts w:eastAsia="Calibri"/>
          <w:b/>
          <w:bCs/>
          <w:rtl/>
        </w:rPr>
        <w:t xml:space="preserve"> </w:t>
      </w:r>
      <w:r w:rsidRPr="001F2586">
        <w:rPr>
          <w:rFonts w:eastAsia="Calibri" w:hint="eastAsia"/>
          <w:b/>
          <w:bCs/>
          <w:rtl/>
        </w:rPr>
        <w:t>החוץ</w:t>
      </w:r>
      <w:r w:rsidRPr="001F2586">
        <w:rPr>
          <w:rFonts w:eastAsia="Calibri"/>
          <w:b/>
          <w:bCs/>
          <w:rtl/>
        </w:rPr>
        <w:t xml:space="preserve"> </w:t>
      </w:r>
      <w:r w:rsidRPr="001F2586">
        <w:rPr>
          <w:rFonts w:eastAsia="Calibri" w:hint="eastAsia"/>
          <w:b/>
          <w:bCs/>
          <w:rtl/>
        </w:rPr>
        <w:t>בנקאיים</w:t>
      </w:r>
      <w:r w:rsidRPr="001F2586">
        <w:rPr>
          <w:rFonts w:eastAsia="Calibri"/>
          <w:b/>
          <w:bCs/>
          <w:rtl/>
        </w:rPr>
        <w:t xml:space="preserve">. כמו כן, עריכת בקרה </w:t>
      </w:r>
      <w:r w:rsidRPr="001F2586">
        <w:rPr>
          <w:rFonts w:eastAsia="Calibri" w:hint="eastAsia"/>
          <w:b/>
          <w:bCs/>
          <w:rtl/>
        </w:rPr>
        <w:t>בתחום</w:t>
      </w:r>
      <w:r w:rsidRPr="001F2586">
        <w:rPr>
          <w:rFonts w:eastAsia="Calibri"/>
          <w:b/>
          <w:bCs/>
          <w:rtl/>
        </w:rPr>
        <w:t xml:space="preserve"> השירות </w:t>
      </w:r>
      <w:r w:rsidRPr="001F2586">
        <w:rPr>
          <w:rFonts w:eastAsia="Calibri" w:hint="eastAsia"/>
          <w:b/>
          <w:bCs/>
          <w:rtl/>
        </w:rPr>
        <w:t>בכל</w:t>
      </w:r>
      <w:r w:rsidRPr="001F2586">
        <w:rPr>
          <w:rFonts w:eastAsia="Calibri"/>
          <w:b/>
          <w:bCs/>
          <w:rtl/>
        </w:rPr>
        <w:t xml:space="preserve"> הנוגע לשקיפות והוגנות כלפי הלווה יאפשר </w:t>
      </w:r>
      <w:r w:rsidRPr="001F2586">
        <w:rPr>
          <w:rFonts w:eastAsia="Calibri" w:hint="eastAsia"/>
          <w:b/>
          <w:bCs/>
          <w:rtl/>
        </w:rPr>
        <w:t>לרשות</w:t>
      </w:r>
      <w:r w:rsidRPr="001F2586">
        <w:rPr>
          <w:rFonts w:eastAsia="Calibri"/>
          <w:b/>
          <w:bCs/>
          <w:rtl/>
        </w:rPr>
        <w:t xml:space="preserve"> שוק ההון תמונה נרחבת על כל ההיבטים הצרכניים ועל מגמות בתמהיל השירותים הניתנים על ידי הגופים החוץ בנקאיים המחייבים בקרה מיוחדת או הסדרה ספציפית.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גורמים שונים הצביעו על כך שרשות שוק ההון פועלת תחת מגבלות תקציביות משמעותיות.</w:t>
      </w:r>
      <w:r w:rsidRPr="001F2586">
        <w:rPr>
          <w:rFonts w:eastAsia="Calibri" w:hint="cs"/>
          <w:rtl/>
        </w:rPr>
        <w:t xml:space="preserve"> </w:t>
      </w:r>
      <w:r w:rsidRPr="001F2586">
        <w:rPr>
          <w:rFonts w:eastAsia="Calibri"/>
          <w:rtl/>
        </w:rPr>
        <w:t>בדוח הממונה לשנת 2019 צוין כי הסיכום התקציבי שנקבע לשנים 2017</w:t>
      </w:r>
      <w:r w:rsidRPr="001F2586">
        <w:rPr>
          <w:rFonts w:eastAsia="Calibri" w:hint="cs"/>
          <w:rtl/>
        </w:rPr>
        <w:t>-</w:t>
      </w:r>
      <w:r w:rsidRPr="001F2586">
        <w:rPr>
          <w:rFonts w:eastAsia="Calibri"/>
          <w:rtl/>
        </w:rPr>
        <w:t xml:space="preserve">2018 התבסס על הערכה של עשרות בקשות רישוי בשנה, בעוד שבפועל הוגשו אלפי בקשות. התקציב לא כלל משאבים חיוניים לפעילות הפיקוח, כגון מערכות מידע, תשתיות, כוח אדם ניהולי ומשפטי וצרכים לוגיסטיים נוספים </w:t>
      </w:r>
      <w:r w:rsidRPr="001F2586">
        <w:rPr>
          <w:rFonts w:eastAsia="Calibri" w:hint="cs"/>
          <w:rtl/>
        </w:rPr>
        <w:t>-</w:t>
      </w:r>
      <w:r w:rsidRPr="001F2586">
        <w:rPr>
          <w:rFonts w:eastAsia="Calibri"/>
          <w:rtl/>
        </w:rPr>
        <w:t xml:space="preserve"> וזאת בניגוד להמלצות מקצועיות שהוגשו לרשות</w:t>
      </w:r>
      <w:r w:rsidRPr="001F2586">
        <w:rPr>
          <w:rFonts w:eastAsia="Calibri"/>
        </w:rPr>
        <w:t>.</w:t>
      </w:r>
      <w:r w:rsidRPr="001F2586">
        <w:rPr>
          <w:rFonts w:eastAsia="Calibri" w:hint="cs"/>
          <w:rtl/>
        </w:rPr>
        <w:t xml:space="preserve"> </w:t>
      </w:r>
      <w:r w:rsidRPr="001F2586">
        <w:rPr>
          <w:rFonts w:eastAsia="Calibri"/>
          <w:rtl/>
        </w:rPr>
        <w:t>בנוסף, נייר מחקר של מרכז המחקר והמידע של הכנסת (2019)</w:t>
      </w:r>
      <w:r>
        <w:rPr>
          <w:rFonts w:eastAsia="Calibri"/>
          <w:vertAlign w:val="superscript"/>
          <w:rtl/>
        </w:rPr>
        <w:footnoteReference w:id="456"/>
      </w:r>
      <w:r w:rsidRPr="001F2586">
        <w:rPr>
          <w:rFonts w:eastAsia="Calibri"/>
          <w:rtl/>
        </w:rPr>
        <w:t xml:space="preserve"> הדגיש כי מצבת כוח האדם ברשות נותרה מצומצמת, בדומה למצב ששרר עוד לפני חקיקת החוק, ומקשה על פיקוח ואכיפה אפקטיביים. החוק אינו מגדיר מהו היקף כוח האדם הנדרש, והתקנים שנוספו אינם מותאמים למשימות הפיקוח בפועל. המחקר קבע כי יש צורך בהגדרת יעדי אכיפה ברורים ובהתאמת התקנים והמבנה הארגוני כך שיאפשרו פיקוח משמעותי ורציף</w:t>
      </w:r>
      <w:r w:rsidRPr="001F2586">
        <w:rPr>
          <w:rFonts w:eastAsia="Calibri"/>
        </w:rPr>
        <w:t>.</w:t>
      </w:r>
      <w:r w:rsidRPr="001F2586">
        <w:rPr>
          <w:rFonts w:eastAsia="Calibri" w:hint="cs"/>
          <w:b/>
          <w:bCs/>
          <w:rtl/>
        </w:rPr>
        <w:t xml:space="preserve"> </w:t>
      </w:r>
      <w:r w:rsidRPr="001F2586">
        <w:rPr>
          <w:rFonts w:eastAsia="Calibri" w:hint="cs"/>
          <w:rtl/>
        </w:rPr>
        <w:t xml:space="preserve">אף דוח משרד מבקר המדינה בנושא הפיקוח של רשות שוק ההון על הגופים המוסדיים ציין כי בשנת 2022 איוש העובדים ברשות שוק ההון בפועל היה איוש חלקי בלבד בכל יחידותיה השונות.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b/>
          <w:bCs/>
          <w:rtl/>
        </w:rPr>
        <w:t>על משרד האוצר ורשות שוק ההון לבחון מחדש את צרכי הרשות ו</w:t>
      </w:r>
      <w:r w:rsidRPr="001F2586">
        <w:rPr>
          <w:rFonts w:eastAsia="Calibri" w:hint="eastAsia"/>
          <w:b/>
          <w:bCs/>
          <w:rtl/>
        </w:rPr>
        <w:t>ככל</w:t>
      </w:r>
      <w:r w:rsidRPr="001F2586">
        <w:rPr>
          <w:rFonts w:eastAsia="Calibri"/>
          <w:b/>
          <w:bCs/>
          <w:rtl/>
        </w:rPr>
        <w:t xml:space="preserve"> הנדרש לבצע התאמה תקציבית שתשקף את היקף הפעילות הריאלי </w:t>
      </w:r>
      <w:r w:rsidRPr="001F2586">
        <w:rPr>
          <w:rFonts w:eastAsia="Calibri" w:hint="eastAsia"/>
          <w:b/>
          <w:bCs/>
          <w:rtl/>
        </w:rPr>
        <w:t>בשוק</w:t>
      </w:r>
      <w:r w:rsidRPr="001F2586">
        <w:rPr>
          <w:rFonts w:eastAsia="Calibri"/>
          <w:b/>
          <w:bCs/>
          <w:rtl/>
        </w:rPr>
        <w:t xml:space="preserve"> </w:t>
      </w:r>
      <w:r w:rsidRPr="001F2586">
        <w:rPr>
          <w:rFonts w:eastAsia="Calibri" w:hint="eastAsia"/>
          <w:b/>
          <w:bCs/>
          <w:rtl/>
        </w:rPr>
        <w:t>נותני</w:t>
      </w:r>
      <w:r w:rsidRPr="001F2586">
        <w:rPr>
          <w:rFonts w:eastAsia="Calibri"/>
          <w:b/>
          <w:bCs/>
          <w:rtl/>
        </w:rPr>
        <w:t xml:space="preserve"> </w:t>
      </w:r>
      <w:r w:rsidRPr="001F2586">
        <w:rPr>
          <w:rFonts w:eastAsia="Calibri" w:hint="eastAsia"/>
          <w:b/>
          <w:bCs/>
          <w:rtl/>
        </w:rPr>
        <w:t>האשראי</w:t>
      </w:r>
      <w:r w:rsidRPr="001F2586">
        <w:rPr>
          <w:rFonts w:eastAsia="Calibri"/>
          <w:b/>
          <w:bCs/>
          <w:rtl/>
        </w:rPr>
        <w:t xml:space="preserve"> </w:t>
      </w:r>
      <w:r w:rsidRPr="001F2586">
        <w:rPr>
          <w:rFonts w:eastAsia="Calibri" w:hint="eastAsia"/>
          <w:b/>
          <w:bCs/>
          <w:rtl/>
        </w:rPr>
        <w:t>החוץ</w:t>
      </w:r>
      <w:r w:rsidRPr="001F2586">
        <w:rPr>
          <w:rFonts w:eastAsia="Calibri"/>
          <w:b/>
          <w:bCs/>
          <w:rtl/>
        </w:rPr>
        <w:t xml:space="preserve"> </w:t>
      </w:r>
      <w:r w:rsidRPr="001F2586">
        <w:rPr>
          <w:rFonts w:eastAsia="Calibri" w:hint="eastAsia"/>
          <w:b/>
          <w:bCs/>
          <w:rtl/>
        </w:rPr>
        <w:t>בנקאי</w:t>
      </w:r>
      <w:r w:rsidRPr="001F2586">
        <w:rPr>
          <w:rFonts w:eastAsia="Calibri"/>
          <w:b/>
          <w:bCs/>
          <w:rtl/>
        </w:rPr>
        <w:t>. על הרשות לפעול לאיוש מלא של התקנים הקיימים ולגבש תוכנית עבודה שנתית הכוללת יעדי אכיפה וביקורת ברורים בתחום המשכנתאות תוך הגדלת מספר ביקורות השטח והבקרות הצרכניות כדי לייצר הרתעה אפקטיבית ולמנוע פגיעה בלווים</w:t>
      </w:r>
      <w:r w:rsidRPr="001F2586">
        <w:rPr>
          <w:rFonts w:eastAsia="Calibri"/>
          <w:b/>
          <w:bCs/>
        </w:rPr>
        <w:t>.</w:t>
      </w:r>
    </w:p>
    <w:p w:rsidR="001F2586" w:rsidRPr="001F2586" w:rsidP="001F2586">
      <w:pPr>
        <w:spacing w:line="269" w:lineRule="auto"/>
        <w:rPr>
          <w:rFonts w:eastAsia="Calibri"/>
          <w:b/>
          <w:bCs/>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דיווח לרשות שוק ההון על ידי הגופים החוץ בנקאיים</w:t>
      </w:r>
    </w:p>
    <w:p w:rsidR="00260379"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בהתאם להוראות חוק הפיקוח על שירותים פיננסיים, נדרש המפקח על שירותים פיננסיים מוסדרים לבקר ולפקח על פעילות בעלי רישיונות למתן שירותים פיננסים. כדי למלא תפקיד זה, נדרש המפקח לקבל מידע מאת נותני השירותים הפיננסיים</w:t>
      </w:r>
      <w:r>
        <w:rPr>
          <w:rFonts w:eastAsia="Calibri"/>
          <w:vertAlign w:val="superscript"/>
          <w:rtl/>
        </w:rPr>
        <w:footnoteReference w:id="457"/>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נמצא כי רק בחודש</w:t>
      </w:r>
      <w:r w:rsidRPr="001F2586">
        <w:rPr>
          <w:rFonts w:eastAsia="Calibri"/>
          <w:b/>
          <w:bCs/>
          <w:rtl/>
        </w:rPr>
        <w:t xml:space="preserve"> </w:t>
      </w:r>
      <w:r w:rsidRPr="001F2586">
        <w:rPr>
          <w:rFonts w:eastAsia="Calibri" w:hint="cs"/>
          <w:b/>
          <w:bCs/>
          <w:rtl/>
        </w:rPr>
        <w:t xml:space="preserve">בנובמבר 2022 פרסמה רשות שוק ההון </w:t>
      </w:r>
      <w:r w:rsidRPr="001F2586">
        <w:rPr>
          <w:rFonts w:eastAsia="Calibri"/>
          <w:b/>
          <w:bCs/>
          <w:rtl/>
        </w:rPr>
        <w:t>הוראת דיווח</w:t>
      </w:r>
      <w:r w:rsidRPr="001F2586">
        <w:rPr>
          <w:rFonts w:eastAsia="Calibri" w:hint="cs"/>
          <w:b/>
          <w:bCs/>
          <w:rtl/>
        </w:rPr>
        <w:t xml:space="preserve">: </w:t>
      </w:r>
      <w:r w:rsidRPr="001F2586">
        <w:rPr>
          <w:rFonts w:eastAsia="Calibri"/>
          <w:b/>
          <w:bCs/>
          <w:rtl/>
        </w:rPr>
        <w:t xml:space="preserve">הוראות לבעלי רישיון למתן אשראי - דיווחי אשראי למפקח שתחול על נותני שירותים פיננסיים המחזיקים ברישיון </w:t>
      </w:r>
      <w:r w:rsidRPr="001F2586">
        <w:rPr>
          <w:rFonts w:eastAsia="Calibri"/>
          <w:b/>
          <w:bCs/>
          <w:rtl/>
        </w:rPr>
        <w:t>למתן אשראי</w:t>
      </w:r>
      <w:r w:rsidRPr="001F2586">
        <w:rPr>
          <w:rFonts w:eastAsia="Calibri" w:hint="cs"/>
          <w:b/>
          <w:bCs/>
          <w:rtl/>
        </w:rPr>
        <w:t xml:space="preserve"> וזאת למרות שהגופים החוץ בנקאיים החלו לפעול לפני שנת 2022 ולמעשה היו רשאים לתת משכנתאות החל ממועד כניסת החוק לתוקף קרי 1.6.2017. החוזר היה אמור להיכנס לתוקפו 8 חודשים לאחר מועד הוצאתו, אך מועד הכניסה לתוקף נדחה למרץ 2024.</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רשות שוק ההון ציינה בתשובתה למשרד מבקר המדינה בינואר 2026 כי </w:t>
      </w:r>
      <w:r w:rsidRPr="001F2586">
        <w:rPr>
          <w:rFonts w:eastAsia="Calibri"/>
          <w:b/>
          <w:bCs/>
          <w:rtl/>
        </w:rPr>
        <w:t>הדיווחים הראשונים היו חלקיים ואיכות המידע בהם הייתה נמוכה</w:t>
      </w:r>
      <w:r w:rsidRPr="001F2586">
        <w:rPr>
          <w:rFonts w:eastAsia="Calibri" w:hint="cs"/>
          <w:b/>
          <w:bCs/>
          <w:rtl/>
        </w:rPr>
        <w:t xml:space="preserve"> </w:t>
      </w:r>
      <w:r w:rsidRPr="001F2586">
        <w:rPr>
          <w:rFonts w:eastAsia="Calibri"/>
          <w:b/>
          <w:bCs/>
          <w:rtl/>
        </w:rPr>
        <w:t xml:space="preserve">בין היתר בשל מחסור בכוח אדם אצל בעלי הרישיון עקב גיוס המילואים הנרחב במלחמה. </w:t>
      </w:r>
      <w:r w:rsidRPr="001F2586">
        <w:rPr>
          <w:rFonts w:eastAsia="Calibri" w:hint="cs"/>
          <w:b/>
          <w:bCs/>
          <w:rtl/>
        </w:rPr>
        <w:t xml:space="preserve">משכך, </w:t>
      </w:r>
      <w:r w:rsidRPr="001F2586">
        <w:rPr>
          <w:rFonts w:eastAsia="Calibri"/>
          <w:b/>
          <w:bCs/>
          <w:rtl/>
        </w:rPr>
        <w:t xml:space="preserve">הדיווח </w:t>
      </w:r>
      <w:r w:rsidRPr="001F2586">
        <w:rPr>
          <w:rFonts w:eastAsia="Calibri" w:hint="cs"/>
          <w:b/>
          <w:bCs/>
          <w:rtl/>
        </w:rPr>
        <w:t>ה</w:t>
      </w:r>
      <w:r w:rsidRPr="001F2586">
        <w:rPr>
          <w:rFonts w:eastAsia="Calibri"/>
          <w:b/>
          <w:bCs/>
          <w:rtl/>
        </w:rPr>
        <w:t>ראשון המלא שנקלט הינו הדיווח השנתי ל</w:t>
      </w:r>
      <w:r w:rsidRPr="001F2586">
        <w:rPr>
          <w:rFonts w:eastAsia="Calibri" w:hint="eastAsia"/>
          <w:b/>
          <w:bCs/>
          <w:rtl/>
        </w:rPr>
        <w:t>שנת</w:t>
      </w:r>
      <w:r w:rsidRPr="001F2586">
        <w:rPr>
          <w:rFonts w:eastAsia="Calibri" w:hint="cs"/>
          <w:b/>
          <w:bCs/>
          <w:rtl/>
        </w:rPr>
        <w:t xml:space="preserve"> </w:t>
      </w:r>
      <w:r w:rsidRPr="001F2586">
        <w:rPr>
          <w:rFonts w:eastAsia="Calibri"/>
          <w:b/>
          <w:bCs/>
          <w:rtl/>
        </w:rPr>
        <w:t>2024</w:t>
      </w:r>
      <w:r w:rsidRPr="001F2586">
        <w:rPr>
          <w:rFonts w:eastAsia="Calibri" w:hint="cs"/>
          <w:b/>
          <w:bCs/>
          <w:rtl/>
        </w:rPr>
        <w:t>.</w:t>
      </w:r>
      <w:r w:rsidRPr="001F2586">
        <w:rPr>
          <w:rFonts w:eastAsia="Calibri"/>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w:t>
      </w:r>
      <w:r w:rsidRPr="001F2586">
        <w:rPr>
          <w:rFonts w:eastAsia="Calibri"/>
          <w:rtl/>
        </w:rPr>
        <w:t>שנת 2024 החלו להתקבל ברשות דיווחי אשראי שוטפים מבעלי רישיון למתן אשראי</w:t>
      </w:r>
      <w:r w:rsidRPr="001F2586">
        <w:rPr>
          <w:rFonts w:eastAsia="Calibri" w:hint="cs"/>
          <w:rtl/>
        </w:rPr>
        <w:t>.</w:t>
      </w:r>
      <w:r w:rsidRPr="001F2586">
        <w:rPr>
          <w:rFonts w:eastAsia="Calibri"/>
          <w:rtl/>
        </w:rPr>
        <w:t xml:space="preserve"> הדיווחים השוטפים כוללים נתונים כספיים ומדדים תפעוליים על היקפי פעילות האשראי, והם נמסרים לרשות בתבנית אחודה, במטרה ליצור כלי פיקוחי מהותי ומהימן המבוסס על נתונים שיטתיים ועדכניים. נתונים אלה עשויים לשמש את הרשות בגיבוש מדיניות אסדרה מבוססת נתונים, לזיהוי מגמות רוחביות והתנהלות ענפית ולחיזוק יכולות הפיקוח והאכיפה כלפי השחקנים הפועלים בשוק האשראי החוץ-בנקאי.</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הוראת הדיווח קובעת את מסגרת הדיווחים על נתונים פיננסיים שבעלי הרישיון צריכים להעביר לממונה על שוק ההון.</w:t>
      </w:r>
      <w:r w:rsidRPr="001F2586">
        <w:rPr>
          <w:rFonts w:eastAsia="Calibri" w:hint="cs"/>
          <w:rtl/>
        </w:rPr>
        <w:t xml:space="preserve"> </w:t>
      </w:r>
      <w:r w:rsidRPr="001F2586">
        <w:rPr>
          <w:rFonts w:eastAsia="Calibri"/>
          <w:rtl/>
        </w:rPr>
        <w:t xml:space="preserve">ההוראה כוללת דיווח על נתונים שונים, בהם היקף האשראי, מחיר האשראי, </w:t>
      </w:r>
      <w:r w:rsidRPr="001F2586">
        <w:rPr>
          <w:rFonts w:eastAsia="Calibri"/>
          <w:rtl/>
        </w:rPr>
        <w:t>מח"מ</w:t>
      </w:r>
      <w:r w:rsidRPr="001F2586">
        <w:rPr>
          <w:rFonts w:eastAsia="Calibri"/>
          <w:rtl/>
        </w:rPr>
        <w:t xml:space="preserve"> האשראי, היקף החובות בפיגור ועלות המקורות.</w:t>
      </w:r>
      <w:r w:rsidRPr="001F2586">
        <w:rPr>
          <w:rFonts w:eastAsia="Calibri" w:hint="cs"/>
          <w:rtl/>
        </w:rPr>
        <w:t xml:space="preserve"> </w:t>
      </w:r>
      <w:r w:rsidRPr="001F2586">
        <w:rPr>
          <w:rFonts w:eastAsia="Calibri"/>
          <w:rtl/>
        </w:rPr>
        <w:t>על פי ההוראה, בעל רישיון בסיסי למתן אשראי יעביר דיווח בתדירות שנתית</w:t>
      </w:r>
      <w:r w:rsidRPr="001F2586">
        <w:rPr>
          <w:rFonts w:eastAsia="Calibri" w:hint="cs"/>
          <w:rtl/>
        </w:rPr>
        <w:t>, ו</w:t>
      </w:r>
      <w:r w:rsidRPr="001F2586">
        <w:rPr>
          <w:rFonts w:eastAsia="Calibri"/>
          <w:rtl/>
        </w:rPr>
        <w:t xml:space="preserve">בעל רישיון מורחב למתן אשראי </w:t>
      </w:r>
      <w:r w:rsidRPr="001F2586">
        <w:rPr>
          <w:rFonts w:eastAsia="Calibri" w:hint="cs"/>
          <w:rtl/>
        </w:rPr>
        <w:t>-</w:t>
      </w:r>
      <w:r w:rsidRPr="001F2586">
        <w:rPr>
          <w:rFonts w:eastAsia="Calibri"/>
          <w:rtl/>
        </w:rPr>
        <w:t xml:space="preserve"> בתדירות חצי שנתית. הדיווחים יועברו לרשות בתוך </w:t>
      </w:r>
      <w:r w:rsidRPr="001F2586">
        <w:rPr>
          <w:rFonts w:eastAsia="Calibri" w:hint="cs"/>
          <w:rtl/>
        </w:rPr>
        <w:t>שישה</w:t>
      </w:r>
      <w:r w:rsidRPr="001F2586">
        <w:rPr>
          <w:rFonts w:eastAsia="Calibri"/>
          <w:rtl/>
        </w:rPr>
        <w:t xml:space="preserve"> חודשים מתום התקופה המדווחת</w:t>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rtl/>
        </w:rPr>
        <w:t>במהלך שנת 2023 החלה הרשות בהקמה של מחסן נתונים ומערכת בינה עסקית</w:t>
      </w:r>
      <w:r w:rsidRPr="001F2586">
        <w:rPr>
          <w:rFonts w:eastAsia="Calibri"/>
        </w:rPr>
        <w:t>Intelligence Business</w:t>
      </w:r>
      <w:r w:rsidRPr="001F2586">
        <w:rPr>
          <w:rFonts w:eastAsia="Calibri"/>
          <w:rtl/>
        </w:rPr>
        <w:t xml:space="preserve"> </w:t>
      </w:r>
      <w:r w:rsidRPr="001F2586">
        <w:rPr>
          <w:rFonts w:eastAsia="Calibri" w:hint="cs"/>
          <w:rtl/>
        </w:rPr>
        <w:t xml:space="preserve">(מערכת </w:t>
      </w:r>
      <w:r w:rsidRPr="001F2586">
        <w:rPr>
          <w:rFonts w:eastAsia="Calibri" w:hint="cs"/>
        </w:rPr>
        <w:t>BI</w:t>
      </w:r>
      <w:r w:rsidRPr="001F2586">
        <w:rPr>
          <w:rFonts w:eastAsia="Calibri" w:hint="cs"/>
          <w:rtl/>
        </w:rPr>
        <w:t xml:space="preserve">) </w:t>
      </w:r>
      <w:r w:rsidRPr="001F2586">
        <w:rPr>
          <w:rFonts w:eastAsia="Calibri"/>
          <w:rtl/>
        </w:rPr>
        <w:t xml:space="preserve">חדשה שתכלול, בין היתר, נתונים וקבצים שמקורם במערכת הדיווח. המערכת תאפשר למשתמשים גם לבצע תחקור של תהליך הדיווח ובדיקה של מידת הציות של הגופים המפוקחים להוראות הממונה. </w:t>
      </w:r>
      <w:r w:rsidRPr="001F2586">
        <w:rPr>
          <w:rFonts w:eastAsia="Calibri" w:hint="cs"/>
          <w:rtl/>
        </w:rPr>
        <w:t>בפגישה שנערכה עם רשות שוק ההון באוקטוב</w:t>
      </w:r>
      <w:r w:rsidRPr="001F2586">
        <w:rPr>
          <w:rFonts w:eastAsia="Calibri" w:hint="eastAsia"/>
          <w:rtl/>
        </w:rPr>
        <w:t>ר</w:t>
      </w:r>
      <w:r w:rsidRPr="001F2586">
        <w:rPr>
          <w:rFonts w:eastAsia="Calibri" w:hint="cs"/>
          <w:rtl/>
        </w:rPr>
        <w:t xml:space="preserve"> 2025 ציינה רשות שוק ההון כי מערכת ה-</w:t>
      </w:r>
      <w:r w:rsidRPr="001F2586">
        <w:rPr>
          <w:rFonts w:eastAsia="Calibri" w:hint="cs"/>
        </w:rPr>
        <w:t>BI</w:t>
      </w:r>
      <w:r w:rsidRPr="001F2586">
        <w:rPr>
          <w:rFonts w:eastAsia="Calibri" w:hint="cs"/>
          <w:rtl/>
        </w:rPr>
        <w:t xml:space="preserve"> החלה בפעילותה והיא תאפשר להפיק דוחות ולוחות מחוונים שיאפשרו לבצע מהלכי פיקוח נרחבים ולקבל תמונת מצב עדכנית בדבר הגופים תחת פיקוחה. </w:t>
      </w:r>
      <w:r w:rsidRPr="001F2586">
        <w:rPr>
          <w:rFonts w:eastAsia="Calibri" w:hint="eastAsia"/>
          <w:b/>
          <w:bCs/>
          <w:rtl/>
        </w:rPr>
        <w:t>משרד</w:t>
      </w:r>
      <w:r w:rsidRPr="001F2586">
        <w:rPr>
          <w:rFonts w:eastAsia="Calibri"/>
          <w:b/>
          <w:bCs/>
          <w:rtl/>
        </w:rPr>
        <w:t xml:space="preserve"> </w:t>
      </w:r>
      <w:r w:rsidRPr="001F2586">
        <w:rPr>
          <w:rFonts w:eastAsia="Calibri" w:hint="eastAsia"/>
          <w:b/>
          <w:bCs/>
          <w:rtl/>
        </w:rPr>
        <w:t>מבקר</w:t>
      </w:r>
      <w:r w:rsidRPr="001F2586">
        <w:rPr>
          <w:rFonts w:eastAsia="Calibri"/>
          <w:b/>
          <w:bCs/>
          <w:rtl/>
        </w:rPr>
        <w:t xml:space="preserve"> </w:t>
      </w:r>
      <w:r w:rsidRPr="001F2586">
        <w:rPr>
          <w:rFonts w:eastAsia="Calibri" w:hint="eastAsia"/>
          <w:b/>
          <w:bCs/>
          <w:rtl/>
        </w:rPr>
        <w:t>המדינה</w:t>
      </w:r>
      <w:r w:rsidRPr="001F2586">
        <w:rPr>
          <w:rFonts w:eastAsia="Calibri"/>
          <w:b/>
          <w:bCs/>
          <w:rtl/>
        </w:rPr>
        <w:t xml:space="preserve"> </w:t>
      </w:r>
      <w:r w:rsidRPr="001F2586">
        <w:rPr>
          <w:rFonts w:eastAsia="Calibri" w:hint="eastAsia"/>
          <w:b/>
          <w:bCs/>
          <w:rtl/>
        </w:rPr>
        <w:t>מציין</w:t>
      </w:r>
      <w:r w:rsidRPr="001F2586">
        <w:rPr>
          <w:rFonts w:eastAsia="Calibri"/>
          <w:b/>
          <w:bCs/>
          <w:rtl/>
        </w:rPr>
        <w:t xml:space="preserve"> </w:t>
      </w:r>
      <w:r w:rsidRPr="001F2586">
        <w:rPr>
          <w:rFonts w:eastAsia="Calibri" w:hint="eastAsia"/>
          <w:b/>
          <w:bCs/>
          <w:rtl/>
        </w:rPr>
        <w:t>לחיוב</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שימוש</w:t>
      </w:r>
      <w:r w:rsidRPr="001F2586">
        <w:rPr>
          <w:rFonts w:eastAsia="Calibri"/>
          <w:b/>
          <w:bCs/>
          <w:rtl/>
        </w:rPr>
        <w:t xml:space="preserve"> </w:t>
      </w:r>
      <w:r w:rsidRPr="001F2586">
        <w:rPr>
          <w:rFonts w:eastAsia="Calibri" w:hint="eastAsia"/>
          <w:b/>
          <w:bCs/>
          <w:rtl/>
        </w:rPr>
        <w:t>הרשות</w:t>
      </w:r>
      <w:r w:rsidRPr="001F2586">
        <w:rPr>
          <w:rFonts w:eastAsia="Calibri" w:hint="cs"/>
          <w:b/>
          <w:bCs/>
          <w:rtl/>
        </w:rPr>
        <w:t xml:space="preserve"> </w:t>
      </w:r>
      <w:r w:rsidRPr="001F2586">
        <w:rPr>
          <w:rFonts w:eastAsia="Calibri" w:hint="eastAsia"/>
          <w:b/>
          <w:bCs/>
          <w:rtl/>
        </w:rPr>
        <w:t>במערכת</w:t>
      </w:r>
      <w:r w:rsidRPr="001F2586">
        <w:rPr>
          <w:rFonts w:eastAsia="Calibri" w:hint="cs"/>
          <w:b/>
          <w:bCs/>
          <w:rtl/>
        </w:rPr>
        <w:t xml:space="preserve"> </w:t>
      </w:r>
      <w:r w:rsidRPr="001F2586">
        <w:rPr>
          <w:rFonts w:eastAsia="Calibri"/>
          <w:b/>
          <w:bCs/>
        </w:rPr>
        <w:t>BI</w:t>
      </w:r>
      <w:r w:rsidRPr="001F2586">
        <w:rPr>
          <w:rFonts w:eastAsia="Calibri"/>
          <w:b/>
          <w:bCs/>
          <w:rtl/>
        </w:rPr>
        <w:t xml:space="preserve"> </w:t>
      </w:r>
      <w:r w:rsidRPr="001F2586">
        <w:rPr>
          <w:rFonts w:eastAsia="Calibri" w:hint="eastAsia"/>
          <w:b/>
          <w:bCs/>
          <w:rtl/>
        </w:rPr>
        <w:t>שתאפשר</w:t>
      </w:r>
      <w:r w:rsidRPr="001F2586">
        <w:rPr>
          <w:rFonts w:eastAsia="Calibri"/>
          <w:b/>
          <w:bCs/>
          <w:rtl/>
        </w:rPr>
        <w:t xml:space="preserve"> לרשות </w:t>
      </w:r>
      <w:r w:rsidRPr="001F2586">
        <w:rPr>
          <w:rFonts w:eastAsia="Calibri" w:hint="cs"/>
          <w:b/>
          <w:bCs/>
          <w:rtl/>
        </w:rPr>
        <w:t xml:space="preserve">לבצע </w:t>
      </w:r>
      <w:r w:rsidRPr="001F2586">
        <w:rPr>
          <w:rFonts w:eastAsia="Calibri" w:hint="eastAsia"/>
          <w:b/>
          <w:bCs/>
          <w:rtl/>
        </w:rPr>
        <w:t>באופן</w:t>
      </w:r>
      <w:r w:rsidRPr="001F2586">
        <w:rPr>
          <w:rFonts w:eastAsia="Calibri"/>
          <w:b/>
          <w:bCs/>
          <w:rtl/>
        </w:rPr>
        <w:t xml:space="preserve"> אוטומטי </w:t>
      </w:r>
      <w:r w:rsidRPr="001F2586">
        <w:rPr>
          <w:rFonts w:eastAsia="Calibri" w:hint="eastAsia"/>
          <w:b/>
          <w:bCs/>
          <w:rtl/>
        </w:rPr>
        <w:t>איתור</w:t>
      </w:r>
      <w:r w:rsidRPr="001F2586">
        <w:rPr>
          <w:rFonts w:eastAsia="Calibri"/>
          <w:b/>
          <w:bCs/>
          <w:rtl/>
        </w:rPr>
        <w:t xml:space="preserve"> חריגות ולזהות מקרים המחייבים את התערבות הרגולטור. </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משכנתאות הניתנות על ידי גופים מוסדיים</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במסגרות פעילות ההשקעה של הגופים המוסדיים, חלק מהם מעניקים הלוואות משכנתא, כנגד שעבוד נכס מקרקעין. חלק מהותי מהמשכנתאות של המוסדיים הן הלוואות מסוג "משכנתא הפוכה" אשר ניתנות ללווים שהינם בני 55 ומעלה כנגד שעבוד דירת מגורים. </w:t>
      </w:r>
      <w:r w:rsidRPr="001F2586">
        <w:rPr>
          <w:rFonts w:eastAsia="Calibri"/>
          <w:rtl/>
        </w:rPr>
        <w:t xml:space="preserve">משכנתאות המועמדות ישירות מנכסי </w:t>
      </w:r>
      <w:r w:rsidRPr="001F2586">
        <w:rPr>
          <w:rFonts w:eastAsia="Calibri"/>
          <w:rtl/>
        </w:rPr>
        <w:t>הנוסטרו</w:t>
      </w:r>
      <w:r w:rsidRPr="001F2586">
        <w:rPr>
          <w:rFonts w:eastAsia="Calibri"/>
          <w:rtl/>
        </w:rPr>
        <w:t xml:space="preserve"> של חברות הביטוח</w:t>
      </w:r>
      <w:r>
        <w:rPr>
          <w:rFonts w:eastAsia="Calibri"/>
          <w:vertAlign w:val="superscript"/>
          <w:rtl/>
        </w:rPr>
        <w:footnoteReference w:id="458"/>
      </w:r>
      <w:r w:rsidRPr="001F2586">
        <w:rPr>
          <w:rFonts w:eastAsia="Calibri"/>
          <w:rtl/>
        </w:rPr>
        <w:t xml:space="preserve"> (כולל משכנתאות הפוכות)</w:t>
      </w:r>
      <w:r w:rsidRPr="001F2586">
        <w:rPr>
          <w:rFonts w:eastAsia="Calibri" w:hint="cs"/>
          <w:rtl/>
        </w:rPr>
        <w:t xml:space="preserve"> </w:t>
      </w:r>
      <w:r w:rsidRPr="001F2586">
        <w:rPr>
          <w:rFonts w:eastAsia="Calibri"/>
          <w:rtl/>
        </w:rPr>
        <w:t xml:space="preserve">עומדת על </w:t>
      </w:r>
      <w:r w:rsidR="00F071D3">
        <w:rPr>
          <w:rFonts w:eastAsia="Calibri"/>
          <w:rtl/>
        </w:rPr>
        <w:br/>
      </w:r>
      <w:r w:rsidRPr="001F2586">
        <w:rPr>
          <w:rFonts w:eastAsia="Calibri"/>
          <w:rtl/>
        </w:rPr>
        <w:t xml:space="preserve">כ-10 מיליארד </w:t>
      </w:r>
      <w:r w:rsidR="00480481">
        <w:rPr>
          <w:rFonts w:eastAsia="Calibri"/>
          <w:rtl/>
        </w:rPr>
        <w:t>ש"ח</w:t>
      </w:r>
      <w:r w:rsidRPr="001F2586">
        <w:rPr>
          <w:rFonts w:eastAsia="Calibri"/>
          <w:rtl/>
        </w:rPr>
        <w:t xml:space="preserve"> (משכנתאות הפוכות ומשכנתאות ישירות)</w:t>
      </w:r>
      <w:r w:rsidRPr="001F2586">
        <w:rPr>
          <w:rFonts w:eastAsia="Calibri" w:hint="cs"/>
          <w:rtl/>
        </w:rPr>
        <w:t xml:space="preserve"> נכון לספטמבר 2024</w:t>
      </w:r>
      <w:r w:rsidRPr="001F2586">
        <w:rPr>
          <w:rFonts w:eastAsia="Calibri"/>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על פעילות הגופים המוסדיים במתן משכנתאות חוץ-בנקאיות חל סעיף 5(</w:t>
      </w:r>
      <w:r w:rsidRPr="001F2586">
        <w:rPr>
          <w:rFonts w:eastAsia="Calibri"/>
          <w:rtl/>
        </w:rPr>
        <w:t>יב</w:t>
      </w:r>
      <w:r w:rsidRPr="001F2586">
        <w:rPr>
          <w:rFonts w:eastAsia="Calibri"/>
          <w:rtl/>
        </w:rPr>
        <w:t xml:space="preserve">) </w:t>
      </w:r>
      <w:r w:rsidRPr="001F2586">
        <w:rPr>
          <w:rFonts w:eastAsia="Calibri" w:hint="cs"/>
          <w:rtl/>
        </w:rPr>
        <w:t xml:space="preserve">לפרק ניהול נכסי השקעה בקודקס הרגולציה של רשות שוק ההון שחל על גופים מוסדיים. </w:t>
      </w:r>
      <w:r w:rsidRPr="001F2586">
        <w:rPr>
          <w:rFonts w:eastAsia="Calibri"/>
          <w:rtl/>
        </w:rPr>
        <w:t>סעיף 5(</w:t>
      </w:r>
      <w:r w:rsidRPr="001F2586">
        <w:rPr>
          <w:rFonts w:eastAsia="Calibri"/>
          <w:rtl/>
        </w:rPr>
        <w:t>יב</w:t>
      </w:r>
      <w:r w:rsidRPr="001F2586">
        <w:rPr>
          <w:rFonts w:eastAsia="Calibri"/>
          <w:rtl/>
        </w:rPr>
        <w:t xml:space="preserve">)(4) מחיל על הגופים המוסדיים את </w:t>
      </w:r>
      <w:r w:rsidRPr="001F2586">
        <w:rPr>
          <w:rFonts w:eastAsia="Calibri" w:hint="cs"/>
          <w:rtl/>
        </w:rPr>
        <w:t xml:space="preserve">הוראות </w:t>
      </w:r>
      <w:r w:rsidRPr="001F2586">
        <w:rPr>
          <w:rFonts w:eastAsia="Calibri"/>
          <w:rtl/>
        </w:rPr>
        <w:t>נב"ת</w:t>
      </w:r>
      <w:r w:rsidRPr="001F2586">
        <w:rPr>
          <w:rFonts w:eastAsia="Calibri"/>
          <w:rtl/>
        </w:rPr>
        <w:t xml:space="preserve"> 451 (ניהול סיכונים במתן הלוואות לדיור) החלות על הבנקים בשינויים המחויבים.</w:t>
      </w:r>
      <w:r w:rsidRPr="001F2586">
        <w:rPr>
          <w:rFonts w:eastAsia="Calibri" w:hint="cs"/>
          <w:rtl/>
        </w:rPr>
        <w:t xml:space="preserve"> כמו כן, </w:t>
      </w:r>
      <w:r w:rsidRPr="001F2586">
        <w:rPr>
          <w:rFonts w:eastAsia="Calibri" w:hint="eastAsia"/>
          <w:rtl/>
        </w:rPr>
        <w:t>קודקס</w:t>
      </w:r>
      <w:r w:rsidRPr="001F2586">
        <w:rPr>
          <w:rFonts w:eastAsia="Calibri"/>
          <w:rtl/>
        </w:rPr>
        <w:t xml:space="preserve"> </w:t>
      </w:r>
      <w:r w:rsidRPr="001F2586">
        <w:rPr>
          <w:rFonts w:eastAsia="Calibri" w:hint="eastAsia"/>
          <w:rtl/>
        </w:rPr>
        <w:t>הרגולציה</w:t>
      </w:r>
      <w:r w:rsidRPr="001F2586">
        <w:rPr>
          <w:rFonts w:eastAsia="Calibri"/>
          <w:rtl/>
        </w:rPr>
        <w:t xml:space="preserve"> </w:t>
      </w:r>
      <w:r w:rsidRPr="001F2586">
        <w:rPr>
          <w:rFonts w:eastAsia="Calibri" w:hint="eastAsia"/>
          <w:rtl/>
        </w:rPr>
        <w:t>של</w:t>
      </w:r>
      <w:r w:rsidRPr="001F2586">
        <w:rPr>
          <w:rFonts w:eastAsia="Calibri"/>
          <w:rtl/>
        </w:rPr>
        <w:t xml:space="preserve"> </w:t>
      </w:r>
      <w:r w:rsidRPr="001F2586">
        <w:rPr>
          <w:rFonts w:eastAsia="Calibri" w:hint="eastAsia"/>
          <w:rtl/>
        </w:rPr>
        <w:t>רשות</w:t>
      </w:r>
      <w:r w:rsidRPr="001F2586">
        <w:rPr>
          <w:rFonts w:eastAsia="Calibri"/>
          <w:rtl/>
        </w:rPr>
        <w:t xml:space="preserve"> </w:t>
      </w:r>
      <w:r w:rsidRPr="001F2586">
        <w:rPr>
          <w:rFonts w:eastAsia="Calibri" w:hint="eastAsia"/>
          <w:rtl/>
        </w:rPr>
        <w:t>שוק</w:t>
      </w:r>
      <w:r w:rsidRPr="001F2586">
        <w:rPr>
          <w:rFonts w:eastAsia="Calibri"/>
          <w:rtl/>
        </w:rPr>
        <w:t xml:space="preserve"> </w:t>
      </w:r>
      <w:r w:rsidRPr="001F2586">
        <w:rPr>
          <w:rFonts w:eastAsia="Calibri" w:hint="eastAsia"/>
          <w:rtl/>
        </w:rPr>
        <w:t>ההון</w:t>
      </w:r>
      <w:r w:rsidRPr="001F2586">
        <w:rPr>
          <w:rFonts w:eastAsia="Calibri"/>
          <w:rtl/>
        </w:rPr>
        <w:t xml:space="preserve"> </w:t>
      </w:r>
      <w:r w:rsidRPr="001F2586">
        <w:rPr>
          <w:rFonts w:eastAsia="Calibri" w:hint="eastAsia"/>
          <w:rtl/>
        </w:rPr>
        <w:t>בנושא</w:t>
      </w:r>
      <w:r w:rsidRPr="001F2586">
        <w:rPr>
          <w:rFonts w:eastAsia="Calibri"/>
          <w:rtl/>
        </w:rPr>
        <w:t xml:space="preserve"> </w:t>
      </w:r>
      <w:r w:rsidRPr="001F2586">
        <w:rPr>
          <w:rFonts w:eastAsia="Calibri" w:hint="eastAsia"/>
          <w:rtl/>
        </w:rPr>
        <w:t>ניהול</w:t>
      </w:r>
      <w:r w:rsidRPr="001F2586">
        <w:rPr>
          <w:rFonts w:eastAsia="Calibri"/>
          <w:rtl/>
        </w:rPr>
        <w:t xml:space="preserve"> </w:t>
      </w:r>
      <w:r w:rsidRPr="001F2586">
        <w:rPr>
          <w:rFonts w:eastAsia="Calibri" w:hint="eastAsia"/>
          <w:rtl/>
        </w:rPr>
        <w:t>נכסי</w:t>
      </w:r>
      <w:r w:rsidRPr="001F2586">
        <w:rPr>
          <w:rFonts w:eastAsia="Calibri"/>
          <w:rtl/>
        </w:rPr>
        <w:t xml:space="preserve"> </w:t>
      </w:r>
      <w:r w:rsidRPr="001F2586">
        <w:rPr>
          <w:rFonts w:eastAsia="Calibri" w:hint="eastAsia"/>
          <w:rtl/>
        </w:rPr>
        <w:t>השקעה</w:t>
      </w:r>
      <w:r w:rsidRPr="001F2586">
        <w:rPr>
          <w:rFonts w:eastAsia="Calibri"/>
          <w:rtl/>
        </w:rPr>
        <w:t xml:space="preserve"> קובע </w:t>
      </w:r>
      <w:r w:rsidRPr="001F2586">
        <w:rPr>
          <w:rFonts w:eastAsia="Calibri" w:hint="cs"/>
          <w:rtl/>
        </w:rPr>
        <w:t>את ההנחיות לפיהן גופים מוסדיים רשאים לתת הלוואה של עד 60% משווי הנכס, והמשכנתא תהיה רק לשעבוד ממדרגה ראשונה בלבד. כלומר חלות על הגופים מוסדיים מגבלות שאינן חלות על הגופים החוץ בנקאים והבנקים. להלן טבלת השוואה אודות מגבלות הקיימות על הגופים השונים:</w:t>
      </w:r>
    </w:p>
    <w:p w:rsidR="00E85EB9">
      <w:pPr>
        <w:bidi w:val="0"/>
        <w:spacing w:after="200" w:line="276" w:lineRule="auto"/>
        <w:rPr>
          <w:rFonts w:ascii="David" w:eastAsia="Calibri" w:hAnsi="David"/>
          <w:sz w:val="24"/>
          <w:rtl/>
        </w:rPr>
      </w:pPr>
      <w:r>
        <w:rPr>
          <w:rFonts w:ascii="David" w:eastAsia="Calibri" w:hAnsi="David"/>
          <w:sz w:val="24"/>
          <w:rtl/>
        </w:rPr>
        <w:br w:type="page"/>
      </w:r>
    </w:p>
    <w:p w:rsidR="001F2586" w:rsidRPr="001F2586" w:rsidP="001F2586">
      <w:pPr>
        <w:spacing w:line="269" w:lineRule="auto"/>
        <w:jc w:val="center"/>
        <w:rPr>
          <w:rFonts w:ascii="David" w:eastAsia="Calibri" w:hAnsi="David"/>
          <w:b/>
          <w:bCs/>
          <w:sz w:val="24"/>
          <w:rtl/>
        </w:rPr>
      </w:pPr>
      <w:r w:rsidRPr="001F2586">
        <w:rPr>
          <w:rFonts w:ascii="David" w:eastAsia="Calibri" w:hAnsi="David"/>
          <w:sz w:val="24"/>
          <w:rtl/>
        </w:rPr>
        <w:t xml:space="preserve">לוח </w:t>
      </w:r>
      <w:r w:rsidRPr="001F2586">
        <w:rPr>
          <w:rFonts w:ascii="David" w:eastAsia="Calibri" w:hAnsi="David"/>
          <w:sz w:val="24"/>
        </w:rPr>
        <w:t>15</w:t>
      </w:r>
      <w:r w:rsidRPr="001F2586">
        <w:rPr>
          <w:rFonts w:ascii="David" w:eastAsia="Calibri" w:hAnsi="David"/>
          <w:sz w:val="24"/>
          <w:rtl/>
        </w:rPr>
        <w:t>:</w:t>
      </w:r>
      <w:r w:rsidRPr="001F2586">
        <w:rPr>
          <w:rFonts w:ascii="David" w:eastAsia="Calibri" w:hAnsi="David"/>
          <w:b/>
          <w:bCs/>
          <w:sz w:val="24"/>
          <w:rtl/>
        </w:rPr>
        <w:t xml:space="preserve"> מגבלות על לקיחת משכנתא בגופים שונים </w:t>
      </w:r>
    </w:p>
    <w:tbl>
      <w:tblPr>
        <w:tblStyle w:val="TableGrid"/>
        <w:bidiVisual/>
        <w:tblW w:w="0" w:type="auto"/>
        <w:tblLook w:val="04A0"/>
      </w:tblPr>
      <w:tblGrid>
        <w:gridCol w:w="1840"/>
        <w:gridCol w:w="2450"/>
        <w:gridCol w:w="1960"/>
        <w:gridCol w:w="1960"/>
      </w:tblGrid>
      <w:tr w:rsidTr="001F2586">
        <w:tblPrEx>
          <w:tblW w:w="0" w:type="auto"/>
          <w:tblLook w:val="04A0"/>
        </w:tblPrEx>
        <w:tc>
          <w:tcPr>
            <w:tcW w:w="1841" w:type="dxa"/>
            <w:shd w:val="clear" w:color="auto" w:fill="BFBFBF"/>
          </w:tcPr>
          <w:p w:rsidR="001F2586" w:rsidRPr="001F2586" w:rsidP="001F2586">
            <w:pPr>
              <w:spacing w:line="269" w:lineRule="auto"/>
              <w:jc w:val="center"/>
              <w:rPr>
                <w:rFonts w:eastAsia="Calibri"/>
                <w:b/>
                <w:bCs/>
                <w:sz w:val="18"/>
                <w:szCs w:val="22"/>
                <w:rtl/>
              </w:rPr>
            </w:pPr>
          </w:p>
        </w:tc>
        <w:tc>
          <w:tcPr>
            <w:tcW w:w="2450" w:type="dxa"/>
            <w:shd w:val="clear" w:color="auto" w:fill="BFBFBF"/>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בנק</w:t>
            </w:r>
          </w:p>
        </w:tc>
        <w:tc>
          <w:tcPr>
            <w:tcW w:w="1960" w:type="dxa"/>
            <w:shd w:val="clear" w:color="auto" w:fill="BFBFBF"/>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גוף</w:t>
            </w:r>
            <w:r w:rsidRPr="001F2586">
              <w:rPr>
                <w:rFonts w:eastAsia="Calibri"/>
                <w:b/>
                <w:bCs/>
                <w:sz w:val="18"/>
                <w:szCs w:val="22"/>
                <w:rtl/>
              </w:rPr>
              <w:t xml:space="preserve"> </w:t>
            </w:r>
            <w:r w:rsidRPr="001F2586">
              <w:rPr>
                <w:rFonts w:eastAsia="Calibri" w:hint="eastAsia"/>
                <w:b/>
                <w:bCs/>
                <w:sz w:val="18"/>
                <w:szCs w:val="22"/>
                <w:rtl/>
              </w:rPr>
              <w:t>מוסדי</w:t>
            </w:r>
          </w:p>
        </w:tc>
        <w:tc>
          <w:tcPr>
            <w:tcW w:w="1960" w:type="dxa"/>
            <w:shd w:val="clear" w:color="auto" w:fill="BFBFBF"/>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גוף</w:t>
            </w:r>
            <w:r w:rsidRPr="001F2586">
              <w:rPr>
                <w:rFonts w:eastAsia="Calibri"/>
                <w:b/>
                <w:bCs/>
                <w:sz w:val="18"/>
                <w:szCs w:val="22"/>
                <w:rtl/>
              </w:rPr>
              <w:t xml:space="preserve"> </w:t>
            </w:r>
            <w:r w:rsidRPr="001F2586">
              <w:rPr>
                <w:rFonts w:eastAsia="Calibri" w:hint="eastAsia"/>
                <w:b/>
                <w:bCs/>
                <w:sz w:val="18"/>
                <w:szCs w:val="22"/>
                <w:rtl/>
              </w:rPr>
              <w:t>חוץ</w:t>
            </w:r>
            <w:r w:rsidRPr="001F2586">
              <w:rPr>
                <w:rFonts w:eastAsia="Calibri"/>
                <w:b/>
                <w:bCs/>
                <w:sz w:val="18"/>
                <w:szCs w:val="22"/>
                <w:rtl/>
              </w:rPr>
              <w:t xml:space="preserve"> </w:t>
            </w:r>
            <w:r w:rsidRPr="001F2586">
              <w:rPr>
                <w:rFonts w:eastAsia="Calibri" w:hint="eastAsia"/>
                <w:b/>
                <w:bCs/>
                <w:sz w:val="18"/>
                <w:szCs w:val="22"/>
                <w:rtl/>
              </w:rPr>
              <w:t>בנקאי</w:t>
            </w:r>
          </w:p>
        </w:tc>
      </w:tr>
      <w:tr w:rsidTr="00EB64F7">
        <w:tblPrEx>
          <w:tblW w:w="0" w:type="auto"/>
          <w:tblLook w:val="04A0"/>
        </w:tblPrEx>
        <w:tc>
          <w:tcPr>
            <w:tcW w:w="1841" w:type="dxa"/>
          </w:tcPr>
          <w:p w:rsidR="001F2586" w:rsidRPr="001F2586" w:rsidP="001F2586">
            <w:pPr>
              <w:spacing w:line="269" w:lineRule="auto"/>
              <w:jc w:val="left"/>
              <w:rPr>
                <w:rFonts w:eastAsia="Calibri"/>
                <w:b/>
                <w:bCs/>
                <w:sz w:val="18"/>
                <w:szCs w:val="22"/>
                <w:rtl/>
              </w:rPr>
            </w:pPr>
            <w:r w:rsidRPr="001F2586">
              <w:rPr>
                <w:rFonts w:eastAsia="Calibri" w:hint="eastAsia"/>
                <w:b/>
                <w:bCs/>
                <w:sz w:val="18"/>
                <w:szCs w:val="22"/>
                <w:rtl/>
              </w:rPr>
              <w:t>שיעור</w:t>
            </w:r>
            <w:r w:rsidRPr="001F2586">
              <w:rPr>
                <w:rFonts w:eastAsia="Calibri"/>
                <w:b/>
                <w:bCs/>
                <w:sz w:val="18"/>
                <w:szCs w:val="22"/>
                <w:rtl/>
              </w:rPr>
              <w:t xml:space="preserve"> המשכנתא </w:t>
            </w:r>
            <w:r w:rsidRPr="001F2586">
              <w:rPr>
                <w:rFonts w:eastAsia="Calibri" w:hint="eastAsia"/>
                <w:b/>
                <w:bCs/>
                <w:sz w:val="18"/>
                <w:szCs w:val="22"/>
                <w:rtl/>
              </w:rPr>
              <w:t>האפשרי</w:t>
            </w:r>
          </w:p>
        </w:tc>
        <w:tc>
          <w:tcPr>
            <w:tcW w:w="2450"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עד 75%</w:t>
            </w:r>
          </w:p>
        </w:tc>
        <w:tc>
          <w:tcPr>
            <w:tcW w:w="1960"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עד 60%</w:t>
            </w:r>
          </w:p>
        </w:tc>
        <w:tc>
          <w:tcPr>
            <w:tcW w:w="1960"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בהתאם ל</w:t>
            </w:r>
            <w:r w:rsidRPr="001F2586">
              <w:rPr>
                <w:rFonts w:eastAsia="Calibri" w:hint="eastAsia"/>
                <w:sz w:val="18"/>
                <w:szCs w:val="22"/>
                <w:rtl/>
              </w:rPr>
              <w:t>מדיניות</w:t>
            </w:r>
            <w:r w:rsidRPr="001F2586">
              <w:rPr>
                <w:rFonts w:eastAsia="Calibri"/>
                <w:sz w:val="18"/>
                <w:szCs w:val="22"/>
                <w:rtl/>
              </w:rPr>
              <w:t xml:space="preserve"> </w:t>
            </w:r>
            <w:r w:rsidRPr="001F2586">
              <w:rPr>
                <w:rFonts w:eastAsia="Calibri" w:hint="eastAsia"/>
                <w:sz w:val="18"/>
                <w:szCs w:val="22"/>
                <w:rtl/>
              </w:rPr>
              <w:t>הגוף</w:t>
            </w:r>
            <w:r w:rsidRPr="001F2586">
              <w:rPr>
                <w:rFonts w:eastAsia="Calibri"/>
                <w:sz w:val="18"/>
                <w:szCs w:val="22"/>
                <w:rtl/>
              </w:rPr>
              <w:t xml:space="preserve"> </w:t>
            </w:r>
            <w:r w:rsidRPr="001F2586">
              <w:rPr>
                <w:rFonts w:eastAsia="Calibri" w:hint="eastAsia"/>
                <w:sz w:val="18"/>
                <w:szCs w:val="22"/>
                <w:rtl/>
              </w:rPr>
              <w:t>החוץ</w:t>
            </w:r>
            <w:r w:rsidRPr="001F2586">
              <w:rPr>
                <w:rFonts w:eastAsia="Calibri"/>
                <w:sz w:val="18"/>
                <w:szCs w:val="22"/>
                <w:rtl/>
              </w:rPr>
              <w:t xml:space="preserve"> </w:t>
            </w:r>
            <w:r w:rsidRPr="001F2586">
              <w:rPr>
                <w:rFonts w:eastAsia="Calibri" w:hint="eastAsia"/>
                <w:sz w:val="18"/>
                <w:szCs w:val="22"/>
                <w:rtl/>
              </w:rPr>
              <w:t>בנקאי</w:t>
            </w:r>
          </w:p>
        </w:tc>
      </w:tr>
      <w:tr w:rsidTr="00EB64F7">
        <w:tblPrEx>
          <w:tblW w:w="0" w:type="auto"/>
          <w:tblLook w:val="04A0"/>
        </w:tblPrEx>
        <w:tc>
          <w:tcPr>
            <w:tcW w:w="1841" w:type="dxa"/>
          </w:tcPr>
          <w:p w:rsidR="001F2586" w:rsidRPr="001F2586" w:rsidP="001F2586">
            <w:pPr>
              <w:spacing w:line="269" w:lineRule="auto"/>
              <w:jc w:val="left"/>
              <w:rPr>
                <w:rFonts w:eastAsia="Calibri"/>
                <w:b/>
                <w:bCs/>
                <w:sz w:val="18"/>
                <w:szCs w:val="22"/>
                <w:rtl/>
              </w:rPr>
            </w:pPr>
            <w:r w:rsidRPr="001F2586">
              <w:rPr>
                <w:rFonts w:eastAsia="Calibri" w:hint="eastAsia"/>
                <w:b/>
                <w:bCs/>
                <w:sz w:val="18"/>
                <w:szCs w:val="22"/>
                <w:rtl/>
              </w:rPr>
              <w:t>סוג</w:t>
            </w:r>
            <w:r w:rsidRPr="001F2586">
              <w:rPr>
                <w:rFonts w:eastAsia="Calibri"/>
                <w:b/>
                <w:bCs/>
                <w:sz w:val="18"/>
                <w:szCs w:val="22"/>
                <w:rtl/>
              </w:rPr>
              <w:t xml:space="preserve"> </w:t>
            </w:r>
            <w:r w:rsidRPr="001F2586">
              <w:rPr>
                <w:rFonts w:eastAsia="Calibri" w:hint="eastAsia"/>
                <w:b/>
                <w:bCs/>
                <w:sz w:val="18"/>
                <w:szCs w:val="22"/>
                <w:rtl/>
              </w:rPr>
              <w:t>השעבוד</w:t>
            </w:r>
            <w:r w:rsidRPr="001F2586">
              <w:rPr>
                <w:rFonts w:eastAsia="Calibri"/>
                <w:b/>
                <w:bCs/>
                <w:sz w:val="18"/>
                <w:szCs w:val="22"/>
                <w:rtl/>
              </w:rPr>
              <w:t xml:space="preserve"> </w:t>
            </w:r>
            <w:r w:rsidRPr="001F2586">
              <w:rPr>
                <w:rFonts w:eastAsia="Calibri" w:hint="eastAsia"/>
                <w:b/>
                <w:bCs/>
                <w:sz w:val="18"/>
                <w:szCs w:val="22"/>
                <w:rtl/>
              </w:rPr>
              <w:t>האפשרי</w:t>
            </w:r>
          </w:p>
        </w:tc>
        <w:tc>
          <w:tcPr>
            <w:tcW w:w="2450"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שעבוד ראשון ושעבוד שני</w:t>
            </w:r>
          </w:p>
        </w:tc>
        <w:tc>
          <w:tcPr>
            <w:tcW w:w="1960"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שעבוד ראשון</w:t>
            </w:r>
          </w:p>
        </w:tc>
        <w:tc>
          <w:tcPr>
            <w:tcW w:w="1960"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שעבוד ראשון ושעבוד שני</w:t>
            </w:r>
          </w:p>
        </w:tc>
      </w:tr>
    </w:tbl>
    <w:p w:rsidR="001F2586" w:rsidRPr="001F2586" w:rsidP="001F2586">
      <w:pPr>
        <w:spacing w:line="269" w:lineRule="auto"/>
        <w:ind w:left="-567"/>
        <w:rPr>
          <w:rFonts w:eastAsia="Calibri"/>
          <w:szCs w:val="20"/>
          <w:rtl/>
        </w:rPr>
      </w:pPr>
    </w:p>
    <w:p w:rsidR="00EA3D6A" w:rsidP="001F2586">
      <w:pPr>
        <w:spacing w:line="269" w:lineRule="auto"/>
        <w:rPr>
          <w:rFonts w:eastAsia="Calibri"/>
          <w:rtl/>
        </w:rPr>
      </w:pPr>
      <w:r w:rsidRPr="001F2586">
        <w:rPr>
          <w:rFonts w:eastAsia="Calibri" w:hint="cs"/>
          <w:rtl/>
        </w:rPr>
        <w:t>משרד מבקר המדינה מציין כי פערים אלו הנובעים מהנחיות הרגולטור בין הבנקים, הגופים החוץ בנקאיים והגופים המוסדיים נותנים יתרון לגופים החוץ בנקאיים, ושמים את הגופים המוסדיים בעמדת נחיתות מול הבנקים והגופים החוץ בנקאים.</w:t>
      </w:r>
      <w:r w:rsidRPr="001F2586">
        <w:rPr>
          <w:rFonts w:eastAsia="Calibri"/>
          <w:rtl/>
        </w:rPr>
        <w:t xml:space="preserve"> מדיניות רשות שוק ההון, </w:t>
      </w:r>
      <w:r w:rsidRPr="001F2586">
        <w:rPr>
          <w:rFonts w:eastAsia="Calibri" w:hint="cs"/>
          <w:rtl/>
        </w:rPr>
        <w:t xml:space="preserve">המחייבת את הגופים המוסדיים לפעול בהתאם להוראות הפיקוח על הבנקים וגם מטילה חובות מתוקף רשות שוק ההון מצמצת בפועל את מרחב הפעולה שלהם בשוק האשראי לדיור. </w:t>
      </w:r>
      <w:r w:rsidRPr="001F2586">
        <w:rPr>
          <w:rFonts w:eastAsia="Calibri"/>
          <w:rtl/>
        </w:rPr>
        <w:t xml:space="preserve">בעוד שהכוונה המקורית היא הגנה על כספי </w:t>
      </w:r>
      <w:r w:rsidRPr="001F2586">
        <w:rPr>
          <w:rFonts w:eastAsia="Calibri"/>
          <w:rtl/>
        </w:rPr>
        <w:t>הנוסטרו</w:t>
      </w:r>
      <w:r w:rsidRPr="001F2586">
        <w:rPr>
          <w:rFonts w:eastAsia="Calibri"/>
          <w:rtl/>
        </w:rPr>
        <w:t xml:space="preserve"> והיציבות</w:t>
      </w:r>
      <w:r w:rsidRPr="001F2586">
        <w:rPr>
          <w:rFonts w:eastAsia="Calibri" w:hint="cs"/>
          <w:rtl/>
        </w:rPr>
        <w:t xml:space="preserve"> של הגופים המוסדיים</w:t>
      </w:r>
      <w:r w:rsidRPr="001F2586">
        <w:rPr>
          <w:rFonts w:eastAsia="Calibri"/>
          <w:rtl/>
        </w:rPr>
        <w:t>, התוצאה בפועל היא צמצום התחרות. הגבלת שיעור המימון (</w:t>
      </w:r>
      <w:r w:rsidRPr="001F2586">
        <w:rPr>
          <w:rFonts w:eastAsia="Calibri"/>
        </w:rPr>
        <w:t>LTV</w:t>
      </w:r>
      <w:r w:rsidRPr="001F2586">
        <w:rPr>
          <w:rFonts w:eastAsia="Calibri"/>
          <w:rtl/>
        </w:rPr>
        <w:t>) ל-60% ומניעת שעבוד מדרגה שנייה מונעות מהמוסדיים להציע פתרונות מימון גמישים המותאמים לצרכי הצרכן המודרני.</w:t>
      </w:r>
    </w:p>
    <w:p w:rsidR="00EA3D6A" w:rsidP="00EA3D6A">
      <w:pPr>
        <w:pStyle w:val="a"/>
        <w:spacing w:line="360" w:lineRule="auto"/>
        <w:ind w:left="0"/>
        <w:rPr>
          <w:b/>
          <w:bCs/>
          <w:sz w:val="24"/>
          <w:szCs w:val="24"/>
          <w:rtl/>
        </w:rPr>
      </w:pPr>
    </w:p>
    <w:p w:rsidR="00EA3D6A" w:rsidRPr="00460A3B" w:rsidP="0070405E">
      <w:pPr>
        <w:pStyle w:val="a"/>
        <w:spacing w:line="269" w:lineRule="auto"/>
        <w:ind w:left="0"/>
        <w:rPr>
          <w:b/>
          <w:bCs/>
          <w:sz w:val="24"/>
          <w:szCs w:val="24"/>
          <w:rtl/>
        </w:rPr>
      </w:pPr>
      <w:r w:rsidRPr="00460A3B">
        <w:rPr>
          <w:rFonts w:hint="cs"/>
          <w:b/>
          <w:bCs/>
          <w:sz w:val="24"/>
          <w:szCs w:val="24"/>
          <w:rtl/>
        </w:rPr>
        <w:t>נמצא שגופים מוסדיים אינם רשאים לתת משכנתא מעל 60% משווי הנכס ואינם רשאים לתת משכנתא בדרגה שנייה וזאת בניגוד לנותני אשראי חוץ בנקאיים ולבנקים, תוך פגיעה בתחרות.</w:t>
      </w:r>
    </w:p>
    <w:p w:rsidR="001F2586" w:rsidRPr="001F2586" w:rsidP="0070405E">
      <w:pPr>
        <w:spacing w:line="269" w:lineRule="auto"/>
        <w:rPr>
          <w:rFonts w:eastAsia="Calibri"/>
          <w:szCs w:val="20"/>
          <w:rtl/>
        </w:rPr>
      </w:pPr>
      <w:r w:rsidRPr="001F2586">
        <w:rPr>
          <w:rFonts w:eastAsia="Calibri"/>
          <w:rtl/>
        </w:rPr>
        <w:t xml:space="preserve"> </w:t>
      </w:r>
    </w:p>
    <w:p w:rsidR="001F2586" w:rsidP="001F2586">
      <w:pPr>
        <w:spacing w:line="269" w:lineRule="auto"/>
        <w:rPr>
          <w:rFonts w:eastAsia="Calibri"/>
          <w:rtl/>
        </w:rPr>
      </w:pPr>
      <w:r w:rsidRPr="001F2586">
        <w:rPr>
          <w:rFonts w:eastAsia="Calibri" w:hint="cs"/>
          <w:rtl/>
        </w:rPr>
        <w:t xml:space="preserve">רשות שוק ההון ציינה בתשובתה כי מטרת הוראות אלה היא שמירה על זהירות והגנה על כספי החוסכים מהשקעות מסוג הלוואות ואשראי בעלי סיכון מוגבר. בשנה האחרונה הושלם פרויקט קליטת דיווחים שוטפים בתחום האשראי לדיור והמשכנתאות במערכת הייעודית של רשות שוק ההון. בתקופה האחרונה החלה הרשות בביצוע בקרות על הנתונים ובתחקורם לצורך חיזוק יכולות הפיקוח והמעקב אחר התפתחות תחום המשכנתאות בגופים המוסדיים. הרשות בוחנת את המדיניות מעת לעת, בין היתר בהתאם להתפתחויות בענף ותביא בחשבון את הממצאים העולים מהבקרות במסגרת בחינה זו. כמו כן ציינה הרשות כי היקף המשכנתאות וההלוואות לדיור הניתנות על ידי הגופים המוסדיים מהווה כיום חלק זניח, כ-0.4% מסך הנכסים המנוהלים על ידם, וכן שיעור זה נמוך מאוד גם ביחס להיקף שוק המשכנתאות הכולל. </w:t>
      </w:r>
    </w:p>
    <w:p w:rsidR="00EA3D6A" w:rsidRPr="001F2586" w:rsidP="001F2586">
      <w:pPr>
        <w:spacing w:line="269" w:lineRule="auto"/>
        <w:rPr>
          <w:rFonts w:eastAsia="Calibri"/>
          <w:rtl/>
        </w:rPr>
      </w:pPr>
    </w:p>
    <w:p w:rsidR="001F2586" w:rsidP="001F2586">
      <w:pPr>
        <w:spacing w:line="269" w:lineRule="auto"/>
        <w:rPr>
          <w:rFonts w:eastAsia="Calibri"/>
          <w:rtl/>
        </w:rPr>
      </w:pPr>
      <w:r w:rsidRPr="001F2586">
        <w:rPr>
          <w:rFonts w:eastAsia="Calibri"/>
          <w:rtl/>
        </w:rPr>
        <w:t xml:space="preserve">משרד מבקר המדינה מצביע על כך שהנתון שהציגה הרשות, לפיו היקף המשכנתאות בגופים המוסדיים מהווה כ-0.4% בלבד מסך נכסיהם, אינו רק שיקוף של המצב הקיים, אלא עשוי להעיד על ההשפעה המצמצמת של המגבלות הרגולטוריות עצמן על התפתחות הענף. בעוד שכוונת הרשות לשמור על זהירות ולהגן על כספי הציבור היא ראויה ונחוצה, נראה כי כפל הרגולציה המשלב את הוראות הפיקוח על הבנקים יחד עם מגבלות ייחודיות </w:t>
      </w:r>
      <w:r w:rsidRPr="001F2586">
        <w:rPr>
          <w:rFonts w:eastAsia="Calibri" w:hint="cs"/>
          <w:rtl/>
        </w:rPr>
        <w:t xml:space="preserve">כגון </w:t>
      </w:r>
      <w:r w:rsidRPr="001F2586">
        <w:rPr>
          <w:rFonts w:eastAsia="Calibri"/>
          <w:rtl/>
        </w:rPr>
        <w:t xml:space="preserve">תקרת מימון של 60% ואיסור על שעבוד מדרגה שנייה </w:t>
      </w:r>
      <w:r w:rsidRPr="001F2586">
        <w:rPr>
          <w:rFonts w:eastAsia="Calibri" w:hint="cs"/>
          <w:rtl/>
        </w:rPr>
        <w:t>-</w:t>
      </w:r>
      <w:r w:rsidRPr="001F2586">
        <w:rPr>
          <w:rFonts w:eastAsia="Calibri"/>
          <w:rtl/>
        </w:rPr>
        <w:t xml:space="preserve"> יצר חוסר איזון תחרותי. מגבלות אלו, שמקורן בחוזר משנת 2016, מקשות על הגופים המוסדיים להציע חלופה אפקטיבית למערכת הבנקאית ולגופים החוץ-בנקאיים.</w:t>
      </w:r>
    </w:p>
    <w:p w:rsidR="00EA3D6A" w:rsidP="00EA3D6A">
      <w:pPr>
        <w:pStyle w:val="a"/>
        <w:spacing w:line="269" w:lineRule="auto"/>
        <w:ind w:left="0"/>
        <w:rPr>
          <w:sz w:val="24"/>
          <w:szCs w:val="24"/>
          <w:rtl/>
        </w:rPr>
      </w:pPr>
    </w:p>
    <w:p w:rsidR="00EA3D6A" w:rsidRPr="00460A3B" w:rsidP="0070405E">
      <w:pPr>
        <w:pStyle w:val="a"/>
        <w:spacing w:line="269" w:lineRule="auto"/>
        <w:ind w:left="0"/>
        <w:rPr>
          <w:sz w:val="24"/>
          <w:szCs w:val="24"/>
          <w:rtl/>
        </w:rPr>
      </w:pPr>
      <w:r w:rsidRPr="00460A3B">
        <w:rPr>
          <w:sz w:val="24"/>
          <w:szCs w:val="24"/>
          <w:rtl/>
        </w:rPr>
        <w:t xml:space="preserve">אמנם מהלכי הרשות האחרונים לטיוב הנתונים וקליטת הדיווחים הם </w:t>
      </w:r>
      <w:r w:rsidRPr="00460A3B">
        <w:rPr>
          <w:rFonts w:hint="cs"/>
          <w:sz w:val="24"/>
          <w:szCs w:val="24"/>
          <w:rtl/>
        </w:rPr>
        <w:t>צעד משמעותי</w:t>
      </w:r>
      <w:r w:rsidRPr="00460A3B">
        <w:rPr>
          <w:sz w:val="24"/>
          <w:szCs w:val="24"/>
          <w:rtl/>
        </w:rPr>
        <w:t>, אך מן הראוי היה שבתחום דינמי ומתפתח כמו שוק האשראי לדיור, בחינת המדיניות והתאמתה היו מתבצעות בקצב מהיר יותר במהלך העשור האחרון. עיכוב זה מ</w:t>
      </w:r>
      <w:r w:rsidRPr="00460A3B">
        <w:rPr>
          <w:rFonts w:hint="cs"/>
          <w:sz w:val="24"/>
          <w:szCs w:val="24"/>
          <w:rtl/>
        </w:rPr>
        <w:t>ו</w:t>
      </w:r>
      <w:r w:rsidRPr="00460A3B">
        <w:rPr>
          <w:sz w:val="24"/>
          <w:szCs w:val="24"/>
          <w:rtl/>
        </w:rPr>
        <w:t>נע מהגופים המוסדיים לממש את פוטנציאל הגיוון של תיק ההשקעות באפיק יציב ומגובה בטוחות, ומ</w:t>
      </w:r>
      <w:r w:rsidRPr="00460A3B">
        <w:rPr>
          <w:rFonts w:hint="cs"/>
          <w:sz w:val="24"/>
          <w:szCs w:val="24"/>
          <w:rtl/>
        </w:rPr>
        <w:t>ו</w:t>
      </w:r>
      <w:r w:rsidRPr="00460A3B">
        <w:rPr>
          <w:sz w:val="24"/>
          <w:szCs w:val="24"/>
          <w:rtl/>
        </w:rPr>
        <w:t>נע מהצרכנים ליהנות מתחרות רחבה יותר.</w:t>
      </w:r>
    </w:p>
    <w:p w:rsidR="00EA3D6A" w:rsidRPr="001F2586" w:rsidP="001F2586">
      <w:pPr>
        <w:spacing w:line="269" w:lineRule="auto"/>
        <w:rPr>
          <w:rFonts w:eastAsia="Calibri"/>
          <w:rtl/>
        </w:rPr>
      </w:pPr>
    </w:p>
    <w:p w:rsidR="001F2586" w:rsidRPr="001F2586" w:rsidP="001F2586">
      <w:pPr>
        <w:spacing w:line="269" w:lineRule="auto"/>
        <w:rPr>
          <w:rFonts w:eastAsia="Calibri"/>
          <w:b/>
          <w:bCs/>
          <w:rtl/>
        </w:rPr>
      </w:pPr>
      <w:r w:rsidRPr="001F2586">
        <w:rPr>
          <w:rFonts w:eastAsia="Calibri" w:hint="cs"/>
          <w:b/>
          <w:bCs/>
          <w:rtl/>
        </w:rPr>
        <w:t>מומלץ כי רשות שוק ההון תבחן גיבוש צעדים על מנת לשכלל את התחרות בשוק המשכנתאות, ובכלל זה תבחן את המגבלות המוטלות על הגופים המוסדיים.</w:t>
      </w:r>
    </w:p>
    <w:p w:rsidR="001F2586" w:rsidRPr="001F2586" w:rsidP="00E85EB9">
      <w:pPr>
        <w:bidi w:val="0"/>
        <w:spacing w:after="200" w:line="276" w:lineRule="auto"/>
        <w:rPr>
          <w:rFonts w:ascii="Arial" w:eastAsia="Calibri" w:hAnsi="Arial" w:cs="Arial" w:hint="cs"/>
          <w:sz w:val="36"/>
          <w:rtl/>
        </w:rPr>
      </w:pPr>
      <w:r>
        <w:rPr>
          <w:rFonts w:ascii="Arial" w:eastAsia="Calibri" w:hAnsi="Arial" w:cs="Arial"/>
          <w:sz w:val="36"/>
          <w:rtl/>
        </w:rPr>
        <w:br w:type="page"/>
      </w:r>
    </w:p>
    <w:p w:rsidR="001F2586" w:rsidRPr="001F2586" w:rsidP="001F2586">
      <w:pPr>
        <w:keepNext/>
        <w:keepLines/>
        <w:spacing w:line="269" w:lineRule="auto"/>
        <w:outlineLvl w:val="2"/>
        <w:rPr>
          <w:rFonts w:eastAsia="Times New Roman"/>
          <w:bCs/>
          <w:szCs w:val="28"/>
          <w:u w:val="single"/>
          <w:rtl/>
        </w:rPr>
      </w:pPr>
      <w:bookmarkStart w:id="99" w:name="_Hlk205897740"/>
      <w:bookmarkEnd w:id="99"/>
      <w:r w:rsidRPr="001F2586">
        <w:rPr>
          <w:rFonts w:eastAsia="Times New Roman" w:hint="cs"/>
          <w:bCs/>
          <w:szCs w:val="28"/>
          <w:u w:val="single"/>
          <w:rtl/>
        </w:rPr>
        <w:t>הפיקוח על יועצי משכנתאות</w:t>
      </w:r>
    </w:p>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rPr>
          <w:rFonts w:eastAsia="Calibri"/>
          <w:rtl/>
        </w:rPr>
      </w:pPr>
      <w:r w:rsidRPr="001F2586">
        <w:rPr>
          <w:rFonts w:eastAsia="Calibri"/>
          <w:rtl/>
        </w:rPr>
        <w:t>לקיחת משכנתא היא לרוב אחת ההחלטות הפיננסיות הגדולות והמורכבות ביותר בחיי</w:t>
      </w:r>
      <w:r w:rsidRPr="001F2586">
        <w:rPr>
          <w:rFonts w:eastAsia="Calibri" w:hint="cs"/>
          <w:rtl/>
        </w:rPr>
        <w:t xml:space="preserve"> משק בית</w:t>
      </w:r>
      <w:r w:rsidRPr="001F2586">
        <w:rPr>
          <w:rFonts w:eastAsia="Calibri"/>
          <w:rtl/>
        </w:rPr>
        <w:t>. בשל כך, רבים פונים לקבלת סיוע מיועץ משכנתאות</w:t>
      </w:r>
      <w:r w:rsidRPr="001F2586">
        <w:rPr>
          <w:rFonts w:eastAsia="Calibri" w:hint="cs"/>
          <w:rtl/>
        </w:rPr>
        <w:t xml:space="preserve"> פרטי. </w:t>
      </w:r>
      <w:r w:rsidRPr="001F2586">
        <w:rPr>
          <w:rFonts w:ascii="David" w:eastAsia="Calibri" w:hAnsi="David" w:hint="cs"/>
          <w:sz w:val="24"/>
          <w:rtl/>
        </w:rPr>
        <w:t>במחקר שנערך על ידי בנק ישראל</w:t>
      </w:r>
      <w:r>
        <w:rPr>
          <w:rFonts w:ascii="David" w:eastAsia="Calibri" w:hAnsi="David"/>
          <w:sz w:val="24"/>
          <w:vertAlign w:val="superscript"/>
          <w:rtl/>
        </w:rPr>
        <w:footnoteReference w:id="459"/>
      </w:r>
      <w:r w:rsidRPr="001F2586">
        <w:rPr>
          <w:rFonts w:ascii="David" w:eastAsia="Calibri" w:hAnsi="David" w:hint="cs"/>
          <w:sz w:val="24"/>
          <w:rtl/>
        </w:rPr>
        <w:t xml:space="preserve"> קבע בנק ישראל מספר מדדים כדי לבחון את האוריינות הפיננסית:</w:t>
      </w:r>
      <w:r w:rsidRPr="001F2586">
        <w:rPr>
          <w:rFonts w:eastAsia="Calibri" w:hint="cs"/>
          <w:rtl/>
        </w:rPr>
        <w:t xml:space="preserve"> ממדד הידע (ידע ומיומנויות בסיסיות המסייעות לקבל החלטות פיננסיות), מדד התנהגות (התנהגויות של הפרט המאפשרות לחיות ברווחה כלכלית) ומדד הגישה (עמדות המשפיעות על דרך הפעולה של הפרט). </w:t>
      </w:r>
    </w:p>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rPr>
          <w:rFonts w:eastAsia="Calibri"/>
          <w:rtl/>
        </w:rPr>
      </w:pPr>
      <w:r w:rsidRPr="001F2586">
        <w:rPr>
          <w:rFonts w:eastAsia="Calibri" w:hint="cs"/>
          <w:rtl/>
        </w:rPr>
        <w:t>להלן נתונים אודות מידת האוריינו</w:t>
      </w:r>
      <w:r w:rsidRPr="001F2586">
        <w:rPr>
          <w:rFonts w:eastAsia="Calibri" w:hint="eastAsia"/>
          <w:rtl/>
        </w:rPr>
        <w:t>ת</w:t>
      </w:r>
      <w:r w:rsidRPr="001F2586">
        <w:rPr>
          <w:rFonts w:eastAsia="Calibri" w:hint="cs"/>
          <w:rtl/>
        </w:rPr>
        <w:t xml:space="preserve"> הפיננסית של הציבור בישראל בהשוואה למדינות ה-</w:t>
      </w:r>
      <w:r w:rsidRPr="001F2586">
        <w:rPr>
          <w:rFonts w:eastAsia="Calibri" w:hint="cs"/>
        </w:rPr>
        <w:t>OECD</w:t>
      </w:r>
      <w:r w:rsidRPr="001F2586">
        <w:rPr>
          <w:rFonts w:eastAsia="Calibri" w:hint="cs"/>
          <w:rtl/>
        </w:rPr>
        <w:t>. המדד קובע לכמה אחוזים מהאוכלוסיי</w:t>
      </w:r>
      <w:r w:rsidRPr="001F2586">
        <w:rPr>
          <w:rFonts w:eastAsia="Calibri" w:hint="eastAsia"/>
          <w:rtl/>
        </w:rPr>
        <w:t>ה</w:t>
      </w:r>
      <w:r w:rsidRPr="001F2586">
        <w:rPr>
          <w:rFonts w:eastAsia="Calibri" w:hint="cs"/>
          <w:rtl/>
        </w:rPr>
        <w:t xml:space="preserve"> הרלבנטית יש אוריינות בכל אחד מהמדדים:</w:t>
      </w:r>
    </w:p>
    <w:p w:rsidR="001F2586" w:rsidRPr="001F2586" w:rsidP="001F2586">
      <w:pPr>
        <w:spacing w:line="269" w:lineRule="auto"/>
        <w:ind w:left="-567"/>
        <w:rPr>
          <w:rFonts w:eastAsia="Calibri"/>
          <w:szCs w:val="20"/>
          <w:rtl/>
        </w:rPr>
      </w:pPr>
    </w:p>
    <w:p w:rsidR="001F2586" w:rsidRPr="001F2586" w:rsidP="001F2586">
      <w:pPr>
        <w:spacing w:line="269" w:lineRule="auto"/>
        <w:jc w:val="center"/>
        <w:rPr>
          <w:rFonts w:ascii="David" w:eastAsia="Calibri" w:hAnsi="David"/>
          <w:b/>
          <w:bCs/>
          <w:sz w:val="24"/>
          <w:rtl/>
        </w:rPr>
      </w:pPr>
      <w:r w:rsidRPr="001F2586">
        <w:rPr>
          <w:rFonts w:ascii="David" w:eastAsia="Calibri" w:hAnsi="David"/>
          <w:sz w:val="24"/>
          <w:rtl/>
        </w:rPr>
        <w:t xml:space="preserve">לוח </w:t>
      </w:r>
      <w:r w:rsidRPr="001F2586">
        <w:rPr>
          <w:rFonts w:ascii="David" w:eastAsia="Calibri" w:hAnsi="David"/>
          <w:sz w:val="24"/>
        </w:rPr>
        <w:t>16</w:t>
      </w:r>
      <w:r w:rsidRPr="001F2586">
        <w:rPr>
          <w:rFonts w:ascii="David" w:eastAsia="Calibri" w:hAnsi="David"/>
          <w:sz w:val="24"/>
          <w:rtl/>
        </w:rPr>
        <w:t>:</w:t>
      </w:r>
      <w:r w:rsidRPr="001F2586">
        <w:rPr>
          <w:rFonts w:ascii="David" w:eastAsia="Calibri" w:hAnsi="David"/>
          <w:b/>
          <w:bCs/>
          <w:sz w:val="24"/>
          <w:rtl/>
        </w:rPr>
        <w:t xml:space="preserve"> מדד אוריינות פיננסית של ישראל בהשוואה למדינות ה-</w:t>
      </w:r>
      <w:r w:rsidRPr="001F2586">
        <w:rPr>
          <w:rFonts w:ascii="David" w:eastAsia="Calibri" w:hAnsi="David"/>
          <w:b/>
          <w:bCs/>
          <w:sz w:val="22"/>
          <w:szCs w:val="22"/>
        </w:rPr>
        <w:t>OECD</w:t>
      </w:r>
      <w:r w:rsidRPr="001F2586">
        <w:rPr>
          <w:rFonts w:ascii="David" w:eastAsia="Calibri" w:hAnsi="David"/>
          <w:b/>
          <w:bCs/>
          <w:sz w:val="22"/>
          <w:szCs w:val="22"/>
          <w:rtl/>
        </w:rPr>
        <w:t xml:space="preserve"> </w:t>
      </w:r>
      <w:r w:rsidRPr="001F2586">
        <w:rPr>
          <w:rFonts w:ascii="David" w:eastAsia="Calibri" w:hAnsi="David"/>
          <w:b/>
          <w:bCs/>
          <w:sz w:val="24"/>
          <w:rtl/>
        </w:rPr>
        <w:t>תוך פילוח לחברה הערבית והחרדית (באחוזים מכלל האוכלוסייה הרלבנטית)</w:t>
      </w:r>
    </w:p>
    <w:tbl>
      <w:tblPr>
        <w:tblStyle w:val="TableGrid"/>
        <w:bidiVisual/>
        <w:tblW w:w="0" w:type="auto"/>
        <w:tblLook w:val="04A0"/>
      </w:tblPr>
      <w:tblGrid>
        <w:gridCol w:w="1263"/>
        <w:gridCol w:w="1436"/>
        <w:gridCol w:w="1425"/>
        <w:gridCol w:w="1406"/>
        <w:gridCol w:w="1415"/>
        <w:gridCol w:w="1265"/>
      </w:tblGrid>
      <w:tr w:rsidTr="001F2586">
        <w:tblPrEx>
          <w:tblW w:w="0" w:type="auto"/>
          <w:tblLook w:val="04A0"/>
        </w:tblPrEx>
        <w:tc>
          <w:tcPr>
            <w:tcW w:w="1264" w:type="dxa"/>
            <w:shd w:val="clear" w:color="auto" w:fill="A6A6A6"/>
          </w:tcPr>
          <w:p w:rsidR="001F2586" w:rsidRPr="001F2586" w:rsidP="001F2586">
            <w:pPr>
              <w:spacing w:line="269" w:lineRule="auto"/>
              <w:rPr>
                <w:rFonts w:ascii="David" w:eastAsia="Calibri" w:hAnsi="David"/>
                <w:b/>
                <w:bCs/>
                <w:sz w:val="24"/>
                <w:rtl/>
              </w:rPr>
            </w:pPr>
          </w:p>
        </w:tc>
        <w:tc>
          <w:tcPr>
            <w:tcW w:w="1436" w:type="dxa"/>
            <w:shd w:val="clear" w:color="auto" w:fill="A6A6A6"/>
          </w:tcPr>
          <w:p w:rsidR="001F2586" w:rsidRPr="001F2586" w:rsidP="001F2586">
            <w:pPr>
              <w:spacing w:line="269" w:lineRule="auto"/>
              <w:jc w:val="center"/>
              <w:rPr>
                <w:rFonts w:ascii="David" w:eastAsia="Calibri" w:hAnsi="David"/>
                <w:b/>
                <w:bCs/>
                <w:sz w:val="22"/>
                <w:szCs w:val="22"/>
              </w:rPr>
            </w:pPr>
            <w:r w:rsidRPr="001F2586">
              <w:rPr>
                <w:rFonts w:ascii="David" w:eastAsia="Calibri" w:hAnsi="David" w:hint="cs"/>
                <w:b/>
                <w:bCs/>
                <w:sz w:val="22"/>
                <w:szCs w:val="22"/>
              </w:rPr>
              <w:t>OECD</w:t>
            </w:r>
          </w:p>
        </w:tc>
        <w:tc>
          <w:tcPr>
            <w:tcW w:w="1425" w:type="dxa"/>
            <w:shd w:val="clear" w:color="auto" w:fill="A6A6A6"/>
          </w:tcPr>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tl/>
              </w:rPr>
              <w:t>ישראל (סה"כ)</w:t>
            </w:r>
          </w:p>
        </w:tc>
        <w:tc>
          <w:tcPr>
            <w:tcW w:w="1406" w:type="dxa"/>
            <w:shd w:val="clear" w:color="auto" w:fill="A6A6A6"/>
          </w:tcPr>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tl/>
              </w:rPr>
              <w:t>חברה כללית</w:t>
            </w:r>
          </w:p>
        </w:tc>
        <w:tc>
          <w:tcPr>
            <w:tcW w:w="1415" w:type="dxa"/>
            <w:shd w:val="clear" w:color="auto" w:fill="A6A6A6"/>
          </w:tcPr>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tl/>
              </w:rPr>
              <w:t>חברה חרדית</w:t>
            </w:r>
          </w:p>
        </w:tc>
        <w:tc>
          <w:tcPr>
            <w:tcW w:w="1265" w:type="dxa"/>
            <w:shd w:val="clear" w:color="auto" w:fill="A6A6A6"/>
          </w:tcPr>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tl/>
              </w:rPr>
              <w:t>חברה ערבית</w:t>
            </w:r>
          </w:p>
        </w:tc>
      </w:tr>
      <w:tr w:rsidTr="00EB64F7">
        <w:tblPrEx>
          <w:tblW w:w="0" w:type="auto"/>
          <w:tblLook w:val="04A0"/>
        </w:tblPrEx>
        <w:tc>
          <w:tcPr>
            <w:tcW w:w="126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מדד ידע</w:t>
            </w:r>
          </w:p>
        </w:tc>
        <w:tc>
          <w:tcPr>
            <w:tcW w:w="1436"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67%</w:t>
            </w:r>
          </w:p>
        </w:tc>
        <w:tc>
          <w:tcPr>
            <w:tcW w:w="142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57%</w:t>
            </w:r>
          </w:p>
        </w:tc>
        <w:tc>
          <w:tcPr>
            <w:tcW w:w="1406"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61%</w:t>
            </w:r>
          </w:p>
        </w:tc>
        <w:tc>
          <w:tcPr>
            <w:tcW w:w="141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67%</w:t>
            </w:r>
          </w:p>
        </w:tc>
        <w:tc>
          <w:tcPr>
            <w:tcW w:w="126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43%</w:t>
            </w:r>
          </w:p>
        </w:tc>
      </w:tr>
      <w:tr w:rsidTr="00EB64F7">
        <w:tblPrEx>
          <w:tblW w:w="0" w:type="auto"/>
          <w:tblLook w:val="04A0"/>
        </w:tblPrEx>
        <w:tc>
          <w:tcPr>
            <w:tcW w:w="126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מדד התנהגות</w:t>
            </w:r>
          </w:p>
        </w:tc>
        <w:tc>
          <w:tcPr>
            <w:tcW w:w="1436"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80%</w:t>
            </w:r>
          </w:p>
        </w:tc>
        <w:tc>
          <w:tcPr>
            <w:tcW w:w="142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79%</w:t>
            </w:r>
          </w:p>
        </w:tc>
        <w:tc>
          <w:tcPr>
            <w:tcW w:w="1406"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82%</w:t>
            </w:r>
          </w:p>
        </w:tc>
        <w:tc>
          <w:tcPr>
            <w:tcW w:w="141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80%</w:t>
            </w:r>
          </w:p>
        </w:tc>
        <w:tc>
          <w:tcPr>
            <w:tcW w:w="126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62%</w:t>
            </w:r>
          </w:p>
        </w:tc>
      </w:tr>
      <w:tr w:rsidTr="00EB64F7">
        <w:tblPrEx>
          <w:tblW w:w="0" w:type="auto"/>
          <w:tblLook w:val="04A0"/>
        </w:tblPrEx>
        <w:tc>
          <w:tcPr>
            <w:tcW w:w="1264"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מדד גישה</w:t>
            </w:r>
          </w:p>
        </w:tc>
        <w:tc>
          <w:tcPr>
            <w:tcW w:w="1436" w:type="dxa"/>
          </w:tcPr>
          <w:p w:rsidR="001F2586" w:rsidRPr="001F2586" w:rsidP="001F2586">
            <w:pPr>
              <w:spacing w:line="269" w:lineRule="auto"/>
              <w:jc w:val="left"/>
              <w:rPr>
                <w:rFonts w:ascii="David" w:eastAsia="Calibri" w:hAnsi="David"/>
                <w:sz w:val="22"/>
                <w:szCs w:val="22"/>
              </w:rPr>
            </w:pPr>
            <w:r w:rsidRPr="001F2586">
              <w:rPr>
                <w:rFonts w:ascii="David" w:eastAsia="Calibri" w:hAnsi="David" w:hint="cs"/>
                <w:sz w:val="22"/>
                <w:szCs w:val="22"/>
                <w:rtl/>
              </w:rPr>
              <w:t>אין נתונים</w:t>
            </w:r>
          </w:p>
        </w:tc>
        <w:tc>
          <w:tcPr>
            <w:tcW w:w="142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60%</w:t>
            </w:r>
          </w:p>
        </w:tc>
        <w:tc>
          <w:tcPr>
            <w:tcW w:w="1406"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64%</w:t>
            </w:r>
          </w:p>
        </w:tc>
        <w:tc>
          <w:tcPr>
            <w:tcW w:w="141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64%</w:t>
            </w:r>
          </w:p>
        </w:tc>
        <w:tc>
          <w:tcPr>
            <w:tcW w:w="1265" w:type="dxa"/>
          </w:tcPr>
          <w:p w:rsidR="001F2586" w:rsidRPr="001F2586" w:rsidP="001F2586">
            <w:pPr>
              <w:spacing w:line="269" w:lineRule="auto"/>
              <w:jc w:val="left"/>
              <w:rPr>
                <w:rFonts w:ascii="David" w:eastAsia="Calibri" w:hAnsi="David"/>
                <w:sz w:val="22"/>
                <w:szCs w:val="22"/>
                <w:rtl/>
              </w:rPr>
            </w:pPr>
            <w:r w:rsidRPr="001F2586">
              <w:rPr>
                <w:rFonts w:ascii="David" w:eastAsia="Calibri" w:hAnsi="David" w:hint="cs"/>
                <w:sz w:val="22"/>
                <w:szCs w:val="22"/>
                <w:rtl/>
              </w:rPr>
              <w:t>37%</w:t>
            </w:r>
          </w:p>
        </w:tc>
      </w:tr>
      <w:tr w:rsidTr="00EB64F7">
        <w:tblPrEx>
          <w:tblW w:w="0" w:type="auto"/>
          <w:tblLook w:val="04A0"/>
        </w:tblPrEx>
        <w:tc>
          <w:tcPr>
            <w:tcW w:w="1264"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hint="cs"/>
                <w:b/>
                <w:bCs/>
                <w:sz w:val="22"/>
                <w:szCs w:val="22"/>
                <w:rtl/>
              </w:rPr>
              <w:t>סה"כ מדד אוריינו</w:t>
            </w:r>
            <w:r w:rsidRPr="001F2586">
              <w:rPr>
                <w:rFonts w:ascii="David" w:eastAsia="Calibri" w:hAnsi="David" w:hint="eastAsia"/>
                <w:b/>
                <w:bCs/>
                <w:sz w:val="22"/>
                <w:szCs w:val="22"/>
                <w:rtl/>
              </w:rPr>
              <w:t>ת</w:t>
            </w:r>
            <w:r w:rsidRPr="001F2586">
              <w:rPr>
                <w:rFonts w:ascii="David" w:eastAsia="Calibri" w:hAnsi="David" w:hint="cs"/>
                <w:b/>
                <w:bCs/>
                <w:sz w:val="22"/>
                <w:szCs w:val="22"/>
                <w:rtl/>
              </w:rPr>
              <w:t xml:space="preserve"> פיננסית</w:t>
            </w:r>
          </w:p>
        </w:tc>
        <w:tc>
          <w:tcPr>
            <w:tcW w:w="1436"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hint="cs"/>
                <w:b/>
                <w:bCs/>
                <w:sz w:val="22"/>
                <w:szCs w:val="22"/>
                <w:rtl/>
              </w:rPr>
              <w:t>אין נתונים</w:t>
            </w:r>
          </w:p>
        </w:tc>
        <w:tc>
          <w:tcPr>
            <w:tcW w:w="1425"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hint="cs"/>
                <w:b/>
                <w:bCs/>
                <w:sz w:val="22"/>
                <w:szCs w:val="22"/>
                <w:rtl/>
              </w:rPr>
              <w:t>65%</w:t>
            </w:r>
          </w:p>
        </w:tc>
        <w:tc>
          <w:tcPr>
            <w:tcW w:w="1406"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hint="cs"/>
                <w:b/>
                <w:bCs/>
                <w:sz w:val="22"/>
                <w:szCs w:val="22"/>
                <w:rtl/>
              </w:rPr>
              <w:t>69%</w:t>
            </w:r>
          </w:p>
        </w:tc>
        <w:tc>
          <w:tcPr>
            <w:tcW w:w="1415" w:type="dxa"/>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hint="cs"/>
                <w:b/>
                <w:bCs/>
                <w:sz w:val="22"/>
                <w:szCs w:val="22"/>
                <w:rtl/>
              </w:rPr>
              <w:t>70%</w:t>
            </w:r>
          </w:p>
        </w:tc>
        <w:tc>
          <w:tcPr>
            <w:tcW w:w="1265" w:type="dxa"/>
          </w:tcPr>
          <w:p w:rsidR="001F2586" w:rsidRPr="001F2586" w:rsidP="001F2586">
            <w:pPr>
              <w:spacing w:line="269" w:lineRule="auto"/>
              <w:jc w:val="left"/>
              <w:rPr>
                <w:rFonts w:ascii="David" w:eastAsia="Calibri" w:hAnsi="David"/>
                <w:b/>
                <w:bCs/>
                <w:sz w:val="22"/>
                <w:szCs w:val="22"/>
              </w:rPr>
            </w:pPr>
            <w:r w:rsidRPr="001F2586">
              <w:rPr>
                <w:rFonts w:ascii="David" w:eastAsia="Calibri" w:hAnsi="David" w:hint="cs"/>
                <w:b/>
                <w:bCs/>
                <w:sz w:val="22"/>
                <w:szCs w:val="22"/>
                <w:rtl/>
              </w:rPr>
              <w:t>47%</w:t>
            </w:r>
          </w:p>
        </w:tc>
      </w:tr>
    </w:tbl>
    <w:p w:rsidR="001F2586" w:rsidRPr="001F2586" w:rsidP="001F2586">
      <w:pPr>
        <w:shd w:val="clear" w:color="auto" w:fill="FFFFFF"/>
        <w:spacing w:line="269" w:lineRule="auto"/>
        <w:rPr>
          <w:rFonts w:ascii="David" w:eastAsia="Calibri" w:hAnsi="David"/>
          <w:szCs w:val="20"/>
          <w:rtl/>
        </w:rPr>
      </w:pPr>
      <w:r w:rsidRPr="001F2586">
        <w:rPr>
          <w:rFonts w:ascii="David" w:eastAsia="Calibri" w:hAnsi="David" w:hint="cs"/>
          <w:szCs w:val="20"/>
          <w:rtl/>
        </w:rPr>
        <w:t xml:space="preserve">המקור: </w:t>
      </w:r>
      <w:r w:rsidRPr="001F2586">
        <w:rPr>
          <w:rFonts w:ascii="David" w:eastAsia="Calibri" w:hAnsi="David"/>
          <w:szCs w:val="20"/>
        </w:rPr>
        <w:t>Value for money</w:t>
      </w:r>
      <w:r w:rsidRPr="001F2586">
        <w:rPr>
          <w:rFonts w:ascii="David" w:eastAsia="Calibri" w:hAnsi="David" w:hint="cs"/>
          <w:szCs w:val="20"/>
          <w:rtl/>
        </w:rPr>
        <w:t>, חינוך פיננסי בחברה הערבית - מנוף לצמיחה וצמצום פערים, בנק ישראל, פברואר 2024.</w:t>
      </w:r>
    </w:p>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rPr>
          <w:rFonts w:eastAsia="Calibri"/>
          <w:b/>
          <w:bCs/>
          <w:spacing w:val="40"/>
          <w:rtl/>
        </w:rPr>
      </w:pPr>
      <w:r w:rsidRPr="001F2586">
        <w:rPr>
          <w:rFonts w:eastAsia="Calibri"/>
          <w:b/>
          <w:bCs/>
          <w:rtl/>
        </w:rPr>
        <w:t xml:space="preserve">מהלוח ניתן לראות כי מדד האוריינות הפיננסית של ישראל </w:t>
      </w:r>
      <w:r w:rsidRPr="001F2586">
        <w:rPr>
          <w:rFonts w:eastAsia="Calibri" w:hint="cs"/>
          <w:b/>
          <w:bCs/>
          <w:rtl/>
        </w:rPr>
        <w:t xml:space="preserve">(העומד על 65%) </w:t>
      </w:r>
      <w:r w:rsidRPr="001F2586">
        <w:rPr>
          <w:rFonts w:eastAsia="Calibri" w:hint="eastAsia"/>
          <w:b/>
          <w:bCs/>
          <w:rtl/>
        </w:rPr>
        <w:t>נמוך</w:t>
      </w:r>
      <w:r w:rsidRPr="001F2586">
        <w:rPr>
          <w:rFonts w:eastAsia="Calibri"/>
          <w:b/>
          <w:bCs/>
          <w:rtl/>
        </w:rPr>
        <w:t xml:space="preserve"> </w:t>
      </w:r>
      <w:r w:rsidRPr="001F2586">
        <w:rPr>
          <w:rFonts w:eastAsia="Calibri" w:hint="eastAsia"/>
          <w:b/>
          <w:bCs/>
          <w:rtl/>
        </w:rPr>
        <w:t>בהשוואה</w:t>
      </w:r>
      <w:r w:rsidRPr="001F2586">
        <w:rPr>
          <w:rFonts w:eastAsia="Calibri"/>
          <w:b/>
          <w:bCs/>
          <w:rtl/>
        </w:rPr>
        <w:t xml:space="preserve"> </w:t>
      </w:r>
      <w:r w:rsidRPr="001F2586">
        <w:rPr>
          <w:rFonts w:eastAsia="Calibri" w:hint="eastAsia"/>
          <w:b/>
          <w:bCs/>
          <w:rtl/>
        </w:rPr>
        <w:t>למדינות</w:t>
      </w:r>
      <w:r w:rsidRPr="001F2586">
        <w:rPr>
          <w:rFonts w:eastAsia="Calibri"/>
          <w:b/>
          <w:bCs/>
          <w:rtl/>
        </w:rPr>
        <w:t xml:space="preserve"> </w:t>
      </w:r>
      <w:r w:rsidRPr="001F2586">
        <w:rPr>
          <w:rFonts w:eastAsia="Calibri" w:hint="eastAsia"/>
          <w:b/>
          <w:bCs/>
          <w:rtl/>
        </w:rPr>
        <w:t>ה</w:t>
      </w:r>
      <w:r w:rsidRPr="001F2586">
        <w:rPr>
          <w:rFonts w:eastAsia="Calibri"/>
          <w:b/>
          <w:bCs/>
          <w:rtl/>
        </w:rPr>
        <w:t>-</w:t>
      </w:r>
      <w:r w:rsidRPr="001F2586">
        <w:rPr>
          <w:rFonts w:eastAsia="Calibri"/>
          <w:b/>
          <w:bCs/>
        </w:rPr>
        <w:t>OECD</w:t>
      </w:r>
      <w:r w:rsidRPr="001F2586">
        <w:rPr>
          <w:rFonts w:eastAsia="Calibri"/>
          <w:b/>
          <w:bCs/>
          <w:rtl/>
        </w:rPr>
        <w:t xml:space="preserve"> </w:t>
      </w:r>
      <w:r w:rsidRPr="001F2586">
        <w:rPr>
          <w:rFonts w:eastAsia="Calibri" w:hint="cs"/>
          <w:b/>
          <w:bCs/>
          <w:rtl/>
        </w:rPr>
        <w:t>ב</w:t>
      </w:r>
      <w:r w:rsidRPr="001F2586">
        <w:rPr>
          <w:rFonts w:eastAsia="Calibri"/>
          <w:b/>
          <w:bCs/>
          <w:rtl/>
        </w:rPr>
        <w:t>מדדים</w:t>
      </w:r>
      <w:r w:rsidRPr="001F2586">
        <w:rPr>
          <w:rFonts w:eastAsia="Calibri" w:hint="cs"/>
          <w:b/>
          <w:bCs/>
          <w:rtl/>
        </w:rPr>
        <w:t xml:space="preserve"> שמוצגים</w:t>
      </w:r>
      <w:r w:rsidRPr="001F2586">
        <w:rPr>
          <w:rFonts w:eastAsia="Calibri"/>
          <w:b/>
          <w:bCs/>
          <w:rtl/>
        </w:rPr>
        <w:t xml:space="preserve"> </w:t>
      </w:r>
      <w:r w:rsidRPr="001F2586">
        <w:rPr>
          <w:rFonts w:eastAsia="Calibri" w:hint="cs"/>
          <w:b/>
          <w:bCs/>
          <w:rtl/>
        </w:rPr>
        <w:t xml:space="preserve">(פער של 10 נקודות אחוז במדד הידע, ופער של נקודת אחוז במדד ההתנהגות) </w:t>
      </w:r>
      <w:r w:rsidRPr="001F2586">
        <w:rPr>
          <w:rFonts w:eastAsia="Calibri" w:hint="eastAsia"/>
          <w:b/>
          <w:bCs/>
          <w:rtl/>
        </w:rPr>
        <w:t>ו</w:t>
      </w:r>
      <w:r w:rsidRPr="001F2586">
        <w:rPr>
          <w:rFonts w:eastAsia="Calibri" w:hint="cs"/>
          <w:b/>
          <w:bCs/>
          <w:rtl/>
        </w:rPr>
        <w:t xml:space="preserve">כי מדד האוריינות הפיננסית </w:t>
      </w:r>
      <w:r w:rsidRPr="001F2586">
        <w:rPr>
          <w:rFonts w:eastAsia="Calibri" w:hint="eastAsia"/>
          <w:b/>
          <w:bCs/>
          <w:rtl/>
        </w:rPr>
        <w:t>נמוך</w:t>
      </w:r>
      <w:r w:rsidRPr="001F2586">
        <w:rPr>
          <w:rFonts w:eastAsia="Calibri"/>
          <w:b/>
          <w:bCs/>
          <w:rtl/>
        </w:rPr>
        <w:t xml:space="preserve"> </w:t>
      </w:r>
      <w:r w:rsidRPr="001F2586">
        <w:rPr>
          <w:rFonts w:eastAsia="Calibri" w:hint="eastAsia"/>
          <w:b/>
          <w:bCs/>
          <w:rtl/>
        </w:rPr>
        <w:t>במיוחד</w:t>
      </w:r>
      <w:r w:rsidRPr="001F2586">
        <w:rPr>
          <w:rFonts w:eastAsia="Calibri"/>
          <w:b/>
          <w:bCs/>
          <w:rtl/>
        </w:rPr>
        <w:t xml:space="preserve"> </w:t>
      </w:r>
      <w:r w:rsidRPr="001F2586">
        <w:rPr>
          <w:rFonts w:eastAsia="Calibri" w:hint="eastAsia"/>
          <w:b/>
          <w:bCs/>
          <w:rtl/>
        </w:rPr>
        <w:t>בחברה</w:t>
      </w:r>
      <w:r w:rsidRPr="001F2586">
        <w:rPr>
          <w:rFonts w:eastAsia="Calibri"/>
          <w:b/>
          <w:bCs/>
          <w:rtl/>
        </w:rPr>
        <w:t xml:space="preserve"> </w:t>
      </w:r>
      <w:r w:rsidRPr="001F2586">
        <w:rPr>
          <w:rFonts w:eastAsia="Calibri" w:hint="eastAsia"/>
          <w:b/>
          <w:bCs/>
          <w:rtl/>
        </w:rPr>
        <w:t>הערבית</w:t>
      </w:r>
      <w:r w:rsidRPr="001F2586">
        <w:rPr>
          <w:rFonts w:eastAsia="Calibri" w:hint="cs"/>
          <w:b/>
          <w:bCs/>
          <w:rtl/>
        </w:rPr>
        <w:t xml:space="preserve"> (כ-47%). </w:t>
      </w:r>
      <w:r w:rsidRPr="001F2586">
        <w:rPr>
          <w:rFonts w:ascii="David" w:eastAsia="Calibri" w:hAnsi="David"/>
          <w:b/>
          <w:bCs/>
          <w:sz w:val="24"/>
          <w:rtl/>
        </w:rPr>
        <w:t>חוסר הידע הזה מחריף פערים חברתיים-כלכליים ומקשה במיוחד על אוכלוסיות</w:t>
      </w:r>
      <w:r w:rsidRPr="001F2586">
        <w:rPr>
          <w:rFonts w:ascii="David" w:eastAsia="Calibri" w:hAnsi="David" w:hint="cs"/>
          <w:b/>
          <w:bCs/>
          <w:sz w:val="24"/>
          <w:rtl/>
        </w:rPr>
        <w:t xml:space="preserve"> ראויות לקידום</w:t>
      </w:r>
      <w:r w:rsidRPr="001F2586">
        <w:rPr>
          <w:rFonts w:ascii="David" w:eastAsia="Calibri" w:hAnsi="David"/>
          <w:b/>
          <w:bCs/>
          <w:sz w:val="24"/>
          <w:rtl/>
        </w:rPr>
        <w:t xml:space="preserve">, כמו החברה הערבית להתמודד עם אתגרים כלכליים. התוצאה היא </w:t>
      </w:r>
      <w:r w:rsidRPr="001F2586">
        <w:rPr>
          <w:rFonts w:ascii="David" w:eastAsia="Calibri" w:hAnsi="David" w:hint="eastAsia"/>
          <w:b/>
          <w:bCs/>
          <w:sz w:val="24"/>
          <w:rtl/>
        </w:rPr>
        <w:t>ש</w:t>
      </w:r>
      <w:r w:rsidRPr="001F2586">
        <w:rPr>
          <w:rFonts w:ascii="David" w:eastAsia="Calibri" w:hAnsi="David"/>
          <w:b/>
          <w:bCs/>
          <w:sz w:val="24"/>
          <w:rtl/>
        </w:rPr>
        <w:t xml:space="preserve">משקי בית רבים חשופים יותר לסיכונים פיננסיים, </w:t>
      </w:r>
      <w:r w:rsidRPr="001F2586">
        <w:rPr>
          <w:rFonts w:ascii="David" w:eastAsia="Calibri" w:hAnsi="David" w:hint="eastAsia"/>
          <w:b/>
          <w:bCs/>
          <w:sz w:val="24"/>
          <w:rtl/>
        </w:rPr>
        <w:t>ו</w:t>
      </w:r>
      <w:r w:rsidRPr="001F2586">
        <w:rPr>
          <w:rFonts w:ascii="David" w:eastAsia="Calibri" w:hAnsi="David"/>
          <w:b/>
          <w:bCs/>
          <w:sz w:val="24"/>
          <w:rtl/>
        </w:rPr>
        <w:t>מתקשים לתכנן את עתידם הכלכלי ולהסתגל לשינויים בשוק</w:t>
      </w:r>
      <w:r w:rsidRPr="001F2586">
        <w:rPr>
          <w:rFonts w:eastAsia="Calibri"/>
          <w:b/>
          <w:bCs/>
          <w:rtl/>
        </w:rPr>
        <w:t>.</w:t>
      </w:r>
    </w:p>
    <w:p w:rsidR="001F2586" w:rsidRPr="001F2586" w:rsidP="001F2586">
      <w:pPr>
        <w:keepNext/>
        <w:keepLines/>
        <w:spacing w:line="269" w:lineRule="auto"/>
        <w:outlineLvl w:val="4"/>
        <w:rPr>
          <w:rFonts w:eastAsia="Times New Roman"/>
          <w:bCs/>
          <w:spacing w:val="40"/>
          <w:rtl/>
        </w:rPr>
      </w:pPr>
      <w:bookmarkStart w:id="100" w:name="_Hlk205715371"/>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שימוש ביועצי משכנתאות בעת לקיחת משכנתא </w:t>
      </w:r>
    </w:p>
    <w:bookmarkEnd w:id="100"/>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rPr>
          <w:rFonts w:eastAsia="Calibri"/>
          <w:rtl/>
        </w:rPr>
      </w:pPr>
      <w:r w:rsidRPr="001F2586">
        <w:rPr>
          <w:rFonts w:eastAsia="Calibri"/>
          <w:rtl/>
        </w:rPr>
        <w:t xml:space="preserve">בשנים האחרונות חלה עלייה משמעותית בביקוש </w:t>
      </w:r>
      <w:r w:rsidRPr="001F2586">
        <w:rPr>
          <w:rFonts w:eastAsia="Calibri" w:hint="cs"/>
          <w:rtl/>
        </w:rPr>
        <w:t>לשירותיהם של יועצי משכנתאות פרטיים</w:t>
      </w:r>
      <w:r w:rsidRPr="001F2586">
        <w:rPr>
          <w:rFonts w:eastAsia="Calibri"/>
          <w:rtl/>
        </w:rPr>
        <w:t xml:space="preserve">, בעקבות הגידול בהיקפי </w:t>
      </w:r>
      <w:r w:rsidRPr="001F2586">
        <w:rPr>
          <w:rFonts w:eastAsia="Calibri" w:hint="cs"/>
          <w:rtl/>
        </w:rPr>
        <w:t>המשכנתאות</w:t>
      </w:r>
      <w:r w:rsidRPr="001F2586">
        <w:rPr>
          <w:rFonts w:eastAsia="Calibri"/>
          <w:rtl/>
        </w:rPr>
        <w:t xml:space="preserve"> הנלקחות ובהתאם למורכבות ההולכת וגדלה של מסלולי המשכנתאות שמציעים הבנקים</w:t>
      </w:r>
      <w:r w:rsidRPr="001F2586">
        <w:rPr>
          <w:rFonts w:eastAsia="Calibri"/>
        </w:rPr>
        <w:t>.</w:t>
      </w:r>
      <w:r w:rsidRPr="001F2586">
        <w:rPr>
          <w:rFonts w:eastAsia="Calibri" w:hint="cs"/>
          <w:rtl/>
        </w:rPr>
        <w:t xml:space="preserve"> יש להבדיל בין שני סוגי יועצי המשכנתאות: האחד הוא יועץ משכנתאות מטעם הבנק שהינו עובד הבנק המתוגמל על ידי הבנק, הריביות שהוא מציע הן פונקציה של מדיניות הבנק, והוא לא יכול להציע מסלולים מבנקים מתחרים (להלן - יועץ משכנתאות מטעם הבנק). והשני הוא יועץ משכנתאות פרטי - עצמאי ועובד עבור הלקוח, גובה שכר טרחה מהלקוח, הוא אינו מוגבל לבנק מסוים, והוא יכול לבנות תמהיל אופטימלי בהתאם למצבו הפיננסי של הלקוח (להלן - יועץ משכנתאות). </w:t>
      </w:r>
    </w:p>
    <w:p w:rsidR="00260379" w:rsidP="001F2586">
      <w:pPr>
        <w:spacing w:line="269" w:lineRule="auto"/>
        <w:ind w:left="-567"/>
        <w:rPr>
          <w:rFonts w:eastAsia="Calibri"/>
          <w:szCs w:val="20"/>
          <w:rtl/>
        </w:rPr>
      </w:pPr>
    </w:p>
    <w:p w:rsidR="001F2586" w:rsidRPr="001F2586" w:rsidP="001F2586">
      <w:pPr>
        <w:shd w:val="clear" w:color="auto" w:fill="FFFFFF"/>
        <w:spacing w:line="269" w:lineRule="auto"/>
        <w:rPr>
          <w:rFonts w:eastAsia="Calibri"/>
          <w:rtl/>
        </w:rPr>
      </w:pPr>
      <w:r w:rsidRPr="001F2586">
        <w:rPr>
          <w:rFonts w:eastAsia="Calibri"/>
          <w:rtl/>
        </w:rPr>
        <w:t>בדיון בוועדת הכספים של הכנסת במאי</w:t>
      </w:r>
      <w:r w:rsidRPr="001F2586">
        <w:rPr>
          <w:rFonts w:eastAsia="Calibri" w:hint="cs"/>
          <w:rtl/>
        </w:rPr>
        <w:t xml:space="preserve"> 2017</w:t>
      </w:r>
      <w:r w:rsidRPr="001F2586">
        <w:rPr>
          <w:rFonts w:eastAsia="Calibri"/>
          <w:rtl/>
        </w:rPr>
        <w:t xml:space="preserve"> </w:t>
      </w:r>
      <w:r>
        <w:rPr>
          <w:rFonts w:eastAsia="Calibri"/>
          <w:vertAlign w:val="superscript"/>
          <w:rtl/>
        </w:rPr>
        <w:footnoteReference w:id="460"/>
      </w:r>
      <w:r w:rsidRPr="001F2586">
        <w:rPr>
          <w:rFonts w:eastAsia="Calibri"/>
          <w:rtl/>
        </w:rPr>
        <w:t xml:space="preserve">בנושא ייעוץ משכנתאות </w:t>
      </w:r>
      <w:r w:rsidRPr="001F2586">
        <w:rPr>
          <w:rFonts w:eastAsia="Calibri" w:hint="cs"/>
          <w:rtl/>
        </w:rPr>
        <w:t>בנק ישראל מסר</w:t>
      </w:r>
      <w:r w:rsidRPr="001F2586">
        <w:rPr>
          <w:rFonts w:eastAsia="Calibri"/>
          <w:rtl/>
        </w:rPr>
        <w:t xml:space="preserve"> כי </w:t>
      </w:r>
      <w:r w:rsidRPr="001F2586">
        <w:rPr>
          <w:rFonts w:eastAsia="Calibri" w:hint="cs"/>
          <w:rtl/>
        </w:rPr>
        <w:t>היו</w:t>
      </w:r>
      <w:r w:rsidRPr="001F2586">
        <w:rPr>
          <w:rFonts w:eastAsia="Calibri"/>
          <w:rtl/>
        </w:rPr>
        <w:t xml:space="preserve"> כ-800 יועצי</w:t>
      </w:r>
      <w:r w:rsidRPr="001F2586">
        <w:rPr>
          <w:rFonts w:eastAsia="Calibri" w:hint="cs"/>
          <w:rtl/>
        </w:rPr>
        <w:t xml:space="preserve"> </w:t>
      </w:r>
      <w:r w:rsidRPr="001F2586">
        <w:rPr>
          <w:rFonts w:eastAsia="Calibri"/>
          <w:rtl/>
        </w:rPr>
        <w:t>משכנתאות, וכי שיעור העסקאות שנעשו עם יועץ משכנתאות היה כ</w:t>
      </w:r>
      <w:r w:rsidRPr="001F2586">
        <w:rPr>
          <w:rFonts w:eastAsia="Calibri" w:hint="cs"/>
          <w:rtl/>
        </w:rPr>
        <w:t>-</w:t>
      </w:r>
      <w:r w:rsidRPr="001F2586">
        <w:rPr>
          <w:rFonts w:eastAsia="Calibri"/>
          <w:rtl/>
        </w:rPr>
        <w:t xml:space="preserve">20% מכלל </w:t>
      </w:r>
      <w:r w:rsidRPr="001F2586">
        <w:rPr>
          <w:rFonts w:eastAsia="Calibri" w:hint="cs"/>
          <w:rtl/>
        </w:rPr>
        <w:t>ה</w:t>
      </w:r>
      <w:r w:rsidRPr="001F2586">
        <w:rPr>
          <w:rFonts w:eastAsia="Calibri"/>
          <w:rtl/>
        </w:rPr>
        <w:t>עסקאות.</w:t>
      </w:r>
    </w:p>
    <w:p w:rsidR="00260379" w:rsidP="001F2586">
      <w:pPr>
        <w:shd w:val="clear" w:color="auto" w:fill="FFFFFF"/>
        <w:spacing w:line="269" w:lineRule="auto"/>
        <w:rPr>
          <w:rFonts w:eastAsia="Calibri"/>
          <w:rtl/>
        </w:rPr>
      </w:pPr>
    </w:p>
    <w:p w:rsidR="001F2586" w:rsidRPr="001F2586" w:rsidP="001F2586">
      <w:pPr>
        <w:shd w:val="clear" w:color="auto" w:fill="FFFFFF"/>
        <w:spacing w:line="269" w:lineRule="auto"/>
        <w:rPr>
          <w:rFonts w:eastAsia="Calibri"/>
          <w:b/>
          <w:bCs/>
          <w:rtl/>
        </w:rPr>
      </w:pPr>
      <w:r w:rsidRPr="001F2586">
        <w:rPr>
          <w:rFonts w:eastAsia="Calibri" w:hint="eastAsia"/>
          <w:b/>
          <w:bCs/>
          <w:rtl/>
        </w:rPr>
        <w:t>נכון</w:t>
      </w:r>
      <w:r w:rsidRPr="001F2586">
        <w:rPr>
          <w:rFonts w:eastAsia="Calibri"/>
          <w:b/>
          <w:bCs/>
          <w:rtl/>
        </w:rPr>
        <w:t xml:space="preserve"> ליוני 2025, בהתאם להערכות של התאחדות יועצי המשכנתאות, כי</w:t>
      </w:r>
      <w:r w:rsidRPr="001F2586">
        <w:rPr>
          <w:rFonts w:eastAsia="Calibri" w:hint="eastAsia"/>
          <w:b/>
          <w:bCs/>
          <w:rtl/>
        </w:rPr>
        <w:t>ו</w:t>
      </w:r>
      <w:r w:rsidRPr="001F2586">
        <w:rPr>
          <w:rFonts w:eastAsia="Calibri"/>
          <w:b/>
          <w:bCs/>
          <w:rtl/>
        </w:rPr>
        <w:t xml:space="preserve">ם ישנם כ-2,000-2,500 יועצי משכנתאות, כאשר 1,400 מהם חברים בהתאחדות יועצי המשכנתאות. </w:t>
      </w:r>
      <w:r w:rsidRPr="001F2586">
        <w:rPr>
          <w:rFonts w:ascii="David" w:eastAsia="Calibri" w:hAnsi="David" w:hint="eastAsia"/>
          <w:b/>
          <w:bCs/>
          <w:sz w:val="24"/>
          <w:rtl/>
        </w:rPr>
        <w:t>על</w:t>
      </w:r>
      <w:r w:rsidRPr="001F2586">
        <w:rPr>
          <w:rFonts w:ascii="David" w:eastAsia="Calibri" w:hAnsi="David"/>
          <w:b/>
          <w:bCs/>
          <w:sz w:val="24"/>
          <w:rtl/>
        </w:rPr>
        <w:t xml:space="preserve"> </w:t>
      </w:r>
      <w:r w:rsidRPr="001F2586">
        <w:rPr>
          <w:rFonts w:ascii="David" w:eastAsia="Calibri" w:hAnsi="David" w:hint="eastAsia"/>
          <w:b/>
          <w:bCs/>
          <w:sz w:val="24"/>
          <w:rtl/>
        </w:rPr>
        <w:t>פי</w:t>
      </w:r>
      <w:r w:rsidRPr="001F2586">
        <w:rPr>
          <w:rFonts w:ascii="David" w:eastAsia="Calibri" w:hAnsi="David"/>
          <w:b/>
          <w:bCs/>
          <w:sz w:val="24"/>
          <w:rtl/>
        </w:rPr>
        <w:t xml:space="preserve"> </w:t>
      </w:r>
      <w:r w:rsidRPr="001F2586">
        <w:rPr>
          <w:rFonts w:ascii="David" w:eastAsia="Calibri" w:hAnsi="David" w:hint="eastAsia"/>
          <w:b/>
          <w:bCs/>
          <w:sz w:val="24"/>
          <w:rtl/>
        </w:rPr>
        <w:t>נתוני</w:t>
      </w:r>
      <w:r w:rsidRPr="001F2586">
        <w:rPr>
          <w:rFonts w:ascii="David" w:eastAsia="Calibri" w:hAnsi="David"/>
          <w:b/>
          <w:bCs/>
          <w:sz w:val="24"/>
          <w:rtl/>
        </w:rPr>
        <w:t xml:space="preserve"> </w:t>
      </w:r>
      <w:r w:rsidRPr="001F2586">
        <w:rPr>
          <w:rFonts w:ascii="David" w:eastAsia="Calibri" w:hAnsi="David" w:hint="eastAsia"/>
          <w:b/>
          <w:bCs/>
          <w:sz w:val="24"/>
          <w:rtl/>
        </w:rPr>
        <w:t>בנק</w:t>
      </w:r>
      <w:r w:rsidRPr="001F2586">
        <w:rPr>
          <w:rFonts w:ascii="David" w:eastAsia="Calibri" w:hAnsi="David"/>
          <w:b/>
          <w:bCs/>
          <w:sz w:val="24"/>
          <w:rtl/>
        </w:rPr>
        <w:t xml:space="preserve"> </w:t>
      </w:r>
      <w:r w:rsidRPr="001F2586">
        <w:rPr>
          <w:rFonts w:ascii="David" w:eastAsia="Calibri" w:hAnsi="David" w:hint="eastAsia"/>
          <w:b/>
          <w:bCs/>
          <w:sz w:val="24"/>
          <w:rtl/>
        </w:rPr>
        <w:t>ישראל</w:t>
      </w:r>
      <w:r>
        <w:rPr>
          <w:rFonts w:ascii="David" w:eastAsia="Calibri" w:hAnsi="David"/>
          <w:b/>
          <w:bCs/>
          <w:sz w:val="24"/>
          <w:vertAlign w:val="superscript"/>
          <w:rtl/>
        </w:rPr>
        <w:footnoteReference w:id="461"/>
      </w:r>
      <w:r w:rsidRPr="001F2586">
        <w:rPr>
          <w:rFonts w:ascii="David" w:eastAsia="Calibri" w:hAnsi="David"/>
          <w:b/>
          <w:bCs/>
          <w:sz w:val="24"/>
          <w:rtl/>
        </w:rPr>
        <w:t xml:space="preserve">, </w:t>
      </w:r>
      <w:r w:rsidRPr="001F2586">
        <w:rPr>
          <w:rFonts w:eastAsia="Calibri"/>
          <w:b/>
          <w:bCs/>
          <w:rtl/>
        </w:rPr>
        <w:t xml:space="preserve">61% מבין </w:t>
      </w:r>
      <w:r w:rsidRPr="001F2586">
        <w:rPr>
          <w:rFonts w:eastAsia="Calibri"/>
          <w:b/>
          <w:bCs/>
          <w:rtl/>
        </w:rPr>
        <w:t>נוטלי</w:t>
      </w:r>
      <w:r w:rsidRPr="001F2586">
        <w:rPr>
          <w:rFonts w:eastAsia="Calibri"/>
          <w:b/>
          <w:bCs/>
          <w:rtl/>
        </w:rPr>
        <w:t xml:space="preserve"> המשכנתאות כיום </w:t>
      </w:r>
      <w:r w:rsidRPr="001F2586">
        <w:rPr>
          <w:rFonts w:eastAsia="Calibri" w:hint="eastAsia"/>
          <w:b/>
          <w:bCs/>
          <w:rtl/>
        </w:rPr>
        <w:t>משתמשים</w:t>
      </w:r>
      <w:r w:rsidRPr="001F2586">
        <w:rPr>
          <w:rFonts w:eastAsia="Calibri"/>
          <w:b/>
          <w:bCs/>
          <w:rtl/>
        </w:rPr>
        <w:t xml:space="preserve"> ב</w:t>
      </w:r>
      <w:r w:rsidRPr="001F2586">
        <w:rPr>
          <w:rFonts w:eastAsia="Calibri" w:hint="eastAsia"/>
          <w:b/>
          <w:bCs/>
          <w:rtl/>
        </w:rPr>
        <w:t>סיועו</w:t>
      </w:r>
      <w:r w:rsidRPr="001F2586">
        <w:rPr>
          <w:rFonts w:eastAsia="Calibri"/>
          <w:b/>
          <w:bCs/>
          <w:rtl/>
        </w:rPr>
        <w:t xml:space="preserve"> של יועץ משכנתאות.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על מנת לאמוד את היקף ואופן השימוש של הציבור ביועצי משכנתאות, פנה משרד מבקר המדינה בחודש יולי 2025 לפיקוח על הבנקים בבנק ישראל על מנת לקבל ממנו את הנתונים הקיימים במאגריו בנושא היקף השימוש ביועצי משכנתאות בעת לקיחת משכנתאות. יצוין כי מידע זה קיים בבנק ישראל נוכח הוראות דיווח של המפקח על הבנקים בדבר אישורים עקרוניים על משכנתאות</w:t>
      </w:r>
      <w:r>
        <w:rPr>
          <w:rFonts w:eastAsia="Calibri"/>
          <w:vertAlign w:val="superscript"/>
          <w:rtl/>
        </w:rPr>
        <w:footnoteReference w:id="462"/>
      </w:r>
      <w:r w:rsidRPr="001F2586">
        <w:rPr>
          <w:rFonts w:eastAsia="Calibri" w:hint="cs"/>
          <w:rtl/>
        </w:rPr>
        <w:t>. להלן עיקר הנתונים:</w:t>
      </w:r>
    </w:p>
    <w:p w:rsidR="001F2586" w:rsidRPr="001F2586" w:rsidP="001F2586">
      <w:pPr>
        <w:spacing w:line="269" w:lineRule="auto"/>
        <w:ind w:left="-567"/>
        <w:rPr>
          <w:rFonts w:eastAsia="Calibri"/>
          <w:szCs w:val="20"/>
          <w:rtl/>
        </w:rPr>
      </w:pPr>
    </w:p>
    <w:p w:rsidR="001F2586" w:rsidRPr="001F2586" w:rsidP="001F2586">
      <w:pPr>
        <w:keepNext/>
        <w:keepLines/>
        <w:numPr>
          <w:ilvl w:val="0"/>
          <w:numId w:val="30"/>
        </w:numPr>
        <w:spacing w:line="269" w:lineRule="auto"/>
        <w:ind w:left="312"/>
        <w:outlineLvl w:val="4"/>
        <w:rPr>
          <w:rFonts w:eastAsia="Times New Roman"/>
          <w:bCs/>
          <w:spacing w:val="40"/>
        </w:rPr>
      </w:pPr>
      <w:r w:rsidRPr="001F2586">
        <w:rPr>
          <w:rFonts w:eastAsia="Times New Roman" w:hint="cs"/>
          <w:bCs/>
          <w:spacing w:val="40"/>
          <w:rtl/>
        </w:rPr>
        <w:t xml:space="preserve">היעזרות ביועצי משכנתאות בהתאם לגיל הלווה </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jc w:val="center"/>
        <w:rPr>
          <w:rFonts w:eastAsia="Calibri"/>
          <w:b/>
          <w:bCs/>
          <w:rtl/>
        </w:rPr>
      </w:pPr>
      <w:r w:rsidRPr="001F2586">
        <w:rPr>
          <w:rFonts w:eastAsia="Calibri" w:hint="cs"/>
          <w:rtl/>
        </w:rPr>
        <w:t>תרשים 72:</w:t>
      </w:r>
      <w:r w:rsidRPr="001F2586">
        <w:rPr>
          <w:rFonts w:eastAsia="Calibri" w:hint="cs"/>
          <w:b/>
          <w:bCs/>
          <w:rtl/>
        </w:rPr>
        <w:t xml:space="preserve"> שימוש ביועץ משכנתאות לפי גיל הלווה </w:t>
      </w:r>
    </w:p>
    <w:p w:rsidR="001F2586" w:rsidRPr="001F2586" w:rsidP="001F2586">
      <w:pPr>
        <w:spacing w:line="269" w:lineRule="auto"/>
        <w:jc w:val="center"/>
        <w:rPr>
          <w:rFonts w:eastAsia="Calibri"/>
          <w:b/>
          <w:bCs/>
          <w:rtl/>
        </w:rPr>
      </w:pPr>
      <w:r w:rsidRPr="001F2586">
        <w:rPr>
          <w:rFonts w:eastAsia="Calibri"/>
          <w:b/>
          <w:bCs/>
          <w:noProof/>
          <w:rtl/>
          <w:lang w:val="he-IL"/>
        </w:rPr>
        <w:drawing>
          <wp:inline distT="0" distB="0" distL="0" distR="0">
            <wp:extent cx="5210175" cy="2889599"/>
            <wp:effectExtent l="0" t="0" r="0" b="6350"/>
            <wp:docPr id="69" name="תמונה 69" descr="להלן שיעור אחוז ההיעזרות ביועצי משכנתאות: עד גיל 30- 67%, מגילאי 30-40- 63%, גילאי 40-50: 57%, גילאי 50-60- 53% ומעל גיל 60-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תרשים 72.GIF"/>
                    <pic:cNvPicPr/>
                  </pic:nvPicPr>
                  <pic:blipFill>
                    <a:blip xmlns:r="http://schemas.openxmlformats.org/officeDocument/2006/relationships" r:embed="rId91">
                      <a:extLst>
                        <a:ext xmlns:a="http://schemas.openxmlformats.org/drawingml/2006/main" uri="{28A0092B-C50C-407E-A947-70E740481C1C}">
                          <a14:useLocalDpi xmlns:a14="http://schemas.microsoft.com/office/drawing/2010/main" val="0"/>
                        </a:ext>
                      </a:extLst>
                    </a:blip>
                    <a:srcRect t="9442"/>
                    <a:stretch>
                      <a:fillRect/>
                    </a:stretch>
                  </pic:blipFill>
                  <pic:spPr bwMode="auto">
                    <a:xfrm>
                      <a:off x="0" y="0"/>
                      <a:ext cx="5210175" cy="288959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F2586" w:rsidRPr="001F2586" w:rsidP="001F2586">
      <w:pPr>
        <w:spacing w:line="269" w:lineRule="auto"/>
        <w:rPr>
          <w:rFonts w:ascii="David" w:eastAsia="Calibri" w:hAnsi="David"/>
          <w:szCs w:val="20"/>
          <w:rtl/>
        </w:rPr>
      </w:pPr>
      <w:r w:rsidRPr="001F2586">
        <w:rPr>
          <w:rFonts w:ascii="David" w:eastAsia="Calibri" w:hAnsi="David"/>
          <w:szCs w:val="20"/>
          <w:rtl/>
        </w:rPr>
        <w:t>המקור: דיווחי הבנקים ועיבודי הפיקוח על הבנקים נתוני 1</w:t>
      </w:r>
      <w:r w:rsidRPr="001F2586">
        <w:rPr>
          <w:rFonts w:ascii="David" w:eastAsia="Calibri" w:hAnsi="David"/>
          <w:szCs w:val="20"/>
        </w:rPr>
        <w:t>Q</w:t>
      </w:r>
      <w:r w:rsidRPr="001F2586">
        <w:rPr>
          <w:rFonts w:ascii="David" w:eastAsia="Calibri" w:hAnsi="David"/>
          <w:szCs w:val="20"/>
          <w:rtl/>
        </w:rPr>
        <w:t>/2024-</w:t>
      </w:r>
      <w:r w:rsidRPr="001F2586">
        <w:rPr>
          <w:rFonts w:ascii="David" w:eastAsia="Calibri" w:hAnsi="David"/>
          <w:szCs w:val="20"/>
        </w:rPr>
        <w:t>Q</w:t>
      </w:r>
      <w:r w:rsidRPr="001F2586">
        <w:rPr>
          <w:rFonts w:ascii="David" w:eastAsia="Calibri" w:hAnsi="David"/>
          <w:szCs w:val="20"/>
          <w:rtl/>
        </w:rPr>
        <w:t>1/2025 הלוואות למטרת מגורים</w:t>
      </w:r>
      <w:r w:rsidRPr="001F2586">
        <w:rPr>
          <w:rFonts w:ascii="David" w:eastAsia="Calibri" w:hAnsi="David" w:hint="cs"/>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מנתונים אלו, ניתן לראות כי זוגות צעירים המעוניינים לרכוש דירה ולקבל משכנתא, פונים ליועצי משכנתאות: עד גיל 30 - 67% נעזרים ביועצי משכנתאות, בין הגילאים 30 - 40 - 63%</w:t>
      </w:r>
      <w:r w:rsidRPr="001F2586">
        <w:rPr>
          <w:rFonts w:eastAsia="Calibri" w:hint="cs"/>
          <w:b/>
          <w:bCs/>
        </w:rPr>
        <w:t xml:space="preserve"> </w:t>
      </w:r>
      <w:r w:rsidRPr="001F2586">
        <w:rPr>
          <w:rFonts w:eastAsia="Calibri" w:hint="cs"/>
          <w:b/>
          <w:bCs/>
          <w:rtl/>
        </w:rPr>
        <w:t xml:space="preserve">נעזרים ביועצי משכנתאות. לעומת זאת מעל גיל 60 רק 45% נעזרים ביועצי משכנתאות. </w:t>
      </w:r>
    </w:p>
    <w:p w:rsidR="00BF4421">
      <w:pPr>
        <w:bidi w:val="0"/>
        <w:spacing w:after="200" w:line="276" w:lineRule="auto"/>
        <w:rPr>
          <w:rFonts w:eastAsia="Calibri"/>
          <w:szCs w:val="20"/>
        </w:rPr>
      </w:pPr>
      <w:r>
        <w:rPr>
          <w:rFonts w:eastAsia="Calibri"/>
          <w:szCs w:val="20"/>
        </w:rPr>
        <w:br w:type="page"/>
      </w:r>
    </w:p>
    <w:p w:rsidR="001F2586" w:rsidRPr="001F2586" w:rsidP="001F2586">
      <w:pPr>
        <w:keepNext/>
        <w:keepLines/>
        <w:numPr>
          <w:ilvl w:val="0"/>
          <w:numId w:val="30"/>
        </w:numPr>
        <w:spacing w:line="269" w:lineRule="auto"/>
        <w:ind w:left="312"/>
        <w:outlineLvl w:val="4"/>
        <w:rPr>
          <w:rFonts w:eastAsia="Times New Roman"/>
          <w:bCs/>
          <w:spacing w:val="40"/>
          <w:rtl/>
        </w:rPr>
      </w:pPr>
      <w:r w:rsidRPr="001F2586">
        <w:rPr>
          <w:rFonts w:eastAsia="Times New Roman" w:hint="cs"/>
          <w:bCs/>
          <w:spacing w:val="40"/>
          <w:rtl/>
        </w:rPr>
        <w:t xml:space="preserve">היעזרות ביועצי משכנתאות לפי מעמד סוציו אקונומי </w:t>
      </w:r>
    </w:p>
    <w:p w:rsidR="001F2586" w:rsidRPr="001F2586" w:rsidP="001F2586">
      <w:pPr>
        <w:spacing w:line="269" w:lineRule="auto"/>
        <w:ind w:left="-567"/>
        <w:rPr>
          <w:rFonts w:eastAsia="Calibri"/>
          <w:szCs w:val="20"/>
          <w:rtl/>
        </w:rPr>
      </w:pPr>
    </w:p>
    <w:p w:rsidR="001F2586" w:rsidRPr="001F2586" w:rsidP="00E85EB9">
      <w:pPr>
        <w:keepNext/>
        <w:keepLines/>
        <w:spacing w:line="269" w:lineRule="auto"/>
        <w:contextualSpacing/>
        <w:jc w:val="center"/>
        <w:rPr>
          <w:rFonts w:eastAsia="Calibri"/>
          <w:b/>
          <w:bCs/>
          <w:rtl/>
        </w:rPr>
      </w:pPr>
      <w:r w:rsidRPr="001F2586">
        <w:rPr>
          <w:rFonts w:eastAsia="Calibri" w:hint="cs"/>
          <w:rtl/>
        </w:rPr>
        <w:t>תרשים 73:</w:t>
      </w:r>
      <w:r w:rsidRPr="001F2586">
        <w:rPr>
          <w:rFonts w:eastAsia="Calibri" w:hint="cs"/>
          <w:b/>
          <w:bCs/>
          <w:rtl/>
        </w:rPr>
        <w:t xml:space="preserve"> שימוש ביועץ משכנתאות לפי מעמד סוציו אקונומי </w:t>
      </w:r>
    </w:p>
    <w:p w:rsidR="006F0DF8" w:rsidP="006F0DF8">
      <w:pPr>
        <w:spacing w:line="269" w:lineRule="auto"/>
        <w:jc w:val="center"/>
        <w:rPr>
          <w:rFonts w:ascii="David" w:eastAsia="Calibri" w:hAnsi="David"/>
          <w:szCs w:val="20"/>
          <w:rtl/>
        </w:rPr>
      </w:pPr>
      <w:r w:rsidRPr="001F2586">
        <w:rPr>
          <w:rFonts w:eastAsia="Calibri"/>
          <w:noProof/>
          <w:rtl/>
          <w:lang w:val="he-IL"/>
        </w:rPr>
        <w:drawing>
          <wp:inline distT="0" distB="0" distL="0" distR="0">
            <wp:extent cx="4274185" cy="2503170"/>
            <wp:effectExtent l="0" t="0" r="0" b="0"/>
            <wp:docPr id="70" name="תמונה 70" descr="אחוז השימוש ביועצי משכנתאות לפי מעמד סוציו אקונומי- 72% מהמעמד נמוך משתמש ביעוץ משכנתאות, 61% מהמעד הבינוני ו-57% מהמעמד הגבו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רשים 73.GIF"/>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4274185" cy="2503170"/>
                    </a:xfrm>
                    <a:prstGeom prst="rect">
                      <a:avLst/>
                    </a:prstGeom>
                  </pic:spPr>
                </pic:pic>
              </a:graphicData>
            </a:graphic>
          </wp:inline>
        </w:drawing>
      </w:r>
    </w:p>
    <w:p w:rsidR="001F2586" w:rsidRPr="001F2586" w:rsidP="001F2586">
      <w:pPr>
        <w:spacing w:line="269" w:lineRule="auto"/>
        <w:rPr>
          <w:rFonts w:ascii="David" w:eastAsia="Calibri" w:hAnsi="David"/>
          <w:szCs w:val="20"/>
          <w:rtl/>
        </w:rPr>
      </w:pPr>
      <w:r w:rsidRPr="001F2586">
        <w:rPr>
          <w:rFonts w:ascii="David" w:eastAsia="Calibri" w:hAnsi="David"/>
          <w:szCs w:val="20"/>
          <w:rtl/>
        </w:rPr>
        <w:t>המקור: דיווחי הבנקים ועיבודי הפיקוח על הבנקים נתוני 1</w:t>
      </w:r>
      <w:r w:rsidRPr="001F2586">
        <w:rPr>
          <w:rFonts w:ascii="David" w:eastAsia="Calibri" w:hAnsi="David"/>
          <w:szCs w:val="20"/>
        </w:rPr>
        <w:t>Q</w:t>
      </w:r>
      <w:r w:rsidRPr="001F2586">
        <w:rPr>
          <w:rFonts w:ascii="David" w:eastAsia="Calibri" w:hAnsi="David"/>
          <w:szCs w:val="20"/>
          <w:rtl/>
        </w:rPr>
        <w:t>/2024-1/2025</w:t>
      </w:r>
      <w:r w:rsidRPr="001F2586">
        <w:rPr>
          <w:rFonts w:ascii="David" w:eastAsia="Calibri" w:hAnsi="David"/>
          <w:szCs w:val="20"/>
        </w:rPr>
        <w:t xml:space="preserve"> Q</w:t>
      </w:r>
      <w:r w:rsidRPr="001F2586">
        <w:rPr>
          <w:rFonts w:ascii="David" w:eastAsia="Calibri" w:hAnsi="David"/>
          <w:szCs w:val="20"/>
          <w:rtl/>
        </w:rPr>
        <w:t xml:space="preserve"> הלוואות למטרת מגורים, סיווג לפי יישוב הנכס, נמוך: 1-4, בינוני 5-7, גבוה 8-10.</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מנתונים אלו, עולה כי 72% </w:t>
      </w:r>
      <w:r w:rsidRPr="001F2586">
        <w:rPr>
          <w:rFonts w:eastAsia="Calibri" w:hint="cs"/>
          <w:b/>
          <w:bCs/>
          <w:rtl/>
        </w:rPr>
        <w:t>מנוטלי</w:t>
      </w:r>
      <w:r w:rsidRPr="001F2586">
        <w:rPr>
          <w:rFonts w:eastAsia="Calibri" w:hint="cs"/>
          <w:b/>
          <w:bCs/>
          <w:rtl/>
        </w:rPr>
        <w:t xml:space="preserve"> המשכנתאות בישובים ברמה סוציואקונומית נמוכה נעזרים ביועצי משכנתאות לעומת 56% בישובים ברמה סוציואקונומית גבוהה. יצוין כי </w:t>
      </w:r>
      <w:r w:rsidRPr="001F2586">
        <w:rPr>
          <w:rFonts w:eastAsia="Calibri"/>
          <w:b/>
          <w:bCs/>
          <w:rtl/>
        </w:rPr>
        <w:t xml:space="preserve">העשירונים התחתונים מאופיינים באוריינות פיננסית נמוכה, </w:t>
      </w:r>
      <w:r w:rsidRPr="001F2586">
        <w:rPr>
          <w:rFonts w:eastAsia="Calibri" w:hint="eastAsia"/>
          <w:b/>
          <w:bCs/>
          <w:rtl/>
        </w:rPr>
        <w:t>והדבר</w:t>
      </w:r>
      <w:r w:rsidRPr="001F2586">
        <w:rPr>
          <w:rFonts w:eastAsia="Calibri" w:hint="cs"/>
          <w:b/>
          <w:bCs/>
          <w:rtl/>
        </w:rPr>
        <w:t xml:space="preserve"> העלול לשמש </w:t>
      </w:r>
      <w:r w:rsidRPr="001F2586">
        <w:rPr>
          <w:rFonts w:eastAsia="Calibri"/>
          <w:b/>
          <w:bCs/>
          <w:rtl/>
        </w:rPr>
        <w:t xml:space="preserve">קרקע פורייה לפעילות בעייתית של </w:t>
      </w:r>
      <w:r w:rsidRPr="001F2586">
        <w:rPr>
          <w:rFonts w:eastAsia="Calibri" w:hint="cs"/>
          <w:b/>
          <w:bCs/>
          <w:rtl/>
        </w:rPr>
        <w:t>נותני שירותים</w:t>
      </w:r>
      <w:r w:rsidRPr="001F2586">
        <w:rPr>
          <w:rFonts w:eastAsia="Calibri"/>
          <w:b/>
          <w:bCs/>
          <w:rtl/>
        </w:rPr>
        <w:t>, בהם כאלה שמנצלים את חוסר הידע והנטייה לא להשוות מחירים כדי לדרוש מהלקוחות סכומים</w:t>
      </w:r>
      <w:r w:rsidRPr="001F2586">
        <w:rPr>
          <w:rFonts w:eastAsia="Calibri" w:hint="cs"/>
          <w:b/>
          <w:bCs/>
          <w:rtl/>
        </w:rPr>
        <w:t xml:space="preserve"> גבוהים בהשוואה לנותני שירות אחרים</w:t>
      </w:r>
      <w:r w:rsidRPr="001F2586">
        <w:rPr>
          <w:rFonts w:eastAsia="Calibri"/>
          <w:b/>
          <w:bCs/>
          <w:rtl/>
        </w:rPr>
        <w:t xml:space="preserve">. </w:t>
      </w:r>
    </w:p>
    <w:p w:rsidR="001F2586" w:rsidRPr="001F2586" w:rsidP="001F2586">
      <w:pPr>
        <w:spacing w:line="269" w:lineRule="auto"/>
        <w:ind w:left="-567"/>
        <w:rPr>
          <w:rFonts w:eastAsia="Calibri"/>
          <w:szCs w:val="20"/>
          <w:rtl/>
        </w:rPr>
      </w:pPr>
    </w:p>
    <w:p w:rsidR="00260379" w:rsidP="001F2586">
      <w:pPr>
        <w:keepNext/>
        <w:keepLines/>
        <w:numPr>
          <w:ilvl w:val="0"/>
          <w:numId w:val="30"/>
        </w:numPr>
        <w:spacing w:line="269" w:lineRule="auto"/>
        <w:ind w:left="312"/>
        <w:outlineLvl w:val="4"/>
        <w:rPr>
          <w:rFonts w:eastAsia="Times New Roman"/>
          <w:bCs/>
          <w:spacing w:val="40"/>
        </w:rPr>
      </w:pPr>
      <w:r w:rsidRPr="001F2586">
        <w:rPr>
          <w:rFonts w:eastAsia="Times New Roman" w:hint="cs"/>
          <w:bCs/>
          <w:spacing w:val="40"/>
          <w:rtl/>
        </w:rPr>
        <w:t>פילוח לפי מגזר</w:t>
      </w:r>
    </w:p>
    <w:p w:rsidR="001F2586" w:rsidRPr="001F2586" w:rsidP="001F2586">
      <w:pPr>
        <w:keepNext/>
        <w:keepLines/>
        <w:spacing w:line="269" w:lineRule="auto"/>
        <w:ind w:left="312"/>
        <w:outlineLvl w:val="4"/>
        <w:rPr>
          <w:rFonts w:eastAsia="Times New Roman"/>
          <w:bCs/>
          <w:spacing w:val="40"/>
          <w:rtl/>
        </w:rPr>
      </w:pPr>
    </w:p>
    <w:p w:rsidR="001F2586" w:rsidRPr="001F2586" w:rsidP="001F2586">
      <w:pPr>
        <w:keepNext/>
        <w:keepLines/>
        <w:spacing w:line="269" w:lineRule="auto"/>
        <w:ind w:left="720"/>
        <w:contextualSpacing/>
        <w:jc w:val="center"/>
        <w:rPr>
          <w:rFonts w:eastAsia="Calibri"/>
          <w:b/>
          <w:bCs/>
          <w:rtl/>
        </w:rPr>
      </w:pPr>
      <w:r w:rsidRPr="001F2586">
        <w:rPr>
          <w:rFonts w:eastAsia="Calibri"/>
          <w:b/>
          <w:bCs/>
          <w:noProof/>
          <w:rtl/>
          <w:lang w:val="he-IL"/>
        </w:rPr>
        <w:drawing>
          <wp:anchor distT="0" distB="0" distL="114300" distR="114300" simplePos="0" relativeHeight="251658240" behindDoc="0" locked="0" layoutInCell="1" allowOverlap="1">
            <wp:simplePos x="0" y="0"/>
            <wp:positionH relativeFrom="margin">
              <wp:align>center</wp:align>
            </wp:positionH>
            <wp:positionV relativeFrom="paragraph">
              <wp:posOffset>208280</wp:posOffset>
            </wp:positionV>
            <wp:extent cx="4883785" cy="2914650"/>
            <wp:effectExtent l="0" t="0" r="0" b="0"/>
            <wp:wrapTopAndBottom/>
            <wp:docPr id="71" name="תמונה 71" descr="בישובים המעורבים אחוז השימוש ביועצי משכנתאות עומד על 65% &#10;בישובים ערביים אחוז השימוש ביועצי משכנתאות עומד על 76%&#10;בישובים החרדים אחוז השימוש ביועצי משכנתאות עומד על 8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תרשים 74.GIF"/>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4883785" cy="2914650"/>
                    </a:xfrm>
                    <a:prstGeom prst="rect">
                      <a:avLst/>
                    </a:prstGeom>
                  </pic:spPr>
                </pic:pic>
              </a:graphicData>
            </a:graphic>
            <wp14:sizeRelH relativeFrom="margin">
              <wp14:pctWidth>0</wp14:pctWidth>
            </wp14:sizeRelH>
            <wp14:sizeRelV relativeFrom="margin">
              <wp14:pctHeight>0</wp14:pctHeight>
            </wp14:sizeRelV>
          </wp:anchor>
        </w:drawing>
      </w:r>
      <w:r w:rsidRPr="001F2586">
        <w:rPr>
          <w:rFonts w:eastAsia="Calibri" w:hint="cs"/>
          <w:rtl/>
        </w:rPr>
        <w:t>תרשים 74:</w:t>
      </w:r>
      <w:r w:rsidRPr="001F2586">
        <w:rPr>
          <w:rFonts w:eastAsia="Calibri" w:hint="cs"/>
          <w:b/>
          <w:bCs/>
          <w:rtl/>
        </w:rPr>
        <w:t xml:space="preserve"> שימוש ביועצי משכנתאות לפי מגזר </w:t>
      </w:r>
    </w:p>
    <w:p w:rsidR="001F2586" w:rsidRPr="001F2586" w:rsidP="001F2586">
      <w:pPr>
        <w:spacing w:line="269" w:lineRule="auto"/>
        <w:ind w:left="720"/>
        <w:contextualSpacing/>
        <w:jc w:val="center"/>
        <w:rPr>
          <w:rFonts w:eastAsia="Calibri"/>
          <w:b/>
          <w:bCs/>
          <w:rtl/>
        </w:rPr>
      </w:pPr>
    </w:p>
    <w:p w:rsidR="001F2586" w:rsidRPr="001F2586" w:rsidP="001F2586">
      <w:pPr>
        <w:spacing w:line="269" w:lineRule="auto"/>
        <w:rPr>
          <w:rFonts w:eastAsia="Calibri"/>
          <w:b/>
          <w:bCs/>
          <w:rtl/>
        </w:rPr>
      </w:pPr>
      <w:r w:rsidRPr="001F2586">
        <w:rPr>
          <w:rFonts w:eastAsia="Calibri" w:hint="cs"/>
          <w:b/>
          <w:bCs/>
          <w:rtl/>
        </w:rPr>
        <w:t>מנתונים אלו עולה כי 80%</w:t>
      </w:r>
      <w:r w:rsidRPr="001F2586">
        <w:rPr>
          <w:rFonts w:eastAsia="Calibri" w:hint="cs"/>
          <w:b/>
          <w:bCs/>
        </w:rPr>
        <w:t xml:space="preserve"> </w:t>
      </w:r>
      <w:r w:rsidRPr="001F2586">
        <w:rPr>
          <w:rFonts w:eastAsia="Calibri" w:hint="cs"/>
          <w:b/>
          <w:bCs/>
          <w:rtl/>
        </w:rPr>
        <w:t>מרוכשי</w:t>
      </w:r>
      <w:r w:rsidRPr="001F2586">
        <w:rPr>
          <w:rFonts w:eastAsia="Calibri" w:hint="cs"/>
          <w:b/>
          <w:bCs/>
          <w:rtl/>
        </w:rPr>
        <w:t xml:space="preserve"> הדירות בישובים חרדים נעזרים ביועצי משכנתאות ו-76% </w:t>
      </w:r>
      <w:r w:rsidRPr="001F2586">
        <w:rPr>
          <w:rFonts w:eastAsia="Calibri" w:hint="cs"/>
          <w:b/>
          <w:bCs/>
          <w:rtl/>
        </w:rPr>
        <w:t>מרוכשי</w:t>
      </w:r>
      <w:r w:rsidRPr="001F2586">
        <w:rPr>
          <w:rFonts w:eastAsia="Calibri" w:hint="cs"/>
          <w:b/>
          <w:bCs/>
          <w:rtl/>
        </w:rPr>
        <w:t xml:space="preserve"> הדירות בישובים ערביים נעזרים ביועצי משכנתאות.</w:t>
      </w:r>
    </w:p>
    <w:p w:rsidR="001F2586" w:rsidRPr="001F2586" w:rsidP="00E85EB9">
      <w:pPr>
        <w:bidi w:val="0"/>
        <w:spacing w:after="200" w:line="276" w:lineRule="auto"/>
        <w:rPr>
          <w:rFonts w:eastAsia="Calibri"/>
          <w:b/>
          <w:bCs/>
          <w:rtl/>
        </w:rPr>
      </w:pPr>
      <w:r>
        <w:rPr>
          <w:rFonts w:eastAsia="Calibri"/>
          <w:b/>
          <w:bCs/>
          <w:rtl/>
        </w:rPr>
        <w:br w:type="page"/>
      </w:r>
    </w:p>
    <w:p w:rsidR="001F2586" w:rsidRPr="001F2586" w:rsidP="001F2586">
      <w:pPr>
        <w:keepNext/>
        <w:keepLines/>
        <w:numPr>
          <w:ilvl w:val="0"/>
          <w:numId w:val="30"/>
        </w:numPr>
        <w:spacing w:line="269" w:lineRule="auto"/>
        <w:ind w:left="312"/>
        <w:outlineLvl w:val="4"/>
        <w:rPr>
          <w:rFonts w:eastAsia="Times New Roman"/>
          <w:bCs/>
          <w:spacing w:val="40"/>
        </w:rPr>
      </w:pPr>
      <w:r w:rsidRPr="001F2586">
        <w:rPr>
          <w:rFonts w:eastAsia="Times New Roman" w:hint="cs"/>
          <w:bCs/>
          <w:spacing w:val="40"/>
          <w:rtl/>
        </w:rPr>
        <w:t xml:space="preserve">מספר הבנקים אליהם פונים לקוחות עם יועצי משכנתאות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hint="cs"/>
          <w:rtl/>
        </w:rPr>
        <w:t>מחקר של רשות התחרות משנת 2021</w:t>
      </w:r>
      <w:r>
        <w:rPr>
          <w:rFonts w:eastAsia="Calibri"/>
          <w:vertAlign w:val="superscript"/>
          <w:rtl/>
        </w:rPr>
        <w:footnoteReference w:id="463"/>
      </w:r>
      <w:r w:rsidRPr="001F2586">
        <w:rPr>
          <w:rFonts w:eastAsia="Calibri" w:hint="cs"/>
          <w:rtl/>
        </w:rPr>
        <w:t xml:space="preserve"> מצא כי כ-56% מהלווים שנבדקו קיבלו רק הצעת מחיר אחת למשכנתא, ולא השוו אותה להצעות נוספות. המחקר בחן את המאפיינים של הלווים שקיבלו יותר מהצעה אחת, ובחינה זו מעלה כי ככל שהסכום ההלוואה וההכנסה הפנויה של הלווה היו גבוהים יותר, כך עלו הסיכויים שהלווה קיבל יותר מהצעת מחיר אחת. על פי המחקר נמצא קשר בין מספר הצעות המחיר ובין המחיר הסופי של המשכנתא. ככל שהלווה קיבל יותר הצעות מחיר, כך הריבית ששילם היו נמוכות יותר. </w:t>
      </w:r>
    </w:p>
    <w:p w:rsidR="001F2586" w:rsidRPr="001F2586" w:rsidP="001F2586">
      <w:pPr>
        <w:spacing w:line="269" w:lineRule="auto"/>
        <w:ind w:left="-567"/>
        <w:rPr>
          <w:rFonts w:eastAsia="Calibri"/>
          <w:szCs w:val="20"/>
          <w:rtl/>
        </w:rPr>
      </w:pPr>
    </w:p>
    <w:p w:rsidR="001F2586" w:rsidRPr="001F2586" w:rsidP="001F2586">
      <w:pPr>
        <w:spacing w:line="269" w:lineRule="auto"/>
        <w:ind w:left="283" w:firstLine="29"/>
        <w:rPr>
          <w:rFonts w:eastAsia="Calibri"/>
          <w:rtl/>
        </w:rPr>
      </w:pPr>
      <w:r w:rsidRPr="001F2586">
        <w:rPr>
          <w:rFonts w:eastAsia="Calibri" w:hint="cs"/>
          <w:rtl/>
        </w:rPr>
        <w:t>בנק ישראל בחן את מספר הבנקים להם פונים לקוחות המלווים על ידי יועצי משכנתאות. להלן הנתונים.</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contextualSpacing/>
        <w:jc w:val="center"/>
        <w:rPr>
          <w:rFonts w:eastAsia="Calibri"/>
          <w:b/>
          <w:bCs/>
          <w:rtl/>
        </w:rPr>
      </w:pPr>
      <w:r w:rsidRPr="001F2586">
        <w:rPr>
          <w:rFonts w:eastAsia="Calibri" w:hint="cs"/>
          <w:rtl/>
        </w:rPr>
        <w:t>תרשים 75:</w:t>
      </w:r>
      <w:r w:rsidRPr="001F2586">
        <w:rPr>
          <w:rFonts w:eastAsia="Calibri" w:hint="cs"/>
          <w:b/>
          <w:bCs/>
          <w:rtl/>
        </w:rPr>
        <w:t xml:space="preserve"> מספר הבנקים </w:t>
      </w:r>
      <w:r w:rsidR="00504E2C">
        <w:rPr>
          <w:rFonts w:eastAsia="Calibri" w:hint="cs"/>
          <w:b/>
          <w:bCs/>
          <w:rtl/>
        </w:rPr>
        <w:t>ש</w:t>
      </w:r>
      <w:r w:rsidRPr="001F2586">
        <w:rPr>
          <w:rFonts w:eastAsia="Calibri" w:hint="cs"/>
          <w:b/>
          <w:bCs/>
          <w:rtl/>
        </w:rPr>
        <w:t xml:space="preserve">אליהם פונים לקוחות המלווים על ידי יועצי משכנתאות </w:t>
      </w:r>
    </w:p>
    <w:p w:rsidR="001F2586" w:rsidRPr="001F2586" w:rsidP="001F2586">
      <w:pPr>
        <w:spacing w:line="269" w:lineRule="auto"/>
        <w:rPr>
          <w:rFonts w:eastAsia="Calibri"/>
          <w:rtl/>
        </w:rPr>
      </w:pPr>
      <w:r w:rsidRPr="001F2586">
        <w:rPr>
          <w:rFonts w:eastAsia="Calibri"/>
          <w:noProof/>
          <w:rtl/>
          <w:lang w:val="he-IL"/>
        </w:rPr>
        <w:drawing>
          <wp:inline distT="0" distB="0" distL="0" distR="0">
            <wp:extent cx="5220335" cy="3169920"/>
            <wp:effectExtent l="0" t="0" r="0" b="0"/>
            <wp:docPr id="73" name="תמונה 73" descr="ראה תיאור למט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תרשים 75.GIF"/>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5220335" cy="3169920"/>
                    </a:xfrm>
                    <a:prstGeom prst="rect">
                      <a:avLst/>
                    </a:prstGeom>
                  </pic:spPr>
                </pic:pic>
              </a:graphicData>
            </a:graphic>
          </wp:inline>
        </w:drawing>
      </w:r>
    </w:p>
    <w:p w:rsidR="001F2586" w:rsidRPr="001F2586" w:rsidP="001F2586">
      <w:pPr>
        <w:spacing w:line="269" w:lineRule="auto"/>
        <w:rPr>
          <w:rFonts w:ascii="David" w:eastAsia="Calibri" w:hAnsi="David"/>
          <w:szCs w:val="20"/>
          <w:rtl/>
        </w:rPr>
      </w:pPr>
      <w:r w:rsidRPr="001F2586">
        <w:rPr>
          <w:rFonts w:eastAsia="Calibri" w:hint="cs"/>
          <w:szCs w:val="20"/>
          <w:rtl/>
        </w:rPr>
        <w:t>המקור: נתוני בנק ישראל כפי שהוצגו בכנס התאחדות יועצי המשכנתאות, ינואר 2025.</w:t>
      </w:r>
    </w:p>
    <w:p w:rsidR="001F2586" w:rsidRPr="001F2586" w:rsidP="001F2586">
      <w:pPr>
        <w:spacing w:line="269" w:lineRule="auto"/>
        <w:ind w:left="-567"/>
        <w:rPr>
          <w:rFonts w:eastAsia="Calibri"/>
          <w:szCs w:val="20"/>
          <w:rtl/>
        </w:rPr>
      </w:pPr>
    </w:p>
    <w:p w:rsidR="001F2586" w:rsidP="001F2586">
      <w:pPr>
        <w:spacing w:line="269" w:lineRule="auto"/>
        <w:rPr>
          <w:rFonts w:ascii="David" w:eastAsia="Calibri" w:hAnsi="David"/>
          <w:b/>
          <w:bCs/>
          <w:sz w:val="24"/>
          <w:rtl/>
        </w:rPr>
      </w:pPr>
      <w:r w:rsidRPr="001F2586">
        <w:rPr>
          <w:rFonts w:ascii="David" w:eastAsia="Calibri" w:hAnsi="David" w:hint="cs"/>
          <w:b/>
          <w:bCs/>
          <w:sz w:val="24"/>
          <w:rtl/>
        </w:rPr>
        <w:t xml:space="preserve">מתרשים זה עולה כי על פי נתוני בנק ישראל, </w:t>
      </w:r>
      <w:r w:rsidRPr="001F2586">
        <w:rPr>
          <w:rFonts w:ascii="David" w:eastAsia="Calibri" w:hAnsi="David"/>
          <w:b/>
          <w:bCs/>
          <w:sz w:val="24"/>
          <w:rtl/>
        </w:rPr>
        <w:t xml:space="preserve">רק 6% </w:t>
      </w:r>
      <w:r w:rsidRPr="001F2586">
        <w:rPr>
          <w:rFonts w:ascii="David" w:eastAsia="Calibri" w:hAnsi="David" w:hint="cs"/>
          <w:b/>
          <w:bCs/>
          <w:sz w:val="24"/>
          <w:rtl/>
        </w:rPr>
        <w:t>מהלקוחות המלווים על ידי יועצי משכנתאות</w:t>
      </w:r>
      <w:r w:rsidRPr="001F2586">
        <w:rPr>
          <w:rFonts w:ascii="David" w:eastAsia="Calibri" w:hAnsi="David"/>
          <w:b/>
          <w:bCs/>
          <w:sz w:val="24"/>
          <w:rtl/>
        </w:rPr>
        <w:t xml:space="preserve"> עורכים התמחרות בין 4 בנקים או יותר. לעומת זאת, 13% פונים לשלושה בנקים, 24% פונים לשני בנקים ו-57% </w:t>
      </w:r>
      <w:r w:rsidRPr="001F2586">
        <w:rPr>
          <w:rFonts w:ascii="David" w:eastAsia="Calibri" w:hAnsi="David" w:hint="cs"/>
          <w:b/>
          <w:bCs/>
          <w:sz w:val="24"/>
          <w:rtl/>
        </w:rPr>
        <w:t>מהלקוחות המלווים על ידי יועצי משכנתאות פונים לבנק אחד בלבד</w:t>
      </w:r>
      <w:r w:rsidRPr="001F2586">
        <w:rPr>
          <w:rFonts w:ascii="David" w:eastAsia="Calibri" w:hAnsi="David"/>
          <w:b/>
          <w:bCs/>
          <w:sz w:val="24"/>
          <w:rtl/>
        </w:rPr>
        <w:t>.</w:t>
      </w:r>
    </w:p>
    <w:p w:rsidR="00234248" w:rsidP="00234248">
      <w:pPr>
        <w:pStyle w:val="a"/>
        <w:spacing w:line="360" w:lineRule="auto"/>
        <w:ind w:left="0"/>
        <w:rPr>
          <w:rFonts w:ascii="David" w:hAnsi="David"/>
          <w:b/>
          <w:bCs/>
          <w:sz w:val="24"/>
          <w:szCs w:val="24"/>
          <w:rtl/>
        </w:rPr>
      </w:pPr>
    </w:p>
    <w:p w:rsidR="00234248" w:rsidRPr="00460A3B" w:rsidP="0070405E">
      <w:pPr>
        <w:pStyle w:val="a"/>
        <w:spacing w:line="269" w:lineRule="auto"/>
        <w:ind w:left="0"/>
        <w:rPr>
          <w:rFonts w:ascii="David" w:hAnsi="David"/>
          <w:b/>
          <w:bCs/>
          <w:sz w:val="24"/>
          <w:szCs w:val="24"/>
          <w:rtl/>
        </w:rPr>
      </w:pPr>
      <w:r w:rsidRPr="00460A3B">
        <w:rPr>
          <w:rFonts w:ascii="David" w:hAnsi="David" w:hint="cs"/>
          <w:b/>
          <w:bCs/>
          <w:sz w:val="24"/>
          <w:szCs w:val="24"/>
          <w:rtl/>
        </w:rPr>
        <w:t xml:space="preserve">בפגישה שנערכה בין נציגי משרד מבקר המדינה לנציגי התאחדות יועצי המשכנתאות </w:t>
      </w:r>
      <w:r w:rsidRPr="00460A3B">
        <w:rPr>
          <w:rFonts w:ascii="David" w:hAnsi="David" w:hint="eastAsia"/>
          <w:b/>
          <w:bCs/>
          <w:sz w:val="24"/>
          <w:szCs w:val="24"/>
          <w:rtl/>
        </w:rPr>
        <w:t>נמסר</w:t>
      </w:r>
      <w:r w:rsidRPr="00460A3B">
        <w:rPr>
          <w:rFonts w:ascii="David" w:hAnsi="David" w:hint="cs"/>
          <w:b/>
          <w:bCs/>
          <w:sz w:val="24"/>
          <w:szCs w:val="24"/>
          <w:rtl/>
        </w:rPr>
        <w:t xml:space="preserve"> בנוגע לנתונים אלה, כי לעיתים פונים לקוחות פנייה ישירה טלפונית לבנק שלא דרך היועץ, או שיועצים מתקשרים אל הבנק כדי לקבל מרווחים באופן כללי, דבר שלא מתועד במערכת הבנקאית ולכן ייתכן ופניות אלו לא באות לידי ביטוי בנתונים אלו. ההתאחדות הוסיפה כי לרוב יועצי המשכנתאות מכירים את טווח הריביות במסלולים השונים ולכן אין להם צורך לפנות למספר בנקים לצורך קבלת הצעות נוספות.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התאחדות יועצי המשכנתאות ציינה בתשובתה ממאי 2026 (להלן - תשובת ההתאחדות) כי לאחר קבלת טיוטת דוח הביקורת היא ביצעה סקר בנושא שנערך בקרב חברי ההתאחדות וביצעה בדיקה מול גורמים במערכת הבנקאית בנושא המצביעים על תמונה שונה מזו המשתקפת מנתון זה, לפחות </w:t>
      </w:r>
      <w:r w:rsidRPr="001F2586">
        <w:rPr>
          <w:rFonts w:eastAsia="Calibri" w:hint="cs"/>
          <w:rtl/>
        </w:rPr>
        <w:t xml:space="preserve">בקרב היועצים שהם חברי ההתאחדות. התאחדות ציינה כי היא ערכה סקר בקרב חבריה לפיו </w:t>
      </w:r>
      <w:r w:rsidRPr="001F2586">
        <w:rPr>
          <w:rFonts w:eastAsia="Calibri"/>
          <w:rtl/>
        </w:rPr>
        <w:t>רק 3% מהמשיבים השיבו כי בדרך כלל הם מגישים בקשה לאישור עקרוני לבנק אחד</w:t>
      </w:r>
      <w:r w:rsidRPr="001F2586">
        <w:rPr>
          <w:rFonts w:eastAsia="Calibri" w:hint="cs"/>
          <w:rtl/>
        </w:rPr>
        <w:t xml:space="preserve"> </w:t>
      </w:r>
      <w:r w:rsidRPr="001F2586">
        <w:rPr>
          <w:rFonts w:eastAsia="Calibri"/>
          <w:rtl/>
        </w:rPr>
        <w:t xml:space="preserve">בלבד; 22% השיבו כי הם פונים בדרך כלל לשני בנקים; 43% </w:t>
      </w:r>
      <w:r w:rsidRPr="001F2586">
        <w:rPr>
          <w:rFonts w:eastAsia="Calibri" w:hint="cs"/>
          <w:rtl/>
        </w:rPr>
        <w:t>-</w:t>
      </w:r>
      <w:r w:rsidRPr="001F2586">
        <w:rPr>
          <w:rFonts w:eastAsia="Calibri"/>
          <w:rtl/>
        </w:rPr>
        <w:t xml:space="preserve"> לשלושה בנקים; 10% </w:t>
      </w:r>
      <w:r w:rsidRPr="001F2586">
        <w:rPr>
          <w:rFonts w:eastAsia="Calibri" w:hint="cs"/>
          <w:rtl/>
        </w:rPr>
        <w:t>-</w:t>
      </w:r>
      <w:r w:rsidRPr="001F2586">
        <w:rPr>
          <w:rFonts w:eastAsia="Calibri"/>
          <w:rtl/>
        </w:rPr>
        <w:t xml:space="preserve"> לארבעה בנקים</w:t>
      </w:r>
      <w:r w:rsidRPr="001F2586">
        <w:rPr>
          <w:rFonts w:eastAsia="Calibri" w:hint="cs"/>
          <w:rtl/>
        </w:rPr>
        <w:t xml:space="preserve"> </w:t>
      </w:r>
      <w:r w:rsidRPr="001F2586">
        <w:rPr>
          <w:rFonts w:eastAsia="Calibri"/>
          <w:rtl/>
        </w:rPr>
        <w:t>ומעלה; ו23%- השיבו כי מספר הבנקים משתנה בהתאם למורכבות התיק.</w:t>
      </w:r>
      <w:r w:rsidRPr="001F2586">
        <w:rPr>
          <w:rFonts w:eastAsia="Calibri" w:hint="cs"/>
          <w:rtl/>
        </w:rPr>
        <w:t xml:space="preserve"> עוד ציינה ההתאחדות כי יש מקרים מקצועיים נקודתיים שבהם פנייה לבנק אחד עשויה להיות מוצדקת כגון בתיק מורכב עם סבירות אישור נמוכה או כאשר הלקוח מבקש לקצר את תהליך לקיחת המשכנתא.</w:t>
      </w:r>
    </w:p>
    <w:p w:rsidR="001F2586" w:rsidRPr="001F2586" w:rsidP="001F2586">
      <w:pPr>
        <w:spacing w:line="269" w:lineRule="auto"/>
        <w:ind w:left="-567"/>
        <w:rPr>
          <w:rFonts w:eastAsia="Calibri"/>
          <w:szCs w:val="20"/>
          <w:rtl/>
        </w:rPr>
      </w:pPr>
    </w:p>
    <w:p w:rsidR="00260379" w:rsidP="001F2586">
      <w:pPr>
        <w:keepNext/>
        <w:keepLines/>
        <w:numPr>
          <w:ilvl w:val="0"/>
          <w:numId w:val="30"/>
        </w:numPr>
        <w:spacing w:line="269" w:lineRule="auto"/>
        <w:ind w:left="312"/>
        <w:outlineLvl w:val="4"/>
        <w:rPr>
          <w:rFonts w:eastAsia="Times New Roman"/>
          <w:bCs/>
          <w:spacing w:val="40"/>
        </w:rPr>
      </w:pPr>
      <w:r w:rsidRPr="001F2586">
        <w:rPr>
          <w:rFonts w:eastAsia="Times New Roman" w:hint="cs"/>
          <w:bCs/>
          <w:spacing w:val="40"/>
          <w:rtl/>
        </w:rPr>
        <w:t xml:space="preserve">שימוש ביועצי משכנתאות בסוגי משכנתאות שונים </w:t>
      </w:r>
    </w:p>
    <w:p w:rsidR="001F2586" w:rsidRPr="001F2586" w:rsidP="001F2586">
      <w:pPr>
        <w:spacing w:line="269" w:lineRule="auto"/>
        <w:ind w:left="720"/>
        <w:contextualSpacing/>
        <w:rPr>
          <w:rFonts w:ascii="David" w:eastAsia="Calibri" w:hAnsi="David"/>
          <w:b/>
          <w:bCs/>
          <w:sz w:val="24"/>
        </w:rPr>
      </w:pPr>
    </w:p>
    <w:p w:rsidR="001F2586" w:rsidRPr="001F2586" w:rsidP="001F2586">
      <w:pPr>
        <w:spacing w:line="269" w:lineRule="auto"/>
        <w:rPr>
          <w:rFonts w:ascii="David" w:eastAsia="Calibri" w:hAnsi="David"/>
          <w:sz w:val="24"/>
          <w:rtl/>
        </w:rPr>
      </w:pPr>
      <w:r w:rsidRPr="001F2586">
        <w:rPr>
          <w:rFonts w:ascii="David" w:eastAsia="Calibri" w:hAnsi="David" w:hint="cs"/>
          <w:sz w:val="24"/>
          <w:rtl/>
        </w:rPr>
        <w:t>יועץ משכנתא יכול ללוות לקוח בעת לקיחת משכנתא לצורכי רכישת נכס מגורים שזוהי משכנתא הנפוצה ביותר - שכן היא מיועדת לרכישת דירה למגורים, בין אם זו דירת מגורים ראשונה או החלפה לדירה גדולה יותר. הבנקים לרוב מאפשרים מימון של עד 75% משווי ערך הנכס. קיימים סוגי משכנתאות נוספות בהן יכול יועץ המשכנתאות ללוות את הלווה כגון: (א) משכנתא לכל מטרה - הלוואה הניתנת על ידי שעבוד נכס קיים; (ב) משכנתא להשקעה - משכנתא שנועדה לרכישת דירה שאינה מיועדת למגורי הלווה (ואז שיעור המימון הוא עד 50%</w:t>
      </w:r>
      <w:r w:rsidRPr="001F2586">
        <w:rPr>
          <w:rFonts w:ascii="David" w:eastAsia="Calibri" w:hAnsi="David" w:hint="cs"/>
          <w:sz w:val="24"/>
        </w:rPr>
        <w:t xml:space="preserve"> </w:t>
      </w:r>
      <w:r w:rsidRPr="001F2586">
        <w:rPr>
          <w:rFonts w:ascii="David" w:eastAsia="Calibri" w:hAnsi="David" w:hint="cs"/>
          <w:sz w:val="24"/>
          <w:rtl/>
        </w:rPr>
        <w:t xml:space="preserve">משווי הנכס); (ג) מחזור משכנתא - הליך לקיחת משכנתא חדשה כדי לכסות את היתרה של המשכנתא הקיימת, לרוב בתנאים טובים יותר. </w:t>
      </w:r>
      <w:r w:rsidRPr="001F2586">
        <w:rPr>
          <w:rFonts w:eastAsia="Calibri" w:hint="cs"/>
          <w:rtl/>
        </w:rPr>
        <w:t>נכון להיום, מחזור משכנתא</w:t>
      </w:r>
      <w:r>
        <w:rPr>
          <w:rFonts w:eastAsia="Calibri"/>
          <w:vertAlign w:val="superscript"/>
          <w:rtl/>
        </w:rPr>
        <w:footnoteReference w:id="464"/>
      </w:r>
      <w:r w:rsidRPr="001F2586">
        <w:rPr>
          <w:rFonts w:eastAsia="Calibri" w:hint="cs"/>
          <w:rtl/>
        </w:rPr>
        <w:t xml:space="preserve"> הפך בשנת 2025 להליך נפוץ שכן סביבת הריבית ההולכת ועולה גרמה ללקוחות רבים לנסות להוזיל את ההחזרים החודשיים של המשכנתא החודשית</w:t>
      </w:r>
      <w:r>
        <w:rPr>
          <w:rFonts w:eastAsia="Calibri"/>
          <w:vertAlign w:val="superscript"/>
          <w:rtl/>
        </w:rPr>
        <w:footnoteReference w:id="465"/>
      </w:r>
      <w:r w:rsidRPr="001F2586">
        <w:rPr>
          <w:rFonts w:eastAsia="Calibri" w:hint="cs"/>
          <w:rtl/>
        </w:rPr>
        <w:t>.</w:t>
      </w:r>
      <w:r w:rsidRPr="001F2586">
        <w:rPr>
          <w:rFonts w:ascii="David" w:eastAsia="Calibri" w:hAnsi="David" w:hint="cs"/>
          <w:sz w:val="24"/>
          <w:rtl/>
        </w:rPr>
        <w:t xml:space="preserve"> להלן נתונים אודות שימוש ביועצי משכנתאות בסוגי ההליכים השונים מול הבנק: </w:t>
      </w:r>
    </w:p>
    <w:p w:rsidR="001F2586" w:rsidRPr="001F2586" w:rsidP="001F2586">
      <w:pPr>
        <w:spacing w:line="269" w:lineRule="auto"/>
        <w:rPr>
          <w:rFonts w:ascii="David" w:eastAsia="Calibri" w:hAnsi="David"/>
          <w:sz w:val="24"/>
          <w:rtl/>
        </w:rPr>
      </w:pPr>
    </w:p>
    <w:p w:rsidR="001F2586" w:rsidRPr="001F2586" w:rsidP="001F2586">
      <w:pPr>
        <w:spacing w:line="269" w:lineRule="auto"/>
        <w:jc w:val="center"/>
        <w:rPr>
          <w:rFonts w:ascii="David" w:eastAsia="Calibri" w:hAnsi="David"/>
          <w:b/>
          <w:bCs/>
          <w:sz w:val="24"/>
          <w:rtl/>
        </w:rPr>
      </w:pPr>
      <w:r w:rsidRPr="001F2586">
        <w:rPr>
          <w:rFonts w:ascii="David" w:eastAsia="Calibri" w:hAnsi="David" w:hint="cs"/>
          <w:sz w:val="24"/>
          <w:rtl/>
        </w:rPr>
        <w:t xml:space="preserve">תרשים </w:t>
      </w:r>
      <w:r w:rsidRPr="001F2586">
        <w:rPr>
          <w:rFonts w:ascii="David" w:eastAsia="Calibri" w:hAnsi="David"/>
          <w:sz w:val="24"/>
        </w:rPr>
        <w:t>76</w:t>
      </w:r>
      <w:r w:rsidRPr="001F2586">
        <w:rPr>
          <w:rFonts w:ascii="David" w:eastAsia="Calibri" w:hAnsi="David" w:hint="cs"/>
          <w:sz w:val="24"/>
          <w:rtl/>
        </w:rPr>
        <w:t>:</w:t>
      </w:r>
      <w:r w:rsidRPr="001F2586">
        <w:rPr>
          <w:rFonts w:ascii="David" w:eastAsia="Calibri" w:hAnsi="David" w:hint="cs"/>
          <w:b/>
          <w:bCs/>
          <w:sz w:val="24"/>
          <w:rtl/>
        </w:rPr>
        <w:t xml:space="preserve"> שימוש בי</w:t>
      </w:r>
      <w:r w:rsidR="00504E2C">
        <w:rPr>
          <w:rFonts w:ascii="David" w:eastAsia="Calibri" w:hAnsi="David" w:hint="cs"/>
          <w:b/>
          <w:bCs/>
          <w:sz w:val="24"/>
          <w:rtl/>
        </w:rPr>
        <w:t>י</w:t>
      </w:r>
      <w:r w:rsidRPr="001F2586">
        <w:rPr>
          <w:rFonts w:ascii="David" w:eastAsia="Calibri" w:hAnsi="David" w:hint="cs"/>
          <w:b/>
          <w:bCs/>
          <w:sz w:val="24"/>
          <w:rtl/>
        </w:rPr>
        <w:t>עוץ משכנתאות לפי סוג ההליך</w:t>
      </w:r>
    </w:p>
    <w:p w:rsidR="001F2586" w:rsidRPr="001F2586" w:rsidP="001F2586">
      <w:pPr>
        <w:spacing w:line="269" w:lineRule="auto"/>
        <w:jc w:val="center"/>
        <w:rPr>
          <w:rFonts w:ascii="David" w:eastAsia="Calibri" w:hAnsi="David"/>
          <w:b/>
          <w:bCs/>
          <w:sz w:val="24"/>
          <w:rtl/>
        </w:rPr>
      </w:pPr>
      <w:r w:rsidRPr="001F2586">
        <w:rPr>
          <w:rFonts w:ascii="David" w:eastAsia="Calibri" w:hAnsi="David"/>
          <w:b/>
          <w:bCs/>
          <w:noProof/>
          <w:sz w:val="24"/>
          <w:rtl/>
          <w:lang w:val="he-IL"/>
        </w:rPr>
        <w:drawing>
          <wp:inline distT="0" distB="0" distL="0" distR="0">
            <wp:extent cx="5220335" cy="3109595"/>
            <wp:effectExtent l="0" t="0" r="0" b="0"/>
            <wp:docPr id="74" name="תמונה 74" descr="במחזור חיצוני - 71% נעזרים ביועץ משכנתאות לעומת 29% שאינם נעזרים ביועץ משכנתאות. &#10;בהלוואה לכל מטרה- 46% נעזרים ביועץ משכנתאות לעומת 54% שאינם נעזרים ביועץ משכנתאות .&#10;במשכנתאות לצורך השקעה- 47% נעזרים ביעוץ משכנתאות ואילו 53% אינם נעזרים ביועץ משכנתאות. &#10;במשכנתאות לצורך מגורים- 62% נעזרים ביועץ משכנתאות ואילו 38% אינם נעזרים ביועץ משכנתאו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רשים 76.GIF"/>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5220335" cy="3109595"/>
                    </a:xfrm>
                    <a:prstGeom prst="rect">
                      <a:avLst/>
                    </a:prstGeom>
                  </pic:spPr>
                </pic:pic>
              </a:graphicData>
            </a:graphic>
          </wp:inline>
        </w:drawing>
      </w:r>
    </w:p>
    <w:p w:rsidR="001F2586" w:rsidRPr="001F2586" w:rsidP="001F2586">
      <w:pPr>
        <w:spacing w:line="269" w:lineRule="auto"/>
        <w:rPr>
          <w:rFonts w:ascii="David" w:eastAsia="Calibri" w:hAnsi="David"/>
          <w:szCs w:val="20"/>
          <w:rtl/>
        </w:rPr>
      </w:pPr>
      <w:r w:rsidRPr="001F2586">
        <w:rPr>
          <w:rFonts w:eastAsia="Calibri" w:hint="cs"/>
          <w:szCs w:val="20"/>
          <w:rtl/>
        </w:rPr>
        <w:t>המקור: נתוני בנק ישראל כפי שהוצגו בכנס התאחדות יועצי המשכנתאות, ינואר 2025</w:t>
      </w:r>
      <w:r w:rsidRPr="001F2586">
        <w:rPr>
          <w:rFonts w:ascii="David" w:eastAsia="Calibri" w:hAnsi="David" w:hint="cs"/>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b/>
          <w:bCs/>
          <w:sz w:val="24"/>
          <w:rtl/>
        </w:rPr>
      </w:pPr>
      <w:r w:rsidRPr="001F2586">
        <w:rPr>
          <w:rFonts w:ascii="David" w:eastAsia="Calibri" w:hAnsi="David" w:hint="cs"/>
          <w:b/>
          <w:bCs/>
          <w:sz w:val="24"/>
          <w:rtl/>
        </w:rPr>
        <w:t>מנתונים אלו עולה כי 71% מהעסקאות בנושא מחזור חיצוני (מחזור משכנתא לבנק אחר) ו-62%</w:t>
      </w:r>
      <w:r w:rsidRPr="001F2586">
        <w:rPr>
          <w:rFonts w:ascii="David" w:eastAsia="Calibri" w:hAnsi="David" w:hint="cs"/>
          <w:b/>
          <w:bCs/>
          <w:sz w:val="24"/>
        </w:rPr>
        <w:t xml:space="preserve"> </w:t>
      </w:r>
      <w:r w:rsidRPr="001F2586">
        <w:rPr>
          <w:rFonts w:ascii="David" w:eastAsia="Calibri" w:hAnsi="David" w:hint="cs"/>
          <w:b/>
          <w:bCs/>
          <w:sz w:val="24"/>
          <w:rtl/>
        </w:rPr>
        <w:t xml:space="preserve">מהעסקאות במשכנתאות לצורכי מגורים מלוות על ידי יועץ משכנתאות. </w:t>
      </w:r>
    </w:p>
    <w:p w:rsidR="001F2586" w:rsidRPr="001F2586" w:rsidP="00E85EB9">
      <w:pPr>
        <w:bidi w:val="0"/>
        <w:spacing w:after="200" w:line="276" w:lineRule="auto"/>
        <w:rPr>
          <w:rFonts w:eastAsia="Calibri"/>
          <w:szCs w:val="20"/>
          <w:rtl/>
        </w:rPr>
      </w:pPr>
      <w:r>
        <w:rPr>
          <w:rFonts w:eastAsia="Calibri"/>
          <w:szCs w:val="20"/>
          <w:rtl/>
        </w:rPr>
        <w:br w:type="page"/>
      </w:r>
    </w:p>
    <w:p w:rsidR="001F2586" w:rsidRPr="001F2586" w:rsidP="001F2586">
      <w:pPr>
        <w:keepNext/>
        <w:keepLines/>
        <w:numPr>
          <w:ilvl w:val="0"/>
          <w:numId w:val="30"/>
        </w:numPr>
        <w:spacing w:line="269" w:lineRule="auto"/>
        <w:ind w:left="312"/>
        <w:outlineLvl w:val="4"/>
        <w:rPr>
          <w:rFonts w:eastAsia="Times New Roman"/>
          <w:bCs/>
          <w:spacing w:val="40"/>
        </w:rPr>
      </w:pPr>
      <w:r w:rsidRPr="001F2586">
        <w:rPr>
          <w:rFonts w:eastAsia="Times New Roman" w:hint="eastAsia"/>
          <w:bCs/>
          <w:spacing w:val="40"/>
          <w:rtl/>
        </w:rPr>
        <w:t>אישורים</w:t>
      </w:r>
      <w:r w:rsidRPr="001F2586">
        <w:rPr>
          <w:rFonts w:eastAsia="Times New Roman"/>
          <w:bCs/>
          <w:spacing w:val="40"/>
          <w:rtl/>
        </w:rPr>
        <w:t xml:space="preserve"> עקרוניים שהבשילו לכדי משכנתא </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sz w:val="24"/>
          <w:rtl/>
        </w:rPr>
      </w:pPr>
      <w:r w:rsidRPr="001F2586">
        <w:rPr>
          <w:rFonts w:ascii="David" w:eastAsia="Calibri" w:hAnsi="David"/>
          <w:sz w:val="24"/>
          <w:rtl/>
        </w:rPr>
        <w:t>אישור עקרוני למשכנתא הוא מסמך רשמי מהבנק המאשר כי הלווה זכאי לקבל משכנתא בסכום ובתנאים מסוימים, בכפוף לבדיקות נוספות. אישור זה הוא למעשה הסכמה עקרונית של הבנק להעניק הלוואה, והוא שלב קריטי בתהליך רכישת דירה</w:t>
      </w:r>
      <w:r w:rsidRPr="001F2586">
        <w:rPr>
          <w:rFonts w:ascii="David" w:eastAsia="Calibri" w:hAnsi="David"/>
          <w:sz w:val="24"/>
        </w:rPr>
        <w:t>.</w:t>
      </w:r>
      <w:r w:rsidRPr="001F2586">
        <w:rPr>
          <w:rFonts w:ascii="David" w:eastAsia="Calibri" w:hAnsi="David" w:hint="cs"/>
          <w:sz w:val="24"/>
          <w:rtl/>
        </w:rPr>
        <w:t xml:space="preserve"> </w:t>
      </w:r>
    </w:p>
    <w:p w:rsidR="001F2586" w:rsidRPr="001F2586" w:rsidP="001F2586">
      <w:pPr>
        <w:spacing w:line="269" w:lineRule="auto"/>
        <w:rPr>
          <w:rFonts w:ascii="David" w:eastAsia="Calibri" w:hAnsi="David"/>
          <w:sz w:val="24"/>
          <w:rtl/>
        </w:rPr>
      </w:pPr>
    </w:p>
    <w:p w:rsidR="00880325" w:rsidP="001F2586">
      <w:pPr>
        <w:spacing w:line="269" w:lineRule="auto"/>
        <w:rPr>
          <w:rFonts w:ascii="David" w:eastAsia="Calibri" w:hAnsi="David"/>
          <w:b/>
          <w:bCs/>
          <w:sz w:val="24"/>
          <w:rtl/>
        </w:rPr>
      </w:pPr>
      <w:r w:rsidRPr="001F2586">
        <w:rPr>
          <w:rFonts w:ascii="David" w:eastAsia="Calibri" w:hAnsi="David" w:hint="eastAsia"/>
          <w:b/>
          <w:bCs/>
          <w:sz w:val="24"/>
          <w:rtl/>
        </w:rPr>
        <w:t>עפ</w:t>
      </w:r>
      <w:r w:rsidRPr="001F2586">
        <w:rPr>
          <w:rFonts w:ascii="David" w:eastAsia="Calibri" w:hAnsi="David"/>
          <w:b/>
          <w:bCs/>
          <w:sz w:val="24"/>
          <w:rtl/>
        </w:rPr>
        <w:t xml:space="preserve">"י </w:t>
      </w:r>
      <w:r w:rsidRPr="001F2586">
        <w:rPr>
          <w:rFonts w:ascii="David" w:eastAsia="Calibri" w:hAnsi="David" w:hint="eastAsia"/>
          <w:b/>
          <w:bCs/>
          <w:sz w:val="24"/>
          <w:rtl/>
        </w:rPr>
        <w:t>נתוני</w:t>
      </w:r>
      <w:r w:rsidRPr="001F2586">
        <w:rPr>
          <w:rFonts w:ascii="David" w:eastAsia="Calibri" w:hAnsi="David"/>
          <w:b/>
          <w:bCs/>
          <w:sz w:val="24"/>
          <w:rtl/>
        </w:rPr>
        <w:t xml:space="preserve"> </w:t>
      </w:r>
      <w:r w:rsidRPr="001F2586">
        <w:rPr>
          <w:rFonts w:ascii="David" w:eastAsia="Calibri" w:hAnsi="David" w:hint="eastAsia"/>
          <w:b/>
          <w:bCs/>
          <w:sz w:val="24"/>
          <w:rtl/>
        </w:rPr>
        <w:t>בנק</w:t>
      </w:r>
      <w:r w:rsidRPr="001F2586">
        <w:rPr>
          <w:rFonts w:ascii="David" w:eastAsia="Calibri" w:hAnsi="David"/>
          <w:b/>
          <w:bCs/>
          <w:sz w:val="24"/>
          <w:rtl/>
        </w:rPr>
        <w:t xml:space="preserve"> </w:t>
      </w:r>
      <w:r w:rsidRPr="001F2586">
        <w:rPr>
          <w:rFonts w:ascii="David" w:eastAsia="Calibri" w:hAnsi="David" w:hint="eastAsia"/>
          <w:b/>
          <w:bCs/>
          <w:sz w:val="24"/>
          <w:rtl/>
        </w:rPr>
        <w:t>ישראל</w:t>
      </w:r>
      <w:r w:rsidRPr="001F2586">
        <w:rPr>
          <w:rFonts w:ascii="David" w:eastAsia="Calibri" w:hAnsi="David"/>
          <w:b/>
          <w:bCs/>
          <w:sz w:val="24"/>
          <w:rtl/>
        </w:rPr>
        <w:t xml:space="preserve">, </w:t>
      </w:r>
      <w:r w:rsidRPr="001F2586">
        <w:rPr>
          <w:rFonts w:ascii="David" w:eastAsia="Calibri" w:hAnsi="David" w:hint="eastAsia"/>
          <w:b/>
          <w:bCs/>
          <w:sz w:val="24"/>
          <w:rtl/>
        </w:rPr>
        <w:t>במאי</w:t>
      </w:r>
      <w:r w:rsidRPr="001F2586">
        <w:rPr>
          <w:rFonts w:ascii="David" w:eastAsia="Calibri" w:hAnsi="David"/>
          <w:b/>
          <w:bCs/>
          <w:sz w:val="24"/>
          <w:rtl/>
        </w:rPr>
        <w:t xml:space="preserve"> 2025 </w:t>
      </w:r>
      <w:r w:rsidRPr="001F2586">
        <w:rPr>
          <w:rFonts w:ascii="David" w:eastAsia="Calibri" w:hAnsi="David" w:hint="eastAsia"/>
          <w:b/>
          <w:bCs/>
          <w:sz w:val="24"/>
          <w:rtl/>
        </w:rPr>
        <w:t>מספר</w:t>
      </w:r>
      <w:r w:rsidRPr="001F2586">
        <w:rPr>
          <w:rFonts w:ascii="David" w:eastAsia="Calibri" w:hAnsi="David"/>
          <w:b/>
          <w:bCs/>
          <w:sz w:val="24"/>
          <w:rtl/>
        </w:rPr>
        <w:t xml:space="preserve"> </w:t>
      </w:r>
      <w:r w:rsidRPr="001F2586">
        <w:rPr>
          <w:rFonts w:ascii="David" w:eastAsia="Calibri" w:hAnsi="David" w:hint="eastAsia"/>
          <w:b/>
          <w:bCs/>
          <w:sz w:val="24"/>
          <w:rtl/>
        </w:rPr>
        <w:t>האישורים</w:t>
      </w:r>
      <w:r w:rsidRPr="001F2586">
        <w:rPr>
          <w:rFonts w:ascii="David" w:eastAsia="Calibri" w:hAnsi="David"/>
          <w:b/>
          <w:bCs/>
          <w:sz w:val="24"/>
          <w:rtl/>
        </w:rPr>
        <w:t xml:space="preserve"> </w:t>
      </w:r>
      <w:r w:rsidRPr="001F2586">
        <w:rPr>
          <w:rFonts w:ascii="David" w:eastAsia="Calibri" w:hAnsi="David" w:hint="eastAsia"/>
          <w:b/>
          <w:bCs/>
          <w:sz w:val="24"/>
          <w:rtl/>
        </w:rPr>
        <w:t>העקרוניים</w:t>
      </w:r>
      <w:r w:rsidRPr="001F2586">
        <w:rPr>
          <w:rFonts w:ascii="David" w:eastAsia="Calibri" w:hAnsi="David"/>
          <w:b/>
          <w:bCs/>
          <w:sz w:val="24"/>
          <w:rtl/>
        </w:rPr>
        <w:t xml:space="preserve"> </w:t>
      </w:r>
      <w:r w:rsidRPr="001F2586">
        <w:rPr>
          <w:rFonts w:ascii="David" w:eastAsia="Calibri" w:hAnsi="David" w:hint="eastAsia"/>
          <w:b/>
          <w:bCs/>
          <w:sz w:val="24"/>
          <w:rtl/>
        </w:rPr>
        <w:t>שהונפקו</w:t>
      </w:r>
      <w:r w:rsidRPr="001F2586">
        <w:rPr>
          <w:rFonts w:ascii="David" w:eastAsia="Calibri" w:hAnsi="David"/>
          <w:b/>
          <w:bCs/>
          <w:sz w:val="24"/>
          <w:rtl/>
        </w:rPr>
        <w:t xml:space="preserve"> </w:t>
      </w:r>
      <w:r w:rsidRPr="001F2586">
        <w:rPr>
          <w:rFonts w:ascii="David" w:eastAsia="Calibri" w:hAnsi="David" w:hint="eastAsia"/>
          <w:b/>
          <w:bCs/>
          <w:sz w:val="24"/>
          <w:rtl/>
        </w:rPr>
        <w:t>עמד</w:t>
      </w:r>
      <w:r w:rsidRPr="001F2586">
        <w:rPr>
          <w:rFonts w:ascii="David" w:eastAsia="Calibri" w:hAnsi="David"/>
          <w:b/>
          <w:bCs/>
          <w:sz w:val="24"/>
          <w:rtl/>
        </w:rPr>
        <w:t xml:space="preserve"> </w:t>
      </w:r>
      <w:r w:rsidRPr="001F2586">
        <w:rPr>
          <w:rFonts w:ascii="David" w:eastAsia="Calibri" w:hAnsi="David" w:hint="eastAsia"/>
          <w:b/>
          <w:bCs/>
          <w:sz w:val="24"/>
          <w:rtl/>
        </w:rPr>
        <w:t>על</w:t>
      </w:r>
      <w:r w:rsidRPr="001F2586">
        <w:rPr>
          <w:rFonts w:ascii="David" w:eastAsia="Calibri" w:hAnsi="David"/>
          <w:b/>
          <w:bCs/>
          <w:sz w:val="24"/>
          <w:rtl/>
        </w:rPr>
        <w:t xml:space="preserve"> 40,106 </w:t>
      </w:r>
      <w:r w:rsidRPr="001F2586">
        <w:rPr>
          <w:rFonts w:ascii="David" w:eastAsia="Calibri" w:hAnsi="David" w:hint="eastAsia"/>
          <w:b/>
          <w:bCs/>
          <w:sz w:val="24"/>
          <w:rtl/>
        </w:rPr>
        <w:t>אישורים</w:t>
      </w:r>
      <w:r w:rsidRPr="001F2586">
        <w:rPr>
          <w:rFonts w:ascii="David" w:eastAsia="Calibri" w:hAnsi="David"/>
          <w:b/>
          <w:bCs/>
          <w:sz w:val="24"/>
          <w:rtl/>
        </w:rPr>
        <w:t xml:space="preserve"> </w:t>
      </w:r>
      <w:r w:rsidRPr="001F2586">
        <w:rPr>
          <w:rFonts w:ascii="David" w:eastAsia="Calibri" w:hAnsi="David" w:hint="eastAsia"/>
          <w:b/>
          <w:bCs/>
          <w:sz w:val="24"/>
          <w:rtl/>
        </w:rPr>
        <w:t>בליווי</w:t>
      </w:r>
      <w:r w:rsidRPr="001F2586">
        <w:rPr>
          <w:rFonts w:ascii="David" w:eastAsia="Calibri" w:hAnsi="David"/>
          <w:b/>
          <w:bCs/>
          <w:sz w:val="24"/>
          <w:rtl/>
        </w:rPr>
        <w:t xml:space="preserve"> </w:t>
      </w:r>
      <w:r w:rsidRPr="001F2586">
        <w:rPr>
          <w:rFonts w:ascii="David" w:eastAsia="Calibri" w:hAnsi="David" w:hint="eastAsia"/>
          <w:b/>
          <w:bCs/>
          <w:sz w:val="24"/>
          <w:rtl/>
        </w:rPr>
        <w:t>יועצי</w:t>
      </w:r>
      <w:r w:rsidRPr="001F2586">
        <w:rPr>
          <w:rFonts w:ascii="David" w:eastAsia="Calibri" w:hAnsi="David"/>
          <w:b/>
          <w:bCs/>
          <w:sz w:val="24"/>
          <w:rtl/>
        </w:rPr>
        <w:t xml:space="preserve"> </w:t>
      </w:r>
      <w:r w:rsidRPr="001F2586">
        <w:rPr>
          <w:rFonts w:ascii="David" w:eastAsia="Calibri" w:hAnsi="David" w:hint="eastAsia"/>
          <w:b/>
          <w:bCs/>
          <w:sz w:val="24"/>
          <w:rtl/>
        </w:rPr>
        <w:t>משכנתאות</w:t>
      </w:r>
      <w:r w:rsidRPr="001F2586">
        <w:rPr>
          <w:rFonts w:ascii="David" w:eastAsia="Calibri" w:hAnsi="David"/>
          <w:b/>
          <w:bCs/>
          <w:sz w:val="24"/>
          <w:rtl/>
        </w:rPr>
        <w:t xml:space="preserve"> </w:t>
      </w:r>
      <w:r w:rsidRPr="001F2586">
        <w:rPr>
          <w:rFonts w:ascii="David" w:eastAsia="Calibri" w:hAnsi="David" w:hint="eastAsia"/>
          <w:b/>
          <w:bCs/>
          <w:sz w:val="24"/>
          <w:rtl/>
        </w:rPr>
        <w:t>ו</w:t>
      </w:r>
      <w:r w:rsidRPr="001F2586">
        <w:rPr>
          <w:rFonts w:ascii="David" w:eastAsia="Calibri" w:hAnsi="David"/>
          <w:b/>
          <w:bCs/>
          <w:sz w:val="24"/>
          <w:rtl/>
        </w:rPr>
        <w:t xml:space="preserve">-36,959 </w:t>
      </w:r>
      <w:r w:rsidRPr="001F2586">
        <w:rPr>
          <w:rFonts w:ascii="David" w:eastAsia="Calibri" w:hAnsi="David" w:hint="eastAsia"/>
          <w:b/>
          <w:bCs/>
          <w:sz w:val="24"/>
          <w:rtl/>
        </w:rPr>
        <w:t>אישורים</w:t>
      </w:r>
      <w:r w:rsidRPr="001F2586">
        <w:rPr>
          <w:rFonts w:ascii="David" w:eastAsia="Calibri" w:hAnsi="David"/>
          <w:b/>
          <w:bCs/>
          <w:sz w:val="24"/>
          <w:rtl/>
        </w:rPr>
        <w:t xml:space="preserve"> </w:t>
      </w:r>
      <w:r w:rsidRPr="001F2586">
        <w:rPr>
          <w:rFonts w:ascii="David" w:eastAsia="Calibri" w:hAnsi="David" w:hint="eastAsia"/>
          <w:b/>
          <w:bCs/>
          <w:sz w:val="24"/>
          <w:rtl/>
        </w:rPr>
        <w:t>ללא</w:t>
      </w:r>
      <w:r w:rsidRPr="001F2586">
        <w:rPr>
          <w:rFonts w:ascii="David" w:eastAsia="Calibri" w:hAnsi="David"/>
          <w:b/>
          <w:bCs/>
          <w:sz w:val="24"/>
          <w:rtl/>
        </w:rPr>
        <w:t xml:space="preserve"> </w:t>
      </w:r>
      <w:r w:rsidRPr="001F2586">
        <w:rPr>
          <w:rFonts w:ascii="David" w:eastAsia="Calibri" w:hAnsi="David" w:hint="eastAsia"/>
          <w:b/>
          <w:bCs/>
          <w:sz w:val="24"/>
          <w:rtl/>
        </w:rPr>
        <w:t>ליווי</w:t>
      </w:r>
      <w:r w:rsidRPr="001F2586">
        <w:rPr>
          <w:rFonts w:ascii="David" w:eastAsia="Calibri" w:hAnsi="David"/>
          <w:b/>
          <w:bCs/>
          <w:sz w:val="24"/>
          <w:rtl/>
        </w:rPr>
        <w:t xml:space="preserve"> </w:t>
      </w:r>
      <w:r w:rsidRPr="001F2586">
        <w:rPr>
          <w:rFonts w:ascii="David" w:eastAsia="Calibri" w:hAnsi="David" w:hint="eastAsia"/>
          <w:b/>
          <w:bCs/>
          <w:sz w:val="24"/>
          <w:rtl/>
        </w:rPr>
        <w:t>של</w:t>
      </w:r>
      <w:r w:rsidRPr="001F2586">
        <w:rPr>
          <w:rFonts w:ascii="David" w:eastAsia="Calibri" w:hAnsi="David"/>
          <w:b/>
          <w:bCs/>
          <w:sz w:val="24"/>
          <w:rtl/>
        </w:rPr>
        <w:t xml:space="preserve"> </w:t>
      </w:r>
      <w:r w:rsidRPr="001F2586">
        <w:rPr>
          <w:rFonts w:ascii="David" w:eastAsia="Calibri" w:hAnsi="David" w:hint="eastAsia"/>
          <w:b/>
          <w:bCs/>
          <w:sz w:val="24"/>
          <w:rtl/>
        </w:rPr>
        <w:t>יועצי</w:t>
      </w:r>
      <w:r w:rsidRPr="001F2586">
        <w:rPr>
          <w:rFonts w:ascii="David" w:eastAsia="Calibri" w:hAnsi="David"/>
          <w:b/>
          <w:bCs/>
          <w:sz w:val="24"/>
          <w:rtl/>
        </w:rPr>
        <w:t xml:space="preserve"> </w:t>
      </w:r>
      <w:r w:rsidRPr="001F2586">
        <w:rPr>
          <w:rFonts w:ascii="David" w:eastAsia="Calibri" w:hAnsi="David" w:hint="eastAsia"/>
          <w:b/>
          <w:bCs/>
          <w:sz w:val="24"/>
          <w:rtl/>
        </w:rPr>
        <w:t>משכנתאות</w:t>
      </w:r>
      <w:r w:rsidRPr="001F2586">
        <w:rPr>
          <w:rFonts w:ascii="David" w:eastAsia="Calibri" w:hAnsi="David"/>
          <w:b/>
          <w:bCs/>
          <w:sz w:val="24"/>
          <w:rtl/>
        </w:rPr>
        <w:t xml:space="preserve">. </w:t>
      </w:r>
      <w:r w:rsidRPr="001F2586">
        <w:rPr>
          <w:rFonts w:ascii="David" w:eastAsia="Calibri" w:hAnsi="David" w:hint="eastAsia"/>
          <w:b/>
          <w:bCs/>
          <w:sz w:val="24"/>
          <w:rtl/>
        </w:rPr>
        <w:t>שיעור</w:t>
      </w:r>
      <w:r w:rsidRPr="001F2586">
        <w:rPr>
          <w:rFonts w:ascii="David" w:eastAsia="Calibri" w:hAnsi="David"/>
          <w:b/>
          <w:bCs/>
          <w:sz w:val="24"/>
          <w:rtl/>
        </w:rPr>
        <w:t xml:space="preserve"> </w:t>
      </w:r>
      <w:r w:rsidRPr="001F2586">
        <w:rPr>
          <w:rFonts w:ascii="David" w:eastAsia="Calibri" w:hAnsi="David" w:hint="eastAsia"/>
          <w:b/>
          <w:bCs/>
          <w:sz w:val="24"/>
          <w:rtl/>
        </w:rPr>
        <w:t>האישורים</w:t>
      </w:r>
      <w:r w:rsidRPr="001F2586">
        <w:rPr>
          <w:rFonts w:ascii="David" w:eastAsia="Calibri" w:hAnsi="David"/>
          <w:b/>
          <w:bCs/>
          <w:sz w:val="24"/>
          <w:rtl/>
        </w:rPr>
        <w:t xml:space="preserve"> </w:t>
      </w:r>
      <w:r w:rsidRPr="001F2586">
        <w:rPr>
          <w:rFonts w:ascii="David" w:eastAsia="Calibri" w:hAnsi="David" w:hint="eastAsia"/>
          <w:b/>
          <w:bCs/>
          <w:sz w:val="24"/>
          <w:rtl/>
        </w:rPr>
        <w:t>העקרוניים</w:t>
      </w:r>
      <w:r w:rsidRPr="001F2586">
        <w:rPr>
          <w:rFonts w:ascii="David" w:eastAsia="Calibri" w:hAnsi="David"/>
          <w:b/>
          <w:bCs/>
          <w:sz w:val="24"/>
          <w:rtl/>
        </w:rPr>
        <w:t xml:space="preserve"> </w:t>
      </w:r>
      <w:r w:rsidRPr="001F2586">
        <w:rPr>
          <w:rFonts w:ascii="David" w:eastAsia="Calibri" w:hAnsi="David" w:hint="eastAsia"/>
          <w:b/>
          <w:bCs/>
          <w:sz w:val="24"/>
          <w:rtl/>
        </w:rPr>
        <w:t>שהבשילו</w:t>
      </w:r>
      <w:r w:rsidRPr="001F2586">
        <w:rPr>
          <w:rFonts w:ascii="David" w:eastAsia="Calibri" w:hAnsi="David"/>
          <w:b/>
          <w:bCs/>
          <w:sz w:val="24"/>
          <w:rtl/>
        </w:rPr>
        <w:t xml:space="preserve"> </w:t>
      </w:r>
      <w:r w:rsidRPr="001F2586">
        <w:rPr>
          <w:rFonts w:ascii="David" w:eastAsia="Calibri" w:hAnsi="David" w:hint="eastAsia"/>
          <w:b/>
          <w:bCs/>
          <w:sz w:val="24"/>
          <w:rtl/>
        </w:rPr>
        <w:t>לכדי</w:t>
      </w:r>
      <w:r w:rsidRPr="001F2586">
        <w:rPr>
          <w:rFonts w:ascii="David" w:eastAsia="Calibri" w:hAnsi="David"/>
          <w:b/>
          <w:bCs/>
          <w:sz w:val="24"/>
          <w:rtl/>
        </w:rPr>
        <w:t xml:space="preserve"> </w:t>
      </w:r>
      <w:r w:rsidRPr="001F2586">
        <w:rPr>
          <w:rFonts w:ascii="David" w:eastAsia="Calibri" w:hAnsi="David" w:hint="eastAsia"/>
          <w:b/>
          <w:bCs/>
          <w:sz w:val="24"/>
          <w:rtl/>
        </w:rPr>
        <w:t>הלוואה</w:t>
      </w:r>
      <w:r w:rsidRPr="001F2586">
        <w:rPr>
          <w:rFonts w:ascii="David" w:eastAsia="Calibri" w:hAnsi="David"/>
          <w:b/>
          <w:bCs/>
          <w:sz w:val="24"/>
          <w:rtl/>
        </w:rPr>
        <w:t xml:space="preserve"> </w:t>
      </w:r>
      <w:r w:rsidRPr="001F2586">
        <w:rPr>
          <w:rFonts w:ascii="David" w:eastAsia="Calibri" w:hAnsi="David" w:hint="eastAsia"/>
          <w:b/>
          <w:bCs/>
          <w:sz w:val="24"/>
          <w:rtl/>
        </w:rPr>
        <w:t>עמד</w:t>
      </w:r>
      <w:r w:rsidRPr="001F2586">
        <w:rPr>
          <w:rFonts w:ascii="David" w:eastAsia="Calibri" w:hAnsi="David"/>
          <w:b/>
          <w:bCs/>
          <w:sz w:val="24"/>
          <w:rtl/>
        </w:rPr>
        <w:t xml:space="preserve"> </w:t>
      </w:r>
      <w:r w:rsidRPr="001F2586">
        <w:rPr>
          <w:rFonts w:ascii="David" w:eastAsia="Calibri" w:hAnsi="David" w:hint="eastAsia"/>
          <w:b/>
          <w:bCs/>
          <w:sz w:val="24"/>
          <w:rtl/>
        </w:rPr>
        <w:t>על</w:t>
      </w:r>
      <w:r w:rsidRPr="001F2586">
        <w:rPr>
          <w:rFonts w:ascii="David" w:eastAsia="Calibri" w:hAnsi="David"/>
          <w:b/>
          <w:bCs/>
          <w:sz w:val="24"/>
          <w:rtl/>
        </w:rPr>
        <w:t xml:space="preserve"> </w:t>
      </w:r>
      <w:r w:rsidRPr="001F2586">
        <w:rPr>
          <w:rFonts w:ascii="David" w:eastAsia="Calibri" w:hAnsi="David" w:hint="eastAsia"/>
          <w:b/>
          <w:bCs/>
          <w:sz w:val="24"/>
          <w:rtl/>
        </w:rPr>
        <w:t>כ</w:t>
      </w:r>
      <w:r w:rsidRPr="001F2586">
        <w:rPr>
          <w:rFonts w:ascii="David" w:eastAsia="Calibri" w:hAnsi="David"/>
          <w:b/>
          <w:bCs/>
          <w:sz w:val="24"/>
          <w:rtl/>
        </w:rPr>
        <w:t xml:space="preserve">-61% </w:t>
      </w:r>
      <w:r w:rsidRPr="001F2586">
        <w:rPr>
          <w:rFonts w:ascii="David" w:eastAsia="Calibri" w:hAnsi="David" w:hint="eastAsia"/>
          <w:b/>
          <w:bCs/>
          <w:sz w:val="24"/>
          <w:rtl/>
        </w:rPr>
        <w:t>עם</w:t>
      </w:r>
      <w:r w:rsidRPr="001F2586">
        <w:rPr>
          <w:rFonts w:ascii="David" w:eastAsia="Calibri" w:hAnsi="David"/>
          <w:b/>
          <w:bCs/>
          <w:sz w:val="24"/>
          <w:rtl/>
        </w:rPr>
        <w:t xml:space="preserve"> </w:t>
      </w:r>
      <w:r w:rsidRPr="001F2586">
        <w:rPr>
          <w:rFonts w:ascii="David" w:eastAsia="Calibri" w:hAnsi="David" w:hint="eastAsia"/>
          <w:b/>
          <w:bCs/>
          <w:sz w:val="24"/>
          <w:rtl/>
        </w:rPr>
        <w:t>יועץ</w:t>
      </w:r>
      <w:r w:rsidRPr="001F2586">
        <w:rPr>
          <w:rFonts w:ascii="David" w:eastAsia="Calibri" w:hAnsi="David"/>
          <w:b/>
          <w:bCs/>
          <w:sz w:val="24"/>
          <w:rtl/>
        </w:rPr>
        <w:t xml:space="preserve"> </w:t>
      </w:r>
      <w:r w:rsidRPr="001F2586">
        <w:rPr>
          <w:rFonts w:ascii="David" w:eastAsia="Calibri" w:hAnsi="David" w:hint="eastAsia"/>
          <w:b/>
          <w:bCs/>
          <w:sz w:val="24"/>
          <w:rtl/>
        </w:rPr>
        <w:t>משכנתאות</w:t>
      </w:r>
      <w:r w:rsidRPr="001F2586">
        <w:rPr>
          <w:rFonts w:ascii="David" w:eastAsia="Calibri" w:hAnsi="David"/>
          <w:b/>
          <w:bCs/>
          <w:sz w:val="24"/>
          <w:rtl/>
        </w:rPr>
        <w:t xml:space="preserve"> </w:t>
      </w:r>
      <w:r w:rsidRPr="001F2586">
        <w:rPr>
          <w:rFonts w:ascii="David" w:eastAsia="Calibri" w:hAnsi="David" w:hint="eastAsia"/>
          <w:b/>
          <w:bCs/>
          <w:sz w:val="24"/>
          <w:rtl/>
        </w:rPr>
        <w:t>ו</w:t>
      </w:r>
      <w:r w:rsidRPr="001F2586">
        <w:rPr>
          <w:rFonts w:ascii="David" w:eastAsia="Calibri" w:hAnsi="David"/>
          <w:b/>
          <w:bCs/>
          <w:sz w:val="24"/>
          <w:rtl/>
        </w:rPr>
        <w:t>-39%</w:t>
      </w:r>
      <w:r w:rsidRPr="001F2586">
        <w:rPr>
          <w:rFonts w:ascii="David" w:eastAsia="Calibri" w:hAnsi="David"/>
          <w:b/>
          <w:bCs/>
          <w:sz w:val="24"/>
        </w:rPr>
        <w:t xml:space="preserve"> </w:t>
      </w:r>
      <w:r w:rsidRPr="001F2586">
        <w:rPr>
          <w:rFonts w:ascii="David" w:eastAsia="Calibri" w:hAnsi="David" w:hint="eastAsia"/>
          <w:b/>
          <w:bCs/>
          <w:sz w:val="24"/>
          <w:rtl/>
        </w:rPr>
        <w:t>ללא</w:t>
      </w:r>
      <w:r w:rsidRPr="001F2586">
        <w:rPr>
          <w:rFonts w:ascii="David" w:eastAsia="Calibri" w:hAnsi="David"/>
          <w:b/>
          <w:bCs/>
          <w:sz w:val="24"/>
          <w:rtl/>
        </w:rPr>
        <w:t xml:space="preserve"> ליווי של יועץ משכנתאות.</w:t>
      </w:r>
    </w:p>
    <w:p w:rsidR="001F2586" w:rsidRPr="001F2586" w:rsidP="001F2586">
      <w:pPr>
        <w:spacing w:line="269" w:lineRule="auto"/>
        <w:rPr>
          <w:rFonts w:ascii="David" w:eastAsia="Calibri" w:hAnsi="David"/>
          <w:b/>
          <w:bCs/>
          <w:sz w:val="24"/>
          <w:rtl/>
        </w:rPr>
      </w:pPr>
      <w:r w:rsidRPr="001F2586">
        <w:rPr>
          <w:rFonts w:ascii="David" w:eastAsia="Calibri" w:hAnsi="David"/>
          <w:b/>
          <w:bCs/>
          <w:sz w:val="24"/>
          <w:rtl/>
        </w:rPr>
        <w:t xml:space="preserve"> </w:t>
      </w:r>
    </w:p>
    <w:p w:rsidR="001F2586" w:rsidRPr="001F2586" w:rsidP="001F2586">
      <w:pPr>
        <w:spacing w:line="269" w:lineRule="auto"/>
        <w:rPr>
          <w:rFonts w:ascii="David" w:eastAsia="Calibri" w:hAnsi="David"/>
          <w:b/>
          <w:bCs/>
          <w:sz w:val="24"/>
          <w:rtl/>
        </w:rPr>
      </w:pPr>
      <w:r w:rsidRPr="001F2586">
        <w:rPr>
          <w:rFonts w:ascii="David" w:eastAsia="Calibri" w:hAnsi="David" w:hint="cs"/>
          <w:b/>
          <w:bCs/>
          <w:sz w:val="24"/>
          <w:rtl/>
        </w:rPr>
        <w:t xml:space="preserve">מכלל נתונים אלו עולה כי השימוש ביועץ משכנתאות נפוץ אצל זוגות צעירים לרכישת דירה ראשונה, עיקר הרכישות של דירות בישובים הערביים והחרדיים מלוות על ידי יועצי משכנתאות, ומספר האישורים העקרוניים שמבשילים לכדי משכנתא גדול יותר אצל לקוחות המלווים על ידי יועצי משכנתאות מאשר לקוחות הפועלים ללא סיוע של יועץ משכנתאות. </w:t>
      </w:r>
    </w:p>
    <w:p w:rsidR="001F2586" w:rsidRPr="001F2586" w:rsidP="001F2586">
      <w:pPr>
        <w:spacing w:line="269" w:lineRule="auto"/>
        <w:rPr>
          <w:rFonts w:ascii="David" w:eastAsia="Calibri" w:hAnsi="David"/>
          <w:b/>
          <w:bCs/>
          <w:sz w:val="24"/>
          <w:rtl/>
        </w:rPr>
      </w:pPr>
    </w:p>
    <w:p w:rsidR="001F2586" w:rsidRPr="001F2586" w:rsidP="001F2586">
      <w:pPr>
        <w:keepNext/>
        <w:keepLines/>
        <w:numPr>
          <w:ilvl w:val="0"/>
          <w:numId w:val="30"/>
        </w:numPr>
        <w:spacing w:line="269" w:lineRule="auto"/>
        <w:ind w:left="312"/>
        <w:outlineLvl w:val="4"/>
        <w:rPr>
          <w:rFonts w:eastAsia="Times New Roman"/>
          <w:bCs/>
          <w:spacing w:val="40"/>
        </w:rPr>
      </w:pPr>
      <w:r w:rsidRPr="001F2586">
        <w:rPr>
          <w:rFonts w:eastAsia="Times New Roman" w:hint="cs"/>
          <w:bCs/>
          <w:spacing w:val="40"/>
          <w:rtl/>
        </w:rPr>
        <w:t xml:space="preserve">הבדלים במאפייני משכנתאות </w:t>
      </w:r>
    </w:p>
    <w:p w:rsidR="001F2586" w:rsidRPr="001F2586" w:rsidP="001F2586">
      <w:pPr>
        <w:spacing w:line="269" w:lineRule="auto"/>
        <w:ind w:left="-567"/>
        <w:rPr>
          <w:rFonts w:eastAsia="Calibri"/>
          <w:szCs w:val="20"/>
          <w:rtl/>
        </w:rPr>
      </w:pPr>
    </w:p>
    <w:p w:rsidR="001F2586" w:rsidRPr="001F2586" w:rsidP="001F2586">
      <w:pPr>
        <w:spacing w:line="269" w:lineRule="auto"/>
        <w:rPr>
          <w:rFonts w:ascii="David" w:eastAsia="Calibri" w:hAnsi="David"/>
          <w:sz w:val="24"/>
          <w:rtl/>
        </w:rPr>
      </w:pPr>
      <w:r w:rsidRPr="001F2586">
        <w:rPr>
          <w:rFonts w:ascii="David" w:eastAsia="Calibri" w:hAnsi="David" w:hint="eastAsia"/>
          <w:sz w:val="24"/>
          <w:rtl/>
        </w:rPr>
        <w:t>להלן</w:t>
      </w:r>
      <w:r w:rsidRPr="001F2586">
        <w:rPr>
          <w:rFonts w:ascii="David" w:eastAsia="Calibri" w:hAnsi="David"/>
          <w:sz w:val="24"/>
          <w:rtl/>
        </w:rPr>
        <w:t xml:space="preserve"> נתונים אודות </w:t>
      </w:r>
      <w:r w:rsidRPr="001F2586">
        <w:rPr>
          <w:rFonts w:ascii="David" w:eastAsia="Calibri" w:hAnsi="David" w:hint="cs"/>
          <w:sz w:val="24"/>
          <w:rtl/>
        </w:rPr>
        <w:t>מאפייני הלוואות שנלקחו בליווי יועץ משכנתאו</w:t>
      </w:r>
      <w:r w:rsidRPr="001F2586">
        <w:rPr>
          <w:rFonts w:ascii="David" w:eastAsia="Calibri" w:hAnsi="David" w:hint="eastAsia"/>
          <w:sz w:val="24"/>
          <w:rtl/>
        </w:rPr>
        <w:t>ת</w:t>
      </w:r>
      <w:r w:rsidRPr="001F2586">
        <w:rPr>
          <w:rFonts w:ascii="David" w:eastAsia="Calibri" w:hAnsi="David" w:hint="cs"/>
          <w:sz w:val="24"/>
          <w:rtl/>
        </w:rPr>
        <w:t xml:space="preserve"> וללא ליווי: </w:t>
      </w:r>
    </w:p>
    <w:p w:rsidR="001F2586" w:rsidRPr="001F2586" w:rsidP="001F2586">
      <w:pPr>
        <w:spacing w:line="269" w:lineRule="auto"/>
        <w:rPr>
          <w:rFonts w:ascii="David" w:eastAsia="Calibri" w:hAnsi="David"/>
          <w:sz w:val="24"/>
          <w:rtl/>
        </w:rPr>
      </w:pPr>
    </w:p>
    <w:p w:rsidR="001F2586" w:rsidRPr="001F2586" w:rsidP="001F2586">
      <w:pPr>
        <w:keepNext/>
        <w:keepLines/>
        <w:spacing w:line="269" w:lineRule="auto"/>
        <w:jc w:val="center"/>
        <w:rPr>
          <w:rFonts w:ascii="David" w:eastAsia="Calibri" w:hAnsi="David"/>
          <w:b/>
          <w:bCs/>
          <w:sz w:val="24"/>
          <w:rtl/>
        </w:rPr>
      </w:pPr>
      <w:r w:rsidRPr="001F2586">
        <w:rPr>
          <w:rFonts w:ascii="David" w:eastAsia="Calibri" w:hAnsi="David" w:hint="cs"/>
          <w:sz w:val="24"/>
          <w:rtl/>
        </w:rPr>
        <w:t xml:space="preserve">לוח </w:t>
      </w:r>
      <w:r w:rsidRPr="001F2586">
        <w:rPr>
          <w:rFonts w:ascii="David" w:eastAsia="Calibri" w:hAnsi="David"/>
          <w:sz w:val="24"/>
        </w:rPr>
        <w:t>17</w:t>
      </w:r>
      <w:r w:rsidRPr="001F2586">
        <w:rPr>
          <w:rFonts w:ascii="David" w:eastAsia="Calibri" w:hAnsi="David" w:hint="cs"/>
          <w:sz w:val="24"/>
          <w:rtl/>
        </w:rPr>
        <w:t>:</w:t>
      </w:r>
      <w:r w:rsidRPr="001F2586">
        <w:rPr>
          <w:rFonts w:ascii="David" w:eastAsia="Calibri" w:hAnsi="David" w:hint="cs"/>
          <w:b/>
          <w:bCs/>
          <w:sz w:val="24"/>
          <w:rtl/>
        </w:rPr>
        <w:t xml:space="preserve"> מאפייני משכנתאות ללא ובליווי יועץ משכנתאות </w:t>
      </w:r>
    </w:p>
    <w:tbl>
      <w:tblPr>
        <w:tblStyle w:val="TableGrid"/>
        <w:bidiVisual/>
        <w:tblW w:w="0" w:type="auto"/>
        <w:jc w:val="center"/>
        <w:tblLook w:val="04A0"/>
      </w:tblPr>
      <w:tblGrid>
        <w:gridCol w:w="1128"/>
        <w:gridCol w:w="1113"/>
        <w:gridCol w:w="1197"/>
        <w:gridCol w:w="1107"/>
        <w:gridCol w:w="1151"/>
        <w:gridCol w:w="1168"/>
        <w:gridCol w:w="1346"/>
      </w:tblGrid>
      <w:tr w:rsidTr="006F0DF8">
        <w:tblPrEx>
          <w:tblW w:w="0" w:type="auto"/>
          <w:tblLook w:val="04A0"/>
        </w:tblPrEx>
        <w:tc>
          <w:tcPr>
            <w:tcW w:w="0" w:type="auto"/>
          </w:tcPr>
          <w:p w:rsidR="001F2586" w:rsidRPr="001F2586" w:rsidP="001F2586">
            <w:pPr>
              <w:spacing w:line="269" w:lineRule="auto"/>
              <w:rPr>
                <w:rFonts w:ascii="David" w:eastAsia="Calibri" w:hAnsi="David"/>
                <w:b/>
                <w:bCs/>
                <w:sz w:val="24"/>
                <w:rtl/>
              </w:rPr>
            </w:pPr>
          </w:p>
        </w:tc>
        <w:tc>
          <w:tcPr>
            <w:tcW w:w="0" w:type="auto"/>
          </w:tcPr>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tl/>
              </w:rPr>
              <w:t>שיעור ההלוואות</w:t>
            </w:r>
          </w:p>
        </w:tc>
        <w:tc>
          <w:tcPr>
            <w:tcW w:w="0" w:type="auto"/>
          </w:tcPr>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tl/>
              </w:rPr>
              <w:t>גובה הלוואה ממוצעת</w:t>
            </w:r>
          </w:p>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tl/>
              </w:rPr>
              <w:t>(בש"ח)</w:t>
            </w:r>
          </w:p>
        </w:tc>
        <w:tc>
          <w:tcPr>
            <w:tcW w:w="0" w:type="auto"/>
          </w:tcPr>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tl/>
              </w:rPr>
              <w:t>שווי נכס ממוצע</w:t>
            </w:r>
          </w:p>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tl/>
              </w:rPr>
              <w:t>(בש"ח)</w:t>
            </w:r>
          </w:p>
        </w:tc>
        <w:tc>
          <w:tcPr>
            <w:tcW w:w="0" w:type="auto"/>
          </w:tcPr>
          <w:p w:rsidR="001F2586" w:rsidRPr="001F2586" w:rsidP="001F2586">
            <w:pPr>
              <w:spacing w:line="269" w:lineRule="auto"/>
              <w:jc w:val="center"/>
              <w:rPr>
                <w:rFonts w:ascii="David" w:eastAsia="Calibri" w:hAnsi="David"/>
                <w:b/>
                <w:bCs/>
                <w:sz w:val="22"/>
                <w:szCs w:val="22"/>
                <w:rtl/>
              </w:rPr>
            </w:pPr>
            <w:r w:rsidRPr="001F2586">
              <w:rPr>
                <w:rFonts w:ascii="David" w:eastAsia="Calibri" w:hAnsi="David" w:hint="cs"/>
                <w:b/>
                <w:bCs/>
                <w:sz w:val="22"/>
                <w:szCs w:val="22"/>
              </w:rPr>
              <w:t>PTI</w:t>
            </w:r>
            <w:r w:rsidRPr="001F2586">
              <w:rPr>
                <w:rFonts w:ascii="David" w:eastAsia="Calibri" w:hAnsi="David" w:hint="cs"/>
                <w:b/>
                <w:bCs/>
                <w:sz w:val="22"/>
                <w:szCs w:val="22"/>
                <w:rtl/>
              </w:rPr>
              <w:t xml:space="preserve"> </w:t>
            </w:r>
            <w:r>
              <w:rPr>
                <w:rFonts w:ascii="David" w:eastAsia="Calibri" w:hAnsi="David"/>
                <w:b/>
                <w:bCs/>
                <w:sz w:val="22"/>
                <w:szCs w:val="22"/>
                <w:vertAlign w:val="superscript"/>
                <w:rtl/>
              </w:rPr>
              <w:footnoteReference w:id="466"/>
            </w:r>
            <w:r w:rsidRPr="001F2586">
              <w:rPr>
                <w:rFonts w:ascii="David" w:eastAsia="Calibri" w:hAnsi="David" w:hint="cs"/>
                <w:b/>
                <w:bCs/>
                <w:sz w:val="22"/>
                <w:szCs w:val="22"/>
                <w:rtl/>
              </w:rPr>
              <w:t>משוקלל</w:t>
            </w:r>
          </w:p>
        </w:tc>
        <w:tc>
          <w:tcPr>
            <w:tcW w:w="0" w:type="auto"/>
          </w:tcPr>
          <w:p w:rsidR="001F2586" w:rsidRPr="001F2586" w:rsidP="001F2586">
            <w:pPr>
              <w:spacing w:line="269" w:lineRule="auto"/>
              <w:jc w:val="center"/>
              <w:rPr>
                <w:rFonts w:ascii="David" w:eastAsia="Calibri" w:hAnsi="David"/>
                <w:b/>
                <w:bCs/>
                <w:sz w:val="22"/>
                <w:szCs w:val="22"/>
              </w:rPr>
            </w:pPr>
            <w:r w:rsidRPr="001F2586">
              <w:rPr>
                <w:rFonts w:ascii="David" w:eastAsia="Calibri" w:hAnsi="David" w:hint="cs"/>
                <w:b/>
                <w:bCs/>
                <w:sz w:val="22"/>
                <w:szCs w:val="22"/>
              </w:rPr>
              <w:t>LTV</w:t>
            </w:r>
            <w:r w:rsidRPr="001F2586">
              <w:rPr>
                <w:rFonts w:ascii="David" w:eastAsia="Calibri" w:hAnsi="David" w:hint="cs"/>
                <w:b/>
                <w:bCs/>
                <w:sz w:val="22"/>
                <w:szCs w:val="22"/>
                <w:rtl/>
              </w:rPr>
              <w:t xml:space="preserve"> </w:t>
            </w:r>
            <w:r>
              <w:rPr>
                <w:rFonts w:ascii="David" w:eastAsia="Calibri" w:hAnsi="David"/>
                <w:b/>
                <w:bCs/>
                <w:sz w:val="22"/>
                <w:szCs w:val="22"/>
                <w:vertAlign w:val="superscript"/>
                <w:rtl/>
              </w:rPr>
              <w:footnoteReference w:id="467"/>
            </w:r>
            <w:r w:rsidRPr="001F2586">
              <w:rPr>
                <w:rFonts w:ascii="David" w:eastAsia="Calibri" w:hAnsi="David" w:hint="cs"/>
                <w:b/>
                <w:bCs/>
                <w:sz w:val="22"/>
                <w:szCs w:val="22"/>
                <w:rtl/>
              </w:rPr>
              <w:t>משוקלל</w:t>
            </w:r>
          </w:p>
        </w:tc>
        <w:tc>
          <w:tcPr>
            <w:tcW w:w="0" w:type="auto"/>
          </w:tcPr>
          <w:p w:rsidR="001F2586" w:rsidRPr="001F2586" w:rsidP="001F2586">
            <w:pPr>
              <w:spacing w:line="269" w:lineRule="auto"/>
              <w:jc w:val="center"/>
              <w:rPr>
                <w:rFonts w:ascii="David" w:eastAsia="Calibri" w:hAnsi="David"/>
                <w:b/>
                <w:bCs/>
                <w:sz w:val="22"/>
                <w:szCs w:val="22"/>
              </w:rPr>
            </w:pPr>
            <w:r w:rsidRPr="001F2586">
              <w:rPr>
                <w:rFonts w:ascii="David" w:eastAsia="Calibri" w:hAnsi="David" w:hint="cs"/>
                <w:b/>
                <w:bCs/>
                <w:sz w:val="22"/>
                <w:szCs w:val="22"/>
                <w:rtl/>
              </w:rPr>
              <w:t>שיעור הלוואות עם רכיב מוצמד למדד</w:t>
            </w:r>
          </w:p>
        </w:tc>
      </w:tr>
      <w:tr w:rsidTr="006F0DF8">
        <w:tblPrEx>
          <w:tblW w:w="0" w:type="auto"/>
          <w:tblLook w:val="04A0"/>
        </w:tblPrEx>
        <w:tc>
          <w:tcPr>
            <w:tcW w:w="0" w:type="auto"/>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hint="cs"/>
                <w:b/>
                <w:bCs/>
                <w:sz w:val="22"/>
                <w:szCs w:val="22"/>
                <w:rtl/>
              </w:rPr>
              <w:t>הלוואות ללא ליווי ייעוץ</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39%</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1,035,263</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2,568,531</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27.2%</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53.7%</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45%</w:t>
            </w:r>
          </w:p>
        </w:tc>
      </w:tr>
      <w:tr w:rsidTr="006F0DF8">
        <w:tblPrEx>
          <w:tblW w:w="0" w:type="auto"/>
          <w:tblLook w:val="04A0"/>
        </w:tblPrEx>
        <w:tc>
          <w:tcPr>
            <w:tcW w:w="0" w:type="auto"/>
            <w:shd w:val="clear" w:color="auto" w:fill="A6A6A6"/>
          </w:tcPr>
          <w:p w:rsidR="001F2586" w:rsidRPr="001F2586" w:rsidP="001F2586">
            <w:pPr>
              <w:spacing w:line="269" w:lineRule="auto"/>
              <w:jc w:val="left"/>
              <w:rPr>
                <w:rFonts w:ascii="David" w:eastAsia="Calibri" w:hAnsi="David"/>
                <w:b/>
                <w:bCs/>
                <w:sz w:val="22"/>
                <w:szCs w:val="22"/>
                <w:rtl/>
              </w:rPr>
            </w:pPr>
            <w:r w:rsidRPr="001F2586">
              <w:rPr>
                <w:rFonts w:ascii="David" w:eastAsia="Calibri" w:hAnsi="David" w:hint="cs"/>
                <w:b/>
                <w:bCs/>
                <w:sz w:val="22"/>
                <w:szCs w:val="22"/>
                <w:rtl/>
              </w:rPr>
              <w:t>הלוואות בליווי ייעוץ</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61%</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1,082,794</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2,428,073</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29.1%</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58.3%</w:t>
            </w:r>
          </w:p>
        </w:tc>
        <w:tc>
          <w:tcPr>
            <w:tcW w:w="0" w:type="auto"/>
          </w:tcPr>
          <w:p w:rsidR="001F2586" w:rsidRPr="001F2586" w:rsidP="001F2586">
            <w:pPr>
              <w:spacing w:line="269" w:lineRule="auto"/>
              <w:jc w:val="left"/>
              <w:rPr>
                <w:rFonts w:ascii="David" w:eastAsia="Calibri" w:hAnsi="David"/>
                <w:sz w:val="22"/>
                <w:szCs w:val="22"/>
                <w:rtl/>
              </w:rPr>
            </w:pPr>
            <w:r w:rsidRPr="001F2586">
              <w:rPr>
                <w:rFonts w:ascii="David" w:eastAsia="Calibri" w:hAnsi="David"/>
                <w:sz w:val="22"/>
                <w:szCs w:val="22"/>
                <w:rtl/>
              </w:rPr>
              <w:t>52%</w:t>
            </w:r>
          </w:p>
        </w:tc>
      </w:tr>
    </w:tbl>
    <w:p w:rsidR="001F2586" w:rsidRPr="001F2586" w:rsidP="001F2586">
      <w:pPr>
        <w:spacing w:line="269" w:lineRule="auto"/>
        <w:rPr>
          <w:rFonts w:eastAsia="Calibri"/>
          <w:sz w:val="16"/>
          <w:szCs w:val="20"/>
          <w:rtl/>
        </w:rPr>
      </w:pPr>
      <w:r w:rsidRPr="001F2586">
        <w:rPr>
          <w:rFonts w:eastAsia="Calibri" w:hint="eastAsia"/>
          <w:sz w:val="16"/>
          <w:szCs w:val="20"/>
          <w:rtl/>
        </w:rPr>
        <w:t>המקור</w:t>
      </w:r>
      <w:r w:rsidRPr="001F2586">
        <w:rPr>
          <w:rFonts w:eastAsia="Calibri"/>
          <w:sz w:val="16"/>
          <w:szCs w:val="20"/>
          <w:rtl/>
        </w:rPr>
        <w:t xml:space="preserve">: </w:t>
      </w:r>
      <w:r w:rsidRPr="001F2586">
        <w:rPr>
          <w:rFonts w:eastAsia="Calibri" w:hint="eastAsia"/>
          <w:sz w:val="16"/>
          <w:szCs w:val="20"/>
          <w:rtl/>
        </w:rPr>
        <w:t>נתוני</w:t>
      </w:r>
      <w:r w:rsidRPr="001F2586">
        <w:rPr>
          <w:rFonts w:eastAsia="Calibri"/>
          <w:sz w:val="16"/>
          <w:szCs w:val="20"/>
          <w:rtl/>
        </w:rPr>
        <w:t xml:space="preserve"> </w:t>
      </w:r>
      <w:r w:rsidRPr="001F2586">
        <w:rPr>
          <w:rFonts w:eastAsia="Calibri" w:hint="eastAsia"/>
          <w:sz w:val="16"/>
          <w:szCs w:val="20"/>
          <w:rtl/>
        </w:rPr>
        <w:t>בנק</w:t>
      </w:r>
      <w:r w:rsidRPr="001F2586">
        <w:rPr>
          <w:rFonts w:eastAsia="Calibri"/>
          <w:sz w:val="16"/>
          <w:szCs w:val="20"/>
          <w:rtl/>
        </w:rPr>
        <w:t xml:space="preserve"> </w:t>
      </w:r>
      <w:r w:rsidRPr="001F2586">
        <w:rPr>
          <w:rFonts w:eastAsia="Calibri" w:hint="eastAsia"/>
          <w:sz w:val="16"/>
          <w:szCs w:val="20"/>
          <w:rtl/>
        </w:rPr>
        <w:t>ישראל</w:t>
      </w:r>
      <w:r w:rsidRPr="001F2586">
        <w:rPr>
          <w:rFonts w:eastAsia="Calibri"/>
          <w:sz w:val="16"/>
          <w:szCs w:val="20"/>
          <w:rtl/>
        </w:rPr>
        <w:t xml:space="preserve">, </w:t>
      </w:r>
      <w:r w:rsidRPr="001F2586">
        <w:rPr>
          <w:rFonts w:eastAsia="Calibri" w:hint="eastAsia"/>
          <w:sz w:val="16"/>
          <w:szCs w:val="20"/>
          <w:rtl/>
        </w:rPr>
        <w:t>לחודשים</w:t>
      </w:r>
      <w:r w:rsidRPr="001F2586">
        <w:rPr>
          <w:rFonts w:eastAsia="Calibri"/>
          <w:sz w:val="16"/>
          <w:szCs w:val="20"/>
          <w:rtl/>
        </w:rPr>
        <w:t xml:space="preserve"> </w:t>
      </w:r>
      <w:r w:rsidRPr="001F2586">
        <w:rPr>
          <w:rFonts w:eastAsia="Calibri" w:hint="eastAsia"/>
          <w:sz w:val="16"/>
          <w:szCs w:val="20"/>
          <w:rtl/>
        </w:rPr>
        <w:t>ינואר</w:t>
      </w:r>
      <w:r w:rsidRPr="001F2586">
        <w:rPr>
          <w:rFonts w:eastAsia="Calibri"/>
          <w:sz w:val="16"/>
          <w:szCs w:val="20"/>
          <w:rtl/>
        </w:rPr>
        <w:t xml:space="preserve"> 2024 </w:t>
      </w:r>
      <w:r w:rsidRPr="001F2586">
        <w:rPr>
          <w:rFonts w:eastAsia="Calibri" w:hint="eastAsia"/>
          <w:sz w:val="16"/>
          <w:szCs w:val="20"/>
          <w:rtl/>
        </w:rPr>
        <w:t>עד</w:t>
      </w:r>
      <w:r w:rsidRPr="001F2586">
        <w:rPr>
          <w:rFonts w:eastAsia="Calibri"/>
          <w:sz w:val="16"/>
          <w:szCs w:val="20"/>
          <w:rtl/>
        </w:rPr>
        <w:t xml:space="preserve"> </w:t>
      </w:r>
      <w:r w:rsidRPr="001F2586">
        <w:rPr>
          <w:rFonts w:eastAsia="Calibri" w:hint="eastAsia"/>
          <w:sz w:val="16"/>
          <w:szCs w:val="20"/>
          <w:rtl/>
        </w:rPr>
        <w:t>מרץ</w:t>
      </w:r>
      <w:r w:rsidRPr="001F2586">
        <w:rPr>
          <w:rFonts w:eastAsia="Calibri"/>
          <w:sz w:val="16"/>
          <w:szCs w:val="20"/>
          <w:rtl/>
        </w:rPr>
        <w:t xml:space="preserve"> 2025</w:t>
      </w:r>
      <w:r w:rsidRPr="001F2586">
        <w:rPr>
          <w:rFonts w:eastAsia="Calibri" w:hint="cs"/>
          <w:sz w:val="16"/>
          <w:szCs w:val="20"/>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eastAsia"/>
          <w:b/>
          <w:bCs/>
          <w:rtl/>
        </w:rPr>
        <w:t>מנתונים</w:t>
      </w:r>
      <w:r w:rsidRPr="001F2586">
        <w:rPr>
          <w:rFonts w:eastAsia="Calibri"/>
          <w:b/>
          <w:bCs/>
          <w:rtl/>
        </w:rPr>
        <w:t xml:space="preserve"> </w:t>
      </w:r>
      <w:r w:rsidRPr="001F2586">
        <w:rPr>
          <w:rFonts w:eastAsia="Calibri" w:hint="eastAsia"/>
          <w:b/>
          <w:bCs/>
          <w:rtl/>
        </w:rPr>
        <w:t>אלה</w:t>
      </w:r>
      <w:r w:rsidRPr="001F2586">
        <w:rPr>
          <w:rFonts w:eastAsia="Calibri"/>
          <w:b/>
          <w:bCs/>
          <w:rtl/>
        </w:rPr>
        <w:t xml:space="preserve"> </w:t>
      </w:r>
      <w:r w:rsidRPr="001F2586">
        <w:rPr>
          <w:rFonts w:eastAsia="Calibri" w:hint="eastAsia"/>
          <w:b/>
          <w:bCs/>
          <w:rtl/>
        </w:rPr>
        <w:t>נראה</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גובה</w:t>
      </w:r>
      <w:r w:rsidRPr="001F2586">
        <w:rPr>
          <w:rFonts w:eastAsia="Calibri"/>
          <w:b/>
          <w:bCs/>
          <w:rtl/>
        </w:rPr>
        <w:t xml:space="preserve"> </w:t>
      </w:r>
      <w:r w:rsidRPr="001F2586">
        <w:rPr>
          <w:rFonts w:eastAsia="Calibri" w:hint="eastAsia"/>
          <w:b/>
          <w:bCs/>
          <w:rtl/>
        </w:rPr>
        <w:t>ההלוואה</w:t>
      </w:r>
      <w:r w:rsidRPr="001F2586">
        <w:rPr>
          <w:rFonts w:eastAsia="Calibri"/>
          <w:b/>
          <w:bCs/>
          <w:rtl/>
        </w:rPr>
        <w:t xml:space="preserve"> </w:t>
      </w:r>
      <w:r w:rsidRPr="001F2586">
        <w:rPr>
          <w:rFonts w:eastAsia="Calibri" w:hint="eastAsia"/>
          <w:b/>
          <w:bCs/>
          <w:rtl/>
        </w:rPr>
        <w:t>כאחוז</w:t>
      </w:r>
      <w:r w:rsidRPr="001F2586">
        <w:rPr>
          <w:rFonts w:eastAsia="Calibri"/>
          <w:b/>
          <w:bCs/>
          <w:rtl/>
        </w:rPr>
        <w:t xml:space="preserve"> </w:t>
      </w:r>
      <w:r w:rsidRPr="001F2586">
        <w:rPr>
          <w:rFonts w:eastAsia="Calibri" w:hint="eastAsia"/>
          <w:b/>
          <w:bCs/>
          <w:rtl/>
        </w:rPr>
        <w:t>משווי</w:t>
      </w:r>
      <w:r w:rsidRPr="001F2586">
        <w:rPr>
          <w:rFonts w:eastAsia="Calibri"/>
          <w:b/>
          <w:bCs/>
          <w:rtl/>
        </w:rPr>
        <w:t xml:space="preserve"> </w:t>
      </w:r>
      <w:r w:rsidRPr="001F2586">
        <w:rPr>
          <w:rFonts w:eastAsia="Calibri" w:hint="eastAsia"/>
          <w:b/>
          <w:bCs/>
          <w:rtl/>
        </w:rPr>
        <w:t>הנכס</w:t>
      </w:r>
      <w:r w:rsidRPr="001F2586">
        <w:rPr>
          <w:rFonts w:eastAsia="Calibri"/>
          <w:b/>
          <w:bCs/>
          <w:rtl/>
        </w:rPr>
        <w:t xml:space="preserve"> </w:t>
      </w:r>
      <w:r w:rsidRPr="001F2586">
        <w:rPr>
          <w:rFonts w:eastAsia="Calibri" w:hint="eastAsia"/>
          <w:b/>
          <w:bCs/>
          <w:rtl/>
        </w:rPr>
        <w:t>גבוהה</w:t>
      </w:r>
      <w:r w:rsidRPr="001F2586">
        <w:rPr>
          <w:rFonts w:eastAsia="Calibri"/>
          <w:b/>
          <w:bCs/>
          <w:rtl/>
        </w:rPr>
        <w:t xml:space="preserve"> </w:t>
      </w:r>
      <w:r w:rsidRPr="001F2586">
        <w:rPr>
          <w:rFonts w:eastAsia="Calibri" w:hint="eastAsia"/>
          <w:b/>
          <w:bCs/>
          <w:rtl/>
        </w:rPr>
        <w:t>יותר</w:t>
      </w:r>
      <w:r w:rsidRPr="001F2586">
        <w:rPr>
          <w:rFonts w:eastAsia="Calibri"/>
          <w:b/>
          <w:bCs/>
          <w:rtl/>
        </w:rPr>
        <w:t xml:space="preserve"> </w:t>
      </w:r>
      <w:r w:rsidRPr="001F2586">
        <w:rPr>
          <w:rFonts w:eastAsia="Calibri" w:hint="eastAsia"/>
          <w:b/>
          <w:bCs/>
          <w:rtl/>
        </w:rPr>
        <w:t>בהלוואות</w:t>
      </w:r>
      <w:r w:rsidRPr="001F2586">
        <w:rPr>
          <w:rFonts w:eastAsia="Calibri"/>
          <w:b/>
          <w:bCs/>
          <w:rtl/>
        </w:rPr>
        <w:t xml:space="preserve"> </w:t>
      </w:r>
      <w:r w:rsidRPr="001F2586">
        <w:rPr>
          <w:rFonts w:eastAsia="Calibri" w:hint="eastAsia"/>
          <w:b/>
          <w:bCs/>
          <w:rtl/>
        </w:rPr>
        <w:t>בליווי</w:t>
      </w:r>
      <w:r w:rsidRPr="001F2586">
        <w:rPr>
          <w:rFonts w:eastAsia="Calibri"/>
          <w:b/>
          <w:bCs/>
          <w:rtl/>
        </w:rPr>
        <w:t xml:space="preserve"> </w:t>
      </w:r>
      <w:r w:rsidRPr="001F2586">
        <w:rPr>
          <w:rFonts w:eastAsia="Calibri" w:hint="eastAsia"/>
          <w:b/>
          <w:bCs/>
          <w:rtl/>
        </w:rPr>
        <w:t>יועץ</w:t>
      </w:r>
      <w:r w:rsidRPr="001F2586">
        <w:rPr>
          <w:rFonts w:eastAsia="Calibri"/>
          <w:b/>
          <w:bCs/>
          <w:rtl/>
        </w:rPr>
        <w:t xml:space="preserve"> (53.7% </w:t>
      </w:r>
      <w:r w:rsidRPr="001F2586">
        <w:rPr>
          <w:rFonts w:eastAsia="Calibri" w:hint="eastAsia"/>
          <w:b/>
          <w:bCs/>
          <w:rtl/>
        </w:rPr>
        <w:t>אל</w:t>
      </w:r>
      <w:r w:rsidRPr="001F2586">
        <w:rPr>
          <w:rFonts w:eastAsia="Calibri"/>
          <w:b/>
          <w:bCs/>
          <w:rtl/>
        </w:rPr>
        <w:t xml:space="preserve"> </w:t>
      </w:r>
      <w:r w:rsidRPr="001F2586">
        <w:rPr>
          <w:rFonts w:eastAsia="Calibri" w:hint="eastAsia"/>
          <w:b/>
          <w:bCs/>
          <w:rtl/>
        </w:rPr>
        <w:t>מול</w:t>
      </w:r>
      <w:r w:rsidRPr="001F2586">
        <w:rPr>
          <w:rFonts w:eastAsia="Calibri"/>
          <w:b/>
          <w:bCs/>
          <w:rtl/>
        </w:rPr>
        <w:t xml:space="preserve"> 58.3%) </w:t>
      </w:r>
      <w:r w:rsidRPr="001F2586">
        <w:rPr>
          <w:rFonts w:eastAsia="Calibri" w:hint="eastAsia"/>
          <w:b/>
          <w:bCs/>
          <w:rtl/>
        </w:rPr>
        <w:t>ושיעור</w:t>
      </w:r>
      <w:r w:rsidRPr="001F2586">
        <w:rPr>
          <w:rFonts w:eastAsia="Calibri"/>
          <w:b/>
          <w:bCs/>
          <w:rtl/>
        </w:rPr>
        <w:t xml:space="preserve"> </w:t>
      </w:r>
      <w:r w:rsidRPr="001F2586">
        <w:rPr>
          <w:rFonts w:eastAsia="Calibri" w:hint="eastAsia"/>
          <w:b/>
          <w:bCs/>
          <w:rtl/>
        </w:rPr>
        <w:t>ההלוואות</w:t>
      </w:r>
      <w:r w:rsidRPr="001F2586">
        <w:rPr>
          <w:rFonts w:eastAsia="Calibri"/>
          <w:b/>
          <w:bCs/>
          <w:rtl/>
        </w:rPr>
        <w:t xml:space="preserve"> </w:t>
      </w:r>
      <w:r w:rsidRPr="001F2586">
        <w:rPr>
          <w:rFonts w:eastAsia="Calibri" w:hint="eastAsia"/>
          <w:b/>
          <w:bCs/>
          <w:rtl/>
        </w:rPr>
        <w:t>עם</w:t>
      </w:r>
      <w:r w:rsidRPr="001F2586">
        <w:rPr>
          <w:rFonts w:eastAsia="Calibri"/>
          <w:b/>
          <w:bCs/>
          <w:rtl/>
        </w:rPr>
        <w:t xml:space="preserve"> </w:t>
      </w:r>
      <w:r w:rsidRPr="001F2586">
        <w:rPr>
          <w:rFonts w:eastAsia="Calibri" w:hint="eastAsia"/>
          <w:b/>
          <w:bCs/>
          <w:rtl/>
        </w:rPr>
        <w:t>רכיב</w:t>
      </w:r>
      <w:r w:rsidRPr="001F2586">
        <w:rPr>
          <w:rFonts w:eastAsia="Calibri"/>
          <w:b/>
          <w:bCs/>
          <w:rtl/>
        </w:rPr>
        <w:t xml:space="preserve"> </w:t>
      </w:r>
      <w:r w:rsidRPr="001F2586">
        <w:rPr>
          <w:rFonts w:eastAsia="Calibri" w:hint="eastAsia"/>
          <w:b/>
          <w:bCs/>
          <w:rtl/>
        </w:rPr>
        <w:t>מוצמד</w:t>
      </w:r>
      <w:r w:rsidRPr="001F2586">
        <w:rPr>
          <w:rFonts w:eastAsia="Calibri"/>
          <w:b/>
          <w:bCs/>
          <w:rtl/>
        </w:rPr>
        <w:t xml:space="preserve"> </w:t>
      </w:r>
      <w:r w:rsidRPr="001F2586">
        <w:rPr>
          <w:rFonts w:eastAsia="Calibri" w:hint="eastAsia"/>
          <w:b/>
          <w:bCs/>
          <w:rtl/>
        </w:rPr>
        <w:t>למדד</w:t>
      </w:r>
      <w:r w:rsidRPr="001F2586">
        <w:rPr>
          <w:rFonts w:eastAsia="Calibri"/>
          <w:b/>
          <w:bCs/>
          <w:rtl/>
        </w:rPr>
        <w:t xml:space="preserve"> </w:t>
      </w:r>
      <w:r w:rsidRPr="001F2586">
        <w:rPr>
          <w:rFonts w:eastAsia="Calibri" w:hint="eastAsia"/>
          <w:b/>
          <w:bCs/>
          <w:rtl/>
        </w:rPr>
        <w:t>גבוה</w:t>
      </w:r>
      <w:r w:rsidRPr="001F2586">
        <w:rPr>
          <w:rFonts w:eastAsia="Calibri"/>
          <w:b/>
          <w:bCs/>
          <w:rtl/>
        </w:rPr>
        <w:t xml:space="preserve"> </w:t>
      </w:r>
      <w:r w:rsidRPr="001F2586">
        <w:rPr>
          <w:rFonts w:eastAsia="Calibri" w:hint="eastAsia"/>
          <w:b/>
          <w:bCs/>
          <w:rtl/>
        </w:rPr>
        <w:t>יותר</w:t>
      </w:r>
      <w:r w:rsidRPr="001F2586">
        <w:rPr>
          <w:rFonts w:eastAsia="Calibri"/>
          <w:b/>
          <w:bCs/>
          <w:rtl/>
        </w:rPr>
        <w:t xml:space="preserve"> </w:t>
      </w:r>
      <w:r w:rsidRPr="001F2586">
        <w:rPr>
          <w:rFonts w:eastAsia="Calibri" w:hint="eastAsia"/>
          <w:b/>
          <w:bCs/>
          <w:rtl/>
        </w:rPr>
        <w:t>בהלוואות</w:t>
      </w:r>
      <w:r w:rsidRPr="001F2586">
        <w:rPr>
          <w:rFonts w:eastAsia="Calibri"/>
          <w:b/>
          <w:bCs/>
          <w:rtl/>
        </w:rPr>
        <w:t xml:space="preserve"> </w:t>
      </w:r>
      <w:r w:rsidRPr="001F2586">
        <w:rPr>
          <w:rFonts w:eastAsia="Calibri" w:hint="eastAsia"/>
          <w:b/>
          <w:bCs/>
          <w:rtl/>
        </w:rPr>
        <w:t>בליווי</w:t>
      </w:r>
      <w:r w:rsidRPr="001F2586">
        <w:rPr>
          <w:rFonts w:eastAsia="Calibri"/>
          <w:b/>
          <w:bCs/>
          <w:rtl/>
        </w:rPr>
        <w:t xml:space="preserve"> </w:t>
      </w:r>
      <w:r w:rsidRPr="001F2586">
        <w:rPr>
          <w:rFonts w:eastAsia="Calibri" w:hint="eastAsia"/>
          <w:b/>
          <w:bCs/>
          <w:rtl/>
        </w:rPr>
        <w:t>יועץ</w:t>
      </w:r>
      <w:r w:rsidRPr="001F2586">
        <w:rPr>
          <w:rFonts w:eastAsia="Calibri"/>
          <w:b/>
          <w:bCs/>
          <w:rtl/>
        </w:rPr>
        <w:t xml:space="preserve"> (52% </w:t>
      </w:r>
      <w:r w:rsidRPr="001F2586">
        <w:rPr>
          <w:rFonts w:eastAsia="Calibri" w:hint="eastAsia"/>
          <w:b/>
          <w:bCs/>
          <w:rtl/>
        </w:rPr>
        <w:t>אל</w:t>
      </w:r>
      <w:r w:rsidRPr="001F2586">
        <w:rPr>
          <w:rFonts w:eastAsia="Calibri"/>
          <w:b/>
          <w:bCs/>
          <w:rtl/>
        </w:rPr>
        <w:t xml:space="preserve"> </w:t>
      </w:r>
      <w:r w:rsidRPr="001F2586">
        <w:rPr>
          <w:rFonts w:eastAsia="Calibri" w:hint="eastAsia"/>
          <w:b/>
          <w:bCs/>
          <w:rtl/>
        </w:rPr>
        <w:t>מול</w:t>
      </w:r>
      <w:r w:rsidRPr="001F2586">
        <w:rPr>
          <w:rFonts w:eastAsia="Calibri"/>
          <w:b/>
          <w:bCs/>
          <w:rtl/>
        </w:rPr>
        <w:t xml:space="preserve"> 45%).</w:t>
      </w:r>
    </w:p>
    <w:p w:rsidR="001F2586" w:rsidRPr="001F2586" w:rsidP="001F2586">
      <w:pPr>
        <w:spacing w:line="269" w:lineRule="auto"/>
        <w:rPr>
          <w:rFonts w:eastAsia="Calibri"/>
          <w:rtl/>
        </w:rPr>
      </w:pPr>
    </w:p>
    <w:p w:rsidR="001F2586" w:rsidRPr="001F2586" w:rsidP="001F2586">
      <w:pPr>
        <w:numPr>
          <w:ilvl w:val="0"/>
          <w:numId w:val="30"/>
        </w:numPr>
        <w:spacing w:line="269" w:lineRule="auto"/>
        <w:ind w:left="424"/>
        <w:contextualSpacing/>
        <w:rPr>
          <w:rFonts w:eastAsia="Calibri"/>
          <w:b/>
          <w:bCs/>
        </w:rPr>
      </w:pPr>
      <w:r w:rsidRPr="001F2586">
        <w:rPr>
          <w:rFonts w:eastAsia="Calibri" w:hint="eastAsia"/>
          <w:b/>
          <w:bCs/>
          <w:rtl/>
        </w:rPr>
        <w:t>תמהילים</w:t>
      </w:r>
      <w:r w:rsidRPr="001F2586">
        <w:rPr>
          <w:rFonts w:eastAsia="Calibri"/>
          <w:b/>
          <w:bCs/>
          <w:rtl/>
        </w:rPr>
        <w:t xml:space="preserve"> נפוצים ללקיחת משכנתא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תמהילי משכנתא הם פיצול סכום המשכנתא למספר מסלולי ריבית, </w:t>
      </w:r>
      <w:r w:rsidRPr="001F2586">
        <w:rPr>
          <w:rFonts w:eastAsia="Calibri" w:hint="cs"/>
          <w:rtl/>
        </w:rPr>
        <w:t>על מנת</w:t>
      </w:r>
      <w:r w:rsidRPr="001F2586">
        <w:rPr>
          <w:rFonts w:eastAsia="Calibri"/>
          <w:rtl/>
        </w:rPr>
        <w:t xml:space="preserve"> לפזר סיכונים</w:t>
      </w:r>
      <w:r w:rsidRPr="001F2586">
        <w:rPr>
          <w:rFonts w:eastAsia="Calibri"/>
        </w:rPr>
        <w:t>.</w:t>
      </w:r>
      <w:r w:rsidRPr="001F2586">
        <w:rPr>
          <w:rFonts w:eastAsia="Calibri"/>
          <w:rtl/>
        </w:rPr>
        <w:t xml:space="preserve"> </w:t>
      </w:r>
      <w:r w:rsidRPr="001F2586">
        <w:rPr>
          <w:rFonts w:eastAsia="Calibri" w:hint="cs"/>
          <w:rtl/>
        </w:rPr>
        <w:t xml:space="preserve">בהתאם לרפורמת השקיפות </w:t>
      </w:r>
      <w:r w:rsidRPr="001F2586">
        <w:rPr>
          <w:rFonts w:eastAsia="Calibri"/>
          <w:rtl/>
        </w:rPr>
        <w:t xml:space="preserve">הבנק </w:t>
      </w:r>
      <w:r w:rsidRPr="001F2586">
        <w:rPr>
          <w:rFonts w:eastAsia="Calibri" w:hint="cs"/>
          <w:rtl/>
        </w:rPr>
        <w:t>מחויב להציג ללקוח</w:t>
      </w:r>
      <w:r w:rsidRPr="001F2586">
        <w:rPr>
          <w:rFonts w:eastAsia="Calibri"/>
          <w:rtl/>
        </w:rPr>
        <w:t xml:space="preserve"> 3 תמהילים אחידים להשוואה: תמהיל של 100% ריבית קבועה לא צמודה (יציבות מלאה), תמהיל של 50% קבועה לא צמודה ו-50% ריבית פריים (גמישות ופיזור סיכונים), ותמהיל שליש-שליש-שליש (קבועה לא צמודה, פריים וריבית משתנה צמודה למדד)</w:t>
      </w:r>
      <w:r w:rsidRPr="001F2586">
        <w:rPr>
          <w:rFonts w:eastAsia="Calibri" w:hint="cs"/>
          <w:rtl/>
        </w:rPr>
        <w:t xml:space="preserve"> ותמהיל רביעי לבחירת הלקוח</w:t>
      </w:r>
      <w:r w:rsidRPr="001F2586">
        <w:rPr>
          <w:rFonts w:eastAsia="Calibri"/>
          <w:rtl/>
        </w:rPr>
        <w:t>. בבחירת תמהיל יש להתחשב במאפיינים אישיים כמו יכולת החזר, ובתחזיות כלכליות כמו ריבית ואינפלצי</w:t>
      </w:r>
      <w:r w:rsidRPr="001F2586">
        <w:rPr>
          <w:rFonts w:eastAsia="Calibri" w:hint="cs"/>
          <w:rtl/>
        </w:rPr>
        <w:t>ה. להלן פירוט התמהילים הנפוצים בליווי יועץ משכנתאות:</w:t>
      </w:r>
    </w:p>
    <w:p w:rsidR="00880325" w:rsidRPr="001F2586" w:rsidP="001F2586">
      <w:pPr>
        <w:spacing w:line="269" w:lineRule="auto"/>
        <w:rPr>
          <w:rFonts w:eastAsia="Calibri"/>
          <w:rtl/>
        </w:rPr>
      </w:pPr>
    </w:p>
    <w:p w:rsidR="001F2586" w:rsidRPr="001F2586" w:rsidP="00E85EB9">
      <w:pPr>
        <w:keepNext/>
        <w:keepLines/>
        <w:spacing w:line="269" w:lineRule="auto"/>
        <w:jc w:val="center"/>
        <w:rPr>
          <w:rFonts w:eastAsia="Calibri"/>
          <w:rtl/>
        </w:rPr>
      </w:pPr>
      <w:r w:rsidRPr="001F2586">
        <w:rPr>
          <w:rFonts w:ascii="David" w:eastAsia="Calibri" w:hAnsi="David" w:hint="cs"/>
          <w:sz w:val="24"/>
          <w:rtl/>
        </w:rPr>
        <w:t xml:space="preserve">לוח </w:t>
      </w:r>
      <w:r w:rsidRPr="001F2586">
        <w:rPr>
          <w:rFonts w:ascii="David" w:eastAsia="Calibri" w:hAnsi="David"/>
          <w:sz w:val="24"/>
        </w:rPr>
        <w:t>18</w:t>
      </w:r>
      <w:r w:rsidRPr="001F2586">
        <w:rPr>
          <w:rFonts w:ascii="David" w:eastAsia="Calibri" w:hAnsi="David" w:hint="cs"/>
          <w:sz w:val="24"/>
          <w:rtl/>
        </w:rPr>
        <w:t>:</w:t>
      </w:r>
      <w:r w:rsidRPr="001F2586">
        <w:rPr>
          <w:rFonts w:ascii="David" w:eastAsia="Calibri" w:hAnsi="David" w:hint="cs"/>
          <w:b/>
          <w:bCs/>
          <w:sz w:val="24"/>
          <w:rtl/>
        </w:rPr>
        <w:t xml:space="preserve"> תמהילים נפוצים ללקיחת משכנתא בליווי יועץ משכנתאות</w:t>
      </w:r>
    </w:p>
    <w:tbl>
      <w:tblPr>
        <w:tblStyle w:val="TableGrid"/>
        <w:bidiVisual/>
        <w:tblW w:w="0" w:type="auto"/>
        <w:tblLook w:val="04A0"/>
      </w:tblPr>
      <w:tblGrid>
        <w:gridCol w:w="2595"/>
        <w:gridCol w:w="2792"/>
        <w:gridCol w:w="2823"/>
      </w:tblGrid>
      <w:tr w:rsidTr="001F2586">
        <w:tblPrEx>
          <w:tblW w:w="0" w:type="auto"/>
          <w:tblLook w:val="04A0"/>
        </w:tblPrEx>
        <w:tc>
          <w:tcPr>
            <w:tcW w:w="2596" w:type="dxa"/>
            <w:shd w:val="clear" w:color="auto" w:fill="A6A6A6"/>
          </w:tcPr>
          <w:p w:rsidR="001F2586" w:rsidRPr="001F2586" w:rsidP="001F2586">
            <w:pPr>
              <w:spacing w:line="269" w:lineRule="auto"/>
              <w:rPr>
                <w:rFonts w:eastAsia="Calibri"/>
                <w:b/>
                <w:bCs/>
                <w:rtl/>
              </w:rPr>
            </w:pPr>
          </w:p>
        </w:tc>
        <w:tc>
          <w:tcPr>
            <w:tcW w:w="2792"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b/>
                <w:bCs/>
                <w:sz w:val="18"/>
                <w:szCs w:val="22"/>
                <w:rtl/>
              </w:rPr>
              <w:t>סוג ריבית</w:t>
            </w:r>
          </w:p>
        </w:tc>
        <w:tc>
          <w:tcPr>
            <w:tcW w:w="2823"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הרכב</w:t>
            </w:r>
            <w:r w:rsidRPr="001F2586">
              <w:rPr>
                <w:rFonts w:eastAsia="Calibri"/>
                <w:b/>
                <w:bCs/>
                <w:sz w:val="18"/>
                <w:szCs w:val="22"/>
                <w:rtl/>
              </w:rPr>
              <w:t xml:space="preserve"> </w:t>
            </w:r>
            <w:r w:rsidRPr="001F2586">
              <w:rPr>
                <w:rFonts w:eastAsia="Calibri" w:hint="eastAsia"/>
                <w:b/>
                <w:bCs/>
                <w:sz w:val="18"/>
                <w:szCs w:val="22"/>
                <w:rtl/>
              </w:rPr>
              <w:t>תמהיל</w:t>
            </w:r>
            <w:r w:rsidRPr="001F2586">
              <w:rPr>
                <w:rFonts w:eastAsia="Calibri"/>
                <w:b/>
                <w:bCs/>
                <w:sz w:val="18"/>
                <w:szCs w:val="22"/>
                <w:rtl/>
              </w:rPr>
              <w:t xml:space="preserve"> (%)</w:t>
            </w:r>
          </w:p>
        </w:tc>
      </w:tr>
      <w:tr w:rsidTr="00EB64F7">
        <w:tblPrEx>
          <w:tblW w:w="0" w:type="auto"/>
          <w:tblLook w:val="04A0"/>
        </w:tblPrEx>
        <w:trPr>
          <w:trHeight w:val="43"/>
        </w:trPr>
        <w:tc>
          <w:tcPr>
            <w:tcW w:w="2596" w:type="dxa"/>
          </w:tcPr>
          <w:p w:rsidR="001F2586" w:rsidRPr="001F2586" w:rsidP="001F2586">
            <w:pPr>
              <w:spacing w:line="269" w:lineRule="auto"/>
              <w:jc w:val="left"/>
              <w:rPr>
                <w:rFonts w:eastAsia="Calibri"/>
                <w:sz w:val="18"/>
                <w:szCs w:val="22"/>
                <w:rtl/>
              </w:rPr>
            </w:pPr>
            <w:r w:rsidRPr="001F2586">
              <w:rPr>
                <w:rFonts w:eastAsia="Calibri" w:hint="cs"/>
                <w:sz w:val="18"/>
                <w:szCs w:val="22"/>
                <w:rtl/>
              </w:rPr>
              <w:t>1</w:t>
            </w:r>
          </w:p>
        </w:tc>
        <w:tc>
          <w:tcPr>
            <w:tcW w:w="2792"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משתנה לא צמודה (לא פריים)</w:t>
            </w:r>
          </w:p>
          <w:p w:rsidR="001F2586" w:rsidRPr="001F2586" w:rsidP="001F2586">
            <w:pPr>
              <w:spacing w:line="269" w:lineRule="auto"/>
              <w:jc w:val="left"/>
              <w:rPr>
                <w:rFonts w:eastAsia="Calibri"/>
                <w:sz w:val="18"/>
                <w:szCs w:val="22"/>
                <w:rtl/>
              </w:rPr>
            </w:pPr>
            <w:r w:rsidRPr="001F2586">
              <w:rPr>
                <w:rFonts w:eastAsia="Calibri" w:hint="cs"/>
                <w:sz w:val="18"/>
                <w:szCs w:val="22"/>
                <w:rtl/>
              </w:rPr>
              <w:t>קל"צ</w:t>
            </w:r>
            <w:r w:rsidRPr="001F2586">
              <w:rPr>
                <w:rFonts w:eastAsia="Calibri" w:hint="cs"/>
                <w:sz w:val="18"/>
                <w:szCs w:val="22"/>
                <w:rtl/>
              </w:rPr>
              <w:t xml:space="preserve"> </w:t>
            </w:r>
          </w:p>
        </w:tc>
        <w:tc>
          <w:tcPr>
            <w:tcW w:w="2823" w:type="dxa"/>
          </w:tcPr>
          <w:p w:rsidR="001F2586" w:rsidRPr="001F2586" w:rsidP="001F2586">
            <w:pPr>
              <w:spacing w:line="269" w:lineRule="auto"/>
              <w:jc w:val="left"/>
              <w:rPr>
                <w:rFonts w:eastAsia="Calibri"/>
                <w:sz w:val="18"/>
                <w:szCs w:val="22"/>
                <w:rtl/>
              </w:rPr>
            </w:pPr>
            <w:r w:rsidRPr="001F2586">
              <w:rPr>
                <w:rFonts w:eastAsia="Calibri" w:hint="cs"/>
                <w:sz w:val="18"/>
                <w:szCs w:val="22"/>
                <w:rtl/>
              </w:rPr>
              <w:t>63%</w:t>
            </w:r>
          </w:p>
          <w:p w:rsidR="001F2586" w:rsidRPr="001F2586" w:rsidP="001F2586">
            <w:pPr>
              <w:spacing w:line="269" w:lineRule="auto"/>
              <w:jc w:val="left"/>
              <w:rPr>
                <w:rFonts w:eastAsia="Calibri"/>
                <w:sz w:val="18"/>
                <w:szCs w:val="22"/>
                <w:rtl/>
              </w:rPr>
            </w:pPr>
            <w:r w:rsidRPr="001F2586">
              <w:rPr>
                <w:rFonts w:eastAsia="Calibri" w:hint="cs"/>
                <w:sz w:val="18"/>
                <w:szCs w:val="22"/>
                <w:rtl/>
              </w:rPr>
              <w:t>37%</w:t>
            </w:r>
          </w:p>
        </w:tc>
      </w:tr>
      <w:tr w:rsidTr="00EB64F7">
        <w:tblPrEx>
          <w:tblW w:w="0" w:type="auto"/>
          <w:tblLook w:val="04A0"/>
        </w:tblPrEx>
        <w:tc>
          <w:tcPr>
            <w:tcW w:w="2596" w:type="dxa"/>
          </w:tcPr>
          <w:p w:rsidR="001F2586" w:rsidRPr="001F2586" w:rsidP="001F2586">
            <w:pPr>
              <w:spacing w:line="269" w:lineRule="auto"/>
              <w:jc w:val="left"/>
              <w:rPr>
                <w:rFonts w:eastAsia="Calibri"/>
                <w:sz w:val="18"/>
                <w:szCs w:val="22"/>
                <w:rtl/>
              </w:rPr>
            </w:pPr>
            <w:r w:rsidRPr="001F2586">
              <w:rPr>
                <w:rFonts w:eastAsia="Calibri" w:hint="cs"/>
                <w:sz w:val="18"/>
                <w:szCs w:val="22"/>
                <w:rtl/>
              </w:rPr>
              <w:t>2</w:t>
            </w:r>
          </w:p>
        </w:tc>
        <w:tc>
          <w:tcPr>
            <w:tcW w:w="2792"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משתנה לא צמודה (לא פריים)</w:t>
            </w:r>
          </w:p>
          <w:p w:rsidR="001F2586" w:rsidRPr="001F2586" w:rsidP="001F2586">
            <w:pPr>
              <w:spacing w:line="269" w:lineRule="auto"/>
              <w:jc w:val="left"/>
              <w:rPr>
                <w:rFonts w:eastAsia="Calibri"/>
                <w:sz w:val="18"/>
                <w:szCs w:val="22"/>
                <w:rtl/>
              </w:rPr>
            </w:pPr>
            <w:r w:rsidRPr="001F2586">
              <w:rPr>
                <w:rFonts w:eastAsia="Calibri" w:hint="cs"/>
                <w:sz w:val="18"/>
                <w:szCs w:val="22"/>
                <w:rtl/>
              </w:rPr>
              <w:t>קל"צ</w:t>
            </w:r>
          </w:p>
          <w:p w:rsidR="001F2586" w:rsidRPr="001F2586" w:rsidP="001F2586">
            <w:pPr>
              <w:spacing w:line="269" w:lineRule="auto"/>
              <w:jc w:val="left"/>
              <w:rPr>
                <w:rFonts w:eastAsia="Calibri"/>
                <w:sz w:val="18"/>
                <w:szCs w:val="22"/>
                <w:rtl/>
              </w:rPr>
            </w:pPr>
            <w:r w:rsidRPr="001F2586">
              <w:rPr>
                <w:rFonts w:eastAsia="Calibri" w:hint="cs"/>
                <w:sz w:val="18"/>
                <w:szCs w:val="22"/>
                <w:rtl/>
              </w:rPr>
              <w:t xml:space="preserve">משתנה צמודה </w:t>
            </w:r>
          </w:p>
        </w:tc>
        <w:tc>
          <w:tcPr>
            <w:tcW w:w="2823" w:type="dxa"/>
          </w:tcPr>
          <w:p w:rsidR="001F2586" w:rsidRPr="001F2586" w:rsidP="001F2586">
            <w:pPr>
              <w:spacing w:line="269" w:lineRule="auto"/>
              <w:jc w:val="left"/>
              <w:rPr>
                <w:rFonts w:eastAsia="Calibri"/>
                <w:sz w:val="18"/>
                <w:szCs w:val="22"/>
                <w:rtl/>
              </w:rPr>
            </w:pPr>
            <w:r w:rsidRPr="001F2586">
              <w:rPr>
                <w:rFonts w:eastAsia="Calibri" w:hint="cs"/>
                <w:sz w:val="18"/>
                <w:szCs w:val="22"/>
                <w:rtl/>
              </w:rPr>
              <w:t>45%</w:t>
            </w:r>
          </w:p>
          <w:p w:rsidR="001F2586" w:rsidRPr="001F2586" w:rsidP="001F2586">
            <w:pPr>
              <w:spacing w:line="269" w:lineRule="auto"/>
              <w:jc w:val="left"/>
              <w:rPr>
                <w:rFonts w:eastAsia="Calibri"/>
                <w:sz w:val="18"/>
                <w:szCs w:val="22"/>
                <w:rtl/>
              </w:rPr>
            </w:pPr>
            <w:r w:rsidRPr="001F2586">
              <w:rPr>
                <w:rFonts w:eastAsia="Calibri" w:hint="cs"/>
                <w:sz w:val="18"/>
                <w:szCs w:val="22"/>
                <w:rtl/>
              </w:rPr>
              <w:t>36%</w:t>
            </w:r>
          </w:p>
          <w:p w:rsidR="001F2586" w:rsidRPr="001F2586" w:rsidP="001F2586">
            <w:pPr>
              <w:spacing w:line="269" w:lineRule="auto"/>
              <w:jc w:val="left"/>
              <w:rPr>
                <w:rFonts w:eastAsia="Calibri"/>
                <w:sz w:val="18"/>
                <w:szCs w:val="22"/>
                <w:rtl/>
              </w:rPr>
            </w:pPr>
            <w:r w:rsidRPr="001F2586">
              <w:rPr>
                <w:rFonts w:eastAsia="Calibri" w:hint="cs"/>
                <w:sz w:val="18"/>
                <w:szCs w:val="22"/>
                <w:rtl/>
              </w:rPr>
              <w:t>19%</w:t>
            </w:r>
          </w:p>
        </w:tc>
      </w:tr>
      <w:tr w:rsidTr="00EB64F7">
        <w:tblPrEx>
          <w:tblW w:w="0" w:type="auto"/>
          <w:tblLook w:val="04A0"/>
        </w:tblPrEx>
        <w:tc>
          <w:tcPr>
            <w:tcW w:w="2596" w:type="dxa"/>
          </w:tcPr>
          <w:p w:rsidR="001F2586" w:rsidRPr="001F2586" w:rsidP="001F2586">
            <w:pPr>
              <w:spacing w:line="269" w:lineRule="auto"/>
              <w:jc w:val="left"/>
              <w:rPr>
                <w:rFonts w:eastAsia="Calibri"/>
                <w:sz w:val="18"/>
                <w:szCs w:val="22"/>
                <w:rtl/>
              </w:rPr>
            </w:pPr>
            <w:r w:rsidRPr="001F2586">
              <w:rPr>
                <w:rFonts w:eastAsia="Calibri" w:hint="cs"/>
                <w:sz w:val="18"/>
                <w:szCs w:val="22"/>
                <w:rtl/>
              </w:rPr>
              <w:t>3</w:t>
            </w:r>
          </w:p>
        </w:tc>
        <w:tc>
          <w:tcPr>
            <w:tcW w:w="2792"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משתנה לא צמודה (לא פריים)</w:t>
            </w:r>
          </w:p>
          <w:p w:rsidR="001F2586" w:rsidRPr="001F2586" w:rsidP="001F2586">
            <w:pPr>
              <w:spacing w:line="269" w:lineRule="auto"/>
              <w:jc w:val="left"/>
              <w:rPr>
                <w:rFonts w:eastAsia="Calibri"/>
                <w:sz w:val="18"/>
                <w:szCs w:val="22"/>
                <w:rtl/>
              </w:rPr>
            </w:pPr>
            <w:r w:rsidRPr="001F2586">
              <w:rPr>
                <w:rFonts w:eastAsia="Calibri" w:hint="cs"/>
                <w:sz w:val="18"/>
                <w:szCs w:val="22"/>
                <w:rtl/>
              </w:rPr>
              <w:t>קל"צ</w:t>
            </w:r>
            <w:r w:rsidRPr="001F2586">
              <w:rPr>
                <w:rFonts w:eastAsia="Calibri" w:hint="cs"/>
                <w:sz w:val="18"/>
                <w:szCs w:val="22"/>
                <w:rtl/>
              </w:rPr>
              <w:t xml:space="preserve"> </w:t>
            </w:r>
          </w:p>
          <w:p w:rsidR="001F2586" w:rsidRPr="001F2586" w:rsidP="001F2586">
            <w:pPr>
              <w:spacing w:line="269" w:lineRule="auto"/>
              <w:jc w:val="left"/>
              <w:rPr>
                <w:rFonts w:eastAsia="Calibri"/>
                <w:sz w:val="18"/>
                <w:szCs w:val="22"/>
                <w:rtl/>
              </w:rPr>
            </w:pPr>
            <w:r w:rsidRPr="001F2586">
              <w:rPr>
                <w:rFonts w:eastAsia="Calibri" w:hint="cs"/>
                <w:sz w:val="18"/>
                <w:szCs w:val="22"/>
                <w:rtl/>
              </w:rPr>
              <w:t xml:space="preserve">קבועה צמודה </w:t>
            </w:r>
          </w:p>
        </w:tc>
        <w:tc>
          <w:tcPr>
            <w:tcW w:w="2823" w:type="dxa"/>
          </w:tcPr>
          <w:p w:rsidR="001F2586" w:rsidRPr="001F2586" w:rsidP="001F2586">
            <w:pPr>
              <w:spacing w:line="269" w:lineRule="auto"/>
              <w:jc w:val="left"/>
              <w:rPr>
                <w:rFonts w:eastAsia="Calibri"/>
                <w:sz w:val="18"/>
                <w:szCs w:val="22"/>
                <w:rtl/>
              </w:rPr>
            </w:pPr>
            <w:r w:rsidRPr="001F2586">
              <w:rPr>
                <w:rFonts w:eastAsia="Calibri" w:hint="cs"/>
                <w:sz w:val="18"/>
                <w:szCs w:val="22"/>
                <w:rtl/>
              </w:rPr>
              <w:t>56%</w:t>
            </w:r>
          </w:p>
          <w:p w:rsidR="001F2586" w:rsidRPr="001F2586" w:rsidP="001F2586">
            <w:pPr>
              <w:spacing w:line="269" w:lineRule="auto"/>
              <w:jc w:val="left"/>
              <w:rPr>
                <w:rFonts w:eastAsia="Calibri"/>
                <w:sz w:val="18"/>
                <w:szCs w:val="22"/>
                <w:rtl/>
              </w:rPr>
            </w:pPr>
            <w:r w:rsidRPr="001F2586">
              <w:rPr>
                <w:rFonts w:eastAsia="Calibri" w:hint="cs"/>
                <w:sz w:val="18"/>
                <w:szCs w:val="22"/>
                <w:rtl/>
              </w:rPr>
              <w:t>26%</w:t>
            </w:r>
          </w:p>
          <w:p w:rsidR="001F2586" w:rsidRPr="001F2586" w:rsidP="001F2586">
            <w:pPr>
              <w:spacing w:line="269" w:lineRule="auto"/>
              <w:jc w:val="left"/>
              <w:rPr>
                <w:rFonts w:eastAsia="Calibri"/>
                <w:sz w:val="18"/>
                <w:szCs w:val="22"/>
                <w:rtl/>
              </w:rPr>
            </w:pPr>
            <w:r w:rsidRPr="001F2586">
              <w:rPr>
                <w:rFonts w:eastAsia="Calibri" w:hint="cs"/>
                <w:sz w:val="18"/>
                <w:szCs w:val="22"/>
                <w:rtl/>
              </w:rPr>
              <w:t>18%</w:t>
            </w:r>
          </w:p>
        </w:tc>
      </w:tr>
    </w:tbl>
    <w:p w:rsidR="001F2586" w:rsidRPr="001F2586" w:rsidP="001F2586">
      <w:pPr>
        <w:spacing w:line="269" w:lineRule="auto"/>
        <w:ind w:left="-567"/>
        <w:rPr>
          <w:rFonts w:eastAsia="Calibri"/>
          <w:szCs w:val="20"/>
          <w:rtl/>
        </w:rPr>
      </w:pPr>
    </w:p>
    <w:p w:rsidR="001F2586" w:rsidRPr="001F2586" w:rsidP="001F2586">
      <w:pPr>
        <w:spacing w:line="269" w:lineRule="auto"/>
        <w:jc w:val="center"/>
        <w:rPr>
          <w:rFonts w:eastAsia="Calibri"/>
          <w:rtl/>
        </w:rPr>
      </w:pPr>
      <w:r w:rsidRPr="001F2586">
        <w:rPr>
          <w:rFonts w:ascii="David" w:eastAsia="Calibri" w:hAnsi="David" w:hint="cs"/>
          <w:sz w:val="24"/>
          <w:rtl/>
        </w:rPr>
        <w:t xml:space="preserve">לוח </w:t>
      </w:r>
      <w:r w:rsidRPr="001F2586">
        <w:rPr>
          <w:rFonts w:ascii="David" w:eastAsia="Calibri" w:hAnsi="David"/>
          <w:sz w:val="24"/>
        </w:rPr>
        <w:t>19</w:t>
      </w:r>
      <w:r w:rsidRPr="001F2586">
        <w:rPr>
          <w:rFonts w:ascii="David" w:eastAsia="Calibri" w:hAnsi="David" w:hint="cs"/>
          <w:sz w:val="24"/>
          <w:rtl/>
        </w:rPr>
        <w:t>:</w:t>
      </w:r>
      <w:r w:rsidRPr="001F2586">
        <w:rPr>
          <w:rFonts w:ascii="David" w:eastAsia="Calibri" w:hAnsi="David" w:hint="cs"/>
          <w:b/>
          <w:bCs/>
          <w:sz w:val="24"/>
          <w:rtl/>
        </w:rPr>
        <w:t xml:space="preserve"> תמהילים נפוצים ללקיחת משכנתא ללא יועץ משכנתאות</w:t>
      </w:r>
    </w:p>
    <w:tbl>
      <w:tblPr>
        <w:tblStyle w:val="TableGrid"/>
        <w:bidiVisual/>
        <w:tblW w:w="0" w:type="auto"/>
        <w:tblLook w:val="04A0"/>
      </w:tblPr>
      <w:tblGrid>
        <w:gridCol w:w="2595"/>
        <w:gridCol w:w="2792"/>
        <w:gridCol w:w="2823"/>
      </w:tblGrid>
      <w:tr w:rsidTr="001F2586">
        <w:tblPrEx>
          <w:tblW w:w="0" w:type="auto"/>
          <w:tblLook w:val="04A0"/>
        </w:tblPrEx>
        <w:tc>
          <w:tcPr>
            <w:tcW w:w="2596" w:type="dxa"/>
            <w:shd w:val="clear" w:color="auto" w:fill="A6A6A6"/>
          </w:tcPr>
          <w:p w:rsidR="001F2586" w:rsidRPr="001F2586" w:rsidP="001F2586">
            <w:pPr>
              <w:spacing w:line="269" w:lineRule="auto"/>
              <w:rPr>
                <w:rFonts w:eastAsia="Calibri"/>
                <w:b/>
                <w:bCs/>
                <w:rtl/>
              </w:rPr>
            </w:pPr>
          </w:p>
        </w:tc>
        <w:tc>
          <w:tcPr>
            <w:tcW w:w="2792"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b/>
                <w:bCs/>
                <w:sz w:val="18"/>
                <w:szCs w:val="22"/>
                <w:rtl/>
              </w:rPr>
              <w:t>סוג ריבית</w:t>
            </w:r>
          </w:p>
        </w:tc>
        <w:tc>
          <w:tcPr>
            <w:tcW w:w="2823"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הרכב</w:t>
            </w:r>
            <w:r w:rsidRPr="001F2586">
              <w:rPr>
                <w:rFonts w:eastAsia="Calibri"/>
                <w:b/>
                <w:bCs/>
                <w:sz w:val="18"/>
                <w:szCs w:val="22"/>
                <w:rtl/>
              </w:rPr>
              <w:t xml:space="preserve"> </w:t>
            </w:r>
            <w:r w:rsidRPr="001F2586">
              <w:rPr>
                <w:rFonts w:eastAsia="Calibri" w:hint="eastAsia"/>
                <w:b/>
                <w:bCs/>
                <w:sz w:val="18"/>
                <w:szCs w:val="22"/>
                <w:rtl/>
              </w:rPr>
              <w:t>תמהיל</w:t>
            </w:r>
            <w:r w:rsidRPr="001F2586">
              <w:rPr>
                <w:rFonts w:eastAsia="Calibri"/>
                <w:b/>
                <w:bCs/>
                <w:sz w:val="18"/>
                <w:szCs w:val="22"/>
                <w:rtl/>
              </w:rPr>
              <w:t xml:space="preserve"> (%)</w:t>
            </w:r>
          </w:p>
        </w:tc>
      </w:tr>
      <w:tr w:rsidTr="00EB64F7">
        <w:tblPrEx>
          <w:tblW w:w="0" w:type="auto"/>
          <w:tblLook w:val="04A0"/>
        </w:tblPrEx>
        <w:trPr>
          <w:trHeight w:val="43"/>
        </w:trPr>
        <w:tc>
          <w:tcPr>
            <w:tcW w:w="2596" w:type="dxa"/>
          </w:tcPr>
          <w:p w:rsidR="001F2586" w:rsidRPr="001F2586" w:rsidP="001F2586">
            <w:pPr>
              <w:spacing w:line="269" w:lineRule="auto"/>
              <w:jc w:val="left"/>
              <w:rPr>
                <w:rFonts w:eastAsia="Calibri"/>
                <w:sz w:val="18"/>
                <w:szCs w:val="22"/>
                <w:rtl/>
              </w:rPr>
            </w:pPr>
            <w:r w:rsidRPr="001F2586">
              <w:rPr>
                <w:rFonts w:eastAsia="Calibri" w:hint="cs"/>
                <w:sz w:val="18"/>
                <w:szCs w:val="22"/>
                <w:rtl/>
              </w:rPr>
              <w:t>1</w:t>
            </w:r>
          </w:p>
        </w:tc>
        <w:tc>
          <w:tcPr>
            <w:tcW w:w="2792"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משתנה לא צמודה (לא פריים)</w:t>
            </w:r>
          </w:p>
          <w:p w:rsidR="001F2586" w:rsidRPr="001F2586" w:rsidP="001F2586">
            <w:pPr>
              <w:spacing w:line="269" w:lineRule="auto"/>
              <w:jc w:val="left"/>
              <w:rPr>
                <w:rFonts w:eastAsia="Calibri"/>
                <w:sz w:val="18"/>
                <w:szCs w:val="22"/>
                <w:rtl/>
              </w:rPr>
            </w:pPr>
            <w:r w:rsidRPr="001F2586">
              <w:rPr>
                <w:rFonts w:eastAsia="Calibri" w:hint="cs"/>
                <w:sz w:val="18"/>
                <w:szCs w:val="22"/>
                <w:rtl/>
              </w:rPr>
              <w:t>קל"צ</w:t>
            </w:r>
            <w:r w:rsidRPr="001F2586">
              <w:rPr>
                <w:rFonts w:eastAsia="Calibri" w:hint="cs"/>
                <w:sz w:val="18"/>
                <w:szCs w:val="22"/>
                <w:rtl/>
              </w:rPr>
              <w:t xml:space="preserve"> </w:t>
            </w:r>
          </w:p>
        </w:tc>
        <w:tc>
          <w:tcPr>
            <w:tcW w:w="2823" w:type="dxa"/>
          </w:tcPr>
          <w:p w:rsidR="001F2586" w:rsidRPr="001F2586" w:rsidP="001F2586">
            <w:pPr>
              <w:spacing w:line="269" w:lineRule="auto"/>
              <w:jc w:val="left"/>
              <w:rPr>
                <w:rFonts w:eastAsia="Calibri"/>
                <w:sz w:val="18"/>
                <w:szCs w:val="22"/>
                <w:rtl/>
              </w:rPr>
            </w:pPr>
            <w:r w:rsidRPr="001F2586">
              <w:rPr>
                <w:rFonts w:eastAsia="Calibri" w:hint="cs"/>
                <w:sz w:val="18"/>
                <w:szCs w:val="22"/>
                <w:rtl/>
              </w:rPr>
              <w:t>62%</w:t>
            </w:r>
          </w:p>
          <w:p w:rsidR="001F2586" w:rsidRPr="001F2586" w:rsidP="001F2586">
            <w:pPr>
              <w:spacing w:line="269" w:lineRule="auto"/>
              <w:jc w:val="left"/>
              <w:rPr>
                <w:rFonts w:eastAsia="Calibri"/>
                <w:sz w:val="18"/>
                <w:szCs w:val="22"/>
                <w:rtl/>
              </w:rPr>
            </w:pPr>
            <w:r w:rsidRPr="001F2586">
              <w:rPr>
                <w:rFonts w:eastAsia="Calibri" w:hint="cs"/>
                <w:sz w:val="18"/>
                <w:szCs w:val="22"/>
                <w:rtl/>
              </w:rPr>
              <w:t>38%</w:t>
            </w:r>
          </w:p>
        </w:tc>
      </w:tr>
      <w:tr w:rsidTr="00EB64F7">
        <w:tblPrEx>
          <w:tblW w:w="0" w:type="auto"/>
          <w:tblLook w:val="04A0"/>
        </w:tblPrEx>
        <w:tc>
          <w:tcPr>
            <w:tcW w:w="2596" w:type="dxa"/>
          </w:tcPr>
          <w:p w:rsidR="001F2586" w:rsidRPr="001F2586" w:rsidP="001F2586">
            <w:pPr>
              <w:spacing w:line="269" w:lineRule="auto"/>
              <w:jc w:val="left"/>
              <w:rPr>
                <w:rFonts w:eastAsia="Calibri"/>
                <w:sz w:val="18"/>
                <w:szCs w:val="22"/>
                <w:rtl/>
              </w:rPr>
            </w:pPr>
            <w:r w:rsidRPr="001F2586">
              <w:rPr>
                <w:rFonts w:eastAsia="Calibri" w:hint="cs"/>
                <w:sz w:val="18"/>
                <w:szCs w:val="22"/>
                <w:rtl/>
              </w:rPr>
              <w:t>2</w:t>
            </w:r>
          </w:p>
        </w:tc>
        <w:tc>
          <w:tcPr>
            <w:tcW w:w="2792"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קל"צ</w:t>
            </w:r>
            <w:r w:rsidRPr="001F2586">
              <w:rPr>
                <w:rFonts w:eastAsia="Calibri" w:hint="cs"/>
                <w:sz w:val="18"/>
                <w:szCs w:val="22"/>
                <w:rtl/>
              </w:rPr>
              <w:t xml:space="preserve"> </w:t>
            </w:r>
          </w:p>
        </w:tc>
        <w:tc>
          <w:tcPr>
            <w:tcW w:w="2823" w:type="dxa"/>
          </w:tcPr>
          <w:p w:rsidR="001F2586" w:rsidRPr="001F2586" w:rsidP="001F2586">
            <w:pPr>
              <w:spacing w:line="269" w:lineRule="auto"/>
              <w:jc w:val="left"/>
              <w:rPr>
                <w:rFonts w:eastAsia="Calibri"/>
                <w:sz w:val="18"/>
                <w:szCs w:val="22"/>
                <w:rtl/>
              </w:rPr>
            </w:pPr>
            <w:r w:rsidRPr="001F2586">
              <w:rPr>
                <w:rFonts w:eastAsia="Calibri" w:hint="cs"/>
                <w:sz w:val="18"/>
                <w:szCs w:val="22"/>
                <w:rtl/>
              </w:rPr>
              <w:t>100%</w:t>
            </w:r>
          </w:p>
        </w:tc>
      </w:tr>
      <w:tr w:rsidTr="00EB64F7">
        <w:tblPrEx>
          <w:tblW w:w="0" w:type="auto"/>
          <w:tblLook w:val="04A0"/>
        </w:tblPrEx>
        <w:tc>
          <w:tcPr>
            <w:tcW w:w="2596" w:type="dxa"/>
          </w:tcPr>
          <w:p w:rsidR="001F2586" w:rsidRPr="001F2586" w:rsidP="001F2586">
            <w:pPr>
              <w:spacing w:line="269" w:lineRule="auto"/>
              <w:jc w:val="left"/>
              <w:rPr>
                <w:rFonts w:eastAsia="Calibri"/>
                <w:sz w:val="18"/>
                <w:szCs w:val="22"/>
                <w:rtl/>
              </w:rPr>
            </w:pPr>
            <w:r w:rsidRPr="001F2586">
              <w:rPr>
                <w:rFonts w:eastAsia="Calibri" w:hint="cs"/>
                <w:sz w:val="18"/>
                <w:szCs w:val="22"/>
                <w:rtl/>
              </w:rPr>
              <w:t>3</w:t>
            </w:r>
          </w:p>
        </w:tc>
        <w:tc>
          <w:tcPr>
            <w:tcW w:w="2792"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משתנה לא צמודה (לא פריים)</w:t>
            </w:r>
          </w:p>
          <w:p w:rsidR="001F2586" w:rsidRPr="001F2586" w:rsidP="001F2586">
            <w:pPr>
              <w:spacing w:line="269" w:lineRule="auto"/>
              <w:jc w:val="left"/>
              <w:rPr>
                <w:rFonts w:eastAsia="Calibri"/>
                <w:sz w:val="18"/>
                <w:szCs w:val="22"/>
                <w:rtl/>
              </w:rPr>
            </w:pPr>
            <w:r w:rsidRPr="001F2586">
              <w:rPr>
                <w:rFonts w:eastAsia="Calibri" w:hint="cs"/>
                <w:sz w:val="18"/>
                <w:szCs w:val="22"/>
                <w:rtl/>
              </w:rPr>
              <w:t>קל"צ</w:t>
            </w:r>
            <w:r w:rsidRPr="001F2586">
              <w:rPr>
                <w:rFonts w:eastAsia="Calibri" w:hint="cs"/>
                <w:sz w:val="18"/>
                <w:szCs w:val="22"/>
                <w:rtl/>
              </w:rPr>
              <w:t xml:space="preserve"> </w:t>
            </w:r>
          </w:p>
          <w:p w:rsidR="001F2586" w:rsidRPr="001F2586" w:rsidP="001F2586">
            <w:pPr>
              <w:spacing w:line="269" w:lineRule="auto"/>
              <w:jc w:val="left"/>
              <w:rPr>
                <w:rFonts w:eastAsia="Calibri"/>
                <w:sz w:val="18"/>
                <w:szCs w:val="22"/>
                <w:rtl/>
              </w:rPr>
            </w:pPr>
            <w:r w:rsidRPr="001F2586">
              <w:rPr>
                <w:rFonts w:eastAsia="Calibri" w:hint="cs"/>
                <w:sz w:val="18"/>
                <w:szCs w:val="22"/>
                <w:rtl/>
              </w:rPr>
              <w:t xml:space="preserve">לא צמוד בריבית פריים </w:t>
            </w:r>
          </w:p>
        </w:tc>
        <w:tc>
          <w:tcPr>
            <w:tcW w:w="2823" w:type="dxa"/>
          </w:tcPr>
          <w:p w:rsidR="001F2586" w:rsidRPr="001F2586" w:rsidP="001F2586">
            <w:pPr>
              <w:spacing w:line="269" w:lineRule="auto"/>
              <w:jc w:val="left"/>
              <w:rPr>
                <w:rFonts w:eastAsia="Calibri"/>
                <w:sz w:val="18"/>
                <w:szCs w:val="22"/>
                <w:rtl/>
              </w:rPr>
            </w:pPr>
            <w:r w:rsidRPr="001F2586">
              <w:rPr>
                <w:rFonts w:eastAsia="Calibri" w:hint="cs"/>
                <w:sz w:val="18"/>
                <w:szCs w:val="22"/>
                <w:rtl/>
              </w:rPr>
              <w:t>35%</w:t>
            </w:r>
          </w:p>
          <w:p w:rsidR="001F2586" w:rsidRPr="001F2586" w:rsidP="001F2586">
            <w:pPr>
              <w:spacing w:line="269" w:lineRule="auto"/>
              <w:jc w:val="left"/>
              <w:rPr>
                <w:rFonts w:eastAsia="Calibri"/>
                <w:sz w:val="18"/>
                <w:szCs w:val="22"/>
                <w:rtl/>
              </w:rPr>
            </w:pPr>
            <w:r w:rsidRPr="001F2586">
              <w:rPr>
                <w:rFonts w:eastAsia="Calibri" w:hint="cs"/>
                <w:sz w:val="18"/>
                <w:szCs w:val="22"/>
                <w:rtl/>
              </w:rPr>
              <w:t>36%</w:t>
            </w:r>
          </w:p>
          <w:p w:rsidR="001F2586" w:rsidRPr="001F2586" w:rsidP="001F2586">
            <w:pPr>
              <w:spacing w:line="269" w:lineRule="auto"/>
              <w:jc w:val="left"/>
              <w:rPr>
                <w:rFonts w:eastAsia="Calibri"/>
                <w:sz w:val="18"/>
                <w:szCs w:val="22"/>
                <w:rtl/>
              </w:rPr>
            </w:pPr>
            <w:r w:rsidRPr="001F2586">
              <w:rPr>
                <w:rFonts w:eastAsia="Calibri" w:hint="cs"/>
                <w:sz w:val="18"/>
                <w:szCs w:val="22"/>
                <w:rtl/>
              </w:rPr>
              <w:t>28%</w:t>
            </w:r>
          </w:p>
        </w:tc>
      </w:tr>
    </w:tbl>
    <w:p w:rsidR="001F2586" w:rsidRPr="001F2586" w:rsidP="001F2586">
      <w:pPr>
        <w:spacing w:line="269" w:lineRule="auto"/>
        <w:ind w:left="-567"/>
        <w:rPr>
          <w:rFonts w:eastAsia="Calibri"/>
          <w:szCs w:val="20"/>
          <w:rtl/>
        </w:rPr>
      </w:pPr>
    </w:p>
    <w:p w:rsidR="001F2586" w:rsidRPr="001F2586" w:rsidP="00504E2C">
      <w:pPr>
        <w:spacing w:after="120" w:line="269" w:lineRule="auto"/>
        <w:rPr>
          <w:rFonts w:eastAsia="Calibri"/>
          <w:b/>
          <w:bCs/>
          <w:rtl/>
        </w:rPr>
      </w:pPr>
      <w:r w:rsidRPr="001F2586">
        <w:rPr>
          <w:rFonts w:eastAsia="Calibri" w:hint="eastAsia"/>
          <w:b/>
          <w:bCs/>
          <w:rtl/>
        </w:rPr>
        <w:t>מלוחות</w:t>
      </w:r>
      <w:r w:rsidRPr="001F2586">
        <w:rPr>
          <w:rFonts w:eastAsia="Calibri"/>
          <w:b/>
          <w:bCs/>
          <w:rtl/>
        </w:rPr>
        <w:t xml:space="preserve"> אלה עולה כי קיימים הבדלים בין משכנתא המלווה ביועץ משכנתאות ובמשכנתא ללא ליווי יועץ משכנתאות. ניתן להבחין כי משכנתא קבועה לא צמודה נלקחת על ידי לקוחות שאינם מלווים ביועץ משכנתאות ואילו אינה נפוצה אצל לקוחות המלווים על ידי יועצי משכנתאות. </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אסדרת</w:t>
      </w:r>
      <w:r w:rsidRPr="001F2586">
        <w:rPr>
          <w:rFonts w:eastAsia="Times New Roman" w:hint="cs"/>
          <w:bCs/>
          <w:szCs w:val="26"/>
          <w:rtl/>
        </w:rPr>
        <w:t xml:space="preserve"> העיסוק בתחום ייעוץ המשכנתאות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משרד מבקר המדינה ערך השוואה בין האסדרה על יועצי משכנתאות, יועצים פנסיונים, יועצי השקעות ושמאי מקרקעין. להלן ההשוואה:</w:t>
      </w:r>
    </w:p>
    <w:p w:rsidR="001F2586" w:rsidRPr="001F2586" w:rsidP="001F2586">
      <w:pPr>
        <w:spacing w:line="269" w:lineRule="auto"/>
        <w:ind w:left="-567"/>
        <w:rPr>
          <w:rFonts w:eastAsia="Calibri"/>
          <w:szCs w:val="20"/>
          <w:rtl/>
        </w:rPr>
      </w:pPr>
    </w:p>
    <w:p w:rsidR="00E85EB9">
      <w:pPr>
        <w:bidi w:val="0"/>
        <w:spacing w:after="200" w:line="276" w:lineRule="auto"/>
        <w:rPr>
          <w:rFonts w:eastAsia="Calibri"/>
          <w:rtl/>
        </w:rPr>
      </w:pPr>
      <w:r>
        <w:rPr>
          <w:rFonts w:eastAsia="Calibri"/>
          <w:rtl/>
        </w:rPr>
        <w:br w:type="page"/>
      </w:r>
    </w:p>
    <w:p w:rsidR="001F2586" w:rsidRPr="001F2586" w:rsidP="001F2586">
      <w:pPr>
        <w:spacing w:line="269" w:lineRule="auto"/>
        <w:ind w:left="720"/>
        <w:contextualSpacing/>
        <w:jc w:val="center"/>
        <w:rPr>
          <w:rFonts w:eastAsia="Calibri"/>
          <w:rtl/>
        </w:rPr>
      </w:pPr>
      <w:r w:rsidRPr="001F2586">
        <w:rPr>
          <w:rFonts w:eastAsia="Calibri" w:hint="cs"/>
          <w:rtl/>
        </w:rPr>
        <w:t xml:space="preserve">לוח </w:t>
      </w:r>
      <w:r w:rsidRPr="001F2586">
        <w:rPr>
          <w:rFonts w:ascii="David" w:eastAsia="Calibri" w:hAnsi="David"/>
          <w:sz w:val="24"/>
        </w:rPr>
        <w:t>20</w:t>
      </w:r>
      <w:r w:rsidRPr="001F2586">
        <w:rPr>
          <w:rFonts w:eastAsia="Calibri" w:hint="cs"/>
          <w:rtl/>
        </w:rPr>
        <w:t>:</w:t>
      </w:r>
      <w:r w:rsidRPr="001F2586">
        <w:rPr>
          <w:rFonts w:eastAsia="Calibri" w:hint="cs"/>
          <w:b/>
          <w:bCs/>
          <w:rtl/>
        </w:rPr>
        <w:t xml:space="preserve"> השוואה בין האסדרה והחובות על יועץ משכנתאות, יועץ השקעות, יועץ פנסיוני ושמאי מקרקעין </w:t>
      </w:r>
    </w:p>
    <w:tbl>
      <w:tblPr>
        <w:tblStyle w:val="TableGrid"/>
        <w:tblpPr w:leftFromText="180" w:rightFromText="180" w:vertAnchor="text" w:horzAnchor="margin" w:tblpXSpec="center" w:tblpY="260"/>
        <w:bidiVisual/>
        <w:tblW w:w="9556" w:type="dxa"/>
        <w:tblLayout w:type="fixed"/>
        <w:tblLook w:val="04A0"/>
      </w:tblPr>
      <w:tblGrid>
        <w:gridCol w:w="1225"/>
        <w:gridCol w:w="1110"/>
        <w:gridCol w:w="709"/>
        <w:gridCol w:w="851"/>
        <w:gridCol w:w="992"/>
        <w:gridCol w:w="850"/>
        <w:gridCol w:w="3819"/>
      </w:tblGrid>
      <w:tr w:rsidTr="00E85EB9">
        <w:tblPrEx>
          <w:tblW w:w="9556" w:type="dxa"/>
          <w:tblLayout w:type="fixed"/>
          <w:tblLook w:val="04A0"/>
        </w:tblPrEx>
        <w:trPr>
          <w:tblHeader/>
        </w:trPr>
        <w:tc>
          <w:tcPr>
            <w:tcW w:w="1225"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תחום</w:t>
            </w:r>
          </w:p>
        </w:tc>
        <w:tc>
          <w:tcPr>
            <w:tcW w:w="1110"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גוף</w:t>
            </w:r>
            <w:r w:rsidRPr="001F2586">
              <w:rPr>
                <w:rFonts w:eastAsia="Calibri"/>
                <w:b/>
                <w:bCs/>
                <w:sz w:val="18"/>
                <w:szCs w:val="22"/>
                <w:rtl/>
              </w:rPr>
              <w:t xml:space="preserve"> </w:t>
            </w:r>
            <w:r w:rsidRPr="001F2586">
              <w:rPr>
                <w:rFonts w:eastAsia="Calibri" w:hint="eastAsia"/>
                <w:b/>
                <w:bCs/>
                <w:sz w:val="18"/>
                <w:szCs w:val="22"/>
                <w:rtl/>
              </w:rPr>
              <w:t>מפקח</w:t>
            </w:r>
          </w:p>
        </w:tc>
        <w:tc>
          <w:tcPr>
            <w:tcW w:w="709"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חוק</w:t>
            </w:r>
          </w:p>
        </w:tc>
        <w:tc>
          <w:tcPr>
            <w:tcW w:w="851"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חובת</w:t>
            </w:r>
            <w:r w:rsidRPr="001F2586">
              <w:rPr>
                <w:rFonts w:eastAsia="Calibri"/>
                <w:b/>
                <w:bCs/>
                <w:sz w:val="18"/>
                <w:szCs w:val="22"/>
                <w:rtl/>
              </w:rPr>
              <w:t xml:space="preserve"> </w:t>
            </w:r>
            <w:r w:rsidRPr="001F2586">
              <w:rPr>
                <w:rFonts w:eastAsia="Calibri" w:hint="eastAsia"/>
                <w:b/>
                <w:bCs/>
                <w:sz w:val="18"/>
                <w:szCs w:val="22"/>
                <w:rtl/>
              </w:rPr>
              <w:t>רישוי</w:t>
            </w:r>
          </w:p>
        </w:tc>
        <w:tc>
          <w:tcPr>
            <w:tcW w:w="992"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חובת</w:t>
            </w:r>
            <w:r w:rsidRPr="001F2586">
              <w:rPr>
                <w:rFonts w:eastAsia="Calibri"/>
                <w:b/>
                <w:bCs/>
                <w:sz w:val="18"/>
                <w:szCs w:val="22"/>
                <w:rtl/>
              </w:rPr>
              <w:t xml:space="preserve"> בחינות והתמחות</w:t>
            </w:r>
          </w:p>
        </w:tc>
        <w:tc>
          <w:tcPr>
            <w:tcW w:w="850" w:type="dxa"/>
            <w:shd w:val="clear" w:color="auto" w:fill="A6A6A6"/>
          </w:tcPr>
          <w:p w:rsidR="001F2586" w:rsidRPr="001F2586" w:rsidP="001F2586">
            <w:pPr>
              <w:spacing w:line="269" w:lineRule="auto"/>
              <w:jc w:val="center"/>
              <w:rPr>
                <w:rFonts w:eastAsia="Calibri"/>
                <w:b/>
                <w:bCs/>
                <w:sz w:val="18"/>
                <w:szCs w:val="22"/>
                <w:rtl/>
              </w:rPr>
            </w:pPr>
            <w:r w:rsidRPr="001F2586">
              <w:rPr>
                <w:rFonts w:eastAsia="Calibri" w:hint="eastAsia"/>
                <w:b/>
                <w:bCs/>
                <w:sz w:val="18"/>
                <w:szCs w:val="22"/>
                <w:rtl/>
              </w:rPr>
              <w:t>חובת</w:t>
            </w:r>
            <w:r w:rsidRPr="001F2586">
              <w:rPr>
                <w:rFonts w:eastAsia="Calibri"/>
                <w:b/>
                <w:bCs/>
                <w:sz w:val="18"/>
                <w:szCs w:val="22"/>
                <w:rtl/>
              </w:rPr>
              <w:t xml:space="preserve"> </w:t>
            </w:r>
            <w:r w:rsidRPr="001F2586">
              <w:rPr>
                <w:rFonts w:eastAsia="Calibri" w:hint="eastAsia"/>
                <w:b/>
                <w:bCs/>
                <w:sz w:val="18"/>
                <w:szCs w:val="22"/>
                <w:rtl/>
              </w:rPr>
              <w:t>אמונים</w:t>
            </w:r>
          </w:p>
        </w:tc>
        <w:tc>
          <w:tcPr>
            <w:tcW w:w="3819" w:type="dxa"/>
            <w:shd w:val="clear" w:color="auto" w:fill="A6A6A6"/>
          </w:tcPr>
          <w:p w:rsidR="001F2586" w:rsidRPr="001F2586" w:rsidP="001F2586">
            <w:pPr>
              <w:spacing w:line="269" w:lineRule="auto"/>
              <w:jc w:val="center"/>
              <w:rPr>
                <w:rFonts w:eastAsia="Calibri"/>
                <w:b/>
                <w:bCs/>
                <w:sz w:val="18"/>
                <w:szCs w:val="22"/>
              </w:rPr>
            </w:pPr>
            <w:r w:rsidRPr="001F2586">
              <w:rPr>
                <w:rFonts w:eastAsia="Calibri" w:hint="eastAsia"/>
                <w:b/>
                <w:bCs/>
                <w:sz w:val="18"/>
                <w:szCs w:val="22"/>
                <w:rtl/>
              </w:rPr>
              <w:t>מהות</w:t>
            </w:r>
            <w:r w:rsidRPr="001F2586">
              <w:rPr>
                <w:rFonts w:eastAsia="Calibri"/>
                <w:b/>
                <w:bCs/>
                <w:sz w:val="18"/>
                <w:szCs w:val="22"/>
                <w:rtl/>
              </w:rPr>
              <w:t xml:space="preserve"> </w:t>
            </w:r>
            <w:r w:rsidRPr="001F2586">
              <w:rPr>
                <w:rFonts w:eastAsia="Calibri" w:hint="eastAsia"/>
                <w:b/>
                <w:bCs/>
                <w:sz w:val="18"/>
                <w:szCs w:val="22"/>
                <w:rtl/>
              </w:rPr>
              <w:t>התפקיד</w:t>
            </w:r>
          </w:p>
        </w:tc>
      </w:tr>
      <w:tr w:rsidTr="006F0DF8">
        <w:tblPrEx>
          <w:tblW w:w="9556" w:type="dxa"/>
          <w:tblLayout w:type="fixed"/>
          <w:tblLook w:val="04A0"/>
        </w:tblPrEx>
        <w:tc>
          <w:tcPr>
            <w:tcW w:w="1225" w:type="dxa"/>
          </w:tcPr>
          <w:p w:rsidR="001F2586" w:rsidRPr="001F2586" w:rsidP="001F2586">
            <w:pPr>
              <w:spacing w:line="269" w:lineRule="auto"/>
              <w:jc w:val="left"/>
              <w:rPr>
                <w:rFonts w:eastAsia="Calibri"/>
                <w:sz w:val="18"/>
                <w:szCs w:val="22"/>
                <w:rtl/>
              </w:rPr>
            </w:pPr>
            <w:r w:rsidRPr="001F2586">
              <w:rPr>
                <w:rFonts w:eastAsia="Calibri"/>
                <w:sz w:val="18"/>
                <w:szCs w:val="22"/>
                <w:rtl/>
              </w:rPr>
              <w:t>יועץ משכנתאות</w:t>
            </w:r>
            <w:r w:rsidRPr="001F2586">
              <w:rPr>
                <w:rFonts w:eastAsia="Calibri"/>
                <w:sz w:val="18"/>
                <w:szCs w:val="22"/>
                <w:rtl/>
              </w:rPr>
              <w:tab/>
            </w:r>
          </w:p>
        </w:tc>
        <w:tc>
          <w:tcPr>
            <w:tcW w:w="1110"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אין</w:t>
            </w:r>
          </w:p>
        </w:tc>
        <w:tc>
          <w:tcPr>
            <w:tcW w:w="709"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אין</w:t>
            </w:r>
          </w:p>
        </w:tc>
        <w:tc>
          <w:tcPr>
            <w:tcW w:w="851"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אין</w:t>
            </w:r>
          </w:p>
        </w:tc>
        <w:tc>
          <w:tcPr>
            <w:tcW w:w="992"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אין</w:t>
            </w:r>
          </w:p>
        </w:tc>
        <w:tc>
          <w:tcPr>
            <w:tcW w:w="850"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אין</w:t>
            </w:r>
          </w:p>
        </w:tc>
        <w:tc>
          <w:tcPr>
            <w:tcW w:w="3819"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w:t>
            </w:r>
            <w:r w:rsidRPr="001F2586">
              <w:rPr>
                <w:rFonts w:eastAsia="Calibri"/>
                <w:sz w:val="18"/>
                <w:szCs w:val="22"/>
                <w:rtl/>
              </w:rPr>
              <w:t>ועץ משכנתאות מסייע ללקוחות לבחור את תמהיל המשכנתא המתאים ביותר עבורם מתוך מגוון ההצעות הקיימות בשוק</w:t>
            </w:r>
          </w:p>
        </w:tc>
      </w:tr>
      <w:tr w:rsidTr="006F0DF8">
        <w:tblPrEx>
          <w:tblW w:w="9556" w:type="dxa"/>
          <w:tblLayout w:type="fixed"/>
          <w:tblLook w:val="04A0"/>
        </w:tblPrEx>
        <w:tc>
          <w:tcPr>
            <w:tcW w:w="1225" w:type="dxa"/>
          </w:tcPr>
          <w:p w:rsidR="001F2586" w:rsidRPr="001F2586" w:rsidP="001F2586">
            <w:pPr>
              <w:spacing w:line="269" w:lineRule="auto"/>
              <w:jc w:val="left"/>
              <w:rPr>
                <w:rFonts w:eastAsia="Calibri"/>
                <w:sz w:val="18"/>
                <w:szCs w:val="22"/>
                <w:rtl/>
              </w:rPr>
            </w:pPr>
            <w:r w:rsidRPr="001F2586">
              <w:rPr>
                <w:rFonts w:eastAsia="Calibri"/>
                <w:sz w:val="18"/>
                <w:szCs w:val="22"/>
                <w:rtl/>
              </w:rPr>
              <w:t>יועץ השקעות</w:t>
            </w:r>
          </w:p>
        </w:tc>
        <w:tc>
          <w:tcPr>
            <w:tcW w:w="1110"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רשות</w:t>
            </w:r>
            <w:r w:rsidRPr="001F2586">
              <w:rPr>
                <w:rFonts w:eastAsia="Calibri"/>
                <w:sz w:val="18"/>
                <w:szCs w:val="22"/>
                <w:rtl/>
              </w:rPr>
              <w:t xml:space="preserve"> </w:t>
            </w:r>
            <w:r w:rsidRPr="001F2586">
              <w:rPr>
                <w:rFonts w:eastAsia="Calibri" w:hint="eastAsia"/>
                <w:sz w:val="18"/>
                <w:szCs w:val="22"/>
                <w:rtl/>
              </w:rPr>
              <w:t>ניירות</w:t>
            </w:r>
            <w:r w:rsidRPr="001F2586">
              <w:rPr>
                <w:rFonts w:eastAsia="Calibri"/>
                <w:sz w:val="18"/>
                <w:szCs w:val="22"/>
                <w:rtl/>
              </w:rPr>
              <w:t xml:space="preserve"> </w:t>
            </w:r>
            <w:r w:rsidRPr="001F2586">
              <w:rPr>
                <w:rFonts w:eastAsia="Calibri" w:hint="eastAsia"/>
                <w:sz w:val="18"/>
                <w:szCs w:val="22"/>
                <w:rtl/>
              </w:rPr>
              <w:t>ערך</w:t>
            </w:r>
          </w:p>
        </w:tc>
        <w:tc>
          <w:tcPr>
            <w:tcW w:w="709"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r>
              <w:rPr>
                <w:rFonts w:eastAsia="Calibri"/>
                <w:sz w:val="18"/>
                <w:szCs w:val="22"/>
                <w:vertAlign w:val="superscript"/>
                <w:rtl/>
              </w:rPr>
              <w:footnoteReference w:id="468"/>
            </w:r>
          </w:p>
        </w:tc>
        <w:tc>
          <w:tcPr>
            <w:tcW w:w="851"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p>
        </w:tc>
        <w:tc>
          <w:tcPr>
            <w:tcW w:w="992"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p>
        </w:tc>
        <w:tc>
          <w:tcPr>
            <w:tcW w:w="850"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p>
        </w:tc>
        <w:tc>
          <w:tcPr>
            <w:tcW w:w="3819" w:type="dxa"/>
          </w:tcPr>
          <w:p w:rsidR="001F2586" w:rsidRPr="001F2586" w:rsidP="001F2586">
            <w:pPr>
              <w:spacing w:line="269" w:lineRule="auto"/>
              <w:jc w:val="left"/>
              <w:rPr>
                <w:rFonts w:eastAsia="Calibri"/>
                <w:sz w:val="18"/>
                <w:szCs w:val="22"/>
                <w:rtl/>
              </w:rPr>
            </w:pPr>
            <w:r w:rsidRPr="001F2586">
              <w:rPr>
                <w:rFonts w:eastAsia="Calibri"/>
                <w:sz w:val="18"/>
                <w:szCs w:val="22"/>
                <w:rtl/>
              </w:rPr>
              <w:t>יועץ השקעות מספק המלצות וייעוץ ללקוחותיו לגבי ניהול השקעות בניירות ערך, תוך התאמה לצרכים ורמת הסיכון של כל לקוח.</w:t>
            </w:r>
          </w:p>
        </w:tc>
      </w:tr>
      <w:tr w:rsidTr="006F0DF8">
        <w:tblPrEx>
          <w:tblW w:w="9556" w:type="dxa"/>
          <w:tblLayout w:type="fixed"/>
          <w:tblLook w:val="04A0"/>
        </w:tblPrEx>
        <w:tc>
          <w:tcPr>
            <w:tcW w:w="1225" w:type="dxa"/>
          </w:tcPr>
          <w:p w:rsidR="001F2586" w:rsidRPr="001F2586" w:rsidP="001F2586">
            <w:pPr>
              <w:spacing w:line="269" w:lineRule="auto"/>
              <w:jc w:val="left"/>
              <w:rPr>
                <w:rFonts w:eastAsia="Calibri"/>
                <w:sz w:val="18"/>
                <w:szCs w:val="22"/>
                <w:rtl/>
              </w:rPr>
            </w:pPr>
            <w:r w:rsidRPr="001F2586">
              <w:rPr>
                <w:rFonts w:eastAsia="Calibri"/>
                <w:sz w:val="18"/>
                <w:szCs w:val="22"/>
                <w:rtl/>
              </w:rPr>
              <w:t>יועץ פנסיוני</w:t>
            </w:r>
          </w:p>
        </w:tc>
        <w:tc>
          <w:tcPr>
            <w:tcW w:w="1110" w:type="dxa"/>
          </w:tcPr>
          <w:p w:rsidR="001F2586" w:rsidRPr="001F2586" w:rsidP="001F2586">
            <w:pPr>
              <w:spacing w:line="269" w:lineRule="auto"/>
              <w:jc w:val="left"/>
              <w:rPr>
                <w:rFonts w:eastAsia="Calibri"/>
                <w:sz w:val="18"/>
                <w:szCs w:val="22"/>
                <w:rtl/>
              </w:rPr>
            </w:pPr>
            <w:r w:rsidRPr="001F2586">
              <w:rPr>
                <w:rFonts w:eastAsia="Calibri"/>
                <w:sz w:val="18"/>
                <w:szCs w:val="22"/>
                <w:rtl/>
              </w:rPr>
              <w:t>רשות שוק ההון, ביטוח וחיסכון</w:t>
            </w:r>
          </w:p>
        </w:tc>
        <w:tc>
          <w:tcPr>
            <w:tcW w:w="709"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r>
              <w:rPr>
                <w:rFonts w:eastAsia="Calibri"/>
                <w:sz w:val="18"/>
                <w:szCs w:val="22"/>
                <w:vertAlign w:val="superscript"/>
                <w:rtl/>
              </w:rPr>
              <w:footnoteReference w:id="469"/>
            </w:r>
          </w:p>
        </w:tc>
        <w:tc>
          <w:tcPr>
            <w:tcW w:w="851"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p>
        </w:tc>
        <w:tc>
          <w:tcPr>
            <w:tcW w:w="992"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p>
        </w:tc>
        <w:tc>
          <w:tcPr>
            <w:tcW w:w="850"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p>
        </w:tc>
        <w:tc>
          <w:tcPr>
            <w:tcW w:w="3819"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יו</w:t>
            </w:r>
            <w:r w:rsidRPr="001F2586">
              <w:rPr>
                <w:rFonts w:eastAsia="Calibri"/>
                <w:sz w:val="18"/>
                <w:szCs w:val="22"/>
                <w:rtl/>
              </w:rPr>
              <w:t>עץ פנסיוני מספק ייעוץ אובייקטיבי בנוגע למוצרים פנסיוניים, כמו קרנות פנסיה, קופות גמל, וביטוחי מנהלים. מטרתו היא להתאים ללקוח את התוכנית הפנסיונית הטובה ביותר עבורו.</w:t>
            </w:r>
          </w:p>
        </w:tc>
      </w:tr>
      <w:tr w:rsidTr="006F0DF8">
        <w:tblPrEx>
          <w:tblW w:w="9556" w:type="dxa"/>
          <w:tblLayout w:type="fixed"/>
          <w:tblLook w:val="04A0"/>
        </w:tblPrEx>
        <w:tc>
          <w:tcPr>
            <w:tcW w:w="1225" w:type="dxa"/>
          </w:tcPr>
          <w:p w:rsidR="001F2586" w:rsidRPr="001F2586" w:rsidP="001F2586">
            <w:pPr>
              <w:spacing w:line="269" w:lineRule="auto"/>
              <w:jc w:val="left"/>
              <w:rPr>
                <w:rFonts w:eastAsia="Calibri"/>
                <w:sz w:val="18"/>
                <w:szCs w:val="22"/>
                <w:rtl/>
              </w:rPr>
            </w:pPr>
            <w:r w:rsidRPr="001F2586">
              <w:rPr>
                <w:rFonts w:eastAsia="Calibri"/>
                <w:sz w:val="18"/>
                <w:szCs w:val="22"/>
                <w:rtl/>
              </w:rPr>
              <w:t>שמאי מקרקעין</w:t>
            </w:r>
          </w:p>
        </w:tc>
        <w:tc>
          <w:tcPr>
            <w:tcW w:w="1110" w:type="dxa"/>
          </w:tcPr>
          <w:p w:rsidR="001F2586" w:rsidRPr="001F2586" w:rsidP="001F2586">
            <w:pPr>
              <w:spacing w:line="269" w:lineRule="auto"/>
              <w:jc w:val="left"/>
              <w:rPr>
                <w:rFonts w:eastAsia="Calibri"/>
                <w:sz w:val="18"/>
                <w:szCs w:val="22"/>
                <w:rtl/>
              </w:rPr>
            </w:pPr>
            <w:r w:rsidRPr="001F2586">
              <w:rPr>
                <w:rFonts w:eastAsia="Calibri"/>
                <w:sz w:val="18"/>
                <w:szCs w:val="22"/>
                <w:rtl/>
              </w:rPr>
              <w:t>מועצת שמאי מקרקעין</w:t>
            </w:r>
          </w:p>
        </w:tc>
        <w:tc>
          <w:tcPr>
            <w:tcW w:w="709" w:type="dxa"/>
          </w:tcPr>
          <w:p w:rsidR="001F2586" w:rsidRPr="001F2586" w:rsidP="001F2586">
            <w:pPr>
              <w:spacing w:line="269" w:lineRule="auto"/>
              <w:jc w:val="left"/>
              <w:rPr>
                <w:rFonts w:eastAsia="Calibri"/>
                <w:sz w:val="18"/>
                <w:szCs w:val="22"/>
                <w:rtl/>
              </w:rPr>
            </w:pPr>
          </w:p>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r>
              <w:rPr>
                <w:rFonts w:eastAsia="Calibri"/>
                <w:sz w:val="18"/>
                <w:szCs w:val="22"/>
                <w:vertAlign w:val="superscript"/>
                <w:rtl/>
              </w:rPr>
              <w:footnoteReference w:id="470"/>
            </w:r>
          </w:p>
        </w:tc>
        <w:tc>
          <w:tcPr>
            <w:tcW w:w="851"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p>
        </w:tc>
        <w:tc>
          <w:tcPr>
            <w:tcW w:w="992"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p>
        </w:tc>
        <w:tc>
          <w:tcPr>
            <w:tcW w:w="850" w:type="dxa"/>
          </w:tcPr>
          <w:p w:rsidR="001F2586" w:rsidRPr="001F2586" w:rsidP="001F2586">
            <w:pPr>
              <w:spacing w:line="269" w:lineRule="auto"/>
              <w:jc w:val="left"/>
              <w:rPr>
                <w:rFonts w:eastAsia="Calibri"/>
                <w:sz w:val="18"/>
                <w:szCs w:val="22"/>
                <w:rtl/>
              </w:rPr>
            </w:pPr>
            <w:r w:rsidRPr="001F2586">
              <w:rPr>
                <w:rFonts w:eastAsia="Calibri" w:hint="eastAsia"/>
                <w:sz w:val="18"/>
                <w:szCs w:val="22"/>
                <w:rtl/>
              </w:rPr>
              <w:t>יש</w:t>
            </w:r>
          </w:p>
        </w:tc>
        <w:tc>
          <w:tcPr>
            <w:tcW w:w="3819" w:type="dxa"/>
          </w:tcPr>
          <w:p w:rsidR="001F2586" w:rsidRPr="001F2586" w:rsidP="001F2586">
            <w:pPr>
              <w:spacing w:line="269" w:lineRule="auto"/>
              <w:jc w:val="left"/>
              <w:rPr>
                <w:rFonts w:eastAsia="Calibri"/>
                <w:sz w:val="18"/>
                <w:szCs w:val="22"/>
                <w:rtl/>
              </w:rPr>
            </w:pPr>
            <w:r w:rsidRPr="001F2586">
              <w:rPr>
                <w:rFonts w:eastAsia="Calibri"/>
                <w:sz w:val="18"/>
                <w:szCs w:val="22"/>
                <w:rtl/>
              </w:rPr>
              <w:t>שמאי מקרקעין מעריך את שווי הנכסים והזכויות במקרקעין (דירות, בתים, קרקעות וכו'). הוא מספק חוות דעת מקצועית המבוססת על ניתוח גורמים שונים כמו מיקום הנכס, מצבו הפיזי, זכויות בניה ועוד.</w:t>
            </w:r>
          </w:p>
        </w:tc>
      </w:tr>
      <w:tr w:rsidTr="006F0DF8">
        <w:tblPrEx>
          <w:tblW w:w="9556" w:type="dxa"/>
          <w:tblLayout w:type="fixed"/>
          <w:tblLook w:val="04A0"/>
        </w:tblPrEx>
        <w:tc>
          <w:tcPr>
            <w:tcW w:w="1225" w:type="dxa"/>
          </w:tcPr>
          <w:p w:rsidR="001F2586" w:rsidRPr="001F2586" w:rsidP="001F2586">
            <w:pPr>
              <w:spacing w:line="269" w:lineRule="auto"/>
              <w:jc w:val="left"/>
              <w:rPr>
                <w:rFonts w:eastAsia="Calibri"/>
                <w:sz w:val="18"/>
                <w:szCs w:val="22"/>
                <w:rtl/>
              </w:rPr>
            </w:pPr>
            <w:r w:rsidRPr="001F2586">
              <w:rPr>
                <w:rFonts w:eastAsia="Calibri" w:hint="cs"/>
                <w:sz w:val="18"/>
                <w:szCs w:val="22"/>
                <w:rtl/>
              </w:rPr>
              <w:t xml:space="preserve">סוכני ביטוח </w:t>
            </w:r>
          </w:p>
        </w:tc>
        <w:tc>
          <w:tcPr>
            <w:tcW w:w="1110" w:type="dxa"/>
          </w:tcPr>
          <w:p w:rsidR="001F2586" w:rsidRPr="001F2586" w:rsidP="001F2586">
            <w:pPr>
              <w:spacing w:line="269" w:lineRule="auto"/>
              <w:jc w:val="left"/>
              <w:rPr>
                <w:rFonts w:eastAsia="Calibri"/>
                <w:sz w:val="18"/>
                <w:szCs w:val="22"/>
                <w:rtl/>
              </w:rPr>
            </w:pPr>
            <w:r w:rsidRPr="001F2586">
              <w:rPr>
                <w:rFonts w:eastAsia="Calibri" w:hint="cs"/>
                <w:sz w:val="18"/>
                <w:szCs w:val="22"/>
                <w:rtl/>
              </w:rPr>
              <w:t xml:space="preserve">רשות שוק ההון </w:t>
            </w:r>
          </w:p>
        </w:tc>
        <w:tc>
          <w:tcPr>
            <w:tcW w:w="709"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יש</w:t>
            </w:r>
            <w:r>
              <w:rPr>
                <w:rFonts w:eastAsia="Calibri"/>
                <w:sz w:val="18"/>
                <w:szCs w:val="22"/>
                <w:vertAlign w:val="superscript"/>
                <w:rtl/>
              </w:rPr>
              <w:footnoteReference w:id="471"/>
            </w:r>
          </w:p>
        </w:tc>
        <w:tc>
          <w:tcPr>
            <w:tcW w:w="851"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יש</w:t>
            </w:r>
          </w:p>
        </w:tc>
        <w:tc>
          <w:tcPr>
            <w:tcW w:w="992"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יש</w:t>
            </w:r>
          </w:p>
        </w:tc>
        <w:tc>
          <w:tcPr>
            <w:tcW w:w="850" w:type="dxa"/>
          </w:tcPr>
          <w:p w:rsidR="001F2586" w:rsidRPr="001F2586" w:rsidP="001F2586">
            <w:pPr>
              <w:spacing w:line="269" w:lineRule="auto"/>
              <w:jc w:val="left"/>
              <w:rPr>
                <w:rFonts w:eastAsia="Calibri"/>
                <w:sz w:val="18"/>
                <w:szCs w:val="22"/>
                <w:rtl/>
              </w:rPr>
            </w:pPr>
            <w:r w:rsidRPr="001F2586">
              <w:rPr>
                <w:rFonts w:eastAsia="Calibri" w:hint="cs"/>
                <w:sz w:val="18"/>
                <w:szCs w:val="22"/>
                <w:rtl/>
              </w:rPr>
              <w:t>יש</w:t>
            </w:r>
          </w:p>
        </w:tc>
        <w:tc>
          <w:tcPr>
            <w:tcW w:w="3819" w:type="dxa"/>
          </w:tcPr>
          <w:p w:rsidR="001F2586" w:rsidRPr="001F2586" w:rsidP="001F2586">
            <w:pPr>
              <w:spacing w:line="269" w:lineRule="auto"/>
              <w:jc w:val="left"/>
              <w:rPr>
                <w:rFonts w:eastAsia="Calibri"/>
                <w:sz w:val="18"/>
                <w:szCs w:val="22"/>
                <w:rtl/>
              </w:rPr>
            </w:pPr>
            <w:r w:rsidRPr="001F2586">
              <w:rPr>
                <w:rFonts w:eastAsia="Calibri"/>
                <w:sz w:val="18"/>
                <w:szCs w:val="22"/>
                <w:rtl/>
              </w:rPr>
              <w:t>סוכן ביטוח הוא בעל מקצוע הפועל כמתווך בין מבוטחים פוטנציאליים לבין חברות ביטוח. תפקידו כולל שיווק והפצה של מוצרי ביטוח, התאמת פוליסות לצורכי הלקוח, ליווי מתמשך במוצרים ארוכי טווח ומתן סיוע בעת תביעות.</w:t>
            </w:r>
          </w:p>
        </w:tc>
      </w:tr>
    </w:tbl>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szCs w:val="20"/>
          <w:rtl/>
        </w:rPr>
      </w:pPr>
      <w:r w:rsidRPr="001F2586">
        <w:rPr>
          <w:rFonts w:eastAsia="Calibri" w:hint="cs"/>
          <w:szCs w:val="20"/>
          <w:rtl/>
        </w:rPr>
        <w:t xml:space="preserve">החוקים השונים החלים על בעלי המקצוע השונים, בעיבוד משרד מבקר המדינה.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למרות השוני בתחום המומחיות</w:t>
      </w:r>
      <w:r w:rsidRPr="001F2586">
        <w:rPr>
          <w:rFonts w:eastAsia="Calibri" w:hint="cs"/>
          <w:rtl/>
        </w:rPr>
        <w:t xml:space="preserve"> הניתן על ידי בעלי המקצוע השונים</w:t>
      </w:r>
      <w:r w:rsidRPr="001F2586">
        <w:rPr>
          <w:rFonts w:eastAsia="Calibri"/>
          <w:rtl/>
        </w:rPr>
        <w:t>, כ</w:t>
      </w:r>
      <w:r w:rsidRPr="001F2586">
        <w:rPr>
          <w:rFonts w:eastAsia="Calibri" w:hint="cs"/>
          <w:rtl/>
        </w:rPr>
        <w:t>ל המקצועות האמורים</w:t>
      </w:r>
      <w:r w:rsidRPr="001F2586">
        <w:rPr>
          <w:rFonts w:eastAsia="Calibri"/>
          <w:rtl/>
        </w:rPr>
        <w:t xml:space="preserve"> נוגעים לקבלת החלטות כלכליות מהותיות עבור הצרכן הפרטי או המשקיע </w:t>
      </w:r>
      <w:r w:rsidRPr="001F2586">
        <w:rPr>
          <w:rFonts w:eastAsia="Calibri" w:hint="cs"/>
          <w:rtl/>
        </w:rPr>
        <w:t>-</w:t>
      </w:r>
      <w:r w:rsidRPr="001F2586">
        <w:rPr>
          <w:rFonts w:eastAsia="Calibri"/>
          <w:rtl/>
        </w:rPr>
        <w:t xml:space="preserve"> בין אם מדובר על קניית נכס, ניהול חיסכון לטווח ארוך או בניית תיק השקעות.</w:t>
      </w:r>
      <w:r w:rsidRPr="001F2586">
        <w:rPr>
          <w:rFonts w:eastAsia="Calibri" w:hint="cs"/>
          <w:rtl/>
        </w:rPr>
        <w:t xml:space="preserve"> כל היועצים האמורים פועלים בתחום הפיננסי. </w:t>
      </w:r>
    </w:p>
    <w:p w:rsidR="001F2586" w:rsidRPr="001F2586" w:rsidP="001F2586">
      <w:pPr>
        <w:spacing w:line="269" w:lineRule="auto"/>
        <w:ind w:left="-567"/>
        <w:rPr>
          <w:rFonts w:eastAsia="Calibri"/>
          <w:szCs w:val="20"/>
          <w:rtl/>
        </w:rPr>
      </w:pPr>
    </w:p>
    <w:p w:rsidR="00880325" w:rsidP="001F2586">
      <w:pPr>
        <w:spacing w:line="269" w:lineRule="auto"/>
        <w:rPr>
          <w:rFonts w:eastAsia="Calibri"/>
          <w:b/>
          <w:bCs/>
          <w:rtl/>
        </w:rPr>
      </w:pPr>
      <w:r w:rsidRPr="001F2586">
        <w:rPr>
          <w:rFonts w:eastAsia="Calibri" w:hint="cs"/>
          <w:b/>
          <w:bCs/>
          <w:rtl/>
        </w:rPr>
        <w:t>מהשוואה האמורה עולה כי בכל המקצועות (ייעוץ השקעות, ייעוץ פנסיוני, שמאות מקרקעין, וסוכני ביטוח) קיימת אסדרה ופיקוח על המקצוע, ואילו על תחום יועצי המשכנתאות אין כל אסדרה או חובה החלה בתחום; אין תנאי סף לעיסוק בתחום ואין אף כל חובה אתית החלה על יועץ משכנתאות למעט החובות החלות על פי הדין הכללי. ההבדלים האמורים יוצרים פער בסטנדרטים המקצועיים והאתיים בהם יועצי משכנתאות פועלים ללא כל הסמכה רשמית וללא מחויבות לכללי אתיקה ברורים כפי שקיימים בענפים מוסדרים אחרים.</w:t>
      </w:r>
    </w:p>
    <w:p w:rsidR="00880325" w:rsidP="00880325">
      <w:pPr>
        <w:pStyle w:val="a"/>
        <w:spacing w:line="360" w:lineRule="auto"/>
        <w:ind w:left="50"/>
        <w:rPr>
          <w:rFonts w:ascii="David" w:hAnsi="David"/>
          <w:b/>
          <w:bCs/>
          <w:sz w:val="24"/>
          <w:szCs w:val="24"/>
          <w:rtl/>
        </w:rPr>
      </w:pPr>
    </w:p>
    <w:p w:rsidR="00880325" w:rsidRPr="00746E55" w:rsidP="0070405E">
      <w:pPr>
        <w:pStyle w:val="a"/>
        <w:spacing w:line="269" w:lineRule="auto"/>
        <w:ind w:left="51"/>
        <w:rPr>
          <w:b/>
          <w:bCs/>
          <w:sz w:val="24"/>
          <w:szCs w:val="24"/>
          <w:rtl/>
        </w:rPr>
      </w:pPr>
      <w:r w:rsidRPr="00746E55">
        <w:rPr>
          <w:rFonts w:ascii="David" w:hAnsi="David"/>
          <w:b/>
          <w:bCs/>
          <w:sz w:val="24"/>
          <w:szCs w:val="24"/>
          <w:rtl/>
        </w:rPr>
        <w:t xml:space="preserve">נכון למועד סיום הביקורת, יועצי משכנתאות אינם נדרשים </w:t>
      </w:r>
      <w:r w:rsidRPr="00746E55">
        <w:rPr>
          <w:rFonts w:ascii="David" w:hAnsi="David" w:hint="cs"/>
          <w:b/>
          <w:bCs/>
          <w:sz w:val="24"/>
          <w:szCs w:val="24"/>
          <w:rtl/>
        </w:rPr>
        <w:t>ל</w:t>
      </w:r>
      <w:r w:rsidRPr="00746E55">
        <w:rPr>
          <w:rFonts w:ascii="David" w:hAnsi="David"/>
          <w:b/>
          <w:bCs/>
          <w:sz w:val="24"/>
          <w:szCs w:val="24"/>
          <w:rtl/>
        </w:rPr>
        <w:t>רישיון ופעילותם אינה מפוקחת על ידי אף אחד מהרגולטורים הפיננסיים</w:t>
      </w:r>
      <w:r w:rsidRPr="00746E55">
        <w:rPr>
          <w:rFonts w:ascii="David" w:hAnsi="David" w:hint="cs"/>
          <w:b/>
          <w:bCs/>
          <w:sz w:val="24"/>
          <w:szCs w:val="24"/>
          <w:rtl/>
        </w:rPr>
        <w:t xml:space="preserve">: </w:t>
      </w:r>
      <w:r w:rsidRPr="00746E55">
        <w:rPr>
          <w:rFonts w:ascii="David" w:hAnsi="David"/>
          <w:b/>
          <w:bCs/>
          <w:sz w:val="24"/>
          <w:szCs w:val="24"/>
          <w:rtl/>
        </w:rPr>
        <w:t>בנק ישראל, רשות שוק ההון או רשות ניירות ערך. גם משרד המשפטים, האחראי על הסדרת מקצועות כמו ראיית חשבון, שמאות מקרקעין ותיווך, אינו מפקח על יועצי המשכנתאות</w:t>
      </w:r>
      <w:r w:rsidRPr="00746E55">
        <w:rPr>
          <w:b/>
          <w:bCs/>
          <w:sz w:val="24"/>
          <w:szCs w:val="24"/>
        </w:rPr>
        <w:t>.</w:t>
      </w:r>
    </w:p>
    <w:p w:rsidR="001F2586" w:rsidRPr="001F2586" w:rsidP="001F2586">
      <w:pPr>
        <w:spacing w:line="269" w:lineRule="auto"/>
        <w:rPr>
          <w:rFonts w:eastAsia="Calibri"/>
          <w:b/>
          <w:bCs/>
          <w:rtl/>
        </w:rPr>
      </w:pPr>
      <w:r w:rsidRPr="001F2586">
        <w:rPr>
          <w:rFonts w:eastAsia="Calibri" w:hint="cs"/>
          <w:b/>
          <w:bCs/>
          <w:rtl/>
        </w:rPr>
        <w:t xml:space="preserve"> </w:t>
      </w:r>
    </w:p>
    <w:p w:rsidR="001F2586" w:rsidRPr="001F2586" w:rsidP="001F2586">
      <w:pPr>
        <w:spacing w:line="269" w:lineRule="auto"/>
        <w:rPr>
          <w:rFonts w:eastAsia="Calibri"/>
          <w:rtl/>
        </w:rPr>
      </w:pPr>
      <w:r w:rsidRPr="001F2586">
        <w:rPr>
          <w:rFonts w:eastAsia="Calibri" w:hint="cs"/>
          <w:rtl/>
        </w:rPr>
        <w:t xml:space="preserve">היעדר הוראות דין משמעותו היא שכל אדם יכול להיות יועץ משכנתאות שכן אין כל תנאי מוקדם שצריך לעמוד בהם יחיד על מנת לעסוק בפועל בתחום ייעוץ משכנתאות כגון: גיל, השכלה אקדמית או השכלה כלכלית פיננסית, כשירות וידע מתאימים.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בהתאם לממצאי בדיקת הרשות להגבלים עסקיים (כיום רשות התחרות), שפורסמו במאי 2017 </w:t>
      </w:r>
      <w:r w:rsidRPr="001F2586">
        <w:rPr>
          <w:rFonts w:eastAsia="Calibri"/>
          <w:rtl/>
        </w:rPr>
        <w:t>החל מאמצע 2016 החלו הבנקים לצמצם את פעילותם של יועצי המשכנתאות</w:t>
      </w:r>
      <w:r w:rsidRPr="001F2586">
        <w:rPr>
          <w:rFonts w:eastAsia="Calibri" w:hint="cs"/>
          <w:rtl/>
        </w:rPr>
        <w:t xml:space="preserve">. </w:t>
      </w:r>
      <w:r w:rsidRPr="001F2586">
        <w:rPr>
          <w:rFonts w:eastAsia="Calibri"/>
          <w:rtl/>
        </w:rPr>
        <w:t xml:space="preserve">הבנקים יצרו מאגרי מידע שלפיהם </w:t>
      </w:r>
      <w:r w:rsidRPr="001F2586">
        <w:rPr>
          <w:rFonts w:eastAsia="Calibri" w:hint="cs"/>
          <w:rtl/>
        </w:rPr>
        <w:t>הם קבעו</w:t>
      </w:r>
      <w:r w:rsidRPr="001F2586">
        <w:rPr>
          <w:rFonts w:eastAsia="Calibri"/>
          <w:rtl/>
        </w:rPr>
        <w:t xml:space="preserve"> עם אילו יועצי משכנתאות</w:t>
      </w:r>
      <w:r w:rsidRPr="001F2586">
        <w:rPr>
          <w:rFonts w:eastAsia="Calibri" w:hint="cs"/>
          <w:rtl/>
        </w:rPr>
        <w:t xml:space="preserve"> הם עובדים </w:t>
      </w:r>
      <w:r w:rsidRPr="001F2586">
        <w:rPr>
          <w:rFonts w:eastAsia="Calibri"/>
          <w:rtl/>
        </w:rPr>
        <w:t xml:space="preserve">ועם אילו יועצים </w:t>
      </w:r>
      <w:r w:rsidRPr="001F2586">
        <w:rPr>
          <w:rFonts w:eastAsia="Calibri" w:hint="cs"/>
          <w:rtl/>
        </w:rPr>
        <w:t>אין הם יכולים</w:t>
      </w:r>
      <w:r w:rsidRPr="001F2586">
        <w:rPr>
          <w:rFonts w:eastAsia="Calibri"/>
          <w:rtl/>
        </w:rPr>
        <w:t xml:space="preserve"> לעבוד</w:t>
      </w:r>
      <w:r w:rsidRPr="001F2586">
        <w:rPr>
          <w:rFonts w:eastAsia="Calibri" w:hint="cs"/>
          <w:rtl/>
        </w:rPr>
        <w:t xml:space="preserve"> ובמקביל</w:t>
      </w:r>
      <w:r w:rsidRPr="001F2586">
        <w:rPr>
          <w:rFonts w:eastAsia="Calibri"/>
          <w:rtl/>
        </w:rPr>
        <w:t xml:space="preserve"> יצרו </w:t>
      </w:r>
      <w:r w:rsidRPr="001F2586">
        <w:rPr>
          <w:rFonts w:eastAsia="Calibri" w:hint="cs"/>
          <w:rtl/>
        </w:rPr>
        <w:t>"</w:t>
      </w:r>
      <w:r w:rsidRPr="001F2586">
        <w:rPr>
          <w:rFonts w:eastAsia="Calibri"/>
          <w:rtl/>
        </w:rPr>
        <w:t>רשימות שחורות</w:t>
      </w:r>
      <w:r w:rsidRPr="001F2586">
        <w:rPr>
          <w:rFonts w:eastAsia="Calibri" w:hint="cs"/>
          <w:rtl/>
        </w:rPr>
        <w:t>"</w:t>
      </w:r>
      <w:r w:rsidRPr="001F2586">
        <w:rPr>
          <w:rFonts w:eastAsia="Calibri"/>
          <w:rtl/>
        </w:rPr>
        <w:t xml:space="preserve"> של יועצי משכנתאות</w:t>
      </w:r>
      <w:r w:rsidRPr="001F2586">
        <w:rPr>
          <w:rFonts w:eastAsia="Calibri" w:hint="cs"/>
          <w:rtl/>
        </w:rPr>
        <w:t xml:space="preserve"> </w:t>
      </w:r>
      <w:r w:rsidRPr="001F2586">
        <w:rPr>
          <w:rFonts w:eastAsia="Calibri"/>
          <w:rtl/>
        </w:rPr>
        <w:t>שאיתם הם מסרבים לעבוד</w:t>
      </w:r>
      <w:r w:rsidRPr="001F2586">
        <w:rPr>
          <w:rFonts w:eastAsia="Calibri" w:hint="cs"/>
          <w:rtl/>
        </w:rPr>
        <w:t xml:space="preserve"> מסיבות כאלה או אחרות</w:t>
      </w:r>
      <w:r w:rsidRPr="001F2586">
        <w:rPr>
          <w:rFonts w:eastAsia="Calibri"/>
          <w:rtl/>
        </w:rPr>
        <w:t xml:space="preserve">. </w:t>
      </w:r>
      <w:r w:rsidRPr="001F2586">
        <w:rPr>
          <w:rFonts w:eastAsia="Calibri" w:hint="cs"/>
          <w:rtl/>
        </w:rPr>
        <w:t>גם י</w:t>
      </w:r>
      <w:r w:rsidRPr="001F2586">
        <w:rPr>
          <w:rFonts w:eastAsia="Calibri"/>
          <w:rtl/>
        </w:rPr>
        <w:t xml:space="preserve">ועצי משכנתאות שהבנקים </w:t>
      </w:r>
      <w:r w:rsidRPr="001F2586">
        <w:rPr>
          <w:rFonts w:eastAsia="Calibri" w:hint="cs"/>
          <w:rtl/>
        </w:rPr>
        <w:t>הסכימו</w:t>
      </w:r>
      <w:r w:rsidRPr="001F2586">
        <w:rPr>
          <w:rFonts w:eastAsia="Calibri"/>
          <w:rtl/>
        </w:rPr>
        <w:t xml:space="preserve"> לעבוד איתם נתקלו בקשיים בעבודה מול הבנקים שסירבו לדבר איתם ללא נוכחות הלקוח, סירבו להעביר להם מסמכים</w:t>
      </w:r>
      <w:r w:rsidRPr="001F2586">
        <w:rPr>
          <w:rFonts w:eastAsia="Calibri" w:hint="cs"/>
          <w:rtl/>
        </w:rPr>
        <w:t xml:space="preserve"> באופן ישיר</w:t>
      </w:r>
      <w:r w:rsidRPr="001F2586">
        <w:rPr>
          <w:rFonts w:eastAsia="Calibri"/>
          <w:rtl/>
        </w:rPr>
        <w:t xml:space="preserve"> </w:t>
      </w:r>
      <w:r w:rsidRPr="001F2586">
        <w:rPr>
          <w:rFonts w:eastAsia="Calibri" w:hint="cs"/>
          <w:rtl/>
        </w:rPr>
        <w:t xml:space="preserve">וכיוצא בזאת.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בעקבות תלונה שהתקבלה באוגוסט 2016 מחבר ועדת הכספים דאז, פתחה הממונה על ההגבלים העסקיים בבדיקה בנושאים שונים שעיקרה הייתה על כך שהריבית על המשכנתאות עלתה בכל הבנקים במקביל למרות שהריבית במשק לא עלתה. </w:t>
      </w:r>
      <w:r w:rsidRPr="001F2586">
        <w:rPr>
          <w:rFonts w:eastAsia="Calibri"/>
          <w:rtl/>
        </w:rPr>
        <w:t xml:space="preserve">בבדיקה </w:t>
      </w:r>
      <w:r w:rsidRPr="001F2586">
        <w:rPr>
          <w:rFonts w:eastAsia="Calibri" w:hint="cs"/>
          <w:rtl/>
        </w:rPr>
        <w:t>שנערכה על ידי הממונה על ההגבלים העסקיים נבחנו</w:t>
      </w:r>
      <w:r w:rsidRPr="001F2586">
        <w:rPr>
          <w:rFonts w:eastAsia="Calibri"/>
          <w:rtl/>
        </w:rPr>
        <w:t xml:space="preserve"> שיעורי הריבית ואופן קבלת ההחלטות בבנקים ולא נמ</w:t>
      </w:r>
      <w:r w:rsidRPr="001F2586">
        <w:rPr>
          <w:rFonts w:eastAsia="Calibri" w:hint="cs"/>
          <w:rtl/>
        </w:rPr>
        <w:t>צ</w:t>
      </w:r>
      <w:r w:rsidRPr="001F2586">
        <w:rPr>
          <w:rFonts w:eastAsia="Calibri"/>
          <w:rtl/>
        </w:rPr>
        <w:t>או ממצאים לתיאום ריביות בין הבנקים.</w:t>
      </w:r>
      <w:r w:rsidRPr="001F2586">
        <w:rPr>
          <w:rFonts w:eastAsia="Calibri" w:hint="cs"/>
          <w:rtl/>
        </w:rPr>
        <w:t xml:space="preserve"> חקירת הרשות העלתה לדיון נושא אחר הפוגע בצרכני המשכנתא והיא היחס של הבנקים ליועצי משכנתאות. ביולי 2017 פרסמה הרשות להגבלים עסקיים את ממצאיה בכל הקשור ליועצי המשכנתאות בישיבה של וועדת הכספים של הכנסת</w:t>
      </w:r>
      <w:r>
        <w:rPr>
          <w:rFonts w:eastAsia="Calibri"/>
          <w:vertAlign w:val="superscript"/>
          <w:rtl/>
        </w:rPr>
        <w:footnoteReference w:id="472"/>
      </w:r>
      <w:r w:rsidRPr="001F2586">
        <w:rPr>
          <w:rFonts w:eastAsia="Calibri" w:hint="cs"/>
          <w:rtl/>
        </w:rPr>
        <w:t xml:space="preserve">. </w:t>
      </w:r>
      <w:r w:rsidRPr="001F2586">
        <w:rPr>
          <w:rFonts w:eastAsia="Calibri"/>
          <w:rtl/>
        </w:rPr>
        <w:t>ממצאי בדיקת הממונה גילו התנהגות פוגעת בתחרות של הבנקים מול יועצי המשכנתאות וניסיון לצמצם את פעילותם של יועצי המשכנתאות.</w:t>
      </w:r>
      <w:r w:rsidRPr="001F2586">
        <w:rPr>
          <w:rFonts w:eastAsia="Calibri" w:hint="cs"/>
          <w:rtl/>
        </w:rPr>
        <w:t xml:space="preserve"> </w:t>
      </w:r>
      <w:r w:rsidRPr="001F2586">
        <w:rPr>
          <w:rFonts w:eastAsia="Calibri"/>
          <w:rtl/>
        </w:rPr>
        <w:t xml:space="preserve">בדיקת </w:t>
      </w:r>
      <w:r w:rsidRPr="001F2586">
        <w:rPr>
          <w:rFonts w:eastAsia="Calibri" w:hint="cs"/>
          <w:rtl/>
        </w:rPr>
        <w:t>הרשות להגבלים עסקיים</w:t>
      </w:r>
      <w:r w:rsidRPr="001F2586">
        <w:rPr>
          <w:rFonts w:eastAsia="Calibri"/>
          <w:rtl/>
        </w:rPr>
        <w:t xml:space="preserve"> העלתה כי סיבה משמעותית לדחיקת יועצי המשכנתאות ה</w:t>
      </w:r>
      <w:r w:rsidRPr="001F2586">
        <w:rPr>
          <w:rFonts w:eastAsia="Calibri" w:hint="cs"/>
          <w:rtl/>
        </w:rPr>
        <w:t>י</w:t>
      </w:r>
      <w:r w:rsidRPr="001F2586">
        <w:rPr>
          <w:rFonts w:eastAsia="Calibri"/>
          <w:rtl/>
        </w:rPr>
        <w:t>יתה הצלחת היועצים להוריד את מחיר המשכנתא עבור לקוחותיהם,</w:t>
      </w:r>
      <w:r w:rsidRPr="001F2586">
        <w:rPr>
          <w:rFonts w:eastAsia="Calibri" w:hint="cs"/>
          <w:rtl/>
        </w:rPr>
        <w:t xml:space="preserve"> </w:t>
      </w:r>
      <w:r w:rsidRPr="001F2586">
        <w:rPr>
          <w:rFonts w:eastAsia="Calibri"/>
          <w:rtl/>
        </w:rPr>
        <w:t xml:space="preserve">ובכך להקטין את הרווח של הבנקים.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עוד קבעה הבדיקה כי </w:t>
      </w:r>
      <w:r w:rsidRPr="001F2586">
        <w:rPr>
          <w:rFonts w:eastAsia="Calibri"/>
          <w:rtl/>
        </w:rPr>
        <w:t xml:space="preserve">יועצי המשכנתאות הם גורם משמעותי בתחום אשר מצליחים </w:t>
      </w:r>
      <w:r w:rsidRPr="001F2586">
        <w:rPr>
          <w:rFonts w:eastAsia="Calibri"/>
          <w:rtl/>
        </w:rPr>
        <w:t>לתחר</w:t>
      </w:r>
      <w:r w:rsidRPr="001F2586">
        <w:rPr>
          <w:rFonts w:eastAsia="Calibri"/>
          <w:rtl/>
        </w:rPr>
        <w:t xml:space="preserve"> בין הצעות שונות מהבנקים השונים עבור הזוגות </w:t>
      </w:r>
      <w:r w:rsidRPr="001F2586">
        <w:rPr>
          <w:rFonts w:eastAsia="Calibri" w:hint="cs"/>
          <w:rtl/>
        </w:rPr>
        <w:t>המעונייני</w:t>
      </w:r>
      <w:r w:rsidRPr="001F2586">
        <w:rPr>
          <w:rFonts w:eastAsia="Calibri" w:hint="eastAsia"/>
          <w:rtl/>
        </w:rPr>
        <w:t>ם</w:t>
      </w:r>
      <w:r w:rsidRPr="001F2586">
        <w:rPr>
          <w:rFonts w:eastAsia="Calibri"/>
          <w:rtl/>
        </w:rPr>
        <w:t xml:space="preserve"> לרכוש דירה.</w:t>
      </w:r>
      <w:r w:rsidRPr="001F2586">
        <w:rPr>
          <w:rFonts w:eastAsia="Calibri" w:hint="cs"/>
          <w:rtl/>
        </w:rPr>
        <w:t xml:space="preserve"> רשות התחרות קבעה בממצאיה כי</w:t>
      </w:r>
      <w:r w:rsidRPr="001F2586">
        <w:rPr>
          <w:rFonts w:eastAsia="Calibri"/>
          <w:rtl/>
        </w:rPr>
        <w:t xml:space="preserve"> </w:t>
      </w:r>
      <w:r w:rsidRPr="001F2586">
        <w:rPr>
          <w:rFonts w:eastAsia="Calibri" w:hint="cs"/>
          <w:rtl/>
        </w:rPr>
        <w:t xml:space="preserve">יש </w:t>
      </w:r>
      <w:r w:rsidRPr="001F2586">
        <w:rPr>
          <w:rFonts w:eastAsia="Calibri"/>
          <w:rtl/>
        </w:rPr>
        <w:t>לחייב את הבנקים לעבוד עם יועצי המשכנתאות לצורך קידום התחרו</w:t>
      </w:r>
      <w:r w:rsidRPr="001F2586">
        <w:rPr>
          <w:rFonts w:eastAsia="Calibri" w:hint="cs"/>
          <w:rtl/>
        </w:rPr>
        <w:t xml:space="preserve">ת. עוד קבעה </w:t>
      </w:r>
      <w:r w:rsidRPr="001F2586">
        <w:rPr>
          <w:rFonts w:eastAsia="Calibri"/>
          <w:rtl/>
        </w:rPr>
        <w:t xml:space="preserve">הרשות כי יש להסדיר רוחבית את תחום יועצי המשכנתאות על מנת להגן על הלקוחות של הבנקים וגם על מנת למנוע כל אפשרות של הבנקים לדחוק את יועצי המשכנתאות מעבודתם. הסדרת התחום תאפשר לזוגות הצעירים המעוניינים לרכוש דירה לקבל משכנתא בתנאים טובים ובמחיר תחרותי.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יצוין כי יו"ר ועדת הכספים דאז</w:t>
      </w:r>
      <w:r>
        <w:rPr>
          <w:rFonts w:eastAsia="Calibri"/>
          <w:vertAlign w:val="superscript"/>
          <w:rtl/>
        </w:rPr>
        <w:footnoteReference w:id="473"/>
      </w:r>
      <w:r w:rsidRPr="001F2586">
        <w:rPr>
          <w:rFonts w:eastAsia="Calibri" w:hint="cs"/>
          <w:rtl/>
        </w:rPr>
        <w:t xml:space="preserve">, ציין בישיבה בה הוצגו ממצאי הממונה על ההגבלים העסקיים כי "בנק ישראל נכשל בהגנה על הלקוחות... ועל כן, ועדת הכספים תפעל... נקדם הצעת חוק להסדרת פעילות יועצי המשכנתאות כך שהבנקים לא יוכלו חוקית להצר את צעדיהם...".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בספטמבר 2017 הוציא בנק ישראל את הוראות נוהל בנקאי תקין </w:t>
      </w:r>
      <w:r w:rsidRPr="001F2586">
        <w:rPr>
          <w:rFonts w:eastAsia="Calibri" w:hint="cs"/>
        </w:rPr>
        <w:t>A</w:t>
      </w:r>
      <w:r w:rsidRPr="001F2586">
        <w:rPr>
          <w:rFonts w:eastAsia="Calibri" w:hint="cs"/>
          <w:rtl/>
        </w:rPr>
        <w:t>329</w:t>
      </w:r>
      <w:r w:rsidRPr="001F2586">
        <w:rPr>
          <w:rFonts w:eastAsia="Calibri" w:hint="cs"/>
        </w:rPr>
        <w:t xml:space="preserve"> </w:t>
      </w:r>
      <w:r w:rsidRPr="001F2586">
        <w:rPr>
          <w:rFonts w:eastAsia="Calibri" w:hint="cs"/>
          <w:rtl/>
        </w:rPr>
        <w:t xml:space="preserve">- יועצי משכנתאות (להלן - הנחיית בנק ישראל בנוגע ליועצי משכנתאות) שנועדה להסדיר את נושא ייעוץ המשכנתאות אל מול הבנקים. על פי הוראה זו, הבנקים יראו את יועצי המשכנתאות כשולחיהם של הלווים ועל כן לא יסרבו לפעול מולם בתהליך אישור המשכנתא, גם ללא נוכחות פיזית של הלקוח.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מזה מספר שנים, ניסו גורמים שונים לקדם הצעת חקיקה בדבר </w:t>
      </w:r>
      <w:r w:rsidRPr="001F2586">
        <w:rPr>
          <w:rFonts w:eastAsia="Calibri" w:hint="cs"/>
          <w:rtl/>
        </w:rPr>
        <w:t>אסדרת</w:t>
      </w:r>
      <w:r w:rsidRPr="001F2586">
        <w:rPr>
          <w:rFonts w:eastAsia="Calibri" w:hint="cs"/>
          <w:rtl/>
        </w:rPr>
        <w:t xml:space="preserve"> עיסוק יועצי המשכנתאות. במסגרת הכנסת העשרים וחמש הוגשה </w:t>
      </w:r>
      <w:r w:rsidRPr="001F2586">
        <w:rPr>
          <w:rFonts w:eastAsia="Calibri"/>
          <w:rtl/>
        </w:rPr>
        <w:t>הצעת חוק</w:t>
      </w:r>
      <w:r w:rsidRPr="001F2586">
        <w:rPr>
          <w:rFonts w:eastAsia="Calibri" w:hint="cs"/>
          <w:rtl/>
        </w:rPr>
        <w:t xml:space="preserve"> פרטית</w:t>
      </w:r>
      <w:r w:rsidRPr="001F2586">
        <w:rPr>
          <w:rFonts w:eastAsia="Calibri"/>
          <w:rtl/>
        </w:rPr>
        <w:t xml:space="preserve"> </w:t>
      </w:r>
      <w:r w:rsidRPr="001F2586">
        <w:rPr>
          <w:rFonts w:eastAsia="Calibri" w:hint="cs"/>
          <w:rtl/>
        </w:rPr>
        <w:t xml:space="preserve">ליו"ר הכנסת ביום 25.11.24 בדבר </w:t>
      </w:r>
      <w:r w:rsidRPr="001F2586">
        <w:rPr>
          <w:rFonts w:eastAsia="Calibri"/>
          <w:rtl/>
        </w:rPr>
        <w:t>הסדרת העיסוק בייעוץ משכנתאות, התשפ"ה</w:t>
      </w:r>
      <w:r w:rsidRPr="001F2586">
        <w:rPr>
          <w:rFonts w:eastAsia="Calibri" w:hint="cs"/>
          <w:rtl/>
        </w:rPr>
        <w:t>-</w:t>
      </w:r>
      <w:r w:rsidRPr="001F2586">
        <w:rPr>
          <w:rFonts w:eastAsia="Calibri"/>
          <w:rtl/>
        </w:rPr>
        <w:t>2024</w:t>
      </w:r>
      <w:r>
        <w:rPr>
          <w:rFonts w:eastAsia="Calibri"/>
          <w:vertAlign w:val="superscript"/>
          <w:rtl/>
        </w:rPr>
        <w:footnoteReference w:id="474"/>
      </w:r>
      <w:r w:rsidRPr="001F2586">
        <w:rPr>
          <w:rFonts w:eastAsia="Calibri" w:hint="cs"/>
          <w:rtl/>
        </w:rPr>
        <w:t xml:space="preserve">, </w:t>
      </w:r>
      <w:r w:rsidRPr="001F2586">
        <w:rPr>
          <w:rFonts w:eastAsia="Calibri"/>
          <w:rtl/>
        </w:rPr>
        <w:t>הצעת החוק נועדה להסדיר מתן ייעוץ משכנתאות מקצועי העומד בתנאי סף מקצועיים ואתיים, לטובת הציבור שיוכל לקבל את המידע הדרוש לו באופן מקיף ושקוף לקראת נטילת משכנתא לצורך רכישת דירה למגורים</w:t>
      </w:r>
      <w:r w:rsidRPr="001F2586">
        <w:rPr>
          <w:rFonts w:eastAsia="Calibri" w:hint="cs"/>
          <w:rtl/>
        </w:rPr>
        <w:t xml:space="preserve">. הצעת החוק </w:t>
      </w:r>
      <w:r w:rsidRPr="001F2586">
        <w:rPr>
          <w:rFonts w:eastAsia="Calibri"/>
          <w:rtl/>
        </w:rPr>
        <w:t>קובעת כי משרד המשפטים יהיה הגוף האחראי להסדרת התחום, בדומה לרואי חשבון, שמאים ויועצי מס. ההצעה כוללת</w:t>
      </w:r>
      <w:r w:rsidRPr="001F2586">
        <w:rPr>
          <w:rFonts w:eastAsia="Calibri" w:hint="cs"/>
          <w:rtl/>
        </w:rPr>
        <w:t xml:space="preserve"> חובת</w:t>
      </w:r>
      <w:r w:rsidRPr="001F2586">
        <w:rPr>
          <w:rFonts w:eastAsia="Calibri"/>
          <w:rtl/>
        </w:rPr>
        <w:t xml:space="preserve"> מבחני הסמכה, </w:t>
      </w:r>
      <w:r w:rsidRPr="001F2586">
        <w:rPr>
          <w:rFonts w:eastAsia="Calibri" w:hint="cs"/>
          <w:rtl/>
        </w:rPr>
        <w:t xml:space="preserve">הקמת </w:t>
      </w:r>
      <w:r w:rsidRPr="001F2586">
        <w:rPr>
          <w:rFonts w:eastAsia="Calibri"/>
          <w:rtl/>
        </w:rPr>
        <w:t xml:space="preserve">ועדת משמעת ואיסור על קבלת עמלות מכל גוף שאינו הלקוח </w:t>
      </w:r>
      <w:r w:rsidRPr="001F2586">
        <w:rPr>
          <w:rFonts w:eastAsia="Calibri" w:hint="cs"/>
          <w:rtl/>
        </w:rPr>
        <w:t>-</w:t>
      </w:r>
      <w:r w:rsidRPr="001F2586">
        <w:rPr>
          <w:rFonts w:eastAsia="Calibri"/>
          <w:rtl/>
        </w:rPr>
        <w:t xml:space="preserve"> כדי למנוע ניגודי עניינים. כך, יועץ לא יוכל לעבוד במקביל עבור הבנק והלווה, ולא יהיה רשאי לקבל תמריצים מגופים פיננסיים.</w:t>
      </w:r>
      <w:r w:rsidRPr="001F2586">
        <w:rPr>
          <w:rFonts w:eastAsia="Calibri" w:hint="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במהלך חודש יוני 2025 התקיים דיון בוועדת לענייני ביקורת המדינה של הכנסת</w:t>
      </w:r>
      <w:r>
        <w:rPr>
          <w:rFonts w:eastAsia="Calibri"/>
          <w:vertAlign w:val="superscript"/>
          <w:rtl/>
        </w:rPr>
        <w:footnoteReference w:id="475"/>
      </w:r>
      <w:r w:rsidRPr="001F2586">
        <w:rPr>
          <w:rFonts w:eastAsia="Calibri" w:hint="cs"/>
          <w:rtl/>
        </w:rPr>
        <w:t>, בנושא פעולות הפיקוח על הבנקים בנושא מתן הלוואות למשכנתאות. ב</w:t>
      </w:r>
      <w:r w:rsidRPr="001F2586">
        <w:rPr>
          <w:rFonts w:eastAsia="Calibri"/>
          <w:rtl/>
        </w:rPr>
        <w:t>מכתבה של התאחדות יועצי המשכנתאות שהוגש לוועדת ביקורת המדינה בדיון בתאריך 09.06.2025 ציינה ההתאחדות כי "הצעת החוק האמורה אינה מקודמת בוועדת שרים לענייני חקיקה מ-08.12.2024".</w:t>
      </w:r>
      <w:r w:rsidRPr="001F2586">
        <w:rPr>
          <w:rFonts w:eastAsia="Calibri" w:hint="cs"/>
          <w:rtl/>
        </w:rPr>
        <w:t xml:space="preserve"> משרד המשפטים ציין כי "</w:t>
      </w:r>
      <w:r w:rsidRPr="001F2586">
        <w:rPr>
          <w:rFonts w:eastAsia="Calibri"/>
          <w:rtl/>
        </w:rPr>
        <w:t xml:space="preserve">אין לנו התנגדות עקרונית לאסדרה, אך בדקנו את המצב בעולם </w:t>
      </w:r>
      <w:r w:rsidRPr="001F2586">
        <w:rPr>
          <w:rFonts w:eastAsia="Calibri" w:hint="cs"/>
          <w:rtl/>
        </w:rPr>
        <w:t>-</w:t>
      </w:r>
      <w:r w:rsidRPr="001F2586">
        <w:rPr>
          <w:rFonts w:eastAsia="Calibri"/>
          <w:rtl/>
        </w:rPr>
        <w:t xml:space="preserve"> ובשום מדינה זה לא באחריות משרד משפטים. רוב העבודה של היועצים נעשית מול גופים פיננסיים, ולכן האינטואיציה שלנו היא שזה מתאים יותר לרגולטור פיננסי. פנינו לכל הגורמים הרלוונטיים </w:t>
      </w:r>
      <w:r w:rsidRPr="001F2586">
        <w:rPr>
          <w:rFonts w:eastAsia="Calibri" w:hint="cs"/>
          <w:rtl/>
        </w:rPr>
        <w:t>-</w:t>
      </w:r>
      <w:r w:rsidRPr="001F2586">
        <w:rPr>
          <w:rFonts w:eastAsia="Calibri"/>
          <w:rtl/>
        </w:rPr>
        <w:t xml:space="preserve"> אך עדיין לא נמצא גוף שמוכן לקחת את המשימה".</w:t>
      </w:r>
      <w:r w:rsidRPr="001F2586">
        <w:rPr>
          <w:rFonts w:eastAsia="Calibri" w:hint="cs"/>
          <w:rtl/>
        </w:rPr>
        <w:t xml:space="preserve"> יו"ר הוועדה לביקורת המדינה ציין בדיון כי "הוועדה תוציא מכתב לשר המשפטים... בשם הוועדה לביקורת המדינה, שאנחנו מבקשים את התערבותו... שזה קשור בחיי היום יום של אזרחי מדינת ישראל, ואי קידום החקיקה פשוט פוגע באזרחי מדינת ישראל...". עוד ציין יו"ר הוועדה לביקורת המדינה בדיון כי "... זה נופל בין כל משרדי הממשלה. אף אחד לא רוצה לקחת חסות על מהלך הכי גדול...".</w:t>
      </w:r>
    </w:p>
    <w:p w:rsidR="001F2586" w:rsidRPr="001F2586" w:rsidP="001F2586">
      <w:pPr>
        <w:spacing w:line="269" w:lineRule="auto"/>
        <w:ind w:left="-567"/>
        <w:rPr>
          <w:rFonts w:eastAsia="Calibri"/>
          <w:szCs w:val="20"/>
          <w:rtl/>
        </w:rPr>
      </w:pPr>
    </w:p>
    <w:p w:rsidR="001F2586" w:rsidP="001F2586">
      <w:pPr>
        <w:spacing w:line="269" w:lineRule="auto"/>
        <w:rPr>
          <w:rFonts w:eastAsia="Calibri"/>
          <w:b/>
          <w:bCs/>
          <w:rtl/>
        </w:rPr>
      </w:pPr>
      <w:r w:rsidRPr="001F2586">
        <w:rPr>
          <w:rFonts w:eastAsia="Calibri" w:hint="cs"/>
          <w:b/>
          <w:bCs/>
          <w:rtl/>
        </w:rPr>
        <w:t xml:space="preserve">נמצא כי </w:t>
      </w:r>
      <w:r w:rsidRPr="001F2586">
        <w:rPr>
          <w:rFonts w:eastAsia="Calibri"/>
          <w:b/>
          <w:bCs/>
          <w:rtl/>
        </w:rPr>
        <w:t xml:space="preserve">מאז שנת 2017 הועלה הצורך </w:t>
      </w:r>
      <w:r w:rsidRPr="001F2586">
        <w:rPr>
          <w:rFonts w:eastAsia="Calibri"/>
          <w:b/>
          <w:bCs/>
          <w:rtl/>
        </w:rPr>
        <w:t>באסדרת</w:t>
      </w:r>
      <w:r w:rsidRPr="001F2586">
        <w:rPr>
          <w:rFonts w:eastAsia="Calibri"/>
          <w:b/>
          <w:bCs/>
          <w:rtl/>
        </w:rPr>
        <w:t xml:space="preserve"> תחום יועצי המשכנתאות ועד מועד סיום הביקורת הצעת החוק האחרונה בנושא לא התגבשה לכדי חקיקה</w:t>
      </w:r>
      <w:r w:rsidRPr="001F2586">
        <w:rPr>
          <w:rFonts w:eastAsia="Calibri" w:hint="cs"/>
          <w:b/>
          <w:bCs/>
          <w:rtl/>
        </w:rPr>
        <w:t>,</w:t>
      </w:r>
      <w:r w:rsidRPr="001F2586">
        <w:rPr>
          <w:rFonts w:eastAsia="Calibri"/>
          <w:b/>
          <w:bCs/>
          <w:rtl/>
        </w:rPr>
        <w:t xml:space="preserve"> ו</w:t>
      </w:r>
      <w:r w:rsidRPr="001F2586">
        <w:rPr>
          <w:rFonts w:eastAsia="Calibri" w:hint="cs"/>
          <w:b/>
          <w:bCs/>
          <w:rtl/>
        </w:rPr>
        <w:t xml:space="preserve">כי </w:t>
      </w:r>
      <w:r w:rsidRPr="001F2586">
        <w:rPr>
          <w:rFonts w:eastAsia="Calibri"/>
          <w:b/>
          <w:bCs/>
          <w:rtl/>
        </w:rPr>
        <w:t>נכון למועד סיום הביקורת עדיין אין כל רגולטור או משרד ממשלתי המפקח על יועצי המשכנתאות. יצוין כי לאחר סיום הביקורת</w:t>
      </w:r>
      <w:r w:rsidRPr="001F2586">
        <w:rPr>
          <w:rFonts w:eastAsia="Calibri" w:hint="cs"/>
          <w:b/>
          <w:bCs/>
          <w:rtl/>
        </w:rPr>
        <w:t>,</w:t>
      </w:r>
      <w:r w:rsidRPr="001F2586">
        <w:rPr>
          <w:rFonts w:eastAsia="Calibri"/>
          <w:b/>
          <w:bCs/>
          <w:rtl/>
        </w:rPr>
        <w:t xml:space="preserve"> במאי 2026 החוק </w:t>
      </w:r>
      <w:r w:rsidRPr="001F2586">
        <w:rPr>
          <w:rFonts w:eastAsia="Calibri"/>
          <w:b/>
          <w:bCs/>
          <w:rtl/>
        </w:rPr>
        <w:t>לאסדרת</w:t>
      </w:r>
      <w:r w:rsidRPr="001F2586">
        <w:rPr>
          <w:rFonts w:eastAsia="Calibri"/>
          <w:b/>
          <w:bCs/>
          <w:rtl/>
        </w:rPr>
        <w:t xml:space="preserve"> העיסוק בייעוץ משכנתאות אושר לקריאה ראשונה בה נקבע כי משרד המשפטים יפקח על יועצי המשכנתאות.</w:t>
      </w:r>
    </w:p>
    <w:p w:rsidR="000524B4" w:rsidRPr="00460A3B" w:rsidP="0070405E">
      <w:pPr>
        <w:pStyle w:val="a"/>
        <w:spacing w:before="240" w:line="269" w:lineRule="auto"/>
        <w:ind w:left="0"/>
        <w:rPr>
          <w:b/>
          <w:bCs/>
          <w:sz w:val="24"/>
          <w:szCs w:val="24"/>
          <w:rtl/>
        </w:rPr>
      </w:pPr>
      <w:r w:rsidRPr="00460A3B">
        <w:rPr>
          <w:rFonts w:hint="cs"/>
          <w:b/>
          <w:bCs/>
          <w:sz w:val="24"/>
          <w:szCs w:val="24"/>
          <w:rtl/>
        </w:rPr>
        <w:t>אסדרת</w:t>
      </w:r>
      <w:r w:rsidRPr="00460A3B">
        <w:rPr>
          <w:rFonts w:hint="cs"/>
          <w:b/>
          <w:bCs/>
          <w:sz w:val="24"/>
          <w:szCs w:val="24"/>
          <w:rtl/>
        </w:rPr>
        <w:t xml:space="preserve"> תחום יועצי המשכנתאות נתקלה בקשיים בין היתר בשל חילוקי דעות בין משרדי הממשלה וחוסר הסכמה לגבי הגוף המתאים לפקח אחר התחום - האם משרד המשפטים כפי שהוצע בהצעת החוק הנוכחית, או רגולטור פיננסי אחר כמו רשות שוק ההון או בנק ישראל.</w:t>
      </w:r>
      <w:r w:rsidRPr="00460A3B">
        <w:rPr>
          <w:rFonts w:hint="cs"/>
          <w:sz w:val="24"/>
          <w:szCs w:val="24"/>
          <w:rtl/>
        </w:rPr>
        <w:t xml:space="preserve"> </w:t>
      </w:r>
      <w:r w:rsidRPr="00460A3B">
        <w:rPr>
          <w:rFonts w:hint="cs"/>
          <w:b/>
          <w:bCs/>
          <w:sz w:val="24"/>
          <w:szCs w:val="24"/>
          <w:rtl/>
        </w:rPr>
        <w:t xml:space="preserve">חוסר ההסכמה על הגורם המפקח כפי שעלה במסגרת הוועדה לביקורת המדינה בדיון שהתקיים ביוני 2025 מעכב את </w:t>
      </w:r>
      <w:r w:rsidRPr="00460A3B">
        <w:rPr>
          <w:rFonts w:hint="cs"/>
          <w:b/>
          <w:bCs/>
          <w:sz w:val="24"/>
          <w:szCs w:val="24"/>
          <w:rtl/>
        </w:rPr>
        <w:t>אסדרת</w:t>
      </w:r>
      <w:r w:rsidRPr="00460A3B">
        <w:rPr>
          <w:rFonts w:hint="cs"/>
          <w:b/>
          <w:bCs/>
          <w:sz w:val="24"/>
          <w:szCs w:val="24"/>
          <w:rtl/>
        </w:rPr>
        <w:t xml:space="preserve"> העיסוק בתחום כה מהותי ובעל השפעה על אזרחי ישראל בעת לקיחת משכנתא לרכישת דירה, החלטה המהווה אחת מהחלטות החשובות בחייו של כל אזרח במדינת ישראל.</w:t>
      </w:r>
      <w:r>
        <w:rPr>
          <w:rFonts w:hint="cs"/>
          <w:b/>
          <w:bCs/>
          <w:sz w:val="24"/>
          <w:szCs w:val="24"/>
          <w:rtl/>
        </w:rPr>
        <w:t xml:space="preserve"> </w:t>
      </w:r>
      <w:r w:rsidRPr="007D4866">
        <w:rPr>
          <w:rFonts w:hint="cs"/>
          <w:b/>
          <w:bCs/>
          <w:sz w:val="24"/>
          <w:szCs w:val="24"/>
          <w:rtl/>
        </w:rPr>
        <w:t xml:space="preserve">יצוין כי במאי 2026 החוק </w:t>
      </w:r>
      <w:r w:rsidRPr="007D4866">
        <w:rPr>
          <w:rFonts w:hint="cs"/>
          <w:b/>
          <w:bCs/>
          <w:sz w:val="24"/>
          <w:szCs w:val="24"/>
          <w:rtl/>
        </w:rPr>
        <w:t>לאסדרת</w:t>
      </w:r>
      <w:r w:rsidRPr="007D4866">
        <w:rPr>
          <w:rFonts w:hint="cs"/>
          <w:b/>
          <w:bCs/>
          <w:sz w:val="24"/>
          <w:szCs w:val="24"/>
          <w:rtl/>
        </w:rPr>
        <w:t xml:space="preserve"> העיסוק בייעוץ משכנתאות אושר לקריאה ראשונה בה נקבע כי משרד המשפטים יפקח על יועצי המשכנתאות.</w:t>
      </w:r>
    </w:p>
    <w:p w:rsidR="001F2586" w:rsidRPr="001F2586" w:rsidP="001F2586">
      <w:pPr>
        <w:tabs>
          <w:tab w:val="center" w:pos="3827"/>
        </w:tabs>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משרד המשפטים ציין בתשובתו כי </w:t>
      </w:r>
      <w:r w:rsidRPr="001F2586">
        <w:rPr>
          <w:rFonts w:eastAsia="Calibri"/>
          <w:rtl/>
        </w:rPr>
        <w:t xml:space="preserve">נושא זה אינו נמצא כיום באחריות משרד המשפטים. עם זאת, נוכח הצעת החוק הפרטית שמקודמת ובה מוצע כי משרד המשפטים יהיה אחראי על הסדרת המקצוע, מתקיימת במשרד המשפטים עבודת מטה כדי לבחון את ההסדרה המיטבית למקצוע שכיום אינו נמצא במומחיות של גורמי המקצוע במשרד ועל כן נדרשה עבודה ולמידה של התחום. בשים לב לעבודת המטה האמורה, משרד המשפטים מגבש טיוטת התייחסות ביחס להסדר המוצע בהצעת החוק כדי להעביר את ההתייחסות אל ועדת הכלכלה של הכנסת שבה נדונה הצעת החוק.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התאחדות יועצי המשכנתאות ציינה בתשובתה כי קידום מהיר של החקיקה הוא הדרך היעילה והנכונה לטפל בשורת הבעיות שעלו במסגרת הביקורת.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hint="cs"/>
          <w:rtl/>
        </w:rPr>
        <w:t xml:space="preserve">משרד מבקר המדינה מציין כי ב-26.05.2026 </w:t>
      </w:r>
      <w:r w:rsidRPr="001F2586">
        <w:rPr>
          <w:rFonts w:eastAsia="Calibri"/>
          <w:rtl/>
        </w:rPr>
        <w:t xml:space="preserve">אישרה ועדת הכלכלה </w:t>
      </w:r>
      <w:r w:rsidRPr="001F2586">
        <w:rPr>
          <w:rFonts w:eastAsia="Calibri" w:hint="cs"/>
          <w:rtl/>
        </w:rPr>
        <w:t>של הכנסת ל</w:t>
      </w:r>
      <w:r w:rsidRPr="001F2586">
        <w:rPr>
          <w:rFonts w:eastAsia="Calibri"/>
          <w:rtl/>
        </w:rPr>
        <w:t>קריאה ראשונ</w:t>
      </w:r>
      <w:r w:rsidRPr="001F2586">
        <w:rPr>
          <w:rFonts w:eastAsia="Calibri" w:hint="cs"/>
          <w:rtl/>
        </w:rPr>
        <w:t xml:space="preserve">ה את הצעת החוק להסדרת העיסוק בייעוץ משכנתאות.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קבלת שירות בתחום ייעוץ המשכנתאות מאדם שאינו בעל כישורים וידע מתאימים יכולה להוביל למגוון נזקים משמעותיים ללקוח, הן בטווח הקצר והן בטווח הארוך. נזקים אלה נובעים בעיקר </w:t>
      </w:r>
      <w:r w:rsidRPr="001F2586">
        <w:rPr>
          <w:rFonts w:eastAsia="Calibri"/>
          <w:rtl/>
        </w:rPr>
        <w:t>מהיעדר מקצועיות, חוסר ידע מעמיק בתחום הפיננסי, ולא פעם גם מהיעדר אתיקה או כוונות לא הוגנות.</w:t>
      </w:r>
      <w:r w:rsidRPr="001F2586">
        <w:rPr>
          <w:rFonts w:eastAsia="Calibri" w:hint="cs"/>
          <w:rtl/>
        </w:rPr>
        <w:t xml:space="preserve"> להלן מספר דוגמאות לנזקים אפשריים: </w:t>
      </w:r>
    </w:p>
    <w:p w:rsidR="001F2586" w:rsidRPr="001F2586" w:rsidP="001F2586">
      <w:pPr>
        <w:spacing w:line="269" w:lineRule="auto"/>
        <w:rPr>
          <w:rFonts w:eastAsia="Calibri"/>
          <w:rtl/>
        </w:rPr>
      </w:pPr>
    </w:p>
    <w:p w:rsidR="001F2586" w:rsidRPr="001F2586" w:rsidP="001F2586">
      <w:pPr>
        <w:numPr>
          <w:ilvl w:val="0"/>
          <w:numId w:val="27"/>
        </w:numPr>
        <w:spacing w:line="269" w:lineRule="auto"/>
        <w:rPr>
          <w:rFonts w:eastAsia="Calibri"/>
          <w:b/>
          <w:bCs/>
        </w:rPr>
      </w:pPr>
      <w:r w:rsidRPr="001F2586">
        <w:rPr>
          <w:rFonts w:eastAsia="Times New Roman"/>
          <w:bCs/>
          <w:spacing w:val="40"/>
          <w:rtl/>
        </w:rPr>
        <w:t>נזק</w:t>
      </w:r>
      <w:r w:rsidRPr="001F2586">
        <w:rPr>
          <w:rFonts w:eastAsia="Calibri"/>
          <w:b/>
          <w:bCs/>
          <w:rtl/>
        </w:rPr>
        <w:t xml:space="preserve"> </w:t>
      </w:r>
      <w:r w:rsidRPr="001F2586">
        <w:rPr>
          <w:rFonts w:eastAsia="Times New Roman"/>
          <w:bCs/>
          <w:spacing w:val="40"/>
          <w:rtl/>
        </w:rPr>
        <w:t>כלכלי ישיר</w:t>
      </w:r>
    </w:p>
    <w:p w:rsidR="001F2586" w:rsidRPr="001F2586" w:rsidP="001F2586">
      <w:pPr>
        <w:spacing w:line="269" w:lineRule="auto"/>
        <w:ind w:left="360"/>
        <w:rPr>
          <w:rFonts w:eastAsia="Calibri"/>
          <w:b/>
          <w:bCs/>
        </w:rPr>
      </w:pPr>
    </w:p>
    <w:p w:rsidR="001F2586" w:rsidRPr="001F2586" w:rsidP="001F2586">
      <w:pPr>
        <w:numPr>
          <w:ilvl w:val="0"/>
          <w:numId w:val="28"/>
        </w:numPr>
        <w:spacing w:line="269" w:lineRule="auto"/>
        <w:rPr>
          <w:rFonts w:eastAsia="Calibri"/>
          <w:b/>
          <w:bCs/>
        </w:rPr>
      </w:pPr>
      <w:r w:rsidRPr="001F2586">
        <w:rPr>
          <w:rFonts w:eastAsia="Times New Roman"/>
          <w:spacing w:val="40"/>
          <w:rtl/>
        </w:rPr>
        <w:t>תנאי משכנתא לא כד</w:t>
      </w:r>
      <w:r w:rsidRPr="001F2586">
        <w:rPr>
          <w:rFonts w:eastAsia="Times New Roman" w:hint="cs"/>
          <w:spacing w:val="40"/>
          <w:rtl/>
        </w:rPr>
        <w:t>איים:</w:t>
      </w:r>
      <w:r w:rsidRPr="001F2586">
        <w:rPr>
          <w:rFonts w:eastAsia="Calibri" w:hint="cs"/>
          <w:rtl/>
        </w:rPr>
        <w:t xml:space="preserve"> </w:t>
      </w:r>
      <w:r w:rsidRPr="001F2586">
        <w:rPr>
          <w:rFonts w:eastAsia="Calibri"/>
          <w:rtl/>
        </w:rPr>
        <w:t xml:space="preserve">יועץ שאינו </w:t>
      </w:r>
      <w:r w:rsidRPr="001F2586">
        <w:rPr>
          <w:rFonts w:eastAsia="Calibri" w:hint="cs"/>
          <w:rtl/>
        </w:rPr>
        <w:t>מקצועי</w:t>
      </w:r>
      <w:r w:rsidRPr="001F2586">
        <w:rPr>
          <w:rFonts w:eastAsia="Calibri"/>
          <w:rtl/>
        </w:rPr>
        <w:t xml:space="preserve"> עשוי להמליץ על מסלול משכנתא שאינו מתאים ליכולת הכלכלית של הלקוח. לדוגמה, ייתכן ויוצע ללקוח לקחת משכנתא בריבית גבוהה או בתנאים פחות טובים מאלו שהוא היה יכול לקבל בבחירה חכמה יותר. </w:t>
      </w:r>
    </w:p>
    <w:p w:rsidR="001F2586" w:rsidRPr="001F2586" w:rsidP="001F2586">
      <w:pPr>
        <w:spacing w:line="269" w:lineRule="auto"/>
        <w:ind w:left="720"/>
        <w:rPr>
          <w:rFonts w:eastAsia="Calibri"/>
          <w:b/>
          <w:bCs/>
        </w:rPr>
      </w:pPr>
    </w:p>
    <w:p w:rsidR="00260379" w:rsidP="001F2586">
      <w:pPr>
        <w:numPr>
          <w:ilvl w:val="0"/>
          <w:numId w:val="28"/>
        </w:numPr>
        <w:spacing w:line="269" w:lineRule="auto"/>
        <w:rPr>
          <w:rFonts w:eastAsia="Calibri"/>
        </w:rPr>
      </w:pPr>
      <w:r w:rsidRPr="001F2586">
        <w:rPr>
          <w:rFonts w:eastAsia="Times New Roman"/>
          <w:spacing w:val="40"/>
          <w:rtl/>
        </w:rPr>
        <w:t>החזרי משכנתא גבוהים מ</w:t>
      </w:r>
      <w:r w:rsidRPr="001F2586">
        <w:rPr>
          <w:rFonts w:eastAsia="Times New Roman" w:hint="cs"/>
          <w:spacing w:val="40"/>
          <w:rtl/>
        </w:rPr>
        <w:t>די:</w:t>
      </w:r>
      <w:r w:rsidRPr="001F2586">
        <w:rPr>
          <w:rFonts w:eastAsia="Calibri"/>
          <w:rtl/>
        </w:rPr>
        <w:t xml:space="preserve"> יועץ </w:t>
      </w:r>
      <w:r w:rsidRPr="001F2586">
        <w:rPr>
          <w:rFonts w:eastAsia="Calibri" w:hint="cs"/>
          <w:rtl/>
        </w:rPr>
        <w:t>שאינו</w:t>
      </w:r>
      <w:r w:rsidRPr="001F2586">
        <w:rPr>
          <w:rFonts w:eastAsia="Calibri"/>
          <w:rtl/>
        </w:rPr>
        <w:t xml:space="preserve"> מקצועי עלול להמליץ על סך הלוואה גדול מדי או על תקופת החזר ארוכה מדי, מה שיגרום ללקוח להתמודד עם החזר חודשי גבוה הרבה יותר ממה שהוא יכול לשלם.</w:t>
      </w:r>
    </w:p>
    <w:p w:rsidR="001F2586" w:rsidRPr="001F2586" w:rsidP="001F2586">
      <w:pPr>
        <w:spacing w:line="269" w:lineRule="auto"/>
        <w:rPr>
          <w:rFonts w:eastAsia="Calibri"/>
        </w:rPr>
      </w:pPr>
    </w:p>
    <w:p w:rsidR="001F2586" w:rsidRPr="001F2586" w:rsidP="001F2586">
      <w:pPr>
        <w:numPr>
          <w:ilvl w:val="0"/>
          <w:numId w:val="28"/>
        </w:numPr>
        <w:spacing w:line="269" w:lineRule="auto"/>
        <w:rPr>
          <w:rFonts w:eastAsia="Calibri"/>
        </w:rPr>
      </w:pPr>
      <w:r w:rsidRPr="001F2586">
        <w:rPr>
          <w:rFonts w:eastAsia="Times New Roman"/>
          <w:spacing w:val="40"/>
          <w:rtl/>
        </w:rPr>
        <w:t>טעויות בחישוב היתרה לסילוק משכנתא</w:t>
      </w:r>
      <w:r w:rsidRPr="001F2586">
        <w:rPr>
          <w:rFonts w:eastAsia="Times New Roman" w:hint="cs"/>
          <w:spacing w:val="40"/>
          <w:rtl/>
        </w:rPr>
        <w:t>:</w:t>
      </w:r>
      <w:r w:rsidRPr="001F2586">
        <w:rPr>
          <w:rFonts w:eastAsia="Calibri"/>
          <w:rtl/>
        </w:rPr>
        <w:t xml:space="preserve"> חישובים שגויים של יתרת הסילוק או חישובים לא נכונים של תחזיות עתידיות, כמו שינויי ריבית או אינפלציה, יכולים להטעות את הלקוח ולהוביל אותו לבחור מסלול לא מתאים מבחינה כלכלית</w:t>
      </w:r>
      <w:r w:rsidRPr="001F2586">
        <w:rPr>
          <w:rFonts w:eastAsia="Calibri"/>
        </w:rPr>
        <w:t>.</w:t>
      </w:r>
    </w:p>
    <w:p w:rsidR="001F2586" w:rsidRPr="001F2586" w:rsidP="001F2586">
      <w:pPr>
        <w:spacing w:line="269" w:lineRule="auto"/>
        <w:rPr>
          <w:rFonts w:eastAsia="Calibri"/>
        </w:rPr>
      </w:pPr>
    </w:p>
    <w:p w:rsidR="001F2586" w:rsidRPr="001F2586" w:rsidP="001F2586">
      <w:pPr>
        <w:numPr>
          <w:ilvl w:val="0"/>
          <w:numId w:val="27"/>
        </w:numPr>
        <w:spacing w:line="269" w:lineRule="auto"/>
        <w:rPr>
          <w:rFonts w:eastAsia="Calibri"/>
        </w:rPr>
      </w:pPr>
      <w:r w:rsidRPr="001F2586">
        <w:rPr>
          <w:rFonts w:eastAsia="Times New Roman"/>
          <w:bCs/>
          <w:spacing w:val="40"/>
          <w:rtl/>
        </w:rPr>
        <w:t>חוסר אובייקטיביות</w:t>
      </w:r>
      <w:r w:rsidRPr="001F2586">
        <w:rPr>
          <w:rFonts w:eastAsia="Times New Roman" w:hint="cs"/>
          <w:bCs/>
          <w:spacing w:val="40"/>
          <w:rtl/>
        </w:rPr>
        <w:t>:</w:t>
      </w:r>
      <w:r w:rsidRPr="001F2586">
        <w:rPr>
          <w:rFonts w:eastAsia="Calibri" w:hint="cs"/>
          <w:rtl/>
        </w:rPr>
        <w:t xml:space="preserve"> יועץ שאינו מקצועי</w:t>
      </w:r>
      <w:r w:rsidRPr="001F2586">
        <w:rPr>
          <w:rFonts w:eastAsia="Calibri"/>
          <w:rtl/>
        </w:rPr>
        <w:t xml:space="preserve"> או לא אתי עשוי להמליץ על מסלול משכנתא מתוך אינטרס אישי, למשל מתוך קשר עם גוף פיננסי מסוים או מתוך רצון לגבות שכר טרחה גבוה יותר. במקרה כזה, הלקוח לא מקבל את הייעוץ האובייקטיבי שמגיע לו</w:t>
      </w:r>
      <w:r w:rsidRPr="001F2586">
        <w:rPr>
          <w:rFonts w:eastAsia="Calibri"/>
        </w:rPr>
        <w:t>.</w:t>
      </w:r>
    </w:p>
    <w:p w:rsidR="001F2586" w:rsidRPr="001F2586" w:rsidP="001F2586">
      <w:pPr>
        <w:spacing w:line="269" w:lineRule="auto"/>
        <w:ind w:left="360"/>
        <w:rPr>
          <w:rFonts w:eastAsia="Calibri"/>
        </w:rPr>
      </w:pPr>
    </w:p>
    <w:p w:rsidR="001F2586" w:rsidRPr="001F2586" w:rsidP="001F2586">
      <w:pPr>
        <w:numPr>
          <w:ilvl w:val="0"/>
          <w:numId w:val="27"/>
        </w:numPr>
        <w:spacing w:line="269" w:lineRule="auto"/>
        <w:rPr>
          <w:rFonts w:eastAsia="Calibri"/>
          <w:b/>
          <w:bCs/>
        </w:rPr>
      </w:pPr>
      <w:r w:rsidRPr="001F2586">
        <w:rPr>
          <w:rFonts w:eastAsia="Times New Roman"/>
          <w:bCs/>
          <w:spacing w:val="40"/>
          <w:rtl/>
        </w:rPr>
        <w:t>אי עמידה בסטנדרטים אתיים</w:t>
      </w:r>
      <w:r w:rsidRPr="001F2586">
        <w:rPr>
          <w:rFonts w:eastAsia="Times New Roman" w:hint="cs"/>
          <w:bCs/>
          <w:spacing w:val="40"/>
          <w:rtl/>
        </w:rPr>
        <w:t>:</w:t>
      </w:r>
      <w:r w:rsidRPr="001F2586">
        <w:rPr>
          <w:rFonts w:eastAsia="Calibri" w:hint="cs"/>
          <w:b/>
          <w:bCs/>
          <w:rtl/>
        </w:rPr>
        <w:t xml:space="preserve"> </w:t>
      </w:r>
      <w:r w:rsidRPr="001F2586">
        <w:rPr>
          <w:rFonts w:eastAsia="Calibri" w:hint="cs"/>
          <w:rtl/>
        </w:rPr>
        <w:t>י</w:t>
      </w:r>
      <w:r w:rsidRPr="001F2586">
        <w:rPr>
          <w:rFonts w:eastAsia="Calibri"/>
          <w:rtl/>
        </w:rPr>
        <w:t xml:space="preserve">ועץ שאינו מקצועי עשוי להפעיל לחצים לא הוגנים על הלקוח להסכים להצעה כלשהי מבלי לתת לו זמן לחשוב או לבדוק את התנאים, למשל בהמלצה לחתום על הסכם </w:t>
      </w:r>
      <w:r w:rsidRPr="001F2586">
        <w:rPr>
          <w:rFonts w:eastAsia="Calibri"/>
          <w:rtl/>
        </w:rPr>
        <w:t>מיידי</w:t>
      </w:r>
      <w:r w:rsidRPr="001F2586">
        <w:rPr>
          <w:rFonts w:eastAsia="Calibri"/>
          <w:rtl/>
        </w:rPr>
        <w:t xml:space="preserve"> מבלי להסביר לו את המשמעות המלאה של הצעד</w:t>
      </w:r>
      <w:r w:rsidRPr="001F2586">
        <w:rPr>
          <w:rFonts w:eastAsia="Calibri"/>
        </w:rPr>
        <w:t>.</w:t>
      </w:r>
    </w:p>
    <w:p w:rsidR="001F2586" w:rsidRPr="001F2586" w:rsidP="001F2586">
      <w:pPr>
        <w:spacing w:line="269" w:lineRule="auto"/>
        <w:ind w:left="360"/>
        <w:rPr>
          <w:rFonts w:eastAsia="Calibri"/>
          <w:b/>
          <w:bCs/>
        </w:rPr>
      </w:pPr>
    </w:p>
    <w:p w:rsidR="001F2586" w:rsidRPr="001F2586" w:rsidP="001F2586">
      <w:pPr>
        <w:numPr>
          <w:ilvl w:val="0"/>
          <w:numId w:val="27"/>
        </w:numPr>
        <w:spacing w:line="269" w:lineRule="auto"/>
        <w:rPr>
          <w:rFonts w:eastAsia="Calibri"/>
          <w:b/>
          <w:bCs/>
        </w:rPr>
      </w:pPr>
      <w:r w:rsidRPr="001F2586">
        <w:rPr>
          <w:rFonts w:eastAsia="Times New Roman" w:hint="cs"/>
          <w:bCs/>
          <w:spacing w:val="40"/>
          <w:rtl/>
        </w:rPr>
        <w:t>ג</w:t>
      </w:r>
      <w:r w:rsidRPr="001F2586">
        <w:rPr>
          <w:rFonts w:eastAsia="Times New Roman"/>
          <w:bCs/>
          <w:spacing w:val="40"/>
          <w:rtl/>
        </w:rPr>
        <w:t>ביית שכר טרחה לא הוגן</w:t>
      </w:r>
      <w:r w:rsidRPr="001F2586">
        <w:rPr>
          <w:rFonts w:eastAsia="Calibri" w:hint="cs"/>
          <w:b/>
          <w:bCs/>
          <w:rtl/>
        </w:rPr>
        <w:t xml:space="preserve">: </w:t>
      </w:r>
      <w:r w:rsidRPr="001F2586">
        <w:rPr>
          <w:rFonts w:eastAsia="Calibri"/>
          <w:rtl/>
        </w:rPr>
        <w:t xml:space="preserve">יועץ </w:t>
      </w:r>
      <w:r w:rsidRPr="001F2586">
        <w:rPr>
          <w:rFonts w:eastAsia="Calibri" w:hint="cs"/>
          <w:rtl/>
        </w:rPr>
        <w:t>שאינו</w:t>
      </w:r>
      <w:r w:rsidRPr="001F2586">
        <w:rPr>
          <w:rFonts w:eastAsia="Calibri"/>
          <w:rtl/>
        </w:rPr>
        <w:t xml:space="preserve"> מקצועי עלול לגבות שכר טרחה מופרז או שאינו תואם את השירות שסיפק, דבר שעלול לגרום להוצאות מיותרות ללקוח, לעיתים עד סכומים גבוהים מאוד</w:t>
      </w:r>
      <w:r w:rsidRPr="001F2586">
        <w:rPr>
          <w:rFonts w:eastAsia="Calibri"/>
        </w:rPr>
        <w:t>.</w:t>
      </w:r>
    </w:p>
    <w:p w:rsidR="001F2586" w:rsidRPr="001F2586" w:rsidP="001F2586">
      <w:pPr>
        <w:spacing w:line="269" w:lineRule="auto"/>
        <w:rPr>
          <w:rFonts w:eastAsia="Calibri"/>
          <w:b/>
          <w:bCs/>
        </w:rPr>
      </w:pPr>
    </w:p>
    <w:p w:rsidR="001F2586" w:rsidRPr="001F2586" w:rsidP="001F2586">
      <w:pPr>
        <w:numPr>
          <w:ilvl w:val="0"/>
          <w:numId w:val="27"/>
        </w:numPr>
        <w:spacing w:line="269" w:lineRule="auto"/>
        <w:rPr>
          <w:rFonts w:eastAsia="Calibri"/>
          <w:b/>
          <w:bCs/>
        </w:rPr>
      </w:pPr>
      <w:r w:rsidRPr="001F2586">
        <w:rPr>
          <w:rFonts w:eastAsia="Times New Roman"/>
          <w:bCs/>
          <w:spacing w:val="40"/>
          <w:rtl/>
        </w:rPr>
        <w:t>המלצות לא מתואמות עם יכולת ההחז</w:t>
      </w:r>
      <w:r w:rsidRPr="001F2586">
        <w:rPr>
          <w:rFonts w:eastAsia="Times New Roman" w:hint="cs"/>
          <w:bCs/>
          <w:spacing w:val="40"/>
          <w:rtl/>
        </w:rPr>
        <w:t>ר</w:t>
      </w:r>
      <w:r w:rsidRPr="001F2586">
        <w:rPr>
          <w:rFonts w:eastAsia="Calibri" w:hint="cs"/>
          <w:bCs/>
          <w:rtl/>
        </w:rPr>
        <w:t>:</w:t>
      </w:r>
      <w:r w:rsidRPr="001F2586">
        <w:rPr>
          <w:rFonts w:eastAsia="Calibri" w:hint="cs"/>
          <w:b/>
          <w:bCs/>
          <w:rtl/>
        </w:rPr>
        <w:t xml:space="preserve"> </w:t>
      </w:r>
      <w:r w:rsidRPr="001F2586">
        <w:rPr>
          <w:rFonts w:eastAsia="Calibri"/>
          <w:rtl/>
        </w:rPr>
        <w:t xml:space="preserve">יועץ </w:t>
      </w:r>
      <w:r w:rsidRPr="001F2586">
        <w:rPr>
          <w:rFonts w:eastAsia="Calibri" w:hint="cs"/>
          <w:rtl/>
        </w:rPr>
        <w:t xml:space="preserve">שאינו מקצועי </w:t>
      </w:r>
      <w:r w:rsidRPr="001F2586">
        <w:rPr>
          <w:rFonts w:eastAsia="Calibri"/>
          <w:rtl/>
        </w:rPr>
        <w:t xml:space="preserve">עשוי להמליץ על משכנתא ללא בדיקה מעמיקה של יכולת ההחזר של הלקוח, מה שעלול להוביל לבעיות </w:t>
      </w:r>
      <w:r w:rsidRPr="001F2586">
        <w:rPr>
          <w:rFonts w:eastAsia="Calibri"/>
          <w:rtl/>
        </w:rPr>
        <w:t>תזרימיות</w:t>
      </w:r>
      <w:r w:rsidRPr="001F2586">
        <w:rPr>
          <w:rFonts w:eastAsia="Calibri"/>
          <w:rtl/>
        </w:rPr>
        <w:t xml:space="preserve"> ולמצוקה כלכלית</w:t>
      </w:r>
      <w:r w:rsidRPr="001F2586">
        <w:rPr>
          <w:rFonts w:eastAsia="Calibri"/>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b/>
          <w:bCs/>
          <w:rtl/>
        </w:rPr>
        <w:t xml:space="preserve">מהדוגמאות האמורות עולה כי </w:t>
      </w:r>
      <w:r w:rsidRPr="001F2586">
        <w:rPr>
          <w:rFonts w:eastAsia="Calibri"/>
          <w:b/>
          <w:bCs/>
          <w:rtl/>
        </w:rPr>
        <w:t>קבלת שירות מייעוץ משכנתאות מאדם שאינו בעל הכישורים והידע המתאימים יכולה להוביל לנזקים כלכליים, משפטיים ורגולטוריים</w:t>
      </w:r>
      <w:r w:rsidRPr="001F2586">
        <w:rPr>
          <w:rFonts w:eastAsia="Calibri" w:hint="cs"/>
          <w:b/>
          <w:bCs/>
          <w:rtl/>
        </w:rPr>
        <w:t xml:space="preserve"> בעלי השלכות ניכרות</w:t>
      </w:r>
      <w:r w:rsidRPr="001F2586">
        <w:rPr>
          <w:rFonts w:eastAsia="Calibri"/>
          <w:b/>
          <w:bCs/>
          <w:rtl/>
        </w:rPr>
        <w:t xml:space="preserve">. הלקוח עלול להיתקל בהמלצות שגויות, בתנאים לא כדאיים, או בהוצאות מיותרות שיכולות להכביד עליו בטווח הקצר והארוך. לפיכך, יש חשיבות רבה להסתייע ביועץ משכנתאות </w:t>
      </w:r>
      <w:r w:rsidRPr="001F2586">
        <w:rPr>
          <w:rFonts w:eastAsia="Calibri" w:hint="cs"/>
          <w:b/>
          <w:bCs/>
          <w:rtl/>
        </w:rPr>
        <w:t>בעל ידע מקצועי</w:t>
      </w:r>
      <w:r w:rsidRPr="001F2586">
        <w:rPr>
          <w:rFonts w:eastAsia="Calibri"/>
          <w:b/>
          <w:bCs/>
          <w:rtl/>
        </w:rPr>
        <w:t xml:space="preserve"> שיכול להבטיח שהלקוח יקבל ייעוץ אובייקטיבי, שקוף, והוגן, תוך שמירה על טובתו האישית לאורך כל הדרך</w:t>
      </w:r>
      <w:r w:rsidRPr="001F2586">
        <w:rPr>
          <w:rFonts w:eastAsia="Calibri"/>
          <w:b/>
          <w:bCs/>
        </w:rPr>
        <w:t>.</w:t>
      </w:r>
    </w:p>
    <w:p w:rsidR="001F2586" w:rsidRPr="001F2586" w:rsidP="001F2586">
      <w:pPr>
        <w:spacing w:line="269" w:lineRule="auto"/>
        <w:rPr>
          <w:rFonts w:eastAsia="Calibri"/>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אופן </w:t>
      </w:r>
      <w:r w:rsidRPr="001F2586">
        <w:rPr>
          <w:rFonts w:eastAsia="Times New Roman" w:hint="cs"/>
          <w:bCs/>
          <w:szCs w:val="26"/>
          <w:rtl/>
        </w:rPr>
        <w:t>אסדרת</w:t>
      </w:r>
      <w:r w:rsidRPr="001F2586">
        <w:rPr>
          <w:rFonts w:eastAsia="Times New Roman" w:hint="cs"/>
          <w:bCs/>
          <w:szCs w:val="26"/>
          <w:rtl/>
        </w:rPr>
        <w:t xml:space="preserve"> עיסוק יועץ משכנתאות בעולם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בשנת 2008 התמודדה </w:t>
      </w:r>
      <w:r w:rsidRPr="001F2586">
        <w:rPr>
          <w:rFonts w:eastAsia="Calibri" w:hint="cs"/>
          <w:rtl/>
        </w:rPr>
        <w:t xml:space="preserve">כאמור </w:t>
      </w:r>
      <w:r w:rsidRPr="001F2586">
        <w:rPr>
          <w:rFonts w:eastAsia="Calibri"/>
          <w:rtl/>
        </w:rPr>
        <w:t>מערכת הבנקאות העולמית עם אחד המשברים הפיננסיים החמורים בעידן המודרני</w:t>
      </w:r>
      <w:r w:rsidRPr="001F2586">
        <w:rPr>
          <w:rFonts w:eastAsia="Calibri" w:hint="cs"/>
          <w:rtl/>
        </w:rPr>
        <w:t xml:space="preserve"> - משבר </w:t>
      </w:r>
      <w:r w:rsidRPr="001F2586">
        <w:rPr>
          <w:rFonts w:eastAsia="Calibri" w:hint="cs"/>
          <w:rtl/>
        </w:rPr>
        <w:t>ה</w:t>
      </w:r>
      <w:r w:rsidRPr="001F2586">
        <w:rPr>
          <w:rFonts w:eastAsia="Calibri"/>
          <w:rtl/>
        </w:rPr>
        <w:t>סאב</w:t>
      </w:r>
      <w:r w:rsidRPr="001F2586">
        <w:rPr>
          <w:rFonts w:eastAsia="Calibri" w:hint="cs"/>
          <w:rtl/>
        </w:rPr>
        <w:t xml:space="preserve"> </w:t>
      </w:r>
      <w:r w:rsidRPr="001F2586">
        <w:rPr>
          <w:rFonts w:eastAsia="Calibri"/>
          <w:rtl/>
        </w:rPr>
        <w:t>פריים (</w:t>
      </w:r>
      <w:r w:rsidRPr="001F2586">
        <w:rPr>
          <w:rFonts w:eastAsia="Calibri"/>
        </w:rPr>
        <w:t>Subprime</w:t>
      </w:r>
      <w:r w:rsidRPr="001F2586">
        <w:rPr>
          <w:rFonts w:eastAsia="Calibri"/>
          <w:rtl/>
        </w:rPr>
        <w:t>)</w:t>
      </w:r>
      <w:r w:rsidRPr="001F2586">
        <w:rPr>
          <w:rFonts w:eastAsia="Calibri" w:hint="cs"/>
          <w:rtl/>
        </w:rPr>
        <w:t xml:space="preserve">. משבר זה </w:t>
      </w:r>
      <w:r w:rsidRPr="001F2586">
        <w:rPr>
          <w:rFonts w:eastAsia="Calibri"/>
          <w:rtl/>
        </w:rPr>
        <w:t>מתייחס למשכנתאות שניתנו ללווים בעלי היסטוריית אשראי בעייתית או הכנסה נמוכה, שנחשבו כבעלי סיכון גבוה יותר והיה קיים חשש שהם יהיו עשויים להתקשות בתשלומי המשכנתא</w:t>
      </w:r>
      <w:r w:rsidRPr="001F2586">
        <w:rPr>
          <w:rFonts w:eastAsia="Calibri" w:hint="cs"/>
          <w:rtl/>
        </w:rPr>
        <w:t xml:space="preserve">. </w:t>
      </w:r>
      <w:r w:rsidRPr="001F2586">
        <w:rPr>
          <w:rFonts w:eastAsia="Calibri"/>
          <w:rtl/>
        </w:rPr>
        <w:t xml:space="preserve">המשבר הפיננסי, שהחל כמשבר במשכנתאות ה"סאב פריים" בארה"ב, התגלגל למשבר פיננסי כלל-עולמי בעל השפעות </w:t>
      </w:r>
      <w:r w:rsidRPr="001F2586">
        <w:rPr>
          <w:rFonts w:eastAsia="Calibri" w:hint="cs"/>
          <w:rtl/>
        </w:rPr>
        <w:t xml:space="preserve">מהותיות </w:t>
      </w:r>
      <w:r w:rsidRPr="001F2586">
        <w:rPr>
          <w:rFonts w:eastAsia="Calibri" w:hint="cs"/>
          <w:rtl/>
        </w:rPr>
        <w:t>עבור</w:t>
      </w:r>
      <w:r w:rsidRPr="001F2586">
        <w:rPr>
          <w:rFonts w:eastAsia="Calibri"/>
          <w:rtl/>
        </w:rPr>
        <w:t xml:space="preserve"> המוסדות הפיננסיים</w:t>
      </w:r>
      <w:r w:rsidRPr="001F2586">
        <w:rPr>
          <w:rFonts w:eastAsia="Calibri" w:hint="cs"/>
          <w:rtl/>
        </w:rPr>
        <w:t xml:space="preserve"> </w:t>
      </w:r>
      <w:r w:rsidRPr="001F2586">
        <w:rPr>
          <w:rFonts w:eastAsia="Calibri"/>
          <w:rtl/>
        </w:rPr>
        <w:t>וכן על משקי</w:t>
      </w:r>
      <w:r w:rsidRPr="001F2586">
        <w:rPr>
          <w:rFonts w:eastAsia="Calibri" w:hint="cs"/>
          <w:rtl/>
        </w:rPr>
        <w:t xml:space="preserve"> בית רבים. </w:t>
      </w:r>
      <w:r w:rsidRPr="001F2586">
        <w:rPr>
          <w:rFonts w:eastAsia="Calibri"/>
          <w:rtl/>
        </w:rPr>
        <w:t xml:space="preserve">בעקבות </w:t>
      </w:r>
      <w:r w:rsidRPr="001F2586">
        <w:rPr>
          <w:rFonts w:eastAsia="Calibri" w:hint="cs"/>
          <w:rtl/>
        </w:rPr>
        <w:t>ה</w:t>
      </w:r>
      <w:r w:rsidRPr="001F2586">
        <w:rPr>
          <w:rFonts w:eastAsia="Calibri"/>
          <w:rtl/>
        </w:rPr>
        <w:t xml:space="preserve">משבר </w:t>
      </w:r>
      <w:r w:rsidRPr="001F2586">
        <w:rPr>
          <w:rFonts w:eastAsia="Calibri" w:hint="cs"/>
          <w:rtl/>
        </w:rPr>
        <w:t xml:space="preserve">הבינו </w:t>
      </w:r>
      <w:r w:rsidRPr="001F2586">
        <w:rPr>
          <w:rFonts w:eastAsia="Calibri"/>
          <w:rtl/>
        </w:rPr>
        <w:t xml:space="preserve">מדינות רבות את הצורך החיוני בהסדרת תחום יועצי המשכנתאות כדי להגן על הצרכנים ולשמור על יציבות המערכת הפיננסית.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rtl/>
        </w:rPr>
        <w:t xml:space="preserve">משרד מבקר המדינה סקר את האסדרה הקיימת על יועצי משכנתאות בארצות הברית, בריטניה, אוסטרליה. </w:t>
      </w:r>
      <w:r w:rsidRPr="001F2586">
        <w:rPr>
          <w:rFonts w:eastAsia="Calibri" w:hint="cs"/>
          <w:rtl/>
        </w:rPr>
        <w:t>להלן ממצאי הסקירה:</w:t>
      </w:r>
    </w:p>
    <w:p w:rsidR="001F2586" w:rsidRPr="001F2586" w:rsidP="001F2586">
      <w:pPr>
        <w:spacing w:line="269" w:lineRule="auto"/>
        <w:rPr>
          <w:rFonts w:eastAsia="Calibri"/>
          <w:rtl/>
        </w:rPr>
      </w:pPr>
    </w:p>
    <w:p w:rsidR="001F2586" w:rsidRPr="001F2586" w:rsidP="001F2586">
      <w:pPr>
        <w:numPr>
          <w:ilvl w:val="0"/>
          <w:numId w:val="32"/>
        </w:numPr>
        <w:spacing w:line="269" w:lineRule="auto"/>
        <w:contextualSpacing/>
        <w:rPr>
          <w:rFonts w:eastAsia="Calibri"/>
        </w:rPr>
      </w:pPr>
      <w:r w:rsidRPr="001F2586">
        <w:rPr>
          <w:rFonts w:eastAsia="Times New Roman" w:hint="cs"/>
          <w:bCs/>
          <w:spacing w:val="40"/>
          <w:rtl/>
        </w:rPr>
        <w:t>ארצות הברית:</w:t>
      </w:r>
      <w:r w:rsidRPr="001F2586">
        <w:rPr>
          <w:rFonts w:eastAsia="Calibri" w:hint="cs"/>
          <w:rtl/>
        </w:rPr>
        <w:t xml:space="preserve"> בשנת 2008 חוקק חוק ה-</w:t>
      </w:r>
      <w:r w:rsidRPr="001F2586">
        <w:rPr>
          <w:rFonts w:eastAsia="Calibri" w:hint="cs"/>
        </w:rPr>
        <w:t>S</w:t>
      </w:r>
      <w:r w:rsidRPr="001F2586">
        <w:rPr>
          <w:rFonts w:eastAsia="Calibri"/>
        </w:rPr>
        <w:t>afe Act Secure and Fair Enfor</w:t>
      </w:r>
      <w:r w:rsidR="00F071D3">
        <w:rPr>
          <w:rFonts w:eastAsia="Calibri"/>
        </w:rPr>
        <w:t>c</w:t>
      </w:r>
      <w:r w:rsidRPr="001F2586">
        <w:rPr>
          <w:rFonts w:eastAsia="Calibri"/>
        </w:rPr>
        <w:t>ement for Mortgage Licensing Act</w:t>
      </w:r>
      <w:r w:rsidRPr="001F2586">
        <w:rPr>
          <w:rFonts w:eastAsia="Calibri"/>
          <w:rtl/>
        </w:rPr>
        <w:t xml:space="preserve"> </w:t>
      </w:r>
      <w:r w:rsidRPr="001F2586">
        <w:rPr>
          <w:rFonts w:eastAsia="Calibri" w:hint="cs"/>
          <w:rtl/>
        </w:rPr>
        <w:t>שנועד להגן על הצרכן ולהפחית את ההונאות האפשריות בענף המשכנתאות. בעקבות כך, הוקמה מערכת רישוי ורישום מרכזית המנהלת את תהליך הרישוי של חברות ויחידים העוסקים בייעוץ משכנתאות. כל יועץ משכנתאות המעוניין לעסוק בפועל בתחום זה נדרש להירשם במערכת האמורה וכך כל לקוח יכול לבדוק את פרטי הרישיון שלו, היסטוריית התלונות הקיימת והרקע המקצועי של יועץ המשכנתאות.</w:t>
      </w:r>
    </w:p>
    <w:p w:rsidR="001F2586" w:rsidRPr="001F2586" w:rsidP="001F2586">
      <w:pPr>
        <w:spacing w:line="269" w:lineRule="auto"/>
        <w:ind w:left="-567"/>
        <w:rPr>
          <w:rFonts w:eastAsia="Calibri"/>
          <w:szCs w:val="20"/>
          <w:rtl/>
        </w:rPr>
      </w:pPr>
    </w:p>
    <w:p w:rsidR="001F2586" w:rsidRPr="001F2586" w:rsidP="001F2586">
      <w:pPr>
        <w:spacing w:line="269" w:lineRule="auto"/>
        <w:ind w:left="360"/>
        <w:rPr>
          <w:rFonts w:eastAsia="Calibri"/>
          <w:rtl/>
        </w:rPr>
      </w:pPr>
      <w:r w:rsidRPr="001F2586">
        <w:rPr>
          <w:rFonts w:eastAsia="Calibri" w:hint="cs"/>
          <w:rtl/>
        </w:rPr>
        <w:t>על מנת להיות זכאי לרישיון יועץ משכנתאות (</w:t>
      </w:r>
      <w:r w:rsidRPr="001F2586">
        <w:rPr>
          <w:rFonts w:eastAsia="Calibri" w:hint="cs"/>
        </w:rPr>
        <w:t>MLO</w:t>
      </w:r>
      <w:r w:rsidRPr="001F2586">
        <w:rPr>
          <w:rFonts w:eastAsia="Calibri" w:hint="cs"/>
          <w:rtl/>
        </w:rPr>
        <w:t>) על יועץ המשכנתאות לעבור בחינה מקצועית בתחום (</w:t>
      </w:r>
      <w:r w:rsidRPr="001F2586">
        <w:rPr>
          <w:rFonts w:eastAsia="Calibri" w:hint="cs"/>
        </w:rPr>
        <w:t>SAFE MLO TEST</w:t>
      </w:r>
      <w:r w:rsidRPr="001F2586">
        <w:rPr>
          <w:rFonts w:eastAsia="Calibri" w:hint="cs"/>
          <w:rtl/>
        </w:rPr>
        <w:t xml:space="preserve">), לעבור הכשרה מקצועית בתחום, לבצע בדיקת רקע מסוימת (על מנת לבדוק שהוא לא הורשע בפלילים או הוכרז כפושט רגל), לבצע הכשרות מקצועיות מדי שנה ולעמוד בדרישות פיננסיות אתיות (כגון בדיקת אשראי על התנהלות פיננסית ראויה). יצוין כי החוק דורש מהמדינות להטיל עונשים, קנסות ושלילת רישיון על יועצים שהפרו את הכללים שנקבעו בחוק. </w:t>
      </w:r>
    </w:p>
    <w:p w:rsidR="001F2586" w:rsidRPr="001F2586" w:rsidP="001F2586">
      <w:pPr>
        <w:spacing w:line="269" w:lineRule="auto"/>
        <w:ind w:left="-567"/>
        <w:rPr>
          <w:rFonts w:eastAsia="Calibri"/>
          <w:szCs w:val="20"/>
          <w:rtl/>
        </w:rPr>
      </w:pPr>
    </w:p>
    <w:p w:rsidR="001F2586" w:rsidRPr="001F2586" w:rsidP="001F2586">
      <w:pPr>
        <w:numPr>
          <w:ilvl w:val="0"/>
          <w:numId w:val="32"/>
        </w:numPr>
        <w:spacing w:line="269" w:lineRule="auto"/>
        <w:contextualSpacing/>
        <w:rPr>
          <w:rFonts w:eastAsia="Calibri"/>
        </w:rPr>
      </w:pPr>
      <w:r w:rsidRPr="001F2586">
        <w:rPr>
          <w:rFonts w:eastAsia="Times New Roman"/>
          <w:bCs/>
          <w:spacing w:val="40"/>
          <w:rtl/>
        </w:rPr>
        <w:t>אוסטרליה</w:t>
      </w:r>
      <w:r w:rsidRPr="001F2586">
        <w:rPr>
          <w:rFonts w:eastAsia="Times New Roman" w:hint="cs"/>
          <w:bCs/>
          <w:spacing w:val="40"/>
          <w:rtl/>
        </w:rPr>
        <w:t>:</w:t>
      </w:r>
      <w:r w:rsidRPr="001F2586">
        <w:rPr>
          <w:rFonts w:eastAsia="Calibri" w:hint="cs"/>
          <w:rtl/>
        </w:rPr>
        <w:t xml:space="preserve"> קיים</w:t>
      </w:r>
      <w:r w:rsidRPr="001F2586">
        <w:rPr>
          <w:rFonts w:eastAsia="Calibri" w:hint="cs"/>
          <w:b/>
          <w:bCs/>
          <w:rtl/>
        </w:rPr>
        <w:t xml:space="preserve"> </w:t>
      </w:r>
      <w:r w:rsidRPr="001F2586">
        <w:rPr>
          <w:rFonts w:eastAsia="Calibri" w:hint="cs"/>
          <w:rtl/>
        </w:rPr>
        <w:t xml:space="preserve">גוף המפקח על יועצי המשכנתאות </w:t>
      </w:r>
      <w:r w:rsidRPr="001F2586">
        <w:rPr>
          <w:rFonts w:eastAsia="Calibri"/>
        </w:rPr>
        <w:t>Australian Securities and Investments Commission (ASIC)</w:t>
      </w:r>
      <w:r w:rsidRPr="001F2586">
        <w:rPr>
          <w:rFonts w:eastAsia="Calibri" w:hint="cs"/>
          <w:rtl/>
        </w:rPr>
        <w:t xml:space="preserve">. גוף זה אחראי גם על כל הרגולציה של חברות, שווקי הון ושירותים פיננסים ומטרתו העיקרית היא להגן על משקיעים וצרכנים ולשמור על מערכת פיננסית יציבה והוגנת. </w:t>
      </w:r>
    </w:p>
    <w:p w:rsidR="001F2586" w:rsidRPr="001F2586" w:rsidP="001F2586">
      <w:pPr>
        <w:spacing w:line="269" w:lineRule="auto"/>
        <w:ind w:left="360"/>
        <w:contextualSpacing/>
        <w:rPr>
          <w:rFonts w:eastAsia="Calibri"/>
        </w:rPr>
      </w:pPr>
    </w:p>
    <w:p w:rsidR="001F2586" w:rsidRPr="001F2586" w:rsidP="001F2586">
      <w:pPr>
        <w:spacing w:line="269" w:lineRule="auto"/>
        <w:ind w:left="360"/>
        <w:contextualSpacing/>
        <w:rPr>
          <w:rFonts w:eastAsia="Calibri"/>
          <w:rtl/>
        </w:rPr>
      </w:pPr>
      <w:r w:rsidRPr="001F2586">
        <w:rPr>
          <w:rFonts w:eastAsia="Calibri" w:hint="cs"/>
          <w:rtl/>
        </w:rPr>
        <w:t>כל יועץ משכנתאות נדרש להחזיק ברישיון אשראי אוסטרלי</w:t>
      </w:r>
      <w:r>
        <w:rPr>
          <w:rFonts w:eastAsia="Calibri"/>
          <w:vertAlign w:val="superscript"/>
          <w:rtl/>
        </w:rPr>
        <w:footnoteReference w:id="476"/>
      </w:r>
      <w:r w:rsidRPr="001F2586">
        <w:rPr>
          <w:rFonts w:eastAsia="Calibri" w:hint="cs"/>
          <w:rtl/>
        </w:rPr>
        <w:t xml:space="preserve"> </w:t>
      </w:r>
      <w:r w:rsidRPr="001F2586">
        <w:rPr>
          <w:rFonts w:eastAsia="Calibri"/>
          <w:rtl/>
        </w:rPr>
        <w:t>או להיות נציג אשראי מורשה של גוף שמחזיק ברישיון כזה</w:t>
      </w:r>
      <w:r w:rsidRPr="001F2586">
        <w:rPr>
          <w:rFonts w:eastAsia="Calibri"/>
        </w:rPr>
        <w:t>.</w:t>
      </w:r>
      <w:r w:rsidRPr="001F2586">
        <w:rPr>
          <w:rFonts w:eastAsia="Calibri" w:hint="cs"/>
          <w:rtl/>
        </w:rPr>
        <w:t xml:space="preserve"> הדרישות העיקריות החלות על בעלי רישיון אשראי אוסטרלי</w:t>
      </w:r>
      <w:r>
        <w:rPr>
          <w:rFonts w:eastAsia="Calibri"/>
          <w:vertAlign w:val="superscript"/>
          <w:rtl/>
        </w:rPr>
        <w:footnoteReference w:id="477"/>
      </w:r>
      <w:r w:rsidRPr="001F2586">
        <w:rPr>
          <w:rFonts w:eastAsia="Calibri" w:hint="cs"/>
          <w:rtl/>
        </w:rPr>
        <w:t xml:space="preserve"> הן: עמידה בבדיקת התאמה ויושרה (בדיקת רקע פלילי ובדיקת היסטוריית פשיטת רגל), דרישת ביטוח מקצועי (לכיסוי תביעות פוטנציאליו</w:t>
      </w:r>
      <w:r w:rsidRPr="001F2586">
        <w:rPr>
          <w:rFonts w:eastAsia="Calibri" w:hint="eastAsia"/>
          <w:rtl/>
        </w:rPr>
        <w:t>ת</w:t>
      </w:r>
      <w:r w:rsidRPr="001F2586">
        <w:rPr>
          <w:rFonts w:eastAsia="Calibri" w:hint="cs"/>
          <w:rtl/>
        </w:rPr>
        <w:t xml:space="preserve"> הנובעות מרשלנות מקצועית או התנהגות בלתי הולמת) ודרישות כישורים מקצועיים וניסיון (כגון מבחן הסמכה</w:t>
      </w:r>
      <w:r w:rsidRPr="001F2586">
        <w:rPr>
          <w:rFonts w:eastAsia="Calibri"/>
          <w:vertAlign w:val="superscript"/>
          <w:rtl/>
        </w:rPr>
        <w:t xml:space="preserve"> </w:t>
      </w:r>
      <w:r>
        <w:rPr>
          <w:rFonts w:eastAsia="Calibri"/>
          <w:vertAlign w:val="superscript"/>
          <w:rtl/>
        </w:rPr>
        <w:footnoteReference w:id="478"/>
      </w:r>
      <w:r w:rsidRPr="001F2586">
        <w:rPr>
          <w:rFonts w:eastAsia="Calibri" w:hint="cs"/>
          <w:rtl/>
        </w:rPr>
        <w:t>).</w:t>
      </w:r>
    </w:p>
    <w:p w:rsidR="001F2586" w:rsidRPr="001F2586" w:rsidP="001F2586">
      <w:pPr>
        <w:spacing w:line="269" w:lineRule="auto"/>
        <w:ind w:left="-567"/>
        <w:rPr>
          <w:rFonts w:eastAsia="Calibri"/>
          <w:szCs w:val="20"/>
          <w:rtl/>
        </w:rPr>
      </w:pPr>
    </w:p>
    <w:p w:rsidR="001F2586" w:rsidRPr="001F2586" w:rsidP="001F2586">
      <w:pPr>
        <w:spacing w:line="269" w:lineRule="auto"/>
        <w:ind w:left="360"/>
        <w:contextualSpacing/>
        <w:rPr>
          <w:rFonts w:eastAsia="Calibri"/>
        </w:rPr>
      </w:pPr>
      <w:r w:rsidRPr="001F2586">
        <w:rPr>
          <w:rFonts w:eastAsia="Calibri" w:hint="cs"/>
          <w:rtl/>
        </w:rPr>
        <w:t>על יועצי המשכנתאות חלות חובות מתמשכות כגון: לפעול ביעילות, יושרה והגינות, שמירה על מקצועיות (חובת השתתפות בהשתלמויות מקצועיות), וכיוצא בזאת. יצוין כי לקוחות יכולים להגיש תלונה על יועצי המשכנתאות ולקבל סעד במקרה ייעוץ לקוי.</w:t>
      </w:r>
    </w:p>
    <w:p w:rsidR="001F2586" w:rsidRPr="001F2586" w:rsidP="001F2586">
      <w:pPr>
        <w:spacing w:line="269" w:lineRule="auto"/>
        <w:ind w:left="-567"/>
        <w:rPr>
          <w:rFonts w:eastAsia="Calibri"/>
          <w:szCs w:val="20"/>
          <w:rtl/>
        </w:rPr>
      </w:pPr>
    </w:p>
    <w:p w:rsidR="001F2586" w:rsidRPr="001F2586" w:rsidP="001F2586">
      <w:pPr>
        <w:numPr>
          <w:ilvl w:val="0"/>
          <w:numId w:val="32"/>
        </w:numPr>
        <w:spacing w:line="269" w:lineRule="auto"/>
        <w:contextualSpacing/>
        <w:rPr>
          <w:rFonts w:eastAsia="Calibri"/>
        </w:rPr>
      </w:pPr>
      <w:r w:rsidRPr="001F2586">
        <w:rPr>
          <w:rFonts w:eastAsia="Times New Roman" w:hint="cs"/>
          <w:bCs/>
          <w:spacing w:val="40"/>
          <w:rtl/>
        </w:rPr>
        <w:t>בריטניה:</w:t>
      </w:r>
      <w:r w:rsidRPr="001F2586">
        <w:rPr>
          <w:rFonts w:eastAsia="Calibri" w:hint="cs"/>
          <w:rtl/>
        </w:rPr>
        <w:t xml:space="preserve"> קיים גוף מפקח על יועצי המשכנתאות - הרשות להתנהלות פיננסית (</w:t>
      </w:r>
      <w:r w:rsidRPr="001F2586">
        <w:rPr>
          <w:rFonts w:eastAsia="Calibri"/>
        </w:rPr>
        <w:t>Financial (Conduct Authority</w:t>
      </w:r>
      <w:r w:rsidRPr="001F2586">
        <w:rPr>
          <w:rFonts w:eastAsia="Calibri" w:hint="cs"/>
          <w:rtl/>
        </w:rPr>
        <w:t xml:space="preserve">, שנועד להסדיר את ההתנהלות של שווקי ההון והגופים הפיננסים. בין יתר מטרותיה של הרשות להתנהלות פיננסית היא הגנה על הצרכן, שמירה על יציבות המערכת הפיננסית וקידום תחרות בין ספקי השירותים הפיננסים. </w:t>
      </w:r>
      <w:r w:rsidRPr="001F2586">
        <w:rPr>
          <w:rFonts w:eastAsia="Calibri"/>
          <w:rtl/>
        </w:rPr>
        <w:t xml:space="preserve">כל </w:t>
      </w:r>
      <w:r w:rsidRPr="001F2586">
        <w:rPr>
          <w:rFonts w:eastAsia="Calibri" w:hint="cs"/>
          <w:rtl/>
        </w:rPr>
        <w:t>אדם ה</w:t>
      </w:r>
      <w:r w:rsidRPr="001F2586">
        <w:rPr>
          <w:rFonts w:eastAsia="Calibri"/>
          <w:rtl/>
        </w:rPr>
        <w:t>מעניק ייעוץ משכנתאות חייב להיות מורשה על ידי ה-</w:t>
      </w:r>
      <w:r w:rsidRPr="001F2586">
        <w:rPr>
          <w:rFonts w:eastAsia="Calibri"/>
        </w:rPr>
        <w:t>FCA</w:t>
      </w:r>
      <w:r w:rsidRPr="001F2586">
        <w:rPr>
          <w:rFonts w:eastAsia="Calibri"/>
          <w:rtl/>
        </w:rPr>
        <w:t>, או להיות נציג ממונה ("</w:t>
      </w:r>
      <w:r w:rsidRPr="001F2586">
        <w:rPr>
          <w:rFonts w:eastAsia="Calibri"/>
        </w:rPr>
        <w:t>Appointed Representative</w:t>
      </w:r>
      <w:r w:rsidRPr="001F2586">
        <w:rPr>
          <w:rFonts w:eastAsia="Calibri"/>
          <w:rtl/>
        </w:rPr>
        <w:t>") של חברה מורשית.</w:t>
      </w:r>
      <w:r w:rsidRPr="001F2586">
        <w:rPr>
          <w:rFonts w:eastAsia="Calibri" w:hint="cs"/>
          <w:rtl/>
        </w:rPr>
        <w:t xml:space="preserve"> יועצי משכנתאות נחשבים ברוקרים. כמו כן, קיימת חובת השכלה ויש צורך </w:t>
      </w:r>
      <w:r w:rsidRPr="001F2586">
        <w:rPr>
          <w:rFonts w:eastAsia="Calibri"/>
          <w:rtl/>
        </w:rPr>
        <w:t>בהשלמת הסמכה מקצועית מאושרת</w:t>
      </w:r>
      <w:r w:rsidRPr="001F2586">
        <w:rPr>
          <w:rFonts w:eastAsia="Calibri" w:hint="cs"/>
          <w:rtl/>
        </w:rPr>
        <w:t xml:space="preserve"> וקבלת תעודה מקצועית לצורך עיסוק במקצוע. </w:t>
      </w:r>
    </w:p>
    <w:p w:rsidR="001F2586" w:rsidRPr="001F2586" w:rsidP="001F2586">
      <w:pPr>
        <w:spacing w:line="269" w:lineRule="auto"/>
        <w:ind w:left="-567"/>
        <w:rPr>
          <w:rFonts w:eastAsia="Calibri"/>
          <w:szCs w:val="20"/>
          <w:rtl/>
        </w:rPr>
      </w:pPr>
    </w:p>
    <w:p w:rsidR="00341979" w:rsidP="001F2586">
      <w:pPr>
        <w:spacing w:line="269" w:lineRule="auto"/>
        <w:ind w:left="360"/>
        <w:rPr>
          <w:rFonts w:eastAsia="Calibri"/>
          <w:rtl/>
        </w:rPr>
      </w:pPr>
      <w:r w:rsidRPr="001F2586">
        <w:rPr>
          <w:rFonts w:eastAsia="Calibri" w:hint="cs"/>
          <w:rtl/>
        </w:rPr>
        <w:t>יועץ משכנתאות נדרש לפעול בהתאם לכללים הקבועים ב-</w:t>
      </w:r>
      <w:r w:rsidR="00C11FFE">
        <w:rPr>
          <w:rFonts w:eastAsia="Calibri"/>
        </w:rPr>
        <w:t>FCA</w:t>
      </w:r>
      <w:r w:rsidRPr="001F2586">
        <w:rPr>
          <w:rFonts w:eastAsia="Calibri"/>
        </w:rPr>
        <w:t xml:space="preserve"> Handbook</w:t>
      </w:r>
      <w:r w:rsidR="00C11FFE">
        <w:rPr>
          <w:rFonts w:eastAsia="Calibri" w:hint="cs"/>
          <w:rtl/>
        </w:rPr>
        <w:t>,</w:t>
      </w:r>
      <w:r w:rsidRPr="001F2586">
        <w:rPr>
          <w:rFonts w:eastAsia="Calibri" w:hint="cs"/>
          <w:rtl/>
        </w:rPr>
        <w:t xml:space="preserve"> המפרט את חובות ההתנהלות, הגילוי הנאות והטיפול בתלונות על יועצי משכנתאות. יועצי המשכנתאות נדרשים להשתתף בהשתלמויות על מנת לשמור על הידע והכשירות שלהם בתחום.</w:t>
      </w:r>
    </w:p>
    <w:p w:rsidR="00341979" w:rsidRPr="00871145" w:rsidP="0070405E">
      <w:pPr>
        <w:pStyle w:val="a"/>
        <w:spacing w:line="269" w:lineRule="auto"/>
        <w:ind w:left="0"/>
        <w:rPr>
          <w:sz w:val="24"/>
          <w:szCs w:val="24"/>
          <w:rtl/>
        </w:rPr>
      </w:pPr>
      <w:r w:rsidRPr="00897D34">
        <w:rPr>
          <w:rFonts w:hint="eastAsia"/>
          <w:b/>
          <w:bCs/>
          <w:sz w:val="24"/>
          <w:szCs w:val="24"/>
          <w:rtl/>
        </w:rPr>
        <w:t>נמצא</w:t>
      </w:r>
      <w:r>
        <w:rPr>
          <w:b/>
          <w:bCs/>
          <w:sz w:val="24"/>
          <w:szCs w:val="24"/>
          <w:rtl/>
        </w:rPr>
        <w:t xml:space="preserve"> </w:t>
      </w:r>
      <w:r w:rsidRPr="00897D34">
        <w:rPr>
          <w:rFonts w:hint="eastAsia"/>
          <w:b/>
          <w:bCs/>
          <w:sz w:val="24"/>
          <w:szCs w:val="24"/>
          <w:rtl/>
        </w:rPr>
        <w:t>כי</w:t>
      </w:r>
      <w:r w:rsidRPr="00897D34">
        <w:rPr>
          <w:b/>
          <w:bCs/>
          <w:sz w:val="24"/>
          <w:szCs w:val="24"/>
          <w:rtl/>
        </w:rPr>
        <w:t xml:space="preserve"> </w:t>
      </w:r>
      <w:r w:rsidRPr="00897D34">
        <w:rPr>
          <w:rFonts w:hint="eastAsia"/>
          <w:b/>
          <w:bCs/>
          <w:sz w:val="24"/>
          <w:szCs w:val="24"/>
          <w:rtl/>
        </w:rPr>
        <w:t>במדינות</w:t>
      </w:r>
      <w:r w:rsidRPr="00897D34">
        <w:rPr>
          <w:rFonts w:hint="cs"/>
          <w:b/>
          <w:bCs/>
          <w:sz w:val="24"/>
          <w:szCs w:val="24"/>
          <w:rtl/>
        </w:rPr>
        <w:t xml:space="preserve"> האמורות - ארצות הברית, אוסטרליה ובריטניה, קיימת דרישה להסמכה מקצועית על יועץ משכנתאות וקיים פיקוח מצד גוף רגולטורי על עבודת יועץ המשכנתאות וזאת מתוך שאיפה על הגנת הצרכן. לעומת זאת בישראל, לא קיים פיקוח על עבודת יועץ המשכנתאות או חובת רישיון מקצועי.</w:t>
      </w:r>
      <w:r w:rsidRPr="00871145">
        <w:rPr>
          <w:rFonts w:hint="cs"/>
          <w:b/>
          <w:bCs/>
          <w:sz w:val="24"/>
          <w:szCs w:val="24"/>
          <w:rtl/>
        </w:rPr>
        <w:t xml:space="preserve"> </w:t>
      </w:r>
    </w:p>
    <w:p w:rsidR="001F2586" w:rsidRPr="001F2586" w:rsidP="001F2586">
      <w:pPr>
        <w:spacing w:line="269" w:lineRule="auto"/>
        <w:ind w:left="360"/>
        <w:rPr>
          <w:rFonts w:eastAsia="Calibri"/>
          <w:rtl/>
        </w:rPr>
      </w:pPr>
      <w:r w:rsidRPr="001F2586">
        <w:rPr>
          <w:rFonts w:eastAsia="Calibri" w:hint="cs"/>
          <w:rtl/>
        </w:rPr>
        <w:t xml:space="preserve"> </w:t>
      </w: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השלכות היעדר רגולציה החלה על יועצי משכנתאות </w:t>
      </w:r>
    </w:p>
    <w:p w:rsidR="001F2586" w:rsidRPr="001F2586" w:rsidP="001F2586">
      <w:pPr>
        <w:keepNext/>
        <w:keepLines/>
        <w:spacing w:line="269" w:lineRule="auto"/>
        <w:outlineLvl w:val="5"/>
        <w:rPr>
          <w:rFonts w:eastAsia="Times New Roman"/>
          <w:spacing w:val="40"/>
          <w:rtl/>
        </w:rPr>
      </w:pPr>
    </w:p>
    <w:p w:rsidR="001F2586" w:rsidRPr="001F2586" w:rsidP="001F2586">
      <w:pPr>
        <w:keepNext/>
        <w:keepLines/>
        <w:spacing w:line="269" w:lineRule="auto"/>
        <w:outlineLvl w:val="4"/>
        <w:rPr>
          <w:rFonts w:eastAsia="Times New Roman"/>
          <w:bCs/>
          <w:spacing w:val="40"/>
          <w:rtl/>
        </w:rPr>
      </w:pPr>
      <w:r w:rsidRPr="001F2586">
        <w:rPr>
          <w:rFonts w:eastAsia="Times New Roman" w:hint="cs"/>
          <w:bCs/>
          <w:spacing w:val="40"/>
          <w:rtl/>
        </w:rPr>
        <w:t>היעדר חובות מקצועיות החלות על יועצי משכנתאות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נכון למועד סיום הביקורת, אין אף חובה שמוטלת על העוסקים בייעוץ משכנתאות כגון חובת נאמנות וחובת זהירות למעט חובות הנובעות מהדין הכללי.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בהיעדר רגולטור או גוף ממשלתי המפקח אחר יועצי משכנתאות, בשנת 2016 הוקמה התאחדות יועצי המשכנתאות שהינה עמותה רשומה ללא כוונת רווח על מנת שתשמש כארגון היציג של יועצי משכנתאות שפועלת לקידום נושאים שונים. במסגרת ההתאחדות הוקמה ועדת אתיקה שאמונה על דיון וביצוע שימועים לחברים שיש לגביהם חשש לכאורה להפרת כללי העמותה כפי שידווח על ידי פניות חברים, פניות ציבור, פניות בנקים או רגולטורים. יועץ משכנתאות המעוניין להיות חלק מההתאחדות נדרש לחתום על אמנת כללי האתיקה ליועץ משכנתאות ומימון לדיור, שנועדה לאפשר לציבור להבין את המחויבויות והמיומנות הנדרשות מיועצי המשכנתאות מתן שירות ייעוץ ולקבוע מתודולוגי</w:t>
      </w:r>
      <w:r w:rsidRPr="001F2586">
        <w:rPr>
          <w:rFonts w:eastAsia="Calibri" w:hint="eastAsia"/>
          <w:rtl/>
        </w:rPr>
        <w:t>ה</w:t>
      </w:r>
      <w:r w:rsidRPr="001F2586">
        <w:rPr>
          <w:rFonts w:eastAsia="Calibri" w:hint="cs"/>
          <w:rtl/>
        </w:rPr>
        <w:t xml:space="preserve"> שלפיהם פועלים.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בין היתר, כללי האתיקה המחייבים יועץ משכנתאות החבר בהתאחדות הם: שמירה על מקצועיות, חובת עדכון, לפעול ביושר, בשקיפות תוך שמירה על הוראות החוק, שמירה על סודיות, אי קבלת טובות הנאה מתאגיד בנקאי, חובת גילוי על הצעה שעשויה להשיא תמורה מגוף שאינו בנקאי וכיוצא בזאת. כאמור לא כל יועץ משכנתאות הינו חבר בהתאחדות יועצי משכנתאות ומדובר בגוף שהינו וולונטר</w:t>
      </w:r>
      <w:r w:rsidRPr="001F2586">
        <w:rPr>
          <w:rFonts w:eastAsia="Calibri" w:hint="eastAsia"/>
          <w:rtl/>
        </w:rPr>
        <w:t>י</w:t>
      </w:r>
      <w:r w:rsidRPr="001F2586">
        <w:rPr>
          <w:rFonts w:eastAsia="Calibri" w:hint="cs"/>
          <w:rtl/>
        </w:rPr>
        <w:t xml:space="preserve"> ואינו סטטוטור</w:t>
      </w:r>
      <w:r w:rsidRPr="001F2586">
        <w:rPr>
          <w:rFonts w:eastAsia="Calibri" w:hint="eastAsia"/>
          <w:rtl/>
        </w:rPr>
        <w:t>י</w:t>
      </w:r>
      <w:r w:rsidRPr="001F2586">
        <w:rPr>
          <w:rFonts w:eastAsia="Calibri" w:hint="cs"/>
          <w:rtl/>
        </w:rPr>
        <w:t xml:space="preserve"> כגון לשכת עורכי דין.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משרד מבקר המדינה מציין כי בהיעדר חובות החלות על יועצי המשכנתאות על פי דין ייתכנו מקרים בהם טובת הצרכן עלולה להיפגע ויועץ המשכנתאות עלול להעדיף את טובתו האישית. במהלך הביקורת בדק משרד מבקר המדינה מספר מקרים שבהם עלולה להיפגע טובת הצרכן. להלן המקרים:</w:t>
      </w:r>
    </w:p>
    <w:p w:rsidR="001F2586" w:rsidRPr="001F2586" w:rsidP="001F2586">
      <w:pPr>
        <w:spacing w:line="269" w:lineRule="auto"/>
        <w:rPr>
          <w:rFonts w:eastAsia="Calibri"/>
          <w:rtl/>
        </w:rPr>
      </w:pPr>
    </w:p>
    <w:p w:rsidR="001F2586" w:rsidRPr="001F2586" w:rsidP="001F2586">
      <w:pPr>
        <w:keepNext/>
        <w:keepLines/>
        <w:numPr>
          <w:ilvl w:val="0"/>
          <w:numId w:val="26"/>
        </w:numPr>
        <w:spacing w:line="269" w:lineRule="auto"/>
        <w:outlineLvl w:val="5"/>
        <w:rPr>
          <w:rFonts w:eastAsia="Times New Roman"/>
          <w:spacing w:val="40"/>
          <w:rtl/>
        </w:rPr>
      </w:pPr>
      <w:r w:rsidRPr="001F2586">
        <w:rPr>
          <w:rFonts w:eastAsia="Times New Roman" w:hint="cs"/>
          <w:spacing w:val="40"/>
          <w:rtl/>
        </w:rPr>
        <w:t xml:space="preserve">תגמול יועצי משכנתאות בגין שיווק משכנתאות חוץ בנקאיות </w:t>
      </w:r>
    </w:p>
    <w:p w:rsidR="00260379" w:rsidP="001F2586">
      <w:pPr>
        <w:spacing w:line="269" w:lineRule="auto"/>
        <w:ind w:left="-567"/>
        <w:rPr>
          <w:rFonts w:eastAsia="Calibri"/>
          <w:szCs w:val="20"/>
          <w:rtl/>
        </w:rPr>
      </w:pPr>
    </w:p>
    <w:p w:rsidR="001F2586" w:rsidRPr="001F2586" w:rsidP="001F2586">
      <w:pPr>
        <w:shd w:val="clear" w:color="auto" w:fill="FFFFFF"/>
        <w:spacing w:line="269" w:lineRule="auto"/>
        <w:ind w:left="360"/>
        <w:rPr>
          <w:rFonts w:eastAsia="Calibri"/>
          <w:rtl/>
        </w:rPr>
      </w:pPr>
      <w:r w:rsidRPr="001F2586">
        <w:rPr>
          <w:rFonts w:eastAsia="Calibri" w:hint="cs"/>
          <w:rtl/>
        </w:rPr>
        <w:t>נ</w:t>
      </w:r>
      <w:r w:rsidRPr="001F2586">
        <w:rPr>
          <w:rFonts w:eastAsia="Calibri"/>
          <w:rtl/>
        </w:rPr>
        <w:t xml:space="preserve">כון להיום </w:t>
      </w:r>
      <w:r w:rsidRPr="001F2586">
        <w:rPr>
          <w:rFonts w:eastAsia="Calibri" w:hint="cs"/>
          <w:rtl/>
        </w:rPr>
        <w:t xml:space="preserve">בהתאם לנתוני רשות שוק ההון כפי שהועברו למשרד מבקר המדינה ביולי 2025, </w:t>
      </w:r>
      <w:r w:rsidRPr="001F2586">
        <w:rPr>
          <w:rFonts w:eastAsia="Calibri"/>
          <w:rtl/>
        </w:rPr>
        <w:t>שוק ההלוואות לדיור בקרב חברות אשראי חוץ בנקאיות מוערך</w:t>
      </w:r>
      <w:r w:rsidRPr="001F2586">
        <w:rPr>
          <w:rFonts w:eastAsia="Calibri" w:hint="cs"/>
          <w:rtl/>
        </w:rPr>
        <w:t xml:space="preserve"> </w:t>
      </w:r>
      <w:r w:rsidRPr="001F2586">
        <w:rPr>
          <w:rFonts w:eastAsia="Calibri"/>
          <w:rtl/>
        </w:rPr>
        <w:t xml:space="preserve">בכ-5.7 מיליארד ש"ח ומהווה כ-1% </w:t>
      </w:r>
      <w:r w:rsidRPr="001F2586">
        <w:rPr>
          <w:rFonts w:eastAsia="Calibri" w:hint="cs"/>
          <w:rtl/>
        </w:rPr>
        <w:t>מסך</w:t>
      </w:r>
      <w:r w:rsidRPr="001F2586">
        <w:rPr>
          <w:rFonts w:eastAsia="Calibri"/>
          <w:rtl/>
        </w:rPr>
        <w:t xml:space="preserve"> האשראי לדיור אשר ניתן על ידי המערכת הבנקאית</w:t>
      </w:r>
      <w:r w:rsidRPr="001F2586">
        <w:rPr>
          <w:rFonts w:eastAsia="Calibri" w:hint="cs"/>
          <w:rtl/>
        </w:rPr>
        <w:t xml:space="preserve">. </w:t>
      </w:r>
      <w:r w:rsidRPr="001F2586">
        <w:rPr>
          <w:rFonts w:eastAsia="Calibri"/>
          <w:rtl/>
        </w:rPr>
        <w:t xml:space="preserve">למרות תנאי הריבית והמדד הגבוהים ולמרות תקופה ארוכה של חוסר וודאות בשל המלחמה, שוק ההלוואות לדיור החוץ בנקאי נמצא בצמיחה. </w:t>
      </w:r>
      <w:r w:rsidRPr="001F2586">
        <w:rPr>
          <w:rFonts w:eastAsia="Calibri" w:hint="cs"/>
          <w:rtl/>
        </w:rPr>
        <w:t xml:space="preserve">שוק זה מתאפיין </w:t>
      </w:r>
      <w:r w:rsidRPr="001F2586">
        <w:rPr>
          <w:rFonts w:eastAsia="Calibri"/>
          <w:rtl/>
        </w:rPr>
        <w:t>במוצרים ובשירותים ייחודים שנועדו לתת פתרונות לציבור הלווים, בהם יש לחברות החוץ בנקאיות יתרון מסוים בייחס למערכת הבנקאית.</w:t>
      </w:r>
    </w:p>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ind w:left="360"/>
        <w:rPr>
          <w:rFonts w:eastAsia="Calibri"/>
          <w:rtl/>
        </w:rPr>
      </w:pPr>
      <w:r w:rsidRPr="001F2586">
        <w:rPr>
          <w:rFonts w:ascii="David" w:eastAsia="Calibri" w:hAnsi="David" w:hint="cs"/>
          <w:rtl/>
        </w:rPr>
        <w:t>ב</w:t>
      </w:r>
      <w:r w:rsidRPr="001F2586">
        <w:rPr>
          <w:rFonts w:ascii="David" w:eastAsia="Calibri" w:hAnsi="David"/>
          <w:rtl/>
        </w:rPr>
        <w:t xml:space="preserve">המלצות הצוות הבין-משרדי בראשות המשנה ליועץ המשפטי לממשלה בנושא הסדרת הרגולציה לטווח ארוך בענף שירותי המטבע </w:t>
      </w:r>
      <w:r w:rsidRPr="001F2586">
        <w:rPr>
          <w:rFonts w:ascii="David" w:eastAsia="Calibri" w:hAnsi="David" w:hint="cs"/>
          <w:rtl/>
        </w:rPr>
        <w:t>מ</w:t>
      </w:r>
      <w:r w:rsidRPr="001F2586">
        <w:rPr>
          <w:rFonts w:ascii="David" w:eastAsia="Calibri" w:hAnsi="David"/>
          <w:rtl/>
        </w:rPr>
        <w:t xml:space="preserve">שנת 2015 (להלן: "צוות </w:t>
      </w:r>
      <w:r w:rsidRPr="001F2586">
        <w:rPr>
          <w:rFonts w:ascii="David" w:eastAsia="Calibri" w:hAnsi="David"/>
          <w:rtl/>
        </w:rPr>
        <w:t>ליכט</w:t>
      </w:r>
      <w:r w:rsidRPr="001F2586">
        <w:rPr>
          <w:rFonts w:ascii="David" w:eastAsia="Calibri" w:hAnsi="David"/>
          <w:rtl/>
        </w:rPr>
        <w:t>"),</w:t>
      </w:r>
      <w:r w:rsidRPr="001F2586">
        <w:rPr>
          <w:rFonts w:eastAsia="Calibri" w:hint="cs"/>
          <w:rtl/>
        </w:rPr>
        <w:t xml:space="preserve"> נקבע כי </w:t>
      </w:r>
      <w:r w:rsidRPr="001F2586">
        <w:rPr>
          <w:rFonts w:ascii="David" w:eastAsia="Calibri" w:hAnsi="David"/>
          <w:rtl/>
        </w:rPr>
        <w:t>נותני האשראי החוץ בנקאיים, בשל מאפייניהם הייחודיים, מהווים גם אלטרנטיבה משלימה למערכת הבנקאית עבור סוגי אוכלוסייה או סוגי מוצרים שהמערכת הבנקאית אינה מטפלת בהם</w:t>
      </w:r>
      <w:r w:rsidRPr="001F2586">
        <w:rPr>
          <w:rFonts w:ascii="David" w:eastAsia="Calibri" w:hAnsi="David" w:hint="cs"/>
          <w:rtl/>
        </w:rPr>
        <w:t xml:space="preserve"> (וזאת למרות העלות הגבוהה יותר עבור הלקוחות). </w:t>
      </w:r>
    </w:p>
    <w:p w:rsidR="001F2586" w:rsidRPr="001F2586" w:rsidP="001F2586">
      <w:pPr>
        <w:spacing w:line="269" w:lineRule="auto"/>
        <w:ind w:left="-567"/>
        <w:rPr>
          <w:rFonts w:eastAsia="Calibri"/>
          <w:szCs w:val="20"/>
          <w:rtl/>
        </w:rPr>
      </w:pPr>
    </w:p>
    <w:p w:rsidR="001F2586" w:rsidRPr="001F2586" w:rsidP="001F2586">
      <w:pPr>
        <w:spacing w:line="269" w:lineRule="auto"/>
        <w:ind w:left="360"/>
        <w:rPr>
          <w:rFonts w:eastAsia="Calibri"/>
          <w:rtl/>
        </w:rPr>
      </w:pPr>
      <w:r w:rsidRPr="001F2586">
        <w:rPr>
          <w:rFonts w:eastAsia="Calibri" w:hint="cs"/>
          <w:rtl/>
        </w:rPr>
        <w:t xml:space="preserve">בהתאם להוראות חוק הפיקוח על שירותים פיננסים נדרש המפקח לבקר ולפקח על פעילות בעלי רישיונות למתן שירותים פיננסים. כדי למלא תפקיד זה, נדרש המפקח לקבל מידע ודיווח מאת נותני השירותים הפיננסים. ביום 17.11.22 פורסם על ידי רשות שוק ההון חוזר הוראות לבעלי רישיון למתן אשראי - דיווחי אשראי למפקח שמספרו 2022-10-14. החוזר נכנס לתוקף בתוך 8 חודשים מיום פרסומו. עד ל-20.07.25 הוגשו הדיווחים באמצעות קבצי אקסל במערכת </w:t>
      </w:r>
      <w:r w:rsidRPr="001F2586">
        <w:rPr>
          <w:rFonts w:eastAsia="Calibri" w:hint="cs"/>
          <w:rtl/>
        </w:rPr>
        <w:t xml:space="preserve">הדיווח של רשות שוק ההון. ב-20.07.2025 פורסם תיקון לחוזר שבא להסדיר את אופן הליך הגשת הדיווח שבעל רישיון למתן אשראי נדרש להעביר למפקח. התיקון לחוזר נעשה בשל שינוי טכני באופן הליך הגשת הדיווח ומעבר להגשה באמצעות פורטל דיווח חדש וכולל 15 נספחים לדיווח לרשות שוק ההון המכילים נתונים רבים לצורך שימוש רשות שוק ההון. </w:t>
      </w:r>
    </w:p>
    <w:p w:rsidR="001F2586" w:rsidRPr="001F2586" w:rsidP="001F2586">
      <w:pPr>
        <w:spacing w:line="269" w:lineRule="auto"/>
        <w:ind w:left="-567"/>
        <w:rPr>
          <w:rFonts w:eastAsia="Calibri"/>
          <w:szCs w:val="20"/>
          <w:rtl/>
        </w:rPr>
      </w:pPr>
    </w:p>
    <w:p w:rsidR="001F2586" w:rsidRPr="001F2586" w:rsidP="001F2586">
      <w:pPr>
        <w:spacing w:line="269" w:lineRule="auto"/>
        <w:ind w:left="360"/>
        <w:rPr>
          <w:rFonts w:eastAsia="Calibri"/>
          <w:rtl/>
        </w:rPr>
      </w:pPr>
      <w:r w:rsidRPr="001F2586">
        <w:rPr>
          <w:rFonts w:eastAsia="Calibri" w:hint="cs"/>
          <w:rtl/>
        </w:rPr>
        <w:t xml:space="preserve">על מנת לאמוד את היקף השימוש ביועצי משכנתאות בעת לקיחת משכנתא חוץ בנקאית, פנה משרד מבקר המדינה </w:t>
      </w:r>
      <w:r w:rsidR="00341979">
        <w:rPr>
          <w:rFonts w:eastAsia="Calibri" w:hint="cs"/>
          <w:rtl/>
        </w:rPr>
        <w:t>ב</w:t>
      </w:r>
      <w:r w:rsidRPr="001F2586" w:rsidR="00341979">
        <w:rPr>
          <w:rFonts w:eastAsia="Calibri" w:hint="cs"/>
          <w:rtl/>
        </w:rPr>
        <w:t xml:space="preserve">נובמבר </w:t>
      </w:r>
      <w:r w:rsidRPr="001F2586">
        <w:rPr>
          <w:rFonts w:eastAsia="Calibri" w:hint="cs"/>
          <w:rtl/>
        </w:rPr>
        <w:t xml:space="preserve">2025 לרשות שוק ההון בבקשה לפלח את שיעור ההיעזרות ביועצי משכנתאות בעת לקיחת משכנתא חוץ בנקאיות. </w:t>
      </w:r>
    </w:p>
    <w:p w:rsidR="001F2586" w:rsidRPr="001F2586" w:rsidP="001F2586">
      <w:pPr>
        <w:spacing w:line="269" w:lineRule="auto"/>
        <w:ind w:left="-567"/>
        <w:rPr>
          <w:rFonts w:eastAsia="Calibri"/>
          <w:szCs w:val="20"/>
          <w:rtl/>
        </w:rPr>
      </w:pPr>
    </w:p>
    <w:p w:rsidR="001F2586" w:rsidRPr="001F2586" w:rsidP="001F2586">
      <w:pPr>
        <w:spacing w:line="269" w:lineRule="auto"/>
        <w:ind w:left="360"/>
        <w:rPr>
          <w:rFonts w:eastAsia="Calibri"/>
          <w:b/>
          <w:bCs/>
          <w:rtl/>
        </w:rPr>
      </w:pPr>
      <w:r w:rsidRPr="001F2586">
        <w:rPr>
          <w:rFonts w:eastAsia="Calibri" w:hint="cs"/>
          <w:b/>
          <w:bCs/>
          <w:rtl/>
        </w:rPr>
        <w:t xml:space="preserve">נמצא כי </w:t>
      </w:r>
      <w:r w:rsidRPr="001F2586">
        <w:rPr>
          <w:rFonts w:eastAsia="Calibri"/>
          <w:b/>
          <w:bCs/>
          <w:rtl/>
        </w:rPr>
        <w:t>נכון להיום, אין נתונים</w:t>
      </w:r>
      <w:r w:rsidRPr="001F2586">
        <w:rPr>
          <w:rFonts w:eastAsia="Calibri" w:hint="cs"/>
          <w:b/>
          <w:bCs/>
          <w:rtl/>
        </w:rPr>
        <w:t xml:space="preserve"> לרשות שוק ההון</w:t>
      </w:r>
      <w:r w:rsidRPr="001F2586">
        <w:rPr>
          <w:rFonts w:eastAsia="Calibri"/>
          <w:b/>
          <w:bCs/>
          <w:rtl/>
        </w:rPr>
        <w:t xml:space="preserve"> </w:t>
      </w:r>
      <w:r w:rsidRPr="001F2586">
        <w:rPr>
          <w:rFonts w:eastAsia="Calibri" w:hint="cs"/>
          <w:b/>
          <w:bCs/>
          <w:rtl/>
        </w:rPr>
        <w:t>בדבר</w:t>
      </w:r>
      <w:r w:rsidRPr="001F2586">
        <w:rPr>
          <w:rFonts w:eastAsia="Calibri"/>
          <w:b/>
          <w:bCs/>
          <w:rtl/>
        </w:rPr>
        <w:t xml:space="preserve"> היקף השימוש ביועצי משכנתאות עבור משכנתאות חוץ-בנקאיות</w:t>
      </w:r>
      <w:r w:rsidRPr="001F2586">
        <w:rPr>
          <w:rFonts w:eastAsia="Calibri" w:hint="cs"/>
          <w:b/>
          <w:bCs/>
          <w:rtl/>
        </w:rPr>
        <w:t xml:space="preserve"> וזאת בשל העובדה כי אין חובת דיווח על היעזרות ביועץ משכנתאות בעת לקיחת משכנתא חוץ בנקאית</w:t>
      </w:r>
      <w:r w:rsidRPr="001F2586">
        <w:rPr>
          <w:rFonts w:eastAsia="Calibri"/>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ind w:left="360"/>
        <w:rPr>
          <w:rFonts w:eastAsia="Calibri"/>
          <w:b/>
          <w:bCs/>
        </w:rPr>
      </w:pPr>
      <w:r w:rsidRPr="001F2586">
        <w:rPr>
          <w:rFonts w:eastAsia="Calibri" w:hint="cs"/>
          <w:b/>
          <w:bCs/>
          <w:rtl/>
        </w:rPr>
        <w:t xml:space="preserve">היעדר נתונים ברשות שוק ההון בדבר היקף שימוש זה, לא מאפשר לרשות שוק ההון </w:t>
      </w:r>
      <w:r w:rsidRPr="001F2586">
        <w:rPr>
          <w:rFonts w:eastAsia="Calibri" w:hint="cs"/>
          <w:b/>
          <w:bCs/>
          <w:rtl/>
        </w:rPr>
        <w:t>לנטר</w:t>
      </w:r>
      <w:r w:rsidRPr="001F2586">
        <w:rPr>
          <w:rFonts w:eastAsia="Calibri" w:hint="cs"/>
          <w:b/>
          <w:bCs/>
          <w:rtl/>
        </w:rPr>
        <w:t xml:space="preserve"> ולזהות תופעות של שימוש ביועצי משכנתאות בעת לקיחת משכנתאות חוץ בנקאיות. </w:t>
      </w:r>
    </w:p>
    <w:p w:rsidR="001F2586" w:rsidRPr="001F2586" w:rsidP="001F2586">
      <w:pPr>
        <w:spacing w:line="269" w:lineRule="auto"/>
        <w:ind w:left="-567"/>
        <w:rPr>
          <w:rFonts w:eastAsia="Calibri"/>
          <w:szCs w:val="20"/>
          <w:rtl/>
        </w:rPr>
      </w:pPr>
    </w:p>
    <w:p w:rsidR="001F2586" w:rsidRPr="001F2586" w:rsidP="001F2586">
      <w:pPr>
        <w:spacing w:line="269" w:lineRule="auto"/>
        <w:ind w:left="360"/>
        <w:rPr>
          <w:rFonts w:eastAsia="Calibri"/>
          <w:b/>
          <w:bCs/>
          <w:rtl/>
        </w:rPr>
      </w:pPr>
      <w:r w:rsidRPr="001F2586">
        <w:rPr>
          <w:rFonts w:eastAsia="Calibri" w:hint="eastAsia"/>
          <w:b/>
          <w:bCs/>
          <w:rtl/>
        </w:rPr>
        <w:t>מומלץ</w:t>
      </w:r>
      <w:r w:rsidRPr="001F2586">
        <w:rPr>
          <w:rFonts w:eastAsia="Calibri"/>
          <w:b/>
          <w:bCs/>
          <w:rtl/>
        </w:rPr>
        <w:t xml:space="preserve"> </w:t>
      </w:r>
      <w:r w:rsidRPr="001F2586">
        <w:rPr>
          <w:rFonts w:eastAsia="Calibri" w:hint="eastAsia"/>
          <w:b/>
          <w:bCs/>
          <w:rtl/>
        </w:rPr>
        <w:t>לרשות</w:t>
      </w:r>
      <w:r w:rsidRPr="001F2586">
        <w:rPr>
          <w:rFonts w:eastAsia="Calibri"/>
          <w:b/>
          <w:bCs/>
          <w:rtl/>
        </w:rPr>
        <w:t xml:space="preserve"> </w:t>
      </w:r>
      <w:r w:rsidRPr="001F2586">
        <w:rPr>
          <w:rFonts w:eastAsia="Calibri" w:hint="eastAsia"/>
          <w:b/>
          <w:bCs/>
          <w:rtl/>
        </w:rPr>
        <w:t>שוק</w:t>
      </w:r>
      <w:r w:rsidRPr="001F2586">
        <w:rPr>
          <w:rFonts w:eastAsia="Calibri"/>
          <w:b/>
          <w:bCs/>
          <w:rtl/>
        </w:rPr>
        <w:t xml:space="preserve"> </w:t>
      </w:r>
      <w:r w:rsidRPr="001F2586">
        <w:rPr>
          <w:rFonts w:eastAsia="Calibri" w:hint="eastAsia"/>
          <w:b/>
          <w:bCs/>
          <w:rtl/>
        </w:rPr>
        <w:t>ההון</w:t>
      </w:r>
      <w:r w:rsidRPr="001F2586">
        <w:rPr>
          <w:rFonts w:eastAsia="Calibri"/>
          <w:b/>
          <w:bCs/>
          <w:rtl/>
        </w:rPr>
        <w:t xml:space="preserve"> </w:t>
      </w:r>
      <w:r w:rsidRPr="001F2586">
        <w:rPr>
          <w:rFonts w:eastAsia="Calibri" w:hint="eastAsia"/>
          <w:b/>
          <w:bCs/>
          <w:rtl/>
        </w:rPr>
        <w:t>לקבל</w:t>
      </w:r>
      <w:r w:rsidRPr="001F2586">
        <w:rPr>
          <w:rFonts w:eastAsia="Calibri"/>
          <w:b/>
          <w:bCs/>
          <w:rtl/>
        </w:rPr>
        <w:t xml:space="preserve"> </w:t>
      </w:r>
      <w:r w:rsidRPr="001F2586">
        <w:rPr>
          <w:rFonts w:eastAsia="Calibri" w:hint="eastAsia"/>
          <w:b/>
          <w:bCs/>
          <w:rtl/>
        </w:rPr>
        <w:t>נתונים</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יועצי</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w:t>
      </w:r>
      <w:r w:rsidRPr="001F2586">
        <w:rPr>
          <w:rFonts w:eastAsia="Calibri" w:hint="eastAsia"/>
          <w:b/>
          <w:bCs/>
          <w:rtl/>
        </w:rPr>
        <w:t>הפועלים</w:t>
      </w:r>
      <w:r w:rsidRPr="001F2586">
        <w:rPr>
          <w:rFonts w:eastAsia="Calibri"/>
          <w:b/>
          <w:bCs/>
          <w:rtl/>
        </w:rPr>
        <w:t xml:space="preserve"> </w:t>
      </w:r>
      <w:r w:rsidRPr="001F2586">
        <w:rPr>
          <w:rFonts w:eastAsia="Calibri" w:hint="eastAsia"/>
          <w:b/>
          <w:bCs/>
          <w:rtl/>
        </w:rPr>
        <w:t>בשיווק</w:t>
      </w:r>
      <w:r w:rsidRPr="001F2586">
        <w:rPr>
          <w:rFonts w:eastAsia="Calibri"/>
          <w:b/>
          <w:bCs/>
          <w:rtl/>
        </w:rPr>
        <w:t xml:space="preserve"> </w:t>
      </w:r>
      <w:r w:rsidRPr="001F2586">
        <w:rPr>
          <w:rFonts w:eastAsia="Calibri" w:hint="eastAsia"/>
          <w:b/>
          <w:bCs/>
          <w:rtl/>
        </w:rPr>
        <w:t>משכנתאות</w:t>
      </w:r>
      <w:r w:rsidRPr="001F2586">
        <w:rPr>
          <w:rFonts w:eastAsia="Calibri"/>
          <w:b/>
          <w:bCs/>
          <w:rtl/>
        </w:rPr>
        <w:t xml:space="preserve"> </w:t>
      </w:r>
      <w:r w:rsidRPr="001F2586">
        <w:rPr>
          <w:rFonts w:eastAsia="Calibri" w:hint="eastAsia"/>
          <w:b/>
          <w:bCs/>
          <w:rtl/>
        </w:rPr>
        <w:t>חוץ</w:t>
      </w:r>
      <w:r w:rsidRPr="001F2586">
        <w:rPr>
          <w:rFonts w:eastAsia="Calibri"/>
          <w:b/>
          <w:bCs/>
          <w:rtl/>
        </w:rPr>
        <w:t xml:space="preserve"> </w:t>
      </w:r>
      <w:r w:rsidRPr="001F2586">
        <w:rPr>
          <w:rFonts w:eastAsia="Calibri" w:hint="eastAsia"/>
          <w:b/>
          <w:bCs/>
          <w:rtl/>
        </w:rPr>
        <w:t>בנקאיות</w:t>
      </w:r>
      <w:r w:rsidRPr="001F2586">
        <w:rPr>
          <w:rFonts w:eastAsia="Calibri"/>
          <w:b/>
          <w:bCs/>
          <w:rtl/>
        </w:rPr>
        <w:t xml:space="preserve"> וזאת על מנת לבחון </w:t>
      </w:r>
      <w:r w:rsidRPr="001F2586">
        <w:rPr>
          <w:rFonts w:eastAsia="Calibri" w:hint="eastAsia"/>
          <w:b/>
          <w:bCs/>
          <w:rtl/>
        </w:rPr>
        <w:t>את</w:t>
      </w:r>
      <w:r w:rsidRPr="001F2586">
        <w:rPr>
          <w:rFonts w:eastAsia="Calibri"/>
          <w:b/>
          <w:bCs/>
          <w:rtl/>
        </w:rPr>
        <w:t xml:space="preserve"> אופן התנהלותם אל מול </w:t>
      </w:r>
      <w:r w:rsidRPr="001F2586">
        <w:rPr>
          <w:rFonts w:eastAsia="Calibri" w:hint="eastAsia"/>
          <w:b/>
          <w:bCs/>
          <w:rtl/>
        </w:rPr>
        <w:t>הלקוחות</w:t>
      </w:r>
      <w:r w:rsidRPr="001F2586">
        <w:rPr>
          <w:rFonts w:eastAsia="Calibri"/>
          <w:b/>
          <w:bCs/>
          <w:rtl/>
        </w:rPr>
        <w:t xml:space="preserve"> </w:t>
      </w:r>
      <w:r w:rsidRPr="001F2586">
        <w:rPr>
          <w:rFonts w:eastAsia="Calibri" w:hint="eastAsia"/>
          <w:b/>
          <w:bCs/>
          <w:rtl/>
        </w:rPr>
        <w:t>מבחינת</w:t>
      </w:r>
      <w:r w:rsidRPr="001F2586">
        <w:rPr>
          <w:rFonts w:eastAsia="Calibri"/>
          <w:b/>
          <w:bCs/>
          <w:rtl/>
        </w:rPr>
        <w:t xml:space="preserve"> </w:t>
      </w:r>
      <w:r w:rsidRPr="001F2586">
        <w:rPr>
          <w:rFonts w:eastAsia="Calibri" w:hint="eastAsia"/>
          <w:b/>
          <w:bCs/>
          <w:rtl/>
        </w:rPr>
        <w:t>הוגנות</w:t>
      </w:r>
      <w:r w:rsidRPr="001F2586">
        <w:rPr>
          <w:rFonts w:eastAsia="Calibri"/>
          <w:b/>
          <w:bCs/>
          <w:rtl/>
        </w:rPr>
        <w:t xml:space="preserve"> </w:t>
      </w:r>
      <w:r w:rsidRPr="001F2586">
        <w:rPr>
          <w:rFonts w:eastAsia="Calibri" w:hint="eastAsia"/>
          <w:b/>
          <w:bCs/>
          <w:rtl/>
        </w:rPr>
        <w:t>ושקיפות</w:t>
      </w:r>
      <w:r w:rsidRPr="001F2586">
        <w:rPr>
          <w:rFonts w:eastAsia="Calibri"/>
          <w:b/>
          <w:bCs/>
          <w:rtl/>
        </w:rPr>
        <w:t xml:space="preserve"> </w:t>
      </w:r>
      <w:r w:rsidRPr="001F2586">
        <w:rPr>
          <w:rFonts w:eastAsia="Calibri" w:hint="eastAsia"/>
          <w:b/>
          <w:bCs/>
          <w:rtl/>
        </w:rPr>
        <w:t>צרכנית</w:t>
      </w:r>
      <w:r w:rsidRPr="001F2586">
        <w:rPr>
          <w:rFonts w:eastAsia="Calibri"/>
          <w:b/>
          <w:bCs/>
          <w:rtl/>
        </w:rPr>
        <w:t xml:space="preserve">. </w:t>
      </w:r>
    </w:p>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ind w:left="360"/>
        <w:rPr>
          <w:rFonts w:eastAsia="Calibri"/>
          <w:b/>
          <w:bCs/>
          <w:rtl/>
        </w:rPr>
      </w:pPr>
      <w:r w:rsidRPr="001F2586">
        <w:rPr>
          <w:rFonts w:ascii="David" w:eastAsia="Calibri" w:hAnsi="David" w:hint="eastAsia"/>
          <w:b/>
          <w:bCs/>
          <w:sz w:val="24"/>
          <w:rtl/>
        </w:rPr>
        <w:t>בשנת</w:t>
      </w:r>
      <w:r w:rsidRPr="001F2586">
        <w:rPr>
          <w:rFonts w:ascii="David" w:eastAsia="Calibri" w:hAnsi="David"/>
          <w:b/>
          <w:bCs/>
          <w:sz w:val="24"/>
          <w:rtl/>
        </w:rPr>
        <w:t xml:space="preserve"> 2017 </w:t>
      </w:r>
      <w:r w:rsidRPr="001F2586">
        <w:rPr>
          <w:rFonts w:ascii="David" w:eastAsia="Calibri" w:hAnsi="David" w:hint="eastAsia"/>
          <w:b/>
          <w:bCs/>
          <w:sz w:val="24"/>
          <w:rtl/>
        </w:rPr>
        <w:t>קבע</w:t>
      </w:r>
      <w:r w:rsidRPr="001F2586">
        <w:rPr>
          <w:rFonts w:ascii="David" w:eastAsia="Calibri" w:hAnsi="David"/>
          <w:b/>
          <w:bCs/>
          <w:sz w:val="24"/>
          <w:rtl/>
        </w:rPr>
        <w:t xml:space="preserve"> </w:t>
      </w:r>
      <w:r w:rsidRPr="001F2586">
        <w:rPr>
          <w:rFonts w:ascii="David" w:eastAsia="Calibri" w:hAnsi="David" w:hint="eastAsia"/>
          <w:b/>
          <w:bCs/>
          <w:sz w:val="24"/>
          <w:rtl/>
        </w:rPr>
        <w:t>המפקח</w:t>
      </w:r>
      <w:r w:rsidRPr="001F2586">
        <w:rPr>
          <w:rFonts w:ascii="David" w:eastAsia="Calibri" w:hAnsi="David"/>
          <w:b/>
          <w:bCs/>
          <w:sz w:val="24"/>
          <w:rtl/>
        </w:rPr>
        <w:t xml:space="preserve"> </w:t>
      </w:r>
      <w:r w:rsidRPr="001F2586">
        <w:rPr>
          <w:rFonts w:ascii="David" w:eastAsia="Calibri" w:hAnsi="David" w:hint="eastAsia"/>
          <w:b/>
          <w:bCs/>
          <w:sz w:val="24"/>
          <w:rtl/>
        </w:rPr>
        <w:t>על</w:t>
      </w:r>
      <w:r w:rsidRPr="001F2586">
        <w:rPr>
          <w:rFonts w:ascii="David" w:eastAsia="Calibri" w:hAnsi="David"/>
          <w:b/>
          <w:bCs/>
          <w:sz w:val="24"/>
          <w:rtl/>
        </w:rPr>
        <w:t xml:space="preserve"> </w:t>
      </w:r>
      <w:r w:rsidRPr="001F2586">
        <w:rPr>
          <w:rFonts w:ascii="David" w:eastAsia="Calibri" w:hAnsi="David" w:hint="eastAsia"/>
          <w:b/>
          <w:bCs/>
          <w:sz w:val="24"/>
          <w:rtl/>
        </w:rPr>
        <w:t>הבנקים</w:t>
      </w:r>
      <w:r w:rsidRPr="001F2586">
        <w:rPr>
          <w:rFonts w:ascii="David" w:eastAsia="Calibri" w:hAnsi="David"/>
          <w:b/>
          <w:bCs/>
          <w:sz w:val="24"/>
          <w:rtl/>
        </w:rPr>
        <w:t xml:space="preserve"> </w:t>
      </w:r>
      <w:r w:rsidRPr="001F2586">
        <w:rPr>
          <w:rFonts w:ascii="David" w:eastAsia="Calibri" w:hAnsi="David" w:hint="eastAsia"/>
          <w:b/>
          <w:bCs/>
          <w:sz w:val="24"/>
          <w:rtl/>
        </w:rPr>
        <w:t>כי</w:t>
      </w:r>
      <w:r w:rsidRPr="001F2586">
        <w:rPr>
          <w:rFonts w:ascii="David" w:eastAsia="Calibri" w:hAnsi="David"/>
          <w:b/>
          <w:bCs/>
          <w:sz w:val="24"/>
          <w:rtl/>
        </w:rPr>
        <w:t xml:space="preserve"> </w:t>
      </w:r>
      <w:r w:rsidRPr="001F2586">
        <w:rPr>
          <w:rFonts w:ascii="David" w:eastAsia="Calibri" w:hAnsi="David" w:hint="eastAsia"/>
          <w:b/>
          <w:bCs/>
          <w:sz w:val="24"/>
          <w:rtl/>
        </w:rPr>
        <w:t>תאגיד</w:t>
      </w:r>
      <w:r w:rsidRPr="001F2586">
        <w:rPr>
          <w:rFonts w:ascii="David" w:eastAsia="Calibri" w:hAnsi="David"/>
          <w:b/>
          <w:bCs/>
          <w:sz w:val="24"/>
          <w:rtl/>
        </w:rPr>
        <w:t xml:space="preserve"> </w:t>
      </w:r>
      <w:r w:rsidRPr="001F2586">
        <w:rPr>
          <w:rFonts w:ascii="David" w:eastAsia="Calibri" w:hAnsi="David" w:hint="eastAsia"/>
          <w:b/>
          <w:bCs/>
          <w:sz w:val="24"/>
          <w:rtl/>
        </w:rPr>
        <w:t>בנקאי</w:t>
      </w:r>
      <w:r w:rsidRPr="001F2586">
        <w:rPr>
          <w:rFonts w:ascii="David" w:eastAsia="Calibri" w:hAnsi="David"/>
          <w:b/>
          <w:bCs/>
          <w:sz w:val="24"/>
          <w:rtl/>
        </w:rPr>
        <w:t xml:space="preserve"> </w:t>
      </w:r>
      <w:r w:rsidRPr="001F2586">
        <w:rPr>
          <w:rFonts w:ascii="David" w:eastAsia="Calibri" w:hAnsi="David" w:hint="eastAsia"/>
          <w:b/>
          <w:bCs/>
          <w:sz w:val="24"/>
          <w:rtl/>
        </w:rPr>
        <w:t>לא</w:t>
      </w:r>
      <w:r w:rsidRPr="001F2586">
        <w:rPr>
          <w:rFonts w:ascii="David" w:eastAsia="Calibri" w:hAnsi="David"/>
          <w:b/>
          <w:bCs/>
          <w:sz w:val="24"/>
          <w:rtl/>
        </w:rPr>
        <w:t xml:space="preserve"> </w:t>
      </w:r>
      <w:r w:rsidRPr="001F2586">
        <w:rPr>
          <w:rFonts w:ascii="David" w:eastAsia="Calibri" w:hAnsi="David" w:hint="eastAsia"/>
          <w:b/>
          <w:bCs/>
          <w:sz w:val="24"/>
          <w:rtl/>
        </w:rPr>
        <w:t>ישלם</w:t>
      </w:r>
      <w:r w:rsidRPr="001F2586">
        <w:rPr>
          <w:rFonts w:ascii="David" w:eastAsia="Calibri" w:hAnsi="David"/>
          <w:b/>
          <w:bCs/>
          <w:sz w:val="24"/>
          <w:rtl/>
        </w:rPr>
        <w:t xml:space="preserve"> </w:t>
      </w:r>
      <w:r w:rsidRPr="001F2586">
        <w:rPr>
          <w:rFonts w:ascii="David" w:eastAsia="Calibri" w:hAnsi="David" w:hint="eastAsia"/>
          <w:b/>
          <w:bCs/>
          <w:sz w:val="24"/>
          <w:rtl/>
        </w:rPr>
        <w:t>לנציג</w:t>
      </w:r>
      <w:r w:rsidRPr="001F2586">
        <w:rPr>
          <w:rFonts w:ascii="David" w:eastAsia="Calibri" w:hAnsi="David"/>
          <w:b/>
          <w:bCs/>
          <w:sz w:val="24"/>
          <w:rtl/>
        </w:rPr>
        <w:t xml:space="preserve"> </w:t>
      </w:r>
      <w:r w:rsidRPr="001F2586">
        <w:rPr>
          <w:rFonts w:ascii="David" w:eastAsia="Calibri" w:hAnsi="David" w:hint="eastAsia"/>
          <w:b/>
          <w:bCs/>
          <w:sz w:val="24"/>
          <w:rtl/>
        </w:rPr>
        <w:t>ולא</w:t>
      </w:r>
      <w:r w:rsidRPr="001F2586">
        <w:rPr>
          <w:rFonts w:ascii="David" w:eastAsia="Calibri" w:hAnsi="David"/>
          <w:b/>
          <w:bCs/>
          <w:sz w:val="24"/>
          <w:rtl/>
        </w:rPr>
        <w:t xml:space="preserve"> </w:t>
      </w:r>
      <w:r w:rsidRPr="001F2586">
        <w:rPr>
          <w:rFonts w:ascii="David" w:eastAsia="Calibri" w:hAnsi="David" w:hint="eastAsia"/>
          <w:b/>
          <w:bCs/>
          <w:sz w:val="24"/>
          <w:rtl/>
        </w:rPr>
        <w:t>ייתן</w:t>
      </w:r>
      <w:r w:rsidRPr="001F2586">
        <w:rPr>
          <w:rFonts w:ascii="David" w:eastAsia="Calibri" w:hAnsi="David"/>
          <w:b/>
          <w:bCs/>
          <w:sz w:val="24"/>
          <w:rtl/>
        </w:rPr>
        <w:t xml:space="preserve"> </w:t>
      </w:r>
      <w:r w:rsidRPr="001F2586">
        <w:rPr>
          <w:rFonts w:ascii="David" w:eastAsia="Calibri" w:hAnsi="David" w:hint="eastAsia"/>
          <w:b/>
          <w:bCs/>
          <w:sz w:val="24"/>
          <w:rtl/>
        </w:rPr>
        <w:t>לו</w:t>
      </w:r>
      <w:r w:rsidRPr="001F2586">
        <w:rPr>
          <w:rFonts w:ascii="David" w:eastAsia="Calibri" w:hAnsi="David"/>
          <w:b/>
          <w:bCs/>
          <w:sz w:val="24"/>
          <w:rtl/>
        </w:rPr>
        <w:t xml:space="preserve"> </w:t>
      </w:r>
      <w:r w:rsidRPr="001F2586">
        <w:rPr>
          <w:rFonts w:ascii="David" w:eastAsia="Calibri" w:hAnsi="David" w:hint="eastAsia"/>
          <w:b/>
          <w:bCs/>
          <w:sz w:val="24"/>
          <w:rtl/>
        </w:rPr>
        <w:t>טובות</w:t>
      </w:r>
      <w:r w:rsidRPr="001F2586">
        <w:rPr>
          <w:rFonts w:ascii="David" w:eastAsia="Calibri" w:hAnsi="David"/>
          <w:b/>
          <w:bCs/>
          <w:sz w:val="24"/>
          <w:rtl/>
        </w:rPr>
        <w:t xml:space="preserve"> </w:t>
      </w:r>
      <w:r w:rsidRPr="001F2586">
        <w:rPr>
          <w:rFonts w:ascii="David" w:eastAsia="Calibri" w:hAnsi="David" w:hint="eastAsia"/>
          <w:b/>
          <w:bCs/>
          <w:sz w:val="24"/>
          <w:rtl/>
        </w:rPr>
        <w:t>הנאה</w:t>
      </w:r>
      <w:r w:rsidRPr="001F2586">
        <w:rPr>
          <w:rFonts w:ascii="David" w:eastAsia="Calibri" w:hAnsi="David"/>
          <w:b/>
          <w:bCs/>
          <w:sz w:val="24"/>
          <w:rtl/>
        </w:rPr>
        <w:t xml:space="preserve"> </w:t>
      </w:r>
      <w:r w:rsidRPr="001F2586">
        <w:rPr>
          <w:rFonts w:ascii="David" w:eastAsia="Calibri" w:hAnsi="David" w:hint="eastAsia"/>
          <w:b/>
          <w:bCs/>
          <w:sz w:val="24"/>
          <w:rtl/>
        </w:rPr>
        <w:t>במישרין</w:t>
      </w:r>
      <w:r w:rsidRPr="001F2586">
        <w:rPr>
          <w:rFonts w:ascii="David" w:eastAsia="Calibri" w:hAnsi="David"/>
          <w:b/>
          <w:bCs/>
          <w:sz w:val="24"/>
          <w:rtl/>
        </w:rPr>
        <w:t xml:space="preserve"> </w:t>
      </w:r>
      <w:r w:rsidRPr="001F2586">
        <w:rPr>
          <w:rFonts w:ascii="David" w:eastAsia="Calibri" w:hAnsi="David" w:hint="eastAsia"/>
          <w:b/>
          <w:bCs/>
          <w:sz w:val="24"/>
          <w:rtl/>
        </w:rPr>
        <w:t>או</w:t>
      </w:r>
      <w:r w:rsidRPr="001F2586">
        <w:rPr>
          <w:rFonts w:ascii="David" w:eastAsia="Calibri" w:hAnsi="David"/>
          <w:b/>
          <w:bCs/>
          <w:sz w:val="24"/>
          <w:rtl/>
        </w:rPr>
        <w:t xml:space="preserve"> </w:t>
      </w:r>
      <w:r w:rsidRPr="001F2586">
        <w:rPr>
          <w:rFonts w:ascii="David" w:eastAsia="Calibri" w:hAnsi="David" w:hint="eastAsia"/>
          <w:b/>
          <w:bCs/>
          <w:sz w:val="24"/>
          <w:rtl/>
        </w:rPr>
        <w:t>בעקיפין</w:t>
      </w:r>
      <w:r w:rsidRPr="001F2586">
        <w:rPr>
          <w:rFonts w:ascii="David" w:eastAsia="Calibri" w:hAnsi="David"/>
          <w:b/>
          <w:bCs/>
          <w:sz w:val="24"/>
          <w:rtl/>
        </w:rPr>
        <w:t xml:space="preserve"> </w:t>
      </w:r>
      <w:r w:rsidRPr="001F2586">
        <w:rPr>
          <w:rFonts w:ascii="David" w:eastAsia="Calibri" w:hAnsi="David" w:hint="eastAsia"/>
          <w:b/>
          <w:bCs/>
          <w:sz w:val="24"/>
          <w:rtl/>
        </w:rPr>
        <w:t>עבור</w:t>
      </w:r>
      <w:r w:rsidRPr="001F2586">
        <w:rPr>
          <w:rFonts w:ascii="David" w:eastAsia="Calibri" w:hAnsi="David"/>
          <w:b/>
          <w:bCs/>
          <w:sz w:val="24"/>
          <w:rtl/>
        </w:rPr>
        <w:t xml:space="preserve"> </w:t>
      </w:r>
      <w:r w:rsidRPr="001F2586">
        <w:rPr>
          <w:rFonts w:ascii="David" w:eastAsia="Calibri" w:hAnsi="David" w:hint="eastAsia"/>
          <w:b/>
          <w:bCs/>
          <w:sz w:val="24"/>
          <w:rtl/>
        </w:rPr>
        <w:t>ייעוץ</w:t>
      </w:r>
      <w:r w:rsidRPr="001F2586">
        <w:rPr>
          <w:rFonts w:ascii="David" w:eastAsia="Calibri" w:hAnsi="David"/>
          <w:b/>
          <w:bCs/>
          <w:sz w:val="24"/>
          <w:rtl/>
        </w:rPr>
        <w:t xml:space="preserve"> </w:t>
      </w:r>
      <w:r w:rsidRPr="001F2586">
        <w:rPr>
          <w:rFonts w:ascii="David" w:eastAsia="Calibri" w:hAnsi="David" w:hint="eastAsia"/>
          <w:b/>
          <w:bCs/>
          <w:sz w:val="24"/>
          <w:rtl/>
        </w:rPr>
        <w:t>משכנתאות</w:t>
      </w:r>
      <w:r>
        <w:rPr>
          <w:rFonts w:ascii="David" w:eastAsia="Calibri" w:hAnsi="David"/>
          <w:b/>
          <w:bCs/>
          <w:sz w:val="24"/>
          <w:vertAlign w:val="superscript"/>
          <w:rtl/>
        </w:rPr>
        <w:footnoteReference w:id="479"/>
      </w:r>
      <w:r w:rsidRPr="001F2586">
        <w:rPr>
          <w:rFonts w:ascii="David" w:eastAsia="Calibri" w:hAnsi="David"/>
          <w:b/>
          <w:bCs/>
          <w:sz w:val="24"/>
          <w:rtl/>
        </w:rPr>
        <w:t xml:space="preserve">. </w:t>
      </w:r>
      <w:r w:rsidRPr="001F2586">
        <w:rPr>
          <w:rFonts w:ascii="David" w:eastAsia="Calibri" w:hAnsi="David" w:hint="eastAsia"/>
          <w:b/>
          <w:bCs/>
          <w:sz w:val="24"/>
          <w:rtl/>
        </w:rPr>
        <w:t>הוראה</w:t>
      </w:r>
      <w:r w:rsidRPr="001F2586">
        <w:rPr>
          <w:rFonts w:ascii="David" w:eastAsia="Calibri" w:hAnsi="David"/>
          <w:b/>
          <w:bCs/>
          <w:sz w:val="24"/>
          <w:rtl/>
        </w:rPr>
        <w:t xml:space="preserve"> </w:t>
      </w:r>
      <w:r w:rsidRPr="001F2586">
        <w:rPr>
          <w:rFonts w:ascii="David" w:eastAsia="Calibri" w:hAnsi="David" w:hint="eastAsia"/>
          <w:b/>
          <w:bCs/>
          <w:sz w:val="24"/>
          <w:rtl/>
        </w:rPr>
        <w:t>זו</w:t>
      </w:r>
      <w:r w:rsidRPr="001F2586">
        <w:rPr>
          <w:rFonts w:ascii="David" w:eastAsia="Calibri" w:hAnsi="David"/>
          <w:b/>
          <w:bCs/>
          <w:sz w:val="24"/>
          <w:rtl/>
        </w:rPr>
        <w:t xml:space="preserve"> </w:t>
      </w:r>
      <w:r w:rsidRPr="001F2586">
        <w:rPr>
          <w:rFonts w:ascii="David" w:eastAsia="Calibri" w:hAnsi="David" w:hint="eastAsia"/>
          <w:b/>
          <w:bCs/>
          <w:sz w:val="24"/>
          <w:rtl/>
        </w:rPr>
        <w:t>נועדה</w:t>
      </w:r>
      <w:r w:rsidRPr="001F2586">
        <w:rPr>
          <w:rFonts w:ascii="David" w:eastAsia="Calibri" w:hAnsi="David"/>
          <w:b/>
          <w:bCs/>
          <w:sz w:val="24"/>
          <w:rtl/>
        </w:rPr>
        <w:t xml:space="preserve"> </w:t>
      </w:r>
      <w:r w:rsidRPr="001F2586">
        <w:rPr>
          <w:rFonts w:ascii="David" w:eastAsia="Calibri" w:hAnsi="David" w:hint="eastAsia"/>
          <w:b/>
          <w:bCs/>
          <w:sz w:val="24"/>
          <w:rtl/>
        </w:rPr>
        <w:t>להבטיח</w:t>
      </w:r>
      <w:r w:rsidRPr="001F2586">
        <w:rPr>
          <w:rFonts w:ascii="David" w:eastAsia="Calibri" w:hAnsi="David"/>
          <w:b/>
          <w:bCs/>
          <w:sz w:val="24"/>
          <w:rtl/>
        </w:rPr>
        <w:t xml:space="preserve"> </w:t>
      </w:r>
      <w:r w:rsidRPr="001F2586">
        <w:rPr>
          <w:rFonts w:ascii="David" w:eastAsia="Calibri" w:hAnsi="David" w:hint="eastAsia"/>
          <w:b/>
          <w:bCs/>
          <w:sz w:val="24"/>
          <w:rtl/>
        </w:rPr>
        <w:t>כי</w:t>
      </w:r>
      <w:r w:rsidRPr="001F2586">
        <w:rPr>
          <w:rFonts w:ascii="David" w:eastAsia="Calibri" w:hAnsi="David"/>
          <w:b/>
          <w:bCs/>
          <w:sz w:val="24"/>
          <w:rtl/>
        </w:rPr>
        <w:t xml:space="preserve"> </w:t>
      </w:r>
      <w:r w:rsidRPr="001F2586">
        <w:rPr>
          <w:rFonts w:ascii="David" w:eastAsia="Calibri" w:hAnsi="David" w:hint="eastAsia"/>
          <w:b/>
          <w:bCs/>
          <w:sz w:val="24"/>
          <w:rtl/>
        </w:rPr>
        <w:t>יועץ</w:t>
      </w:r>
      <w:r w:rsidRPr="001F2586">
        <w:rPr>
          <w:rFonts w:ascii="David" w:eastAsia="Calibri" w:hAnsi="David"/>
          <w:b/>
          <w:bCs/>
          <w:sz w:val="24"/>
          <w:rtl/>
        </w:rPr>
        <w:t xml:space="preserve"> </w:t>
      </w:r>
      <w:r w:rsidRPr="001F2586">
        <w:rPr>
          <w:rFonts w:ascii="David" w:eastAsia="Calibri" w:hAnsi="David" w:hint="eastAsia"/>
          <w:b/>
          <w:bCs/>
          <w:sz w:val="24"/>
          <w:rtl/>
        </w:rPr>
        <w:t>המשכנתאות</w:t>
      </w:r>
      <w:r w:rsidRPr="001F2586">
        <w:rPr>
          <w:rFonts w:ascii="David" w:eastAsia="Calibri" w:hAnsi="David"/>
          <w:b/>
          <w:bCs/>
          <w:sz w:val="24"/>
          <w:rtl/>
        </w:rPr>
        <w:t xml:space="preserve"> </w:t>
      </w:r>
      <w:r w:rsidRPr="001F2586">
        <w:rPr>
          <w:rFonts w:ascii="David" w:eastAsia="Calibri" w:hAnsi="David" w:hint="eastAsia"/>
          <w:b/>
          <w:bCs/>
          <w:sz w:val="24"/>
          <w:rtl/>
        </w:rPr>
        <w:t>יעמוד</w:t>
      </w:r>
      <w:r w:rsidRPr="001F2586">
        <w:rPr>
          <w:rFonts w:ascii="David" w:eastAsia="Calibri" w:hAnsi="David"/>
          <w:b/>
          <w:bCs/>
          <w:sz w:val="24"/>
          <w:rtl/>
        </w:rPr>
        <w:t xml:space="preserve"> </w:t>
      </w:r>
      <w:r w:rsidRPr="001F2586">
        <w:rPr>
          <w:rFonts w:ascii="David" w:eastAsia="Calibri" w:hAnsi="David" w:hint="eastAsia"/>
          <w:b/>
          <w:bCs/>
          <w:sz w:val="24"/>
          <w:rtl/>
        </w:rPr>
        <w:t>במשימות</w:t>
      </w:r>
      <w:r w:rsidRPr="001F2586">
        <w:rPr>
          <w:rFonts w:ascii="David" w:eastAsia="Calibri" w:hAnsi="David"/>
          <w:b/>
          <w:bCs/>
          <w:sz w:val="24"/>
          <w:rtl/>
        </w:rPr>
        <w:t xml:space="preserve"> </w:t>
      </w:r>
      <w:r w:rsidRPr="001F2586">
        <w:rPr>
          <w:rFonts w:ascii="David" w:eastAsia="Calibri" w:hAnsi="David" w:hint="eastAsia"/>
          <w:b/>
          <w:bCs/>
          <w:sz w:val="24"/>
          <w:rtl/>
        </w:rPr>
        <w:t>לתפקד</w:t>
      </w:r>
      <w:r w:rsidRPr="001F2586">
        <w:rPr>
          <w:rFonts w:ascii="David" w:eastAsia="Calibri" w:hAnsi="David"/>
          <w:b/>
          <w:bCs/>
          <w:sz w:val="24"/>
          <w:rtl/>
        </w:rPr>
        <w:t xml:space="preserve"> </w:t>
      </w:r>
      <w:r w:rsidRPr="001F2586">
        <w:rPr>
          <w:rFonts w:ascii="David" w:eastAsia="Calibri" w:hAnsi="David" w:hint="eastAsia"/>
          <w:b/>
          <w:bCs/>
          <w:sz w:val="24"/>
          <w:rtl/>
        </w:rPr>
        <w:t>כשלוחו</w:t>
      </w:r>
      <w:r w:rsidRPr="001F2586">
        <w:rPr>
          <w:rFonts w:ascii="David" w:eastAsia="Calibri" w:hAnsi="David"/>
          <w:b/>
          <w:bCs/>
          <w:sz w:val="24"/>
          <w:rtl/>
        </w:rPr>
        <w:t xml:space="preserve"> </w:t>
      </w:r>
      <w:r w:rsidRPr="001F2586">
        <w:rPr>
          <w:rFonts w:ascii="David" w:eastAsia="Calibri" w:hAnsi="David" w:hint="eastAsia"/>
          <w:b/>
          <w:bCs/>
          <w:sz w:val="24"/>
          <w:rtl/>
        </w:rPr>
        <w:t>של</w:t>
      </w:r>
      <w:r w:rsidRPr="001F2586">
        <w:rPr>
          <w:rFonts w:ascii="David" w:eastAsia="Calibri" w:hAnsi="David"/>
          <w:b/>
          <w:bCs/>
          <w:sz w:val="24"/>
          <w:rtl/>
        </w:rPr>
        <w:t xml:space="preserve"> </w:t>
      </w:r>
      <w:r w:rsidRPr="001F2586">
        <w:rPr>
          <w:rFonts w:ascii="David" w:eastAsia="Calibri" w:hAnsi="David" w:hint="eastAsia"/>
          <w:b/>
          <w:bCs/>
          <w:sz w:val="24"/>
          <w:rtl/>
        </w:rPr>
        <w:t>הלקוח</w:t>
      </w:r>
      <w:r w:rsidRPr="001F2586">
        <w:rPr>
          <w:rFonts w:ascii="David" w:eastAsia="Calibri" w:hAnsi="David"/>
          <w:b/>
          <w:bCs/>
          <w:sz w:val="24"/>
          <w:rtl/>
        </w:rPr>
        <w:t xml:space="preserve"> </w:t>
      </w:r>
      <w:r w:rsidRPr="001F2586">
        <w:rPr>
          <w:rFonts w:ascii="David" w:eastAsia="Calibri" w:hAnsi="David" w:hint="eastAsia"/>
          <w:b/>
          <w:bCs/>
          <w:sz w:val="24"/>
          <w:rtl/>
        </w:rPr>
        <w:t>החב</w:t>
      </w:r>
      <w:r w:rsidRPr="001F2586">
        <w:rPr>
          <w:rFonts w:ascii="David" w:eastAsia="Calibri" w:hAnsi="David"/>
          <w:b/>
          <w:bCs/>
          <w:sz w:val="24"/>
          <w:rtl/>
        </w:rPr>
        <w:t xml:space="preserve"> </w:t>
      </w:r>
      <w:r w:rsidRPr="001F2586">
        <w:rPr>
          <w:rFonts w:ascii="David" w:eastAsia="Calibri" w:hAnsi="David" w:hint="eastAsia"/>
          <w:b/>
          <w:bCs/>
          <w:sz w:val="24"/>
          <w:rtl/>
        </w:rPr>
        <w:t>לו</w:t>
      </w:r>
      <w:r w:rsidRPr="001F2586">
        <w:rPr>
          <w:rFonts w:ascii="David" w:eastAsia="Calibri" w:hAnsi="David"/>
          <w:b/>
          <w:bCs/>
          <w:sz w:val="24"/>
          <w:rtl/>
        </w:rPr>
        <w:t xml:space="preserve"> </w:t>
      </w:r>
      <w:r w:rsidRPr="001F2586">
        <w:rPr>
          <w:rFonts w:ascii="David" w:eastAsia="Calibri" w:hAnsi="David" w:hint="eastAsia"/>
          <w:b/>
          <w:bCs/>
          <w:sz w:val="24"/>
          <w:rtl/>
        </w:rPr>
        <w:t>חובת</w:t>
      </w:r>
      <w:r w:rsidRPr="001F2586">
        <w:rPr>
          <w:rFonts w:ascii="David" w:eastAsia="Calibri" w:hAnsi="David"/>
          <w:b/>
          <w:bCs/>
          <w:sz w:val="24"/>
          <w:rtl/>
        </w:rPr>
        <w:t xml:space="preserve"> </w:t>
      </w:r>
      <w:r w:rsidRPr="001F2586">
        <w:rPr>
          <w:rFonts w:ascii="David" w:eastAsia="Calibri" w:hAnsi="David" w:hint="eastAsia"/>
          <w:b/>
          <w:bCs/>
          <w:sz w:val="24"/>
          <w:rtl/>
        </w:rPr>
        <w:t>אמונים</w:t>
      </w:r>
      <w:r w:rsidRPr="001F2586">
        <w:rPr>
          <w:rFonts w:ascii="David" w:eastAsia="Calibri" w:hAnsi="David"/>
          <w:b/>
          <w:bCs/>
          <w:sz w:val="24"/>
          <w:rtl/>
        </w:rPr>
        <w:t xml:space="preserve">, </w:t>
      </w:r>
      <w:r w:rsidRPr="001F2586">
        <w:rPr>
          <w:rFonts w:ascii="David" w:eastAsia="Calibri" w:hAnsi="David" w:hint="eastAsia"/>
          <w:b/>
          <w:bCs/>
          <w:sz w:val="24"/>
          <w:rtl/>
        </w:rPr>
        <w:t>על</w:t>
      </w:r>
      <w:r w:rsidRPr="001F2586">
        <w:rPr>
          <w:rFonts w:ascii="David" w:eastAsia="Calibri" w:hAnsi="David"/>
          <w:b/>
          <w:bCs/>
          <w:sz w:val="24"/>
          <w:rtl/>
        </w:rPr>
        <w:t xml:space="preserve"> </w:t>
      </w:r>
      <w:r w:rsidRPr="001F2586">
        <w:rPr>
          <w:rFonts w:ascii="David" w:eastAsia="Calibri" w:hAnsi="David" w:hint="eastAsia"/>
          <w:b/>
          <w:bCs/>
          <w:sz w:val="24"/>
          <w:rtl/>
        </w:rPr>
        <w:t>ידי</w:t>
      </w:r>
      <w:r w:rsidRPr="001F2586">
        <w:rPr>
          <w:rFonts w:ascii="David" w:eastAsia="Calibri" w:hAnsi="David"/>
          <w:b/>
          <w:bCs/>
          <w:sz w:val="24"/>
          <w:rtl/>
        </w:rPr>
        <w:t xml:space="preserve"> </w:t>
      </w:r>
      <w:r w:rsidRPr="001F2586">
        <w:rPr>
          <w:rFonts w:ascii="David" w:eastAsia="Calibri" w:hAnsi="David" w:hint="eastAsia"/>
          <w:b/>
          <w:bCs/>
          <w:sz w:val="24"/>
          <w:rtl/>
        </w:rPr>
        <w:t>כך</w:t>
      </w:r>
      <w:r w:rsidRPr="001F2586">
        <w:rPr>
          <w:rFonts w:ascii="David" w:eastAsia="Calibri" w:hAnsi="David"/>
          <w:b/>
          <w:bCs/>
          <w:sz w:val="24"/>
          <w:rtl/>
        </w:rPr>
        <w:t xml:space="preserve"> </w:t>
      </w:r>
      <w:r w:rsidRPr="001F2586">
        <w:rPr>
          <w:rFonts w:ascii="David" w:eastAsia="Calibri" w:hAnsi="David" w:hint="eastAsia"/>
          <w:b/>
          <w:bCs/>
          <w:sz w:val="24"/>
          <w:rtl/>
        </w:rPr>
        <w:t>שהלקוח</w:t>
      </w:r>
      <w:r w:rsidRPr="001F2586">
        <w:rPr>
          <w:rFonts w:ascii="David" w:eastAsia="Calibri" w:hAnsi="David"/>
          <w:b/>
          <w:bCs/>
          <w:sz w:val="24"/>
          <w:rtl/>
        </w:rPr>
        <w:t xml:space="preserve"> </w:t>
      </w:r>
      <w:r w:rsidRPr="001F2586">
        <w:rPr>
          <w:rFonts w:ascii="David" w:eastAsia="Calibri" w:hAnsi="David" w:hint="eastAsia"/>
          <w:b/>
          <w:bCs/>
          <w:sz w:val="24"/>
          <w:rtl/>
        </w:rPr>
        <w:t>יהיה</w:t>
      </w:r>
      <w:r w:rsidRPr="001F2586">
        <w:rPr>
          <w:rFonts w:ascii="David" w:eastAsia="Calibri" w:hAnsi="David"/>
          <w:b/>
          <w:bCs/>
          <w:sz w:val="24"/>
          <w:rtl/>
        </w:rPr>
        <w:t xml:space="preserve"> </w:t>
      </w:r>
      <w:r w:rsidRPr="001F2586">
        <w:rPr>
          <w:rFonts w:ascii="David" w:eastAsia="Calibri" w:hAnsi="David" w:hint="eastAsia"/>
          <w:b/>
          <w:bCs/>
          <w:sz w:val="24"/>
          <w:rtl/>
        </w:rPr>
        <w:t>המשלם</w:t>
      </w:r>
      <w:r w:rsidRPr="001F2586">
        <w:rPr>
          <w:rFonts w:ascii="David" w:eastAsia="Calibri" w:hAnsi="David"/>
          <w:b/>
          <w:bCs/>
          <w:sz w:val="24"/>
          <w:rtl/>
        </w:rPr>
        <w:t xml:space="preserve"> </w:t>
      </w:r>
      <w:r w:rsidRPr="001F2586">
        <w:rPr>
          <w:rFonts w:ascii="David" w:eastAsia="Calibri" w:hAnsi="David" w:hint="eastAsia"/>
          <w:b/>
          <w:bCs/>
          <w:sz w:val="24"/>
          <w:rtl/>
        </w:rPr>
        <w:t>הבלעדי</w:t>
      </w:r>
      <w:r w:rsidRPr="001F2586">
        <w:rPr>
          <w:rFonts w:ascii="David" w:eastAsia="Calibri" w:hAnsi="David"/>
          <w:b/>
          <w:bCs/>
          <w:sz w:val="24"/>
          <w:rtl/>
        </w:rPr>
        <w:t xml:space="preserve"> </w:t>
      </w:r>
      <w:r w:rsidRPr="001F2586">
        <w:rPr>
          <w:rFonts w:ascii="David" w:eastAsia="Calibri" w:hAnsi="David" w:hint="eastAsia"/>
          <w:b/>
          <w:bCs/>
          <w:sz w:val="24"/>
          <w:rtl/>
        </w:rPr>
        <w:t>של</w:t>
      </w:r>
      <w:r w:rsidRPr="001F2586">
        <w:rPr>
          <w:rFonts w:ascii="David" w:eastAsia="Calibri" w:hAnsi="David"/>
          <w:b/>
          <w:bCs/>
          <w:sz w:val="24"/>
          <w:rtl/>
        </w:rPr>
        <w:t xml:space="preserve"> </w:t>
      </w:r>
      <w:r w:rsidRPr="001F2586">
        <w:rPr>
          <w:rFonts w:ascii="David" w:eastAsia="Calibri" w:hAnsi="David" w:hint="eastAsia"/>
          <w:b/>
          <w:bCs/>
          <w:sz w:val="24"/>
          <w:rtl/>
        </w:rPr>
        <w:t>התגמול</w:t>
      </w:r>
      <w:r w:rsidRPr="001F2586">
        <w:rPr>
          <w:rFonts w:ascii="David" w:eastAsia="Calibri" w:hAnsi="David"/>
          <w:b/>
          <w:bCs/>
          <w:sz w:val="24"/>
          <w:rtl/>
        </w:rPr>
        <w:t xml:space="preserve"> </w:t>
      </w:r>
      <w:r w:rsidRPr="001F2586">
        <w:rPr>
          <w:rFonts w:ascii="David" w:eastAsia="Calibri" w:hAnsi="David" w:hint="eastAsia"/>
          <w:b/>
          <w:bCs/>
          <w:sz w:val="24"/>
          <w:rtl/>
        </w:rPr>
        <w:t>לייעוץ</w:t>
      </w:r>
      <w:r w:rsidRPr="001F2586">
        <w:rPr>
          <w:rFonts w:ascii="David" w:eastAsia="Calibri" w:hAnsi="David"/>
          <w:b/>
          <w:bCs/>
          <w:sz w:val="24"/>
          <w:rtl/>
        </w:rPr>
        <w:t>.</w:t>
      </w:r>
    </w:p>
    <w:p w:rsidR="001F2586" w:rsidRPr="001F2586" w:rsidP="001F2586">
      <w:pPr>
        <w:spacing w:line="269" w:lineRule="auto"/>
        <w:ind w:left="-567"/>
        <w:rPr>
          <w:rFonts w:eastAsia="Calibri"/>
          <w:szCs w:val="20"/>
          <w:rtl/>
        </w:rPr>
      </w:pPr>
    </w:p>
    <w:p w:rsidR="001F2586" w:rsidRPr="001F2586" w:rsidP="001F2586">
      <w:pPr>
        <w:shd w:val="clear" w:color="auto" w:fill="FFFFFF"/>
        <w:spacing w:line="269" w:lineRule="auto"/>
        <w:ind w:left="360"/>
        <w:rPr>
          <w:rFonts w:eastAsia="Calibri"/>
          <w:b/>
          <w:bCs/>
          <w:rtl/>
        </w:rPr>
      </w:pPr>
      <w:r w:rsidRPr="001F2586">
        <w:rPr>
          <w:rFonts w:eastAsia="Calibri" w:hint="cs"/>
          <w:b/>
          <w:bCs/>
          <w:rtl/>
        </w:rPr>
        <w:t xml:space="preserve">נמצא כי שלא כמקובל בשוק המשכנתאות הבנקאיות, מודל התגמול הנוכחי של יועצי משכנתאות מהגופים המוסדיים ונותני האשראי החוץ בנקאי בשיווק משכנתא חוץ בנקאית, מבוסס על תשלום עמלות שוטפות, עמלות חד פעמיות במכירה ובהגעה ליעד מכירות, פרסים ומתנות. הדבר מעלה חשש על היווצרותן של הטיות ותמריצים שאינם מתיישבים עם טובתו של הצרכן בהכרח, ואף מטה לכיוון המשכנתאות החוץ בנקאיות לעומת המשכנתאות הבנקאיות. </w:t>
      </w:r>
    </w:p>
    <w:p w:rsidR="001F2586" w:rsidRPr="001F2586" w:rsidP="001F2586">
      <w:pPr>
        <w:spacing w:line="269" w:lineRule="auto"/>
        <w:ind w:left="-567"/>
        <w:rPr>
          <w:rFonts w:eastAsia="Calibri"/>
          <w:szCs w:val="20"/>
          <w:rtl/>
        </w:rPr>
      </w:pPr>
    </w:p>
    <w:p w:rsidR="001F2586" w:rsidRPr="001F2586" w:rsidP="001F2586">
      <w:pPr>
        <w:spacing w:line="269" w:lineRule="auto"/>
        <w:ind w:left="360"/>
        <w:rPr>
          <w:rFonts w:eastAsia="Calibri"/>
          <w:rtl/>
        </w:rPr>
      </w:pPr>
      <w:r w:rsidRPr="001F2586">
        <w:rPr>
          <w:rFonts w:eastAsia="Calibri" w:hint="eastAsia"/>
          <w:rtl/>
        </w:rPr>
        <w:t>סעיף</w:t>
      </w:r>
      <w:r w:rsidRPr="001F2586">
        <w:rPr>
          <w:rFonts w:eastAsia="Calibri"/>
          <w:rtl/>
        </w:rPr>
        <w:t xml:space="preserve"> 4 לחוק הפיקוח על שירותים פיננסים (שירותים פיננסים מוסדרים), </w:t>
      </w:r>
      <w:r w:rsidRPr="001F2586">
        <w:rPr>
          <w:rFonts w:eastAsia="Calibri" w:hint="cs"/>
          <w:rtl/>
        </w:rPr>
        <w:t>ה</w:t>
      </w:r>
      <w:r w:rsidRPr="001F2586">
        <w:rPr>
          <w:rFonts w:eastAsia="Calibri"/>
          <w:rtl/>
        </w:rPr>
        <w:t>תשע"ו</w:t>
      </w:r>
      <w:r w:rsidRPr="001F2586">
        <w:rPr>
          <w:rFonts w:eastAsia="Calibri" w:hint="cs"/>
          <w:rtl/>
        </w:rPr>
        <w:t>-2016</w:t>
      </w:r>
      <w:r w:rsidRPr="001F2586">
        <w:rPr>
          <w:rFonts w:eastAsia="Calibri"/>
          <w:rtl/>
        </w:rPr>
        <w:t xml:space="preserve"> קובע כי המפקח רשאי, לשם ביצוע תפקידו ולאחר התייעצות עם הוועדה, לתת הוראות הנוגעות לדרכי פעולתם וניהולם של נותני שירותים פיננסיים, של נושאי משרה בהם ושל כל מי שמועסק על ידם, והכול כדי להבטיח את ניהולם התקין ואת השמירה על עניינם של לקוחותיהם, כדי למנוע פגיעה ביכולתו של נותן השירותים הפיננסיים לקיים את התחייבויותיו וכדי לתמוך ביציבותה של המערכת הפיננסית ובפעילותה הסדירה</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ind w:left="360"/>
        <w:rPr>
          <w:rFonts w:eastAsia="Calibri"/>
          <w:b/>
          <w:bCs/>
          <w:rtl/>
        </w:rPr>
      </w:pPr>
      <w:bookmarkStart w:id="102" w:name="_Hlk224416432"/>
      <w:r w:rsidRPr="001F2586">
        <w:rPr>
          <w:rFonts w:eastAsia="Calibri" w:hint="cs"/>
          <w:b/>
          <w:bCs/>
          <w:rtl/>
        </w:rPr>
        <w:t xml:space="preserve">יצוין כי הממונה על רשות שוק ההון לא קבע, הגם שהוא רשאי לעשות כן, איסור על נותני שירותים פיננסים שהינם מלווים חוץ בנקאיים, המצויים תחת פיקוח רשות שוק ההון, לשלם כל תמורה או טובת הנאה בגין שיווק משכנתאות. </w:t>
      </w:r>
    </w:p>
    <w:bookmarkEnd w:id="102"/>
    <w:p w:rsidR="001F2586" w:rsidRPr="001F2586" w:rsidP="001F2586">
      <w:pPr>
        <w:spacing w:line="269" w:lineRule="auto"/>
        <w:ind w:left="-567"/>
        <w:rPr>
          <w:rFonts w:eastAsia="Calibri"/>
          <w:b/>
          <w:bCs/>
          <w:szCs w:val="20"/>
          <w:rtl/>
        </w:rPr>
      </w:pPr>
    </w:p>
    <w:p w:rsidR="001F2586" w:rsidRPr="001F2586" w:rsidP="001F2586">
      <w:pPr>
        <w:spacing w:line="269" w:lineRule="auto"/>
        <w:ind w:left="360"/>
        <w:rPr>
          <w:rFonts w:ascii="David" w:eastAsia="Calibri" w:hAnsi="David"/>
          <w:b/>
          <w:bCs/>
          <w:sz w:val="24"/>
          <w:rtl/>
        </w:rPr>
      </w:pPr>
      <w:r w:rsidRPr="001F2586">
        <w:rPr>
          <w:rFonts w:eastAsia="Calibri" w:hint="eastAsia"/>
          <w:b/>
          <w:bCs/>
          <w:rtl/>
        </w:rPr>
        <w:t>כמו</w:t>
      </w:r>
      <w:r w:rsidRPr="001F2586">
        <w:rPr>
          <w:rFonts w:eastAsia="Calibri"/>
          <w:b/>
          <w:bCs/>
          <w:rtl/>
        </w:rPr>
        <w:t xml:space="preserve"> כן, השוני הקיים במודל התגמול בשיווק משכנתאות חוץ בנקאיות לשיווק משכנתאות בנקאיות יוצר ארביטראז' רגולטורי. </w:t>
      </w:r>
    </w:p>
    <w:p w:rsidR="001F2586" w:rsidRPr="001F2586" w:rsidP="001F2586">
      <w:pPr>
        <w:spacing w:line="269" w:lineRule="auto"/>
        <w:ind w:left="312"/>
        <w:rPr>
          <w:rFonts w:ascii="David" w:eastAsia="Calibri" w:hAnsi="David"/>
          <w:sz w:val="24"/>
          <w:rtl/>
        </w:rPr>
      </w:pPr>
    </w:p>
    <w:p w:rsidR="001F2586" w:rsidRPr="001F2586" w:rsidP="001F2586">
      <w:pPr>
        <w:spacing w:line="269" w:lineRule="auto"/>
        <w:ind w:left="360"/>
        <w:rPr>
          <w:rFonts w:ascii="David" w:eastAsia="Calibri" w:hAnsi="David"/>
          <w:sz w:val="24"/>
        </w:rPr>
      </w:pPr>
      <w:r w:rsidRPr="001F2586">
        <w:rPr>
          <w:rFonts w:ascii="David" w:eastAsia="Calibri" w:hAnsi="David"/>
          <w:rtl/>
        </w:rPr>
        <w:t>נ</w:t>
      </w:r>
      <w:r w:rsidRPr="001F2586">
        <w:rPr>
          <w:rFonts w:ascii="David" w:eastAsia="Calibri" w:hAnsi="David"/>
          <w:b/>
          <w:bCs/>
          <w:rtl/>
        </w:rPr>
        <w:t>וכח כניסתם של גופים חוץ-בנקאיים לענף המשכנתאות והגידול המשמעותי בהיקף האשראי המוענק על ידם לציבור הרחב, גובר הצורך בהגנה אפקטיבית על הצרכן בעסקה הפיננסית המשמעותית ביותר בחייו</w:t>
      </w:r>
      <w:r w:rsidRPr="001F2586">
        <w:rPr>
          <w:rFonts w:ascii="David" w:eastAsia="Calibri" w:hAnsi="David"/>
          <w:b/>
          <w:bCs/>
        </w:rPr>
        <w:t>.</w:t>
      </w:r>
      <w:r w:rsidRPr="001F2586">
        <w:rPr>
          <w:rFonts w:ascii="David" w:eastAsia="Calibri" w:hAnsi="David"/>
          <w:b/>
          <w:bCs/>
          <w:rtl/>
        </w:rPr>
        <w:t xml:space="preserve"> </w:t>
      </w:r>
      <w:r w:rsidRPr="001F2586">
        <w:rPr>
          <w:rFonts w:ascii="David" w:eastAsia="Calibri" w:hAnsi="David"/>
          <w:b/>
          <w:bCs/>
          <w:sz w:val="24"/>
          <w:rtl/>
        </w:rPr>
        <w:t xml:space="preserve">לפיכך, </w:t>
      </w:r>
      <w:r w:rsidRPr="001F2586">
        <w:rPr>
          <w:rFonts w:ascii="David" w:eastAsia="Calibri" w:hAnsi="David" w:hint="cs"/>
          <w:b/>
          <w:bCs/>
          <w:sz w:val="24"/>
          <w:rtl/>
        </w:rPr>
        <w:t xml:space="preserve">מומלץ כי רשות שוק ההון תבחן </w:t>
      </w:r>
      <w:r w:rsidRPr="001F2586">
        <w:rPr>
          <w:rFonts w:ascii="David" w:eastAsia="Calibri" w:hAnsi="David"/>
          <w:b/>
          <w:bCs/>
          <w:sz w:val="24"/>
          <w:rtl/>
        </w:rPr>
        <w:t xml:space="preserve">את החלת המגבלות הקיימות במערכת הבנקאית על השוק החוץ-בנקאי, ובכלל זה </w:t>
      </w:r>
      <w:r w:rsidRPr="001F2586">
        <w:rPr>
          <w:rFonts w:ascii="David" w:eastAsia="Calibri" w:hAnsi="David" w:hint="eastAsia"/>
          <w:b/>
          <w:bCs/>
          <w:sz w:val="24"/>
          <w:rtl/>
        </w:rPr>
        <w:t>ת</w:t>
      </w:r>
      <w:r w:rsidRPr="001F2586">
        <w:rPr>
          <w:rFonts w:ascii="David" w:eastAsia="Calibri" w:hAnsi="David"/>
          <w:b/>
          <w:bCs/>
          <w:sz w:val="24"/>
          <w:rtl/>
        </w:rPr>
        <w:t xml:space="preserve">שקול לאסור על </w:t>
      </w:r>
      <w:r w:rsidRPr="001F2586">
        <w:rPr>
          <w:rFonts w:ascii="David" w:eastAsia="Calibri" w:hAnsi="David"/>
          <w:b/>
          <w:bCs/>
          <w:sz w:val="24"/>
          <w:rtl/>
        </w:rPr>
        <w:t>קבלת תמורה (עמלות הפצה או תמריצים) מגופים חוץ-בנקאיים בגין הפניית לווים, בדומה להוראות שהוציא המפקח על הבנקים בשנת 2017. אימוץ נורמה זו חיוני למניעת ניגוד עניינים בתהליך המכירה ולהבטחת טובת הלווה בעת בחירת מסלול המשכנתא</w:t>
      </w:r>
      <w:r w:rsidRPr="001F2586">
        <w:rPr>
          <w:rFonts w:ascii="David" w:eastAsia="Calibri" w:hAnsi="David"/>
          <w:b/>
          <w:bCs/>
          <w:sz w:val="24"/>
        </w:rPr>
        <w:t>.</w:t>
      </w:r>
    </w:p>
    <w:p w:rsidR="001F2586" w:rsidRPr="001F2586" w:rsidP="001F2586">
      <w:pPr>
        <w:spacing w:line="269" w:lineRule="auto"/>
        <w:ind w:left="-567"/>
        <w:rPr>
          <w:rFonts w:eastAsia="Calibri"/>
          <w:szCs w:val="20"/>
          <w:rtl/>
        </w:rPr>
      </w:pPr>
    </w:p>
    <w:p w:rsidR="001F2586" w:rsidRPr="001F2586" w:rsidP="001F2586">
      <w:pPr>
        <w:keepNext/>
        <w:keepLines/>
        <w:numPr>
          <w:ilvl w:val="0"/>
          <w:numId w:val="26"/>
        </w:numPr>
        <w:spacing w:line="269" w:lineRule="auto"/>
        <w:outlineLvl w:val="5"/>
        <w:rPr>
          <w:rFonts w:eastAsia="Times New Roman"/>
          <w:spacing w:val="40"/>
        </w:rPr>
      </w:pPr>
      <w:r w:rsidRPr="001F2586">
        <w:rPr>
          <w:rFonts w:eastAsia="Times New Roman" w:hint="cs"/>
          <w:spacing w:val="40"/>
          <w:rtl/>
        </w:rPr>
        <w:t xml:space="preserve">קבלת תגמולים נוספים על ידי יועצי משכנתאות מגופים מוסדיים על שיווק מוצרי ביטוח אגב משכנתא </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rtl/>
        </w:rPr>
      </w:pPr>
      <w:r w:rsidRPr="001F2586">
        <w:rPr>
          <w:rFonts w:eastAsia="Calibri"/>
          <w:rtl/>
        </w:rPr>
        <w:t xml:space="preserve">כל אדם המעוניין </w:t>
      </w:r>
      <w:r w:rsidRPr="001F2586">
        <w:rPr>
          <w:rFonts w:eastAsia="Calibri" w:hint="eastAsia"/>
          <w:rtl/>
        </w:rPr>
        <w:t>לקחת</w:t>
      </w:r>
      <w:r w:rsidRPr="001F2586">
        <w:rPr>
          <w:rFonts w:eastAsia="Calibri"/>
          <w:rtl/>
        </w:rPr>
        <w:t xml:space="preserve"> משכנתא, </w:t>
      </w:r>
      <w:r w:rsidRPr="001F2586">
        <w:rPr>
          <w:rFonts w:eastAsia="Calibri" w:hint="cs"/>
          <w:rtl/>
        </w:rPr>
        <w:t>מחויב על ידי הבנקים</w:t>
      </w:r>
      <w:r w:rsidRPr="001F2586">
        <w:rPr>
          <w:rFonts w:eastAsia="Calibri"/>
          <w:rtl/>
        </w:rPr>
        <w:t xml:space="preserve"> לרכוש במקביל ביטוח משכנתא כתנאי של הבנק לאישור ההלוואה.</w:t>
      </w:r>
      <w:r w:rsidRPr="001F2586">
        <w:rPr>
          <w:rFonts w:eastAsia="Calibri" w:hint="cs"/>
          <w:rtl/>
        </w:rPr>
        <w:t xml:space="preserve"> ביטוח משכנתא כולל שני סוגים של כיסוי ביטוחי - ביטוח חיים וביטוח מבנה.</w:t>
      </w:r>
      <w:r w:rsidRPr="001F2586">
        <w:rPr>
          <w:rFonts w:eastAsia="Calibri"/>
          <w:rtl/>
        </w:rPr>
        <w:t xml:space="preserve"> ביטוח מבנה למשכנתא מספק כיסוי עבור מצבים בהם נגרם נזק לנכס או ששווי</w:t>
      </w:r>
      <w:r w:rsidRPr="001F2586">
        <w:rPr>
          <w:rFonts w:eastAsia="Calibri" w:hint="cs"/>
          <w:rtl/>
        </w:rPr>
        <w:t>ו</w:t>
      </w:r>
      <w:r w:rsidRPr="001F2586">
        <w:rPr>
          <w:rFonts w:eastAsia="Calibri"/>
          <w:rtl/>
        </w:rPr>
        <w:t xml:space="preserve"> פחת משמעותית כתוצאה מאסונות טבע לא צפויים. במקרה זה, ביטוח המבנה מכסה את המשך תשלומי המשכנתא לבנק, וכן את עלות שיקום הנזקים שנגרמו לנכס, בעוד הבעלות עליו נשארת אצל הלווה.</w:t>
      </w:r>
      <w:r w:rsidRPr="001F2586">
        <w:rPr>
          <w:rFonts w:eastAsia="Calibri" w:hint="cs"/>
          <w:rtl/>
        </w:rPr>
        <w:t xml:space="preserve"> </w:t>
      </w:r>
      <w:r w:rsidRPr="001F2586">
        <w:rPr>
          <w:rFonts w:eastAsia="Calibri"/>
          <w:rtl/>
        </w:rPr>
        <w:t>ביטוח חיים למשכנתא</w:t>
      </w:r>
      <w:r w:rsidRPr="001F2586">
        <w:rPr>
          <w:rFonts w:eastAsia="Calibri" w:hint="cs"/>
          <w:rtl/>
        </w:rPr>
        <w:t xml:space="preserve"> </w:t>
      </w:r>
      <w:r w:rsidRPr="001F2586">
        <w:rPr>
          <w:rFonts w:eastAsia="Calibri"/>
          <w:rtl/>
        </w:rPr>
        <w:t>מספק כיסוי ביטוחי ללווים ולבנק גם יחד, ומופעל כאשר אחד הלווים נפטר,</w:t>
      </w:r>
      <w:r w:rsidRPr="001F2586">
        <w:rPr>
          <w:rFonts w:eastAsia="Calibri" w:hint="cs"/>
          <w:rtl/>
        </w:rPr>
        <w:t xml:space="preserve"> ובמצב כזה </w:t>
      </w:r>
      <w:r w:rsidRPr="001F2586">
        <w:rPr>
          <w:rFonts w:eastAsia="Calibri"/>
          <w:rtl/>
        </w:rPr>
        <w:t>חברת הביטוח מעבירה לבנק את יתרת החוב של הלווה.</w:t>
      </w:r>
    </w:p>
    <w:p w:rsidR="001F2586" w:rsidRPr="001F2586" w:rsidP="001F2586">
      <w:pPr>
        <w:spacing w:line="269" w:lineRule="auto"/>
        <w:ind w:left="-567"/>
        <w:rPr>
          <w:rFonts w:eastAsia="Calibri"/>
          <w:szCs w:val="20"/>
          <w:rtl/>
        </w:rPr>
      </w:pPr>
    </w:p>
    <w:p w:rsidR="001F2586" w:rsidRPr="001F2586" w:rsidP="001F2586">
      <w:pPr>
        <w:spacing w:line="269" w:lineRule="auto"/>
        <w:ind w:left="312"/>
        <w:rPr>
          <w:rFonts w:eastAsia="Calibri"/>
          <w:b/>
          <w:bCs/>
          <w:rtl/>
        </w:rPr>
      </w:pPr>
      <w:r w:rsidRPr="001F2586">
        <w:rPr>
          <w:rFonts w:eastAsia="Calibri" w:hint="cs"/>
          <w:b/>
          <w:bCs/>
          <w:rtl/>
        </w:rPr>
        <w:t xml:space="preserve">נמצא כי בפרקטיקה הקיימת כיום מקבלים יועצי המשכנתאות מהגופים המוסדיים ומסוכנויות הביטוח תגמול נוסף ואף תגמול בשווי כסף דוגמת פרסים, הוצאות משרד, הטבות וטיסות לחו"ל בגין הפניית לקוחותיהם לגופים המוסדיים או לסוכני ביטוח על מנת לבצע ביטוח משכנתא. יצוין כי תמריצים אלו ניתנים לרוב כתלות בעמידה ביעדי מכירות. בכך גדל התמריץ של יועץ המשכנתאות למכור משכנתא ואף ביטוח לדירה באמצעות אותו גוף מוסדי ספציפי. עוד נמצא כי בחוזרי הממונה על שוק ההון ובחקיקה מטעמו אין כל הוראה האוסרת על קבלת תגמול בגין פעולה זו.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היעדר</w:t>
      </w:r>
      <w:r w:rsidRPr="001F2586">
        <w:rPr>
          <w:rFonts w:eastAsia="Calibri"/>
          <w:b/>
          <w:bCs/>
          <w:rtl/>
        </w:rPr>
        <w:t xml:space="preserve"> התייחסות מטעם רשות שוק ההון למודל התגמול של יועצי משכנתאות מהגופים החוץ בנקאיים יכול ליצור ליועץ המשכנתאות ניגוד עניינים: הוא עלול למכור לצרכן את המוצר שמניב </w:t>
      </w:r>
      <w:r w:rsidRPr="001F2586">
        <w:rPr>
          <w:rFonts w:eastAsia="Calibri" w:hint="eastAsia"/>
          <w:b/>
          <w:bCs/>
          <w:rtl/>
        </w:rPr>
        <w:t>לו</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ההכנסה</w:t>
      </w:r>
      <w:r w:rsidRPr="001F2586">
        <w:rPr>
          <w:rFonts w:eastAsia="Calibri"/>
          <w:b/>
          <w:bCs/>
          <w:rtl/>
        </w:rPr>
        <w:t xml:space="preserve"> </w:t>
      </w:r>
      <w:r w:rsidRPr="001F2586">
        <w:rPr>
          <w:rFonts w:eastAsia="Calibri" w:hint="eastAsia"/>
          <w:b/>
          <w:bCs/>
          <w:rtl/>
        </w:rPr>
        <w:t>הגבוהה</w:t>
      </w:r>
      <w:r w:rsidRPr="001F2586">
        <w:rPr>
          <w:rFonts w:eastAsia="Calibri"/>
          <w:b/>
          <w:bCs/>
          <w:rtl/>
        </w:rPr>
        <w:t xml:space="preserve"> </w:t>
      </w:r>
      <w:r w:rsidRPr="001F2586">
        <w:rPr>
          <w:rFonts w:eastAsia="Calibri" w:hint="eastAsia"/>
          <w:b/>
          <w:bCs/>
          <w:rtl/>
        </w:rPr>
        <w:t>ביותר</w:t>
      </w:r>
      <w:r w:rsidRPr="001F2586">
        <w:rPr>
          <w:rFonts w:eastAsia="Calibri"/>
          <w:b/>
          <w:bCs/>
          <w:rtl/>
        </w:rPr>
        <w:t xml:space="preserve">, </w:t>
      </w:r>
      <w:r w:rsidRPr="001F2586">
        <w:rPr>
          <w:rFonts w:eastAsia="Calibri" w:hint="eastAsia"/>
          <w:b/>
          <w:bCs/>
          <w:rtl/>
        </w:rPr>
        <w:t>ולא</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המוצר</w:t>
      </w:r>
      <w:r w:rsidRPr="001F2586">
        <w:rPr>
          <w:rFonts w:eastAsia="Calibri"/>
          <w:b/>
          <w:bCs/>
          <w:rtl/>
        </w:rPr>
        <w:t xml:space="preserve"> </w:t>
      </w:r>
      <w:r w:rsidRPr="001F2586">
        <w:rPr>
          <w:rFonts w:eastAsia="Calibri" w:hint="eastAsia"/>
          <w:b/>
          <w:bCs/>
          <w:rtl/>
        </w:rPr>
        <w:t>הטוב</w:t>
      </w:r>
      <w:r w:rsidRPr="001F2586">
        <w:rPr>
          <w:rFonts w:eastAsia="Calibri"/>
          <w:b/>
          <w:bCs/>
          <w:rtl/>
        </w:rPr>
        <w:t xml:space="preserve"> </w:t>
      </w:r>
      <w:r w:rsidRPr="001F2586">
        <w:rPr>
          <w:rFonts w:eastAsia="Calibri" w:hint="eastAsia"/>
          <w:b/>
          <w:bCs/>
          <w:rtl/>
        </w:rPr>
        <w:t>ביותר</w:t>
      </w:r>
      <w:r w:rsidRPr="001F2586">
        <w:rPr>
          <w:rFonts w:eastAsia="Calibri"/>
          <w:b/>
          <w:bCs/>
          <w:rtl/>
        </w:rPr>
        <w:t xml:space="preserve"> </w:t>
      </w:r>
      <w:r w:rsidRPr="001F2586">
        <w:rPr>
          <w:rFonts w:eastAsia="Calibri" w:hint="eastAsia"/>
          <w:b/>
          <w:bCs/>
          <w:rtl/>
        </w:rPr>
        <w:t>עבור</w:t>
      </w:r>
      <w:r w:rsidRPr="001F2586">
        <w:rPr>
          <w:rFonts w:eastAsia="Calibri"/>
          <w:b/>
          <w:bCs/>
          <w:rtl/>
        </w:rPr>
        <w:t xml:space="preserve"> </w:t>
      </w:r>
      <w:r w:rsidRPr="001F2586">
        <w:rPr>
          <w:rFonts w:eastAsia="Calibri" w:hint="eastAsia"/>
          <w:b/>
          <w:bCs/>
          <w:rtl/>
        </w:rPr>
        <w:t>הצרכן</w:t>
      </w:r>
      <w:r w:rsidRPr="001F2586">
        <w:rPr>
          <w:rFonts w:eastAsia="Calibri"/>
          <w:b/>
          <w:bCs/>
          <w:rtl/>
        </w:rPr>
        <w:t xml:space="preserve">. </w:t>
      </w:r>
      <w:r w:rsidRPr="001F2586">
        <w:rPr>
          <w:rFonts w:eastAsia="Calibri" w:hint="eastAsia"/>
          <w:b/>
          <w:bCs/>
          <w:rtl/>
        </w:rPr>
        <w:t>יצוין</w:t>
      </w:r>
      <w:r w:rsidRPr="001F2586">
        <w:rPr>
          <w:rFonts w:eastAsia="Calibri"/>
          <w:b/>
          <w:bCs/>
          <w:rtl/>
        </w:rPr>
        <w:t xml:space="preserve"> </w:t>
      </w:r>
      <w:r w:rsidRPr="001F2586">
        <w:rPr>
          <w:rFonts w:eastAsia="Calibri" w:hint="eastAsia"/>
          <w:b/>
          <w:bCs/>
          <w:rtl/>
        </w:rPr>
        <w:t>כי</w:t>
      </w:r>
      <w:r w:rsidRPr="001F2586">
        <w:rPr>
          <w:rFonts w:eastAsia="Calibri"/>
          <w:b/>
          <w:bCs/>
          <w:rtl/>
        </w:rPr>
        <w:t xml:space="preserve"> </w:t>
      </w:r>
      <w:r w:rsidRPr="001F2586">
        <w:rPr>
          <w:rFonts w:eastAsia="Calibri" w:hint="eastAsia"/>
          <w:b/>
          <w:bCs/>
          <w:rtl/>
        </w:rPr>
        <w:t>ייתכן</w:t>
      </w:r>
      <w:r w:rsidRPr="001F2586">
        <w:rPr>
          <w:rFonts w:eastAsia="Calibri"/>
          <w:b/>
          <w:bCs/>
          <w:rtl/>
        </w:rPr>
        <w:t xml:space="preserve"> </w:t>
      </w:r>
      <w:r w:rsidRPr="001F2586">
        <w:rPr>
          <w:rFonts w:eastAsia="Calibri" w:hint="eastAsia"/>
          <w:b/>
          <w:bCs/>
          <w:rtl/>
        </w:rPr>
        <w:t>ורבים</w:t>
      </w:r>
      <w:r w:rsidRPr="001F2586">
        <w:rPr>
          <w:rFonts w:eastAsia="Calibri"/>
          <w:b/>
          <w:bCs/>
          <w:rtl/>
        </w:rPr>
        <w:t xml:space="preserve"> </w:t>
      </w:r>
      <w:r w:rsidRPr="001F2586">
        <w:rPr>
          <w:rFonts w:eastAsia="Calibri" w:hint="eastAsia"/>
          <w:b/>
          <w:bCs/>
          <w:rtl/>
        </w:rPr>
        <w:t>מהלקוחות</w:t>
      </w:r>
      <w:r w:rsidRPr="001F2586">
        <w:rPr>
          <w:rFonts w:eastAsia="Calibri"/>
          <w:b/>
          <w:bCs/>
          <w:rtl/>
        </w:rPr>
        <w:t xml:space="preserve"> </w:t>
      </w:r>
      <w:r w:rsidRPr="001F2586">
        <w:rPr>
          <w:rFonts w:eastAsia="Calibri" w:hint="eastAsia"/>
          <w:b/>
          <w:bCs/>
          <w:rtl/>
        </w:rPr>
        <w:t>מתייחסים</w:t>
      </w:r>
      <w:r w:rsidRPr="001F2586">
        <w:rPr>
          <w:rFonts w:eastAsia="Calibri"/>
          <w:b/>
          <w:bCs/>
          <w:rtl/>
        </w:rPr>
        <w:t xml:space="preserve"> </w:t>
      </w:r>
      <w:r w:rsidRPr="001F2586">
        <w:rPr>
          <w:rFonts w:eastAsia="Calibri" w:hint="eastAsia"/>
          <w:b/>
          <w:bCs/>
          <w:rtl/>
        </w:rPr>
        <w:t>ליועץ</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w:t>
      </w:r>
      <w:r w:rsidRPr="001F2586">
        <w:rPr>
          <w:rFonts w:eastAsia="Calibri" w:hint="eastAsia"/>
          <w:b/>
          <w:bCs/>
          <w:rtl/>
        </w:rPr>
        <w:t>כבעל</w:t>
      </w:r>
      <w:r w:rsidRPr="001F2586">
        <w:rPr>
          <w:rFonts w:eastAsia="Calibri"/>
          <w:b/>
          <w:bCs/>
          <w:rtl/>
        </w:rPr>
        <w:t xml:space="preserve"> </w:t>
      </w:r>
      <w:r w:rsidRPr="001F2586">
        <w:rPr>
          <w:rFonts w:eastAsia="Calibri" w:hint="eastAsia"/>
          <w:b/>
          <w:bCs/>
          <w:rtl/>
        </w:rPr>
        <w:t>מקצוע</w:t>
      </w:r>
      <w:r w:rsidRPr="001F2586">
        <w:rPr>
          <w:rFonts w:eastAsia="Calibri"/>
          <w:b/>
          <w:bCs/>
          <w:rtl/>
        </w:rPr>
        <w:t xml:space="preserve"> </w:t>
      </w:r>
      <w:r w:rsidRPr="001F2586">
        <w:rPr>
          <w:rFonts w:eastAsia="Calibri" w:hint="eastAsia"/>
          <w:b/>
          <w:bCs/>
          <w:rtl/>
        </w:rPr>
        <w:t>אובייקטיבי</w:t>
      </w:r>
      <w:r w:rsidRPr="001F2586">
        <w:rPr>
          <w:rFonts w:eastAsia="Calibri"/>
          <w:b/>
          <w:bCs/>
          <w:rtl/>
        </w:rPr>
        <w:t xml:space="preserve"> המעניק שירות מקצועי ובלתי תלוי המתואם לצרכיהם, ולכן נוהגים על פי עצתו ונמנעים מלברר בעצמם את החלופות הקיימות, עלויותיהן והתאמתן לצורכיהם. </w:t>
      </w:r>
    </w:p>
    <w:p w:rsidR="001F2586" w:rsidRPr="001F2586" w:rsidP="001F2586">
      <w:pPr>
        <w:spacing w:line="269" w:lineRule="auto"/>
        <w:ind w:left="-567"/>
        <w:rPr>
          <w:rFonts w:eastAsia="Calibri"/>
          <w:szCs w:val="20"/>
          <w:rtl/>
        </w:rPr>
      </w:pPr>
    </w:p>
    <w:p w:rsidR="001F2586" w:rsidP="001F2586">
      <w:pPr>
        <w:spacing w:line="269" w:lineRule="auto"/>
        <w:rPr>
          <w:rFonts w:eastAsia="Calibri"/>
          <w:rtl/>
        </w:rPr>
      </w:pPr>
      <w:r w:rsidRPr="001F2586">
        <w:rPr>
          <w:rFonts w:eastAsia="Calibri" w:hint="cs"/>
          <w:b/>
          <w:bCs/>
          <w:rtl/>
        </w:rPr>
        <w:t xml:space="preserve">כמו כן, </w:t>
      </w:r>
      <w:r w:rsidRPr="001F2586">
        <w:rPr>
          <w:rFonts w:eastAsia="Calibri" w:hint="eastAsia"/>
          <w:b/>
          <w:bCs/>
          <w:rtl/>
        </w:rPr>
        <w:t>במידה</w:t>
      </w:r>
      <w:r w:rsidRPr="001F2586">
        <w:rPr>
          <w:rFonts w:eastAsia="Calibri"/>
          <w:b/>
          <w:bCs/>
          <w:rtl/>
        </w:rPr>
        <w:t xml:space="preserve"> </w:t>
      </w:r>
      <w:r w:rsidRPr="001F2586">
        <w:rPr>
          <w:rFonts w:eastAsia="Calibri" w:hint="eastAsia"/>
          <w:b/>
          <w:bCs/>
          <w:rtl/>
        </w:rPr>
        <w:t>והייתה</w:t>
      </w:r>
      <w:r w:rsidRPr="001F2586">
        <w:rPr>
          <w:rFonts w:eastAsia="Calibri"/>
          <w:b/>
          <w:bCs/>
          <w:rtl/>
        </w:rPr>
        <w:t xml:space="preserve"> </w:t>
      </w:r>
      <w:r w:rsidRPr="001F2586">
        <w:rPr>
          <w:rFonts w:eastAsia="Calibri" w:hint="eastAsia"/>
          <w:b/>
          <w:bCs/>
          <w:rtl/>
        </w:rPr>
        <w:t>קיימת</w:t>
      </w:r>
      <w:r w:rsidRPr="001F2586">
        <w:rPr>
          <w:rFonts w:eastAsia="Calibri"/>
          <w:b/>
          <w:bCs/>
          <w:rtl/>
        </w:rPr>
        <w:t xml:space="preserve"> </w:t>
      </w:r>
      <w:r w:rsidRPr="001F2586">
        <w:rPr>
          <w:rFonts w:eastAsia="Calibri" w:hint="eastAsia"/>
          <w:b/>
          <w:bCs/>
          <w:rtl/>
        </w:rPr>
        <w:t>אסדרה</w:t>
      </w:r>
      <w:r w:rsidRPr="001F2586">
        <w:rPr>
          <w:rFonts w:eastAsia="Calibri"/>
          <w:b/>
          <w:bCs/>
          <w:rtl/>
        </w:rPr>
        <w:t xml:space="preserve"> </w:t>
      </w:r>
      <w:r w:rsidRPr="001F2586">
        <w:rPr>
          <w:rFonts w:eastAsia="Calibri" w:hint="eastAsia"/>
          <w:b/>
          <w:bCs/>
          <w:rtl/>
        </w:rPr>
        <w:t>לפיה</w:t>
      </w:r>
      <w:r w:rsidRPr="001F2586">
        <w:rPr>
          <w:rFonts w:eastAsia="Calibri"/>
          <w:b/>
          <w:bCs/>
          <w:rtl/>
        </w:rPr>
        <w:t xml:space="preserve"> </w:t>
      </w:r>
      <w:r w:rsidRPr="001F2586">
        <w:rPr>
          <w:rFonts w:eastAsia="Calibri" w:hint="eastAsia"/>
          <w:b/>
          <w:bCs/>
          <w:rtl/>
        </w:rPr>
        <w:t>י</w:t>
      </w:r>
      <w:r w:rsidRPr="001F2586">
        <w:rPr>
          <w:rFonts w:eastAsia="Calibri"/>
          <w:b/>
          <w:bCs/>
          <w:rtl/>
        </w:rPr>
        <w:t xml:space="preserve">ועץ </w:t>
      </w:r>
      <w:r w:rsidRPr="001F2586">
        <w:rPr>
          <w:rFonts w:eastAsia="Calibri" w:hint="eastAsia"/>
          <w:b/>
          <w:bCs/>
          <w:rtl/>
        </w:rPr>
        <w:t>משכנתאות</w:t>
      </w:r>
      <w:r w:rsidRPr="001F2586">
        <w:rPr>
          <w:rFonts w:eastAsia="Calibri"/>
          <w:b/>
          <w:bCs/>
          <w:rtl/>
        </w:rPr>
        <w:t xml:space="preserve"> יכול לפעול </w:t>
      </w:r>
      <w:r w:rsidRPr="001F2586">
        <w:rPr>
          <w:rFonts w:eastAsia="Calibri" w:hint="eastAsia"/>
          <w:b/>
          <w:bCs/>
          <w:rtl/>
        </w:rPr>
        <w:t>רק</w:t>
      </w:r>
      <w:r w:rsidRPr="001F2586">
        <w:rPr>
          <w:rFonts w:eastAsia="Calibri"/>
          <w:b/>
          <w:bCs/>
          <w:rtl/>
        </w:rPr>
        <w:t xml:space="preserve"> במסגרת של </w:t>
      </w:r>
      <w:r w:rsidRPr="001F2586">
        <w:rPr>
          <w:rFonts w:eastAsia="Calibri" w:hint="eastAsia"/>
          <w:b/>
          <w:bCs/>
          <w:rtl/>
        </w:rPr>
        <w:t>תשלום</w:t>
      </w:r>
      <w:r w:rsidRPr="001F2586">
        <w:rPr>
          <w:rFonts w:eastAsia="Calibri"/>
          <w:b/>
          <w:bCs/>
          <w:rtl/>
        </w:rPr>
        <w:t xml:space="preserve"> ישיר מלקוח בגין טיפול באלמנטים נוספים כגון הפנייה לגופים מוסדיים על מנת לבצע ביטוח חיים או ביטוח משכנתא, הדבר היה מבטיח אי תלות או קשר לתמריצים מהמוסדות הפיננסיים. במצב כזה, היועץ לא מקבל אחוזים מהמוצרים שהוא ממליץ עליהם, אלא רק שכר ישיר על ייעוץ, מה שמבטיח שההמלצות שלו יהיו נטולות אינטרסים חיצוניים</w:t>
      </w:r>
      <w:r w:rsidRPr="001F2586">
        <w:rPr>
          <w:rFonts w:eastAsia="Calibri"/>
          <w:b/>
          <w:bCs/>
        </w:rPr>
        <w:t>.</w:t>
      </w:r>
      <w:r w:rsidRPr="001F2586">
        <w:rPr>
          <w:rFonts w:eastAsia="Calibri"/>
          <w:b/>
          <w:bCs/>
          <w:rtl/>
        </w:rPr>
        <w:t xml:space="preserve"> </w:t>
      </w:r>
      <w:r w:rsidRPr="001F2586">
        <w:rPr>
          <w:rFonts w:ascii="David" w:eastAsia="Calibri" w:hAnsi="David" w:hint="eastAsia"/>
          <w:b/>
          <w:bCs/>
          <w:sz w:val="24"/>
          <w:rtl/>
        </w:rPr>
        <w:t>קבלת</w:t>
      </w:r>
      <w:r w:rsidRPr="001F2586">
        <w:rPr>
          <w:rFonts w:ascii="David" w:eastAsia="Calibri" w:hAnsi="David"/>
          <w:b/>
          <w:bCs/>
          <w:sz w:val="24"/>
          <w:rtl/>
        </w:rPr>
        <w:t xml:space="preserve"> תמורה מצדדים שלישיים שאינם הלקוח, עלולה להעמיד את יועץ המשכנתאות במצב של ניגוד עניינים בין אינטרס הלקוח לבין האינטרס של יועץ המשכנתאות בנוגע לתמורה שיקבל מביצוע פעולה כלשהי עבור הלקוח. </w:t>
      </w:r>
    </w:p>
    <w:p w:rsidR="00341979" w:rsidRPr="00897D34" w:rsidP="0070405E">
      <w:pPr>
        <w:pStyle w:val="a"/>
        <w:spacing w:before="240" w:line="269" w:lineRule="auto"/>
        <w:ind w:left="0"/>
        <w:rPr>
          <w:b/>
          <w:bCs/>
          <w:sz w:val="24"/>
          <w:szCs w:val="24"/>
          <w:rtl/>
        </w:rPr>
      </w:pPr>
      <w:r w:rsidRPr="00897D34">
        <w:rPr>
          <w:b/>
          <w:bCs/>
          <w:sz w:val="24"/>
          <w:szCs w:val="24"/>
          <w:rtl/>
        </w:rPr>
        <w:t>מומלץ לממונה על רשות שוק ההון לבחון את אופן מודל תגמול יועצי המשכנתאות על ידי הגופים החוץ בנקאיים ובכלל זה את הצורך באסדרה הדומה לאסדרה שבנק ישראל החיל על התאגידים הבנקאיים.</w:t>
      </w:r>
    </w:p>
    <w:p w:rsidR="001F2586" w:rsidRPr="001F2586" w:rsidP="001F2586">
      <w:pPr>
        <w:spacing w:line="269" w:lineRule="auto"/>
        <w:ind w:left="-567"/>
        <w:rPr>
          <w:rFonts w:eastAsia="Calibri"/>
          <w:szCs w:val="20"/>
          <w:rtl/>
        </w:rPr>
      </w:pPr>
    </w:p>
    <w:p w:rsidR="001F2586" w:rsidRPr="001F2586" w:rsidP="001F2586">
      <w:pPr>
        <w:keepNext/>
        <w:keepLines/>
        <w:spacing w:line="269" w:lineRule="auto"/>
        <w:outlineLvl w:val="3"/>
        <w:rPr>
          <w:rFonts w:eastAsia="Times New Roman"/>
          <w:bCs/>
          <w:szCs w:val="26"/>
          <w:rtl/>
        </w:rPr>
      </w:pPr>
      <w:r w:rsidRPr="001F2586">
        <w:rPr>
          <w:rFonts w:eastAsia="Times New Roman" w:hint="cs"/>
          <w:bCs/>
          <w:szCs w:val="26"/>
          <w:rtl/>
        </w:rPr>
        <w:t xml:space="preserve">תלונות שהתקבלו על יועצי משכנתאות והיעדר דין החל עליהם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כיום</w:t>
      </w:r>
      <w:r w:rsidRPr="001F2586">
        <w:rPr>
          <w:rFonts w:eastAsia="Calibri"/>
          <w:b/>
          <w:bCs/>
          <w:rtl/>
        </w:rPr>
        <w:t>, בה</w:t>
      </w:r>
      <w:r w:rsidRPr="001F2586">
        <w:rPr>
          <w:rFonts w:eastAsia="Calibri" w:hint="cs"/>
          <w:b/>
          <w:bCs/>
          <w:rtl/>
        </w:rPr>
        <w:t>י</w:t>
      </w:r>
      <w:r w:rsidRPr="001F2586">
        <w:rPr>
          <w:rFonts w:eastAsia="Calibri"/>
          <w:b/>
          <w:bCs/>
          <w:rtl/>
        </w:rPr>
        <w:t>עדר רגולטור המפקח על יועצי משכנתאות, תלונות בדבר יועצי משכנתאות אינן מוגשות לגורם פיקוחי כלשהוא. בהיעדר גורם פיקוחי תלונות בדבר יועצי משכנתאות במקרים רבים לא מוגשות לגורם אכיפתי כלשהוא וכך למעשה לא מטופלות על ידי אף גורם</w:t>
      </w:r>
      <w:r w:rsidRPr="001F2586">
        <w:rPr>
          <w:rFonts w:eastAsia="Calibri" w:hint="cs"/>
          <w:b/>
          <w:bCs/>
          <w:rtl/>
        </w:rPr>
        <w:t xml:space="preserve"> ואין למעשה כתובת להגשת התלונות</w:t>
      </w:r>
      <w:r w:rsidRPr="001F2586">
        <w:rPr>
          <w:rFonts w:eastAsia="Calibri"/>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היחידה לפניות הציבור ולבקרה צרכנית בפיקוח על הבנקים (להלן - היחידה) אמורה </w:t>
      </w:r>
      <w:r w:rsidRPr="001F2586">
        <w:rPr>
          <w:rFonts w:eastAsia="Calibri"/>
          <w:rtl/>
        </w:rPr>
        <w:t>לקדם עקרונות צרכניים שנועדו להבטיח הוגנות במערכת היחסים שבין התאגיד הבנקאי ובין הלקוח ושירות בנקאי הולם.</w:t>
      </w:r>
      <w:r w:rsidRPr="001F2586">
        <w:rPr>
          <w:rFonts w:eastAsia="Calibri" w:hint="cs"/>
          <w:rtl/>
        </w:rPr>
        <w:t xml:space="preserve"> </w:t>
      </w:r>
      <w:r w:rsidRPr="001F2586">
        <w:rPr>
          <w:rFonts w:eastAsia="Calibri"/>
          <w:rtl/>
        </w:rPr>
        <w:t xml:space="preserve">היחידה </w:t>
      </w:r>
      <w:r w:rsidRPr="001F2586">
        <w:rPr>
          <w:rFonts w:eastAsia="Calibri" w:hint="cs"/>
          <w:rtl/>
        </w:rPr>
        <w:t>אמורה לתת</w:t>
      </w:r>
      <w:r w:rsidRPr="001F2586">
        <w:rPr>
          <w:rFonts w:eastAsia="Calibri"/>
          <w:rtl/>
        </w:rPr>
        <w:t xml:space="preserve"> מענה </w:t>
      </w:r>
      <w:r w:rsidRPr="001F2586">
        <w:rPr>
          <w:rFonts w:eastAsia="Calibri" w:hint="cs"/>
          <w:rtl/>
        </w:rPr>
        <w:t>לאדם ה</w:t>
      </w:r>
      <w:r w:rsidRPr="001F2586">
        <w:rPr>
          <w:rFonts w:eastAsia="Calibri"/>
          <w:rtl/>
        </w:rPr>
        <w:t xml:space="preserve">פונה לבנק ישראל בבקשה למידע או להגשת תלונה על בנק או חברת כרטיסי אשראי. </w:t>
      </w:r>
      <w:r w:rsidRPr="001F2586">
        <w:rPr>
          <w:rFonts w:eastAsia="Calibri" w:hint="cs"/>
          <w:rtl/>
        </w:rPr>
        <w:t>משרד מבקר המדינה פנה ליחידה על מנת לקבל את התלונות שהתקבלו על יועצי משכנתאות במסגרת פניות הציבור לבנק. בנק ישראל השיב כי אין בידיו תלונות שהתקבלו על יועצי משכנתאות שכן הוא אינו הגורם שאחראי על פיקוח יועצי משכנתאות.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הרשות לסחר הוגן היא גוף מאסדר בעל סמכויות מינהליות ופליליות, ותפקידה לאכוף את הוראות החקיקה הצרכנית. ניתן להגיש פנייה במקרה של פגיעה בזכויות הצרכניות כגון: הטעיה, הטעיה בפרסום, ניצול מצוקה והשפעה בלתי הוגנת וכיוצא בזאת. משרד מבקר המדינה פנה לרשות על מנת לקבל את כמות התלונות שהתקבלו על יועצי משכנתאות שטופלו על ידה. </w:t>
      </w:r>
      <w:r w:rsidRPr="001F2586">
        <w:rPr>
          <w:rFonts w:eastAsia="Calibri"/>
          <w:rtl/>
        </w:rPr>
        <w:t xml:space="preserve">החל משנת 2020 </w:t>
      </w:r>
      <w:r w:rsidRPr="001F2586">
        <w:rPr>
          <w:rFonts w:eastAsia="Calibri" w:hint="cs"/>
          <w:rtl/>
        </w:rPr>
        <w:t>ועד נכון למועד סיום הביקורת</w:t>
      </w:r>
      <w:r w:rsidRPr="001F2586">
        <w:rPr>
          <w:rFonts w:eastAsia="Calibri"/>
          <w:rtl/>
        </w:rPr>
        <w:t xml:space="preserve"> התקבלו ברשות להגנת הצרכן ולסחר הוגן 578 פניות הכוללות התייחסות לייעוץ</w:t>
      </w:r>
      <w:r w:rsidRPr="001F2586">
        <w:rPr>
          <w:rFonts w:eastAsia="Calibri" w:hint="cs"/>
          <w:rtl/>
        </w:rPr>
        <w:t xml:space="preserve"> </w:t>
      </w:r>
      <w:r w:rsidRPr="001F2586">
        <w:rPr>
          <w:rFonts w:eastAsia="Calibri"/>
          <w:rtl/>
        </w:rPr>
        <w:t>משכנתאות, בפילוח שלהל</w:t>
      </w:r>
      <w:r w:rsidRPr="001F2586">
        <w:rPr>
          <w:rFonts w:eastAsia="Calibri" w:hint="cs"/>
          <w:rtl/>
        </w:rPr>
        <w:t xml:space="preserve">ן: </w:t>
      </w:r>
      <w:r w:rsidRPr="001F2586">
        <w:rPr>
          <w:rFonts w:eastAsia="Calibri"/>
          <w:rtl/>
        </w:rPr>
        <w:t xml:space="preserve">508 פניות אינן פניות המתייחסות לייעוץ משכנתאות במהותן, אלא למאגר </w:t>
      </w:r>
      <w:r w:rsidRPr="001F2586">
        <w:rPr>
          <w:rFonts w:eastAsia="Calibri" w:hint="cs"/>
          <w:rtl/>
        </w:rPr>
        <w:t>"</w:t>
      </w:r>
      <w:r w:rsidRPr="001F2586">
        <w:rPr>
          <w:rFonts w:eastAsia="Calibri"/>
          <w:rtl/>
        </w:rPr>
        <w:t>אל תתקשר אלי</w:t>
      </w:r>
      <w:r w:rsidRPr="001F2586">
        <w:rPr>
          <w:rFonts w:eastAsia="Calibri" w:hint="cs"/>
          <w:rtl/>
        </w:rPr>
        <w:t>"</w:t>
      </w:r>
      <w:r w:rsidRPr="001F2586">
        <w:rPr>
          <w:rFonts w:eastAsia="Calibri"/>
          <w:rtl/>
        </w:rPr>
        <w:t>,</w:t>
      </w:r>
      <w:r w:rsidRPr="001F2586">
        <w:rPr>
          <w:rFonts w:eastAsia="Calibri" w:hint="cs"/>
          <w:rtl/>
        </w:rPr>
        <w:t xml:space="preserve"> </w:t>
      </w:r>
      <w:r w:rsidRPr="001F2586">
        <w:rPr>
          <w:rFonts w:eastAsia="Calibri"/>
          <w:rtl/>
        </w:rPr>
        <w:t>כלומר שיחות שהגיעו לצרכנים שלא היו מעוניינים בשיחות שיווק</w:t>
      </w:r>
      <w:r w:rsidRPr="001F2586">
        <w:rPr>
          <w:rFonts w:eastAsia="Calibri" w:hint="cs"/>
          <w:rtl/>
        </w:rPr>
        <w:t xml:space="preserve">. 70 </w:t>
      </w:r>
      <w:r w:rsidRPr="001F2586">
        <w:rPr>
          <w:rFonts w:eastAsia="Calibri"/>
          <w:rtl/>
        </w:rPr>
        <w:t>פניות התייחסו לייעוץ משכנתאות במהותן, מתוכן - 25 נסגרו כיוון שלא נתגלתה בפניה הפרה</w:t>
      </w:r>
      <w:r w:rsidRPr="001F2586">
        <w:rPr>
          <w:rFonts w:eastAsia="Calibri" w:hint="cs"/>
          <w:rtl/>
        </w:rPr>
        <w:t xml:space="preserve"> </w:t>
      </w:r>
      <w:r w:rsidRPr="001F2586">
        <w:rPr>
          <w:rFonts w:eastAsia="Calibri"/>
          <w:rtl/>
        </w:rPr>
        <w:t>של הוראות החוק; 6 פניות עדיין לא טופלו; 39 פניות כללו הפרות לכאורה והועברו לטיפול אגף</w:t>
      </w:r>
      <w:r w:rsidRPr="001F2586">
        <w:rPr>
          <w:rFonts w:eastAsia="Calibri" w:hint="cs"/>
          <w:rtl/>
        </w:rPr>
        <w:t xml:space="preserve"> </w:t>
      </w:r>
      <w:r w:rsidRPr="001F2586">
        <w:rPr>
          <w:rFonts w:eastAsia="Calibri"/>
          <w:rtl/>
        </w:rPr>
        <w:t>חקירות ומודיעין ברשות. מתוך 39 פניות אלו, בגין 11 פניות נפתחה חקירה סמויה כנגד חברה</w:t>
      </w:r>
      <w:r w:rsidRPr="001F2586">
        <w:rPr>
          <w:rFonts w:eastAsia="Calibri" w:hint="cs"/>
          <w:rtl/>
        </w:rPr>
        <w:t xml:space="preserve"> </w:t>
      </w:r>
      <w:r w:rsidRPr="001F2586">
        <w:rPr>
          <w:rFonts w:eastAsia="Calibri"/>
          <w:rtl/>
        </w:rPr>
        <w:t>העוסקת ביעוץ משכנתאות.</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משרד מבקר המדינה פנה להתאחדות יועצי המשכנתאות וביקש לקבל מספר דוגמאות למקרים ותלונות שהתקבלו וטופלו על ידי ועדת האתיקה בהתאחדות יועצי המשכנתאות. להלן מספר דוגמאות:</w:t>
      </w:r>
    </w:p>
    <w:p w:rsidR="001F2586" w:rsidRPr="001F2586" w:rsidP="001F2586">
      <w:pPr>
        <w:spacing w:line="269" w:lineRule="auto"/>
        <w:ind w:left="-567"/>
        <w:rPr>
          <w:rFonts w:eastAsia="Calibri"/>
          <w:szCs w:val="20"/>
          <w:rtl/>
        </w:rPr>
      </w:pPr>
    </w:p>
    <w:p w:rsidR="001F2586" w:rsidRPr="001F2586" w:rsidP="001F2586">
      <w:pPr>
        <w:numPr>
          <w:ilvl w:val="0"/>
          <w:numId w:val="25"/>
        </w:numPr>
        <w:spacing w:line="269" w:lineRule="auto"/>
        <w:ind w:left="312" w:hanging="357"/>
        <w:contextualSpacing/>
        <w:rPr>
          <w:rFonts w:eastAsia="Calibri"/>
        </w:rPr>
      </w:pPr>
      <w:r w:rsidRPr="001F2586">
        <w:rPr>
          <w:rFonts w:eastAsia="Times New Roman" w:hint="cs"/>
          <w:bCs/>
          <w:spacing w:val="40"/>
          <w:rtl/>
        </w:rPr>
        <w:t>דרישה לתשלום שכר טרחה למרות שההלוואה לא נלקחה בפועל:</w:t>
      </w:r>
      <w:r w:rsidRPr="001F2586">
        <w:rPr>
          <w:rFonts w:eastAsia="Calibri" w:hint="cs"/>
          <w:rtl/>
        </w:rPr>
        <w:t xml:space="preserve"> חברה א' שהוקמה על ידי יועץ משכנתאות הועמדה לדין משמעתי בגין שורה של פעולות לא מקצועיות, לא אתיות, לא שקופות תוך הפרת חיובי אמון כלפי לקוחות. החברה הציעה ללקוחות אופציה אחת של נטילת משכנתא מגוף פיננסי חוץ בנקאי. תנאי המשכנתא היו רעים (ריביות גבוהות ותנאים נוספים) והחברה לא בדקה כלל אופציה לנטילת הלוואה בבנק בריביות נמוכות יותר. החברה לא הבהירה ללקוחות את מהות העסקה ותנאיה והלקוחות הבינו את עיקרי התנאים רק כאשר הגיעו לחתימה במשרדי הגוף הפיננסי החוץ בנקאי. לבסוף פנו הלקוחות בעצמם למוסד בנקאי וקיבלו הלוואה בתנאים נוחים יותר מאלו שהוצעו על ידי הגוף החוץ בנקאי. למרות זאת דרשה החברה מהלקוחות שכר טרחה מבוסס אחוזים ובהתאם להצעה הראשונית מהגוף הפיננסי, ולא לפי העסקה שנחתמה בפועל מול הבנק. </w:t>
      </w:r>
    </w:p>
    <w:p w:rsidR="001F2586" w:rsidRPr="001F2586" w:rsidP="001F2586">
      <w:pPr>
        <w:spacing w:line="269" w:lineRule="auto"/>
        <w:ind w:left="-567"/>
        <w:rPr>
          <w:rFonts w:eastAsia="Calibri"/>
          <w:szCs w:val="20"/>
          <w:rtl/>
        </w:rPr>
      </w:pPr>
    </w:p>
    <w:p w:rsidR="001F2586" w:rsidRPr="001F2586" w:rsidP="001F2586">
      <w:pPr>
        <w:numPr>
          <w:ilvl w:val="0"/>
          <w:numId w:val="25"/>
        </w:numPr>
        <w:spacing w:line="269" w:lineRule="auto"/>
        <w:contextualSpacing/>
        <w:rPr>
          <w:rFonts w:eastAsia="Calibri"/>
        </w:rPr>
      </w:pPr>
      <w:r w:rsidRPr="001F2586">
        <w:rPr>
          <w:rFonts w:eastAsia="Times New Roman" w:hint="cs"/>
          <w:bCs/>
          <w:spacing w:val="40"/>
          <w:rtl/>
        </w:rPr>
        <w:t>מחזור משכנתא לא כדאי:</w:t>
      </w:r>
      <w:r w:rsidRPr="001F2586">
        <w:rPr>
          <w:rFonts w:eastAsia="Calibri" w:hint="cs"/>
          <w:rtl/>
        </w:rPr>
        <w:t xml:space="preserve"> לקוח התקשר עם חברה ב' לצורך בדיקת הצעת מחזור משכנתא. ועדת האתיקה בחנה את הסכם שירות הייעוץ הפיננסי שניתן על ידי החברה וכן את דוח היתרה לסילוק משכנתא. לאחר שהועדה בחנה את הנתונים שהוצגו היא מצאה כי נפלו פגמים רבים בהצעת מחזור המשכנתא כגון: הנתונים בהצעה חושבו ללא שינויים צפויים בריבית או באינפלציה, ואילו מועדי התשלומים הצפויים במשכנתא הנוכחית חושבו על בסיס שינויים עתידיים באותם משתנים. עוד עלה כי לא ניתנה התייחסות לנתונים הכלכליים שעליהם התבססה החברה בעת שחישבה את התשלומים הצפויים במשכנתא הנוכחית. עוד נמצא כי התחזיות שבהן השתמשה חברה ב' גבוהות בצורה משמעותית מהנוהג המחייב שקבע בנק ישראל לעניין בדיקות אלו ובהתבסס על תחזית בנק ישראל לא כדאי כלל לבצע מחזור משכנתא. כשלים אלו פגעו בשירות שניתן ללקוח בצורה משמעותית עד כדי המלצה שגויה שחרגה מהסטנדרט המקובל. </w:t>
      </w:r>
    </w:p>
    <w:p w:rsidR="001F2586" w:rsidRPr="001F2586" w:rsidP="001F2586">
      <w:pPr>
        <w:spacing w:line="269" w:lineRule="auto"/>
        <w:ind w:left="-567"/>
        <w:rPr>
          <w:rFonts w:eastAsia="Calibri"/>
          <w:szCs w:val="20"/>
          <w:rtl/>
        </w:rPr>
      </w:pPr>
    </w:p>
    <w:p w:rsidR="001F2586" w:rsidRPr="001F2586" w:rsidP="001F2586">
      <w:pPr>
        <w:numPr>
          <w:ilvl w:val="0"/>
          <w:numId w:val="25"/>
        </w:numPr>
        <w:spacing w:line="269" w:lineRule="auto"/>
        <w:contextualSpacing/>
        <w:rPr>
          <w:rFonts w:eastAsia="Calibri"/>
        </w:rPr>
      </w:pPr>
      <w:r w:rsidRPr="001F2586">
        <w:rPr>
          <w:rFonts w:eastAsia="Times New Roman" w:hint="cs"/>
          <w:bCs/>
          <w:spacing w:val="40"/>
          <w:rtl/>
        </w:rPr>
        <w:t>גביית שכר טרחה מופרז:</w:t>
      </w:r>
      <w:r w:rsidRPr="001F2586">
        <w:rPr>
          <w:rFonts w:eastAsia="Calibri" w:hint="cs"/>
          <w:rtl/>
        </w:rPr>
        <w:t xml:space="preserve"> חברה גבתה שכר טרחה המהווה 10%</w:t>
      </w:r>
      <w:r w:rsidRPr="001F2586">
        <w:rPr>
          <w:rFonts w:eastAsia="Calibri" w:hint="cs"/>
        </w:rPr>
        <w:t xml:space="preserve"> </w:t>
      </w:r>
      <w:r w:rsidRPr="001F2586">
        <w:rPr>
          <w:rFonts w:eastAsia="Calibri" w:hint="cs"/>
          <w:rtl/>
        </w:rPr>
        <w:t xml:space="preserve">מגובה המשכנתא בתוספת מע"מ, שכר טרחה החורג באופן קיצוני מהמוכר והמקובל בענף המשכנתאות. </w:t>
      </w:r>
    </w:p>
    <w:p w:rsidR="001F2586" w:rsidRPr="001F2586" w:rsidP="001F2586">
      <w:pPr>
        <w:spacing w:line="269" w:lineRule="auto"/>
        <w:ind w:left="-567"/>
        <w:rPr>
          <w:rFonts w:eastAsia="Calibri"/>
          <w:szCs w:val="20"/>
          <w:rtl/>
        </w:rPr>
      </w:pPr>
    </w:p>
    <w:p w:rsidR="001F2586" w:rsidRPr="001F2586" w:rsidP="001F2586">
      <w:pPr>
        <w:numPr>
          <w:ilvl w:val="0"/>
          <w:numId w:val="25"/>
        </w:numPr>
        <w:spacing w:line="269" w:lineRule="auto"/>
        <w:contextualSpacing/>
        <w:rPr>
          <w:rFonts w:eastAsia="Calibri"/>
          <w:rtl/>
        </w:rPr>
      </w:pPr>
      <w:r w:rsidRPr="001F2586">
        <w:rPr>
          <w:rFonts w:eastAsia="Times New Roman" w:hint="cs"/>
          <w:bCs/>
          <w:spacing w:val="40"/>
          <w:rtl/>
        </w:rPr>
        <w:t>הפעלת לחץ שיווקי בלתי סביר ובלתי הוגן תוך התחזות והטעייה של לקוחות:</w:t>
      </w:r>
      <w:r w:rsidRPr="001F2586">
        <w:rPr>
          <w:rFonts w:eastAsia="Calibri" w:hint="cs"/>
          <w:b/>
          <w:bCs/>
          <w:rtl/>
        </w:rPr>
        <w:t xml:space="preserve"> </w:t>
      </w:r>
      <w:r w:rsidRPr="001F2586">
        <w:rPr>
          <w:rFonts w:eastAsia="Calibri" w:hint="cs"/>
          <w:rtl/>
        </w:rPr>
        <w:t xml:space="preserve">נציגים של חברת משכנתאות התחזו לנציגי חברה אחרת על מנת להציע הצעה למחזור משכנתא שניטלה. הנציגים פנו מספר רב של פעמים עד שהלקוחות הסכימו להיפגש על מנת לשמוע את הצעתם. הנציגים ציינו כי יש לקבל את ההצעה באופן מידי או שהיא תתבטל. הלקוחות הואצו לחתום על הסכם שירות, ללא כל הסבר על טיב השירות וההסכם עצמו. נמצא כי מחזור המשכנתא לא היה כדאי ושכר הטרחה ששולם חורג מן המקובל.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 xml:space="preserve">בפגישות שערך צוות הביקורת עם מספר בנקים ביולי 2025 נמסר על ידי גורמי מפתח בבנקים כי היו מספר מקרים בהם התגלו זיופים ותרמיות על ידי יועצי משכנתאות. הבנק העביר את פרטי המקרים למשטרה אך זאת סגרה את התיק בשל חוסר עניין לציבור.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Pr>
      </w:pPr>
      <w:r w:rsidRPr="001F2586">
        <w:rPr>
          <w:rFonts w:eastAsia="Calibri"/>
          <w:b/>
          <w:bCs/>
          <w:rtl/>
        </w:rPr>
        <w:t xml:space="preserve">הסדרת תחום ייעוץ המשכנתאות הכרחית להגנת </w:t>
      </w:r>
      <w:r w:rsidRPr="001F2586">
        <w:rPr>
          <w:rFonts w:eastAsia="Calibri"/>
          <w:b/>
          <w:bCs/>
          <w:rtl/>
        </w:rPr>
        <w:t>רוכשי</w:t>
      </w:r>
      <w:r w:rsidRPr="001F2586">
        <w:rPr>
          <w:rFonts w:eastAsia="Calibri"/>
          <w:b/>
          <w:bCs/>
          <w:rtl/>
        </w:rPr>
        <w:t xml:space="preserve"> הדירות. החלת רגולציה אחידה, הכוללת רישוי על בסיס הכשרה וסטנדרטים אתיים, תבטיח שירות מקצועי ומהימן. ללא מנגנוני אכיפה וסנקציות מרתיעות (כגון קנסות ושלילת רישיון), הציבור יוסיף להיות חשוף לתרמיות ולנזקים פיננסיים חוזרים</w:t>
      </w:r>
      <w:r w:rsidRPr="001F2586">
        <w:rPr>
          <w:rFonts w:eastAsia="Calibri"/>
          <w:b/>
          <w:bCs/>
        </w:rPr>
        <w:t>.</w:t>
      </w:r>
    </w:p>
    <w:p w:rsidR="00260379" w:rsidP="001F2586">
      <w:pPr>
        <w:spacing w:line="269" w:lineRule="auto"/>
        <w:ind w:hanging="568"/>
        <w:rPr>
          <w:rFonts w:eastAsia="Calibri"/>
          <w:rtl/>
        </w:rPr>
      </w:pPr>
    </w:p>
    <w:p w:rsidR="001F2586" w:rsidRPr="001F2586" w:rsidP="001F2586">
      <w:pPr>
        <w:spacing w:line="269" w:lineRule="auto"/>
        <w:rPr>
          <w:rFonts w:eastAsia="Calibri"/>
        </w:rPr>
      </w:pPr>
      <w:r w:rsidRPr="001F2586">
        <w:rPr>
          <w:rFonts w:eastAsia="Calibri"/>
          <w:b/>
          <w:bCs/>
          <w:rtl/>
        </w:rPr>
        <w:t>היעדר פיקוח ממשלתי מחייב מותיר את תחום ייעוץ המשכנתאות ללא רגולציה אחידה. התאחדות היועצים, כגוף וולונטרי, אינה מבטיחה הגנה לכלל הלקוחות, החשופים לכשלים חמורים כגון גביית יתר, ייעוץ רשלני והטעיות שיווקיות</w:t>
      </w:r>
      <w:r w:rsidRPr="001F2586">
        <w:rPr>
          <w:rFonts w:eastAsia="Calibri"/>
          <w:b/>
          <w:bCs/>
        </w:rPr>
        <w:t>.</w:t>
      </w:r>
    </w:p>
    <w:p w:rsidR="001F2586" w:rsidRPr="001F2586" w:rsidP="001F2586">
      <w:pPr>
        <w:spacing w:line="269" w:lineRule="auto"/>
        <w:rPr>
          <w:rFonts w:eastAsia="Calibri"/>
          <w:rtl/>
        </w:rPr>
      </w:pPr>
    </w:p>
    <w:p w:rsidR="001F2586" w:rsidRPr="001F2586" w:rsidP="001F2586">
      <w:pPr>
        <w:spacing w:line="269" w:lineRule="auto"/>
        <w:jc w:val="center"/>
        <w:rPr>
          <w:rFonts w:ascii="Arial" w:eastAsia="Calibri" w:hAnsi="Arial" w:cs="Arial"/>
          <w:sz w:val="36"/>
          <w:rtl/>
        </w:rPr>
      </w:pPr>
      <w:r w:rsidRPr="001F2586">
        <w:rPr>
          <w:rFonts w:ascii="Segoe UI Symbol" w:eastAsia="Calibri" w:hAnsi="Segoe UI Symbol" w:cs="Segoe UI Symbol" w:hint="cs"/>
          <w:sz w:val="36"/>
          <w:rtl/>
        </w:rPr>
        <w:t>✰</w:t>
      </w:r>
    </w:p>
    <w:p w:rsidR="001F2586" w:rsidRPr="001F2586" w:rsidP="001F2586">
      <w:pPr>
        <w:spacing w:line="269" w:lineRule="auto"/>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החלטה</w:t>
      </w:r>
      <w:r w:rsidRPr="001F2586">
        <w:rPr>
          <w:rFonts w:eastAsia="Calibri"/>
          <w:b/>
          <w:bCs/>
          <w:rtl/>
        </w:rPr>
        <w:t xml:space="preserve"> </w:t>
      </w:r>
      <w:r w:rsidRPr="001F2586">
        <w:rPr>
          <w:rFonts w:eastAsia="Calibri" w:hint="eastAsia"/>
          <w:b/>
          <w:bCs/>
          <w:rtl/>
        </w:rPr>
        <w:t>בדבר</w:t>
      </w:r>
      <w:r w:rsidRPr="001F2586">
        <w:rPr>
          <w:rFonts w:eastAsia="Calibri"/>
          <w:b/>
          <w:bCs/>
          <w:rtl/>
        </w:rPr>
        <w:t xml:space="preserve"> </w:t>
      </w:r>
      <w:r w:rsidRPr="001F2586">
        <w:rPr>
          <w:rFonts w:eastAsia="Calibri" w:hint="eastAsia"/>
          <w:b/>
          <w:bCs/>
          <w:rtl/>
        </w:rPr>
        <w:t>נטילת</w:t>
      </w:r>
      <w:r w:rsidRPr="001F2586">
        <w:rPr>
          <w:rFonts w:eastAsia="Calibri"/>
          <w:b/>
          <w:bCs/>
          <w:rtl/>
        </w:rPr>
        <w:t xml:space="preserve"> </w:t>
      </w:r>
      <w:r w:rsidRPr="001F2586">
        <w:rPr>
          <w:rFonts w:eastAsia="Calibri" w:hint="eastAsia"/>
          <w:b/>
          <w:bCs/>
          <w:rtl/>
        </w:rPr>
        <w:t>משכנתא</w:t>
      </w:r>
      <w:r w:rsidRPr="001F2586">
        <w:rPr>
          <w:rFonts w:eastAsia="Calibri"/>
          <w:b/>
          <w:bCs/>
          <w:rtl/>
        </w:rPr>
        <w:t xml:space="preserve"> </w:t>
      </w:r>
      <w:r w:rsidRPr="001F2586">
        <w:rPr>
          <w:rFonts w:eastAsia="Calibri" w:hint="eastAsia"/>
          <w:b/>
          <w:bCs/>
          <w:rtl/>
        </w:rPr>
        <w:t>ותנאיה</w:t>
      </w:r>
      <w:r w:rsidRPr="001F2586">
        <w:rPr>
          <w:rFonts w:eastAsia="Calibri"/>
          <w:b/>
          <w:bCs/>
          <w:rtl/>
        </w:rPr>
        <w:t xml:space="preserve"> </w:t>
      </w:r>
      <w:r w:rsidRPr="001F2586">
        <w:rPr>
          <w:rFonts w:eastAsia="Calibri" w:hint="eastAsia"/>
          <w:b/>
          <w:bCs/>
          <w:rtl/>
        </w:rPr>
        <w:t>היא</w:t>
      </w:r>
      <w:r w:rsidRPr="001F2586">
        <w:rPr>
          <w:rFonts w:eastAsia="Calibri"/>
          <w:b/>
          <w:bCs/>
          <w:rtl/>
        </w:rPr>
        <w:t xml:space="preserve"> </w:t>
      </w:r>
      <w:r w:rsidRPr="001F2586">
        <w:rPr>
          <w:rFonts w:eastAsia="Calibri" w:hint="eastAsia"/>
          <w:b/>
          <w:bCs/>
          <w:rtl/>
        </w:rPr>
        <w:t>אחת</w:t>
      </w:r>
      <w:r w:rsidRPr="001F2586">
        <w:rPr>
          <w:rFonts w:eastAsia="Calibri"/>
          <w:b/>
          <w:bCs/>
          <w:rtl/>
        </w:rPr>
        <w:t xml:space="preserve"> </w:t>
      </w:r>
      <w:r w:rsidRPr="001F2586">
        <w:rPr>
          <w:rFonts w:eastAsia="Calibri" w:hint="eastAsia"/>
          <w:b/>
          <w:bCs/>
          <w:rtl/>
        </w:rPr>
        <w:t>ההחלטות</w:t>
      </w:r>
      <w:r w:rsidRPr="001F2586">
        <w:rPr>
          <w:rFonts w:eastAsia="Calibri"/>
          <w:b/>
          <w:bCs/>
          <w:rtl/>
        </w:rPr>
        <w:t xml:space="preserve"> </w:t>
      </w:r>
      <w:r w:rsidRPr="001F2586">
        <w:rPr>
          <w:rFonts w:eastAsia="Calibri" w:hint="eastAsia"/>
          <w:b/>
          <w:bCs/>
          <w:rtl/>
        </w:rPr>
        <w:t>הפיננסיות</w:t>
      </w:r>
      <w:r w:rsidRPr="001F2586">
        <w:rPr>
          <w:rFonts w:eastAsia="Calibri"/>
          <w:b/>
          <w:bCs/>
          <w:rtl/>
        </w:rPr>
        <w:t xml:space="preserve"> </w:t>
      </w:r>
      <w:r w:rsidRPr="001F2586">
        <w:rPr>
          <w:rFonts w:eastAsia="Calibri" w:hint="eastAsia"/>
          <w:b/>
          <w:bCs/>
          <w:rtl/>
        </w:rPr>
        <w:t>הקרדינליות</w:t>
      </w:r>
      <w:r w:rsidRPr="001F2586">
        <w:rPr>
          <w:rFonts w:eastAsia="Calibri"/>
          <w:b/>
          <w:bCs/>
          <w:rtl/>
        </w:rPr>
        <w:t xml:space="preserve"> </w:t>
      </w:r>
      <w:r w:rsidRPr="001F2586">
        <w:rPr>
          <w:rFonts w:eastAsia="Calibri" w:hint="eastAsia"/>
          <w:b/>
          <w:bCs/>
          <w:rtl/>
        </w:rPr>
        <w:t>אותה</w:t>
      </w:r>
      <w:r w:rsidRPr="001F2586">
        <w:rPr>
          <w:rFonts w:eastAsia="Calibri"/>
          <w:b/>
          <w:bCs/>
          <w:rtl/>
        </w:rPr>
        <w:t xml:space="preserve"> </w:t>
      </w:r>
      <w:r w:rsidRPr="001F2586">
        <w:rPr>
          <w:rFonts w:eastAsia="Calibri" w:hint="eastAsia"/>
          <w:b/>
          <w:bCs/>
          <w:rtl/>
        </w:rPr>
        <w:t>מקבל</w:t>
      </w:r>
      <w:r w:rsidRPr="001F2586">
        <w:rPr>
          <w:rFonts w:eastAsia="Calibri"/>
          <w:b/>
          <w:bCs/>
          <w:rtl/>
        </w:rPr>
        <w:t xml:space="preserve"> </w:t>
      </w:r>
      <w:r w:rsidRPr="001F2586">
        <w:rPr>
          <w:rFonts w:eastAsia="Calibri" w:hint="eastAsia"/>
          <w:b/>
          <w:bCs/>
          <w:rtl/>
        </w:rPr>
        <w:t>משק</w:t>
      </w:r>
      <w:r w:rsidRPr="001F2586">
        <w:rPr>
          <w:rFonts w:eastAsia="Calibri"/>
          <w:b/>
          <w:bCs/>
          <w:rtl/>
        </w:rPr>
        <w:t xml:space="preserve"> </w:t>
      </w:r>
      <w:r w:rsidRPr="001F2586">
        <w:rPr>
          <w:rFonts w:eastAsia="Calibri" w:hint="eastAsia"/>
          <w:b/>
          <w:bCs/>
          <w:rtl/>
        </w:rPr>
        <w:t>הבית</w:t>
      </w:r>
      <w:r w:rsidRPr="001F2586">
        <w:rPr>
          <w:rFonts w:eastAsia="Calibri"/>
          <w:b/>
          <w:bCs/>
          <w:rtl/>
        </w:rPr>
        <w:t xml:space="preserve">. </w:t>
      </w:r>
      <w:r w:rsidRPr="001F2586">
        <w:rPr>
          <w:rFonts w:eastAsia="Calibri" w:hint="eastAsia"/>
          <w:b/>
          <w:bCs/>
          <w:rtl/>
        </w:rPr>
        <w:t>מוצר</w:t>
      </w:r>
      <w:r w:rsidRPr="001F2586">
        <w:rPr>
          <w:rFonts w:eastAsia="Calibri"/>
          <w:b/>
          <w:bCs/>
          <w:rtl/>
        </w:rPr>
        <w:t xml:space="preserve"> </w:t>
      </w:r>
      <w:r w:rsidRPr="001F2586">
        <w:rPr>
          <w:rFonts w:eastAsia="Calibri" w:hint="eastAsia"/>
          <w:b/>
          <w:bCs/>
          <w:rtl/>
        </w:rPr>
        <w:t>המשכנתא</w:t>
      </w:r>
      <w:r w:rsidRPr="001F2586">
        <w:rPr>
          <w:rFonts w:eastAsia="Calibri"/>
          <w:b/>
          <w:bCs/>
          <w:rtl/>
        </w:rPr>
        <w:t xml:space="preserve"> </w:t>
      </w:r>
      <w:r w:rsidRPr="001F2586">
        <w:rPr>
          <w:rFonts w:eastAsia="Calibri" w:hint="eastAsia"/>
          <w:b/>
          <w:bCs/>
          <w:rtl/>
        </w:rPr>
        <w:t>הוא</w:t>
      </w:r>
      <w:r w:rsidRPr="001F2586">
        <w:rPr>
          <w:rFonts w:eastAsia="Calibri"/>
          <w:b/>
          <w:bCs/>
          <w:rtl/>
        </w:rPr>
        <w:t xml:space="preserve"> </w:t>
      </w:r>
      <w:r w:rsidRPr="001F2586">
        <w:rPr>
          <w:rFonts w:eastAsia="Calibri" w:hint="eastAsia"/>
          <w:b/>
          <w:bCs/>
          <w:rtl/>
        </w:rPr>
        <w:t>מוצר</w:t>
      </w:r>
      <w:r w:rsidRPr="001F2586">
        <w:rPr>
          <w:rFonts w:eastAsia="Calibri"/>
          <w:b/>
          <w:bCs/>
          <w:rtl/>
        </w:rPr>
        <w:t xml:space="preserve"> </w:t>
      </w:r>
      <w:r w:rsidRPr="001F2586">
        <w:rPr>
          <w:rFonts w:eastAsia="Calibri" w:hint="eastAsia"/>
          <w:b/>
          <w:bCs/>
          <w:rtl/>
        </w:rPr>
        <w:t>מורכב</w:t>
      </w:r>
      <w:r w:rsidRPr="001F2586">
        <w:rPr>
          <w:rFonts w:eastAsia="Calibri"/>
          <w:b/>
          <w:bCs/>
          <w:rtl/>
        </w:rPr>
        <w:t xml:space="preserve"> </w:t>
      </w:r>
      <w:r w:rsidRPr="001F2586">
        <w:rPr>
          <w:rFonts w:eastAsia="Calibri" w:hint="eastAsia"/>
          <w:b/>
          <w:bCs/>
          <w:rtl/>
        </w:rPr>
        <w:t>שלצרכן</w:t>
      </w:r>
      <w:r w:rsidRPr="001F2586">
        <w:rPr>
          <w:rFonts w:eastAsia="Calibri"/>
          <w:b/>
          <w:bCs/>
          <w:rtl/>
        </w:rPr>
        <w:t xml:space="preserve"> </w:t>
      </w:r>
      <w:r w:rsidRPr="001F2586">
        <w:rPr>
          <w:rFonts w:eastAsia="Calibri" w:hint="eastAsia"/>
          <w:b/>
          <w:bCs/>
          <w:rtl/>
        </w:rPr>
        <w:t>הממוצע</w:t>
      </w:r>
      <w:r w:rsidRPr="001F2586">
        <w:rPr>
          <w:rFonts w:eastAsia="Calibri"/>
          <w:b/>
          <w:bCs/>
          <w:rtl/>
        </w:rPr>
        <w:t xml:space="preserve"> </w:t>
      </w:r>
      <w:r w:rsidRPr="001F2586">
        <w:rPr>
          <w:rFonts w:eastAsia="Calibri" w:hint="eastAsia"/>
          <w:b/>
          <w:bCs/>
          <w:rtl/>
        </w:rPr>
        <w:t>קשה</w:t>
      </w:r>
      <w:r w:rsidRPr="001F2586">
        <w:rPr>
          <w:rFonts w:eastAsia="Calibri"/>
          <w:b/>
          <w:bCs/>
          <w:rtl/>
        </w:rPr>
        <w:t xml:space="preserve"> </w:t>
      </w:r>
      <w:r w:rsidRPr="001F2586">
        <w:rPr>
          <w:rFonts w:eastAsia="Calibri" w:hint="eastAsia"/>
          <w:b/>
          <w:bCs/>
          <w:rtl/>
        </w:rPr>
        <w:t>להבין</w:t>
      </w:r>
      <w:r w:rsidRPr="001F2586">
        <w:rPr>
          <w:rFonts w:eastAsia="Calibri"/>
          <w:b/>
          <w:bCs/>
          <w:rtl/>
        </w:rPr>
        <w:t xml:space="preserve"> </w:t>
      </w:r>
      <w:r w:rsidRPr="001F2586">
        <w:rPr>
          <w:rFonts w:eastAsia="Calibri" w:hint="eastAsia"/>
          <w:b/>
          <w:bCs/>
          <w:rtl/>
        </w:rPr>
        <w:t>אותו</w:t>
      </w:r>
      <w:r w:rsidRPr="001F2586">
        <w:rPr>
          <w:rFonts w:eastAsia="Calibri"/>
          <w:b/>
          <w:bCs/>
          <w:rtl/>
        </w:rPr>
        <w:t xml:space="preserve"> </w:t>
      </w:r>
      <w:r w:rsidRPr="001F2586">
        <w:rPr>
          <w:rFonts w:eastAsia="Calibri" w:hint="eastAsia"/>
          <w:b/>
          <w:bCs/>
          <w:rtl/>
        </w:rPr>
        <w:t>ולהשוות</w:t>
      </w:r>
      <w:r w:rsidRPr="001F2586">
        <w:rPr>
          <w:rFonts w:eastAsia="Calibri"/>
          <w:b/>
          <w:bCs/>
          <w:rtl/>
        </w:rPr>
        <w:t xml:space="preserve"> </w:t>
      </w:r>
      <w:r w:rsidRPr="001F2586">
        <w:rPr>
          <w:rFonts w:eastAsia="Calibri" w:hint="eastAsia"/>
          <w:b/>
          <w:bCs/>
          <w:rtl/>
        </w:rPr>
        <w:t>בין</w:t>
      </w:r>
      <w:r w:rsidRPr="001F2586">
        <w:rPr>
          <w:rFonts w:eastAsia="Calibri"/>
          <w:b/>
          <w:bCs/>
          <w:rtl/>
        </w:rPr>
        <w:t xml:space="preserve"> </w:t>
      </w:r>
      <w:r w:rsidRPr="001F2586">
        <w:rPr>
          <w:rFonts w:eastAsia="Calibri" w:hint="eastAsia"/>
          <w:b/>
          <w:bCs/>
          <w:rtl/>
        </w:rPr>
        <w:t>הצעות</w:t>
      </w:r>
      <w:r w:rsidRPr="001F2586">
        <w:rPr>
          <w:rFonts w:eastAsia="Calibri"/>
          <w:b/>
          <w:bCs/>
          <w:rtl/>
        </w:rPr>
        <w:t xml:space="preserve"> </w:t>
      </w:r>
      <w:r w:rsidRPr="001F2586">
        <w:rPr>
          <w:rFonts w:eastAsia="Calibri" w:hint="eastAsia"/>
          <w:b/>
          <w:bCs/>
          <w:rtl/>
        </w:rPr>
        <w:t>שונות</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מנת</w:t>
      </w:r>
      <w:r w:rsidRPr="001F2586">
        <w:rPr>
          <w:rFonts w:eastAsia="Calibri"/>
          <w:b/>
          <w:bCs/>
          <w:rtl/>
        </w:rPr>
        <w:t xml:space="preserve"> </w:t>
      </w:r>
      <w:r w:rsidRPr="001F2586">
        <w:rPr>
          <w:rFonts w:eastAsia="Calibri" w:hint="eastAsia"/>
          <w:b/>
          <w:bCs/>
          <w:rtl/>
        </w:rPr>
        <w:t>לבחור</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המוצר</w:t>
      </w:r>
      <w:r w:rsidRPr="001F2586">
        <w:rPr>
          <w:rFonts w:eastAsia="Calibri"/>
          <w:b/>
          <w:bCs/>
          <w:rtl/>
        </w:rPr>
        <w:t xml:space="preserve"> </w:t>
      </w:r>
      <w:r w:rsidRPr="001F2586">
        <w:rPr>
          <w:rFonts w:eastAsia="Calibri" w:hint="eastAsia"/>
          <w:b/>
          <w:bCs/>
          <w:rtl/>
        </w:rPr>
        <w:t>המתאים</w:t>
      </w:r>
      <w:r w:rsidRPr="001F2586">
        <w:rPr>
          <w:rFonts w:eastAsia="Calibri"/>
          <w:b/>
          <w:bCs/>
          <w:rtl/>
        </w:rPr>
        <w:t xml:space="preserve"> </w:t>
      </w:r>
      <w:r w:rsidRPr="001F2586">
        <w:rPr>
          <w:rFonts w:eastAsia="Calibri" w:hint="eastAsia"/>
          <w:b/>
          <w:bCs/>
          <w:rtl/>
        </w:rPr>
        <w:t>ביותר</w:t>
      </w:r>
      <w:r w:rsidRPr="001F2586">
        <w:rPr>
          <w:rFonts w:eastAsia="Calibri"/>
          <w:b/>
          <w:bCs/>
          <w:rtl/>
        </w:rPr>
        <w:t xml:space="preserve"> </w:t>
      </w:r>
      <w:r w:rsidRPr="001F2586">
        <w:rPr>
          <w:rFonts w:eastAsia="Calibri" w:hint="eastAsia"/>
          <w:b/>
          <w:bCs/>
          <w:rtl/>
        </w:rPr>
        <w:t>עבורו</w:t>
      </w:r>
      <w:r w:rsidRPr="001F2586">
        <w:rPr>
          <w:rFonts w:eastAsia="Calibri"/>
          <w:b/>
          <w:bCs/>
          <w:rtl/>
        </w:rPr>
        <w:t xml:space="preserve">. </w:t>
      </w:r>
      <w:r w:rsidRPr="001F2586">
        <w:rPr>
          <w:rFonts w:eastAsia="Calibri" w:hint="eastAsia"/>
          <w:b/>
          <w:bCs/>
          <w:rtl/>
        </w:rPr>
        <w:t>קיימת</w:t>
      </w:r>
      <w:r w:rsidRPr="001F2586">
        <w:rPr>
          <w:rFonts w:eastAsia="Calibri"/>
          <w:b/>
          <w:bCs/>
          <w:rtl/>
        </w:rPr>
        <w:t xml:space="preserve"> </w:t>
      </w:r>
      <w:r w:rsidRPr="001F2586">
        <w:rPr>
          <w:rFonts w:eastAsia="Calibri" w:hint="eastAsia"/>
          <w:b/>
          <w:bCs/>
          <w:rtl/>
        </w:rPr>
        <w:t>חשיבות</w:t>
      </w:r>
      <w:r w:rsidRPr="001F2586">
        <w:rPr>
          <w:rFonts w:eastAsia="Calibri"/>
          <w:b/>
          <w:bCs/>
          <w:rtl/>
        </w:rPr>
        <w:t xml:space="preserve"> </w:t>
      </w:r>
      <w:r w:rsidRPr="001F2586">
        <w:rPr>
          <w:rFonts w:eastAsia="Calibri" w:hint="eastAsia"/>
          <w:b/>
          <w:bCs/>
          <w:rtl/>
        </w:rPr>
        <w:t>צרכנית</w:t>
      </w:r>
      <w:r w:rsidRPr="001F2586">
        <w:rPr>
          <w:rFonts w:eastAsia="Calibri"/>
          <w:b/>
          <w:bCs/>
          <w:rtl/>
        </w:rPr>
        <w:t xml:space="preserve"> </w:t>
      </w:r>
      <w:r w:rsidRPr="001F2586">
        <w:rPr>
          <w:rFonts w:eastAsia="Calibri" w:hint="eastAsia"/>
          <w:b/>
          <w:bCs/>
          <w:rtl/>
        </w:rPr>
        <w:t>ותחרותית</w:t>
      </w:r>
      <w:r w:rsidRPr="001F2586">
        <w:rPr>
          <w:rFonts w:eastAsia="Calibri"/>
          <w:b/>
          <w:bCs/>
          <w:rtl/>
        </w:rPr>
        <w:t xml:space="preserve"> </w:t>
      </w:r>
      <w:r w:rsidRPr="001F2586">
        <w:rPr>
          <w:rFonts w:eastAsia="Calibri" w:hint="eastAsia"/>
          <w:b/>
          <w:bCs/>
          <w:rtl/>
        </w:rPr>
        <w:t>לפעילות</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יועץ</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w:t>
      </w:r>
      <w:r w:rsidRPr="001F2586">
        <w:rPr>
          <w:rFonts w:eastAsia="Calibri" w:hint="eastAsia"/>
          <w:b/>
          <w:bCs/>
          <w:rtl/>
        </w:rPr>
        <w:t>יועץ</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מסייע ללווה להשוות בין החלופות שעומדות בפניו ולקבל החלטה מושכלת ביחס למוצר המתאים לו. </w:t>
      </w:r>
    </w:p>
    <w:p w:rsidR="001F2586" w:rsidRPr="001F2586" w:rsidP="001F2586">
      <w:pPr>
        <w:spacing w:line="269" w:lineRule="auto"/>
        <w:ind w:left="-567"/>
        <w:rPr>
          <w:rFonts w:eastAsia="Calibri"/>
          <w:b/>
          <w:bCs/>
          <w:szCs w:val="20"/>
          <w:rtl/>
        </w:rPr>
      </w:pPr>
    </w:p>
    <w:p w:rsidR="001F2586" w:rsidRPr="001F2586" w:rsidP="001F2586">
      <w:pPr>
        <w:spacing w:line="269" w:lineRule="auto"/>
        <w:rPr>
          <w:rFonts w:eastAsia="Calibri"/>
          <w:b/>
          <w:bCs/>
          <w:rtl/>
        </w:rPr>
      </w:pPr>
      <w:r w:rsidRPr="001F2586">
        <w:rPr>
          <w:rFonts w:eastAsia="Calibri" w:hint="eastAsia"/>
          <w:b/>
          <w:bCs/>
          <w:rtl/>
        </w:rPr>
        <w:t>בביקורת</w:t>
      </w:r>
      <w:r w:rsidRPr="001F2586">
        <w:rPr>
          <w:rFonts w:eastAsia="Calibri"/>
          <w:b/>
          <w:bCs/>
          <w:rtl/>
        </w:rPr>
        <w:t xml:space="preserve"> נמצא כי על אף חשיבות פעילותו, יועץ משכנתאות אינו חייב ברישיון ופעילותו אינה מפוקחת ועל כן כמעט כל אחד יכול להיות יועץ משכנתאות (זאת בשונה מיועצי השקעות). </w:t>
      </w:r>
      <w:r w:rsidRPr="001F2586">
        <w:rPr>
          <w:rFonts w:eastAsia="Calibri" w:hint="eastAsia"/>
          <w:b/>
          <w:bCs/>
          <w:rtl/>
        </w:rPr>
        <w:t>יש</w:t>
      </w:r>
      <w:r w:rsidRPr="001F2586">
        <w:rPr>
          <w:rFonts w:eastAsia="Calibri"/>
          <w:b/>
          <w:bCs/>
          <w:rtl/>
        </w:rPr>
        <w:t xml:space="preserve"> </w:t>
      </w:r>
      <w:r w:rsidRPr="001F2586">
        <w:rPr>
          <w:rFonts w:eastAsia="Calibri" w:hint="eastAsia"/>
          <w:b/>
          <w:bCs/>
          <w:rtl/>
        </w:rPr>
        <w:t>לצרכן</w:t>
      </w:r>
      <w:r w:rsidRPr="001F2586">
        <w:rPr>
          <w:rFonts w:eastAsia="Calibri"/>
          <w:b/>
          <w:bCs/>
          <w:rtl/>
        </w:rPr>
        <w:t xml:space="preserve"> </w:t>
      </w:r>
      <w:r w:rsidRPr="001F2586">
        <w:rPr>
          <w:rFonts w:eastAsia="Calibri" w:hint="eastAsia"/>
          <w:b/>
          <w:bCs/>
          <w:rtl/>
        </w:rPr>
        <w:t>יכולת</w:t>
      </w:r>
      <w:r w:rsidRPr="001F2586">
        <w:rPr>
          <w:rFonts w:eastAsia="Calibri"/>
          <w:b/>
          <w:bCs/>
          <w:rtl/>
        </w:rPr>
        <w:t xml:space="preserve"> </w:t>
      </w:r>
      <w:r w:rsidRPr="001F2586">
        <w:rPr>
          <w:rFonts w:eastAsia="Calibri" w:hint="eastAsia"/>
          <w:b/>
          <w:bCs/>
          <w:rtl/>
        </w:rPr>
        <w:t>מוגבלת</w:t>
      </w:r>
      <w:r w:rsidRPr="001F2586">
        <w:rPr>
          <w:rFonts w:eastAsia="Calibri"/>
          <w:b/>
          <w:bCs/>
          <w:rtl/>
        </w:rPr>
        <w:t xml:space="preserve"> </w:t>
      </w:r>
      <w:r w:rsidRPr="001F2586">
        <w:rPr>
          <w:rFonts w:eastAsia="Calibri" w:hint="eastAsia"/>
          <w:b/>
          <w:bCs/>
          <w:rtl/>
        </w:rPr>
        <w:t>להעריך</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איכות</w:t>
      </w:r>
      <w:r w:rsidRPr="001F2586">
        <w:rPr>
          <w:rFonts w:eastAsia="Calibri"/>
          <w:b/>
          <w:bCs/>
          <w:rtl/>
        </w:rPr>
        <w:t xml:space="preserve"> </w:t>
      </w:r>
      <w:r w:rsidRPr="001F2586">
        <w:rPr>
          <w:rFonts w:eastAsia="Calibri" w:hint="eastAsia"/>
          <w:b/>
          <w:bCs/>
          <w:rtl/>
        </w:rPr>
        <w:t>וטיב</w:t>
      </w:r>
      <w:r w:rsidRPr="001F2586">
        <w:rPr>
          <w:rFonts w:eastAsia="Calibri"/>
          <w:b/>
          <w:bCs/>
          <w:rtl/>
        </w:rPr>
        <w:t xml:space="preserve"> </w:t>
      </w:r>
      <w:r w:rsidRPr="001F2586">
        <w:rPr>
          <w:rFonts w:eastAsia="Calibri" w:hint="eastAsia"/>
          <w:b/>
          <w:bCs/>
          <w:rtl/>
        </w:rPr>
        <w:t>השירות</w:t>
      </w:r>
      <w:r w:rsidRPr="001F2586">
        <w:rPr>
          <w:rFonts w:eastAsia="Calibri"/>
          <w:b/>
          <w:bCs/>
          <w:rtl/>
        </w:rPr>
        <w:t xml:space="preserve"> </w:t>
      </w:r>
      <w:r w:rsidRPr="001F2586">
        <w:rPr>
          <w:rFonts w:eastAsia="Calibri" w:hint="eastAsia"/>
          <w:b/>
          <w:bCs/>
          <w:rtl/>
        </w:rPr>
        <w:t>שנתן</w:t>
      </w:r>
      <w:r w:rsidRPr="001F2586">
        <w:rPr>
          <w:rFonts w:eastAsia="Calibri"/>
          <w:b/>
          <w:bCs/>
          <w:rtl/>
        </w:rPr>
        <w:t xml:space="preserve"> </w:t>
      </w:r>
      <w:r w:rsidRPr="001F2586">
        <w:rPr>
          <w:rFonts w:eastAsia="Calibri" w:hint="eastAsia"/>
          <w:b/>
          <w:bCs/>
          <w:rtl/>
        </w:rPr>
        <w:t>לו</w:t>
      </w:r>
      <w:r w:rsidRPr="001F2586">
        <w:rPr>
          <w:rFonts w:eastAsia="Calibri"/>
          <w:b/>
          <w:bCs/>
          <w:rtl/>
        </w:rPr>
        <w:t xml:space="preserve"> </w:t>
      </w:r>
      <w:r w:rsidRPr="001F2586">
        <w:rPr>
          <w:rFonts w:eastAsia="Calibri" w:hint="eastAsia"/>
          <w:b/>
          <w:bCs/>
          <w:rtl/>
        </w:rPr>
        <w:t>יועץ</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w:t>
      </w:r>
      <w:r w:rsidRPr="001F2586">
        <w:rPr>
          <w:rFonts w:eastAsia="Calibri" w:hint="eastAsia"/>
          <w:b/>
          <w:bCs/>
          <w:rtl/>
        </w:rPr>
        <w:t>לפיכך</w:t>
      </w:r>
      <w:r w:rsidRPr="001F2586">
        <w:rPr>
          <w:rFonts w:eastAsia="Calibri"/>
          <w:b/>
          <w:bCs/>
          <w:rtl/>
        </w:rPr>
        <w:t xml:space="preserve">, </w:t>
      </w:r>
      <w:r w:rsidRPr="001F2586">
        <w:rPr>
          <w:rFonts w:eastAsia="Calibri" w:hint="eastAsia"/>
          <w:b/>
          <w:bCs/>
          <w:rtl/>
        </w:rPr>
        <w:t>קיימת</w:t>
      </w:r>
      <w:r w:rsidRPr="001F2586">
        <w:rPr>
          <w:rFonts w:eastAsia="Calibri"/>
          <w:b/>
          <w:bCs/>
          <w:rtl/>
        </w:rPr>
        <w:t xml:space="preserve"> </w:t>
      </w:r>
      <w:r w:rsidRPr="001F2586">
        <w:rPr>
          <w:rFonts w:eastAsia="Calibri" w:hint="eastAsia"/>
          <w:b/>
          <w:bCs/>
          <w:rtl/>
        </w:rPr>
        <w:t>חשיבות</w:t>
      </w:r>
      <w:r w:rsidRPr="001F2586">
        <w:rPr>
          <w:rFonts w:eastAsia="Calibri"/>
          <w:b/>
          <w:bCs/>
          <w:rtl/>
        </w:rPr>
        <w:t xml:space="preserve"> </w:t>
      </w:r>
      <w:r w:rsidRPr="001F2586">
        <w:rPr>
          <w:rFonts w:eastAsia="Calibri" w:hint="eastAsia"/>
          <w:b/>
          <w:bCs/>
          <w:rtl/>
        </w:rPr>
        <w:t>להסדרת</w:t>
      </w:r>
      <w:r w:rsidRPr="001F2586">
        <w:rPr>
          <w:rFonts w:eastAsia="Calibri"/>
          <w:b/>
          <w:bCs/>
          <w:rtl/>
        </w:rPr>
        <w:t xml:space="preserve"> פעילות היועץ, ובכלל זה קביעת הוראות לעניין ניגוד עניינים על מנת להדגיש חשיבותם של אלה ביחס למקצוע ייעוץ המשכנתאות. </w:t>
      </w:r>
      <w:r w:rsidRPr="001F2586">
        <w:rPr>
          <w:rFonts w:eastAsia="Calibri" w:hint="cs"/>
          <w:b/>
          <w:bCs/>
          <w:rtl/>
        </w:rPr>
        <w:t>נוכח</w:t>
      </w:r>
      <w:r w:rsidRPr="001F2586">
        <w:rPr>
          <w:rFonts w:eastAsia="Calibri"/>
          <w:b/>
          <w:bCs/>
          <w:rtl/>
        </w:rPr>
        <w:t xml:space="preserve"> ההסכמה הרחבה</w:t>
      </w:r>
      <w:r w:rsidRPr="001F2586">
        <w:rPr>
          <w:rFonts w:eastAsia="Calibri" w:hint="cs"/>
          <w:b/>
          <w:bCs/>
          <w:rtl/>
        </w:rPr>
        <w:t xml:space="preserve"> של משרדי הממשלה השונים כגון משרד המשפטים ובנק ישראל</w:t>
      </w:r>
      <w:r w:rsidRPr="001F2586">
        <w:rPr>
          <w:rFonts w:eastAsia="Calibri"/>
          <w:b/>
          <w:bCs/>
          <w:rtl/>
        </w:rPr>
        <w:t xml:space="preserve"> </w:t>
      </w:r>
      <w:r w:rsidRPr="001F2586">
        <w:rPr>
          <w:rFonts w:eastAsia="Calibri" w:hint="eastAsia"/>
          <w:b/>
          <w:bCs/>
          <w:rtl/>
        </w:rPr>
        <w:t>בדבר</w:t>
      </w:r>
      <w:r w:rsidRPr="001F2586">
        <w:rPr>
          <w:rFonts w:eastAsia="Calibri"/>
          <w:b/>
          <w:bCs/>
          <w:rtl/>
        </w:rPr>
        <w:t xml:space="preserve"> הצורך </w:t>
      </w:r>
      <w:r w:rsidRPr="001F2586">
        <w:rPr>
          <w:rFonts w:eastAsia="Calibri"/>
          <w:b/>
          <w:bCs/>
          <w:rtl/>
        </w:rPr>
        <w:t>באסדר</w:t>
      </w:r>
      <w:r w:rsidRPr="001F2586">
        <w:rPr>
          <w:rFonts w:eastAsia="Calibri" w:hint="eastAsia"/>
          <w:b/>
          <w:bCs/>
          <w:rtl/>
        </w:rPr>
        <w:t>ת</w:t>
      </w:r>
      <w:r w:rsidRPr="001F2586">
        <w:rPr>
          <w:rFonts w:eastAsia="Calibri"/>
          <w:b/>
          <w:bCs/>
          <w:rtl/>
        </w:rPr>
        <w:t xml:space="preserve"> </w:t>
      </w:r>
      <w:r w:rsidRPr="001F2586">
        <w:rPr>
          <w:rFonts w:eastAsia="Calibri" w:hint="eastAsia"/>
          <w:b/>
          <w:bCs/>
          <w:rtl/>
        </w:rPr>
        <w:t>תחום</w:t>
      </w:r>
      <w:r w:rsidRPr="001F2586">
        <w:rPr>
          <w:rFonts w:eastAsia="Calibri"/>
          <w:b/>
          <w:bCs/>
          <w:rtl/>
        </w:rPr>
        <w:t xml:space="preserve"> </w:t>
      </w:r>
      <w:r w:rsidRPr="001F2586">
        <w:rPr>
          <w:rFonts w:eastAsia="Calibri" w:hint="eastAsia"/>
          <w:b/>
          <w:bCs/>
          <w:rtl/>
        </w:rPr>
        <w:t>ייעוץ</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w:t>
      </w:r>
      <w:r w:rsidRPr="001F2586">
        <w:rPr>
          <w:rFonts w:eastAsia="Calibri" w:hint="cs"/>
          <w:b/>
          <w:bCs/>
          <w:rtl/>
        </w:rPr>
        <w:t>מומלץ כי</w:t>
      </w:r>
      <w:r w:rsidRPr="001F2586">
        <w:rPr>
          <w:rFonts w:eastAsia="Calibri"/>
          <w:b/>
          <w:bCs/>
          <w:rtl/>
        </w:rPr>
        <w:t xml:space="preserve"> </w:t>
      </w:r>
      <w:r w:rsidRPr="001F2586">
        <w:rPr>
          <w:rFonts w:eastAsia="Calibri" w:hint="eastAsia"/>
          <w:b/>
          <w:bCs/>
          <w:rtl/>
        </w:rPr>
        <w:t>הגורמים</w:t>
      </w:r>
      <w:r w:rsidRPr="001F2586">
        <w:rPr>
          <w:rFonts w:eastAsia="Calibri"/>
          <w:b/>
          <w:bCs/>
          <w:rtl/>
        </w:rPr>
        <w:t xml:space="preserve"> </w:t>
      </w:r>
      <w:r w:rsidRPr="001F2586">
        <w:rPr>
          <w:rFonts w:eastAsia="Calibri" w:hint="eastAsia"/>
          <w:b/>
          <w:bCs/>
          <w:rtl/>
        </w:rPr>
        <w:t>הרלבנטיים</w:t>
      </w:r>
      <w:r w:rsidRPr="001F2586">
        <w:rPr>
          <w:rFonts w:eastAsia="Calibri"/>
          <w:b/>
          <w:bCs/>
          <w:rtl/>
        </w:rPr>
        <w:t xml:space="preserve"> </w:t>
      </w:r>
      <w:r w:rsidRPr="001F2586">
        <w:rPr>
          <w:rFonts w:eastAsia="Calibri" w:hint="eastAsia"/>
          <w:b/>
          <w:bCs/>
          <w:rtl/>
        </w:rPr>
        <w:t>ובהם</w:t>
      </w:r>
      <w:r w:rsidRPr="001F2586">
        <w:rPr>
          <w:rFonts w:eastAsia="Calibri"/>
          <w:b/>
          <w:bCs/>
          <w:rtl/>
        </w:rPr>
        <w:t xml:space="preserve"> </w:t>
      </w:r>
      <w:r w:rsidRPr="001F2586">
        <w:rPr>
          <w:rFonts w:eastAsia="Calibri" w:hint="eastAsia"/>
          <w:b/>
          <w:bCs/>
          <w:rtl/>
        </w:rPr>
        <w:t>משרד</w:t>
      </w:r>
      <w:r w:rsidRPr="001F2586">
        <w:rPr>
          <w:rFonts w:eastAsia="Calibri"/>
          <w:b/>
          <w:bCs/>
          <w:rtl/>
        </w:rPr>
        <w:t xml:space="preserve"> </w:t>
      </w:r>
      <w:r w:rsidRPr="001F2586">
        <w:rPr>
          <w:rFonts w:eastAsia="Calibri" w:hint="eastAsia"/>
          <w:b/>
          <w:bCs/>
          <w:rtl/>
        </w:rPr>
        <w:t>המשפטים</w:t>
      </w:r>
      <w:r w:rsidRPr="001F2586">
        <w:rPr>
          <w:rFonts w:eastAsia="Calibri" w:hint="cs"/>
          <w:b/>
          <w:bCs/>
          <w:rtl/>
        </w:rPr>
        <w:t>, בנק ישראל</w:t>
      </w:r>
      <w:r w:rsidRPr="001F2586">
        <w:rPr>
          <w:rFonts w:eastAsia="Calibri"/>
          <w:b/>
          <w:bCs/>
          <w:rtl/>
        </w:rPr>
        <w:t xml:space="preserve"> </w:t>
      </w:r>
      <w:r w:rsidRPr="001F2586">
        <w:rPr>
          <w:rFonts w:eastAsia="Calibri" w:hint="eastAsia"/>
          <w:b/>
          <w:bCs/>
          <w:rtl/>
        </w:rPr>
        <w:t>ורשות</w:t>
      </w:r>
      <w:r w:rsidRPr="001F2586">
        <w:rPr>
          <w:rFonts w:eastAsia="Calibri"/>
          <w:b/>
          <w:bCs/>
          <w:rtl/>
        </w:rPr>
        <w:t xml:space="preserve"> </w:t>
      </w:r>
      <w:r w:rsidRPr="001F2586">
        <w:rPr>
          <w:rFonts w:eastAsia="Calibri" w:hint="eastAsia"/>
          <w:b/>
          <w:bCs/>
          <w:rtl/>
        </w:rPr>
        <w:t>שוק</w:t>
      </w:r>
      <w:r w:rsidRPr="001F2586">
        <w:rPr>
          <w:rFonts w:eastAsia="Calibri" w:hint="cs"/>
          <w:b/>
          <w:bCs/>
          <w:rtl/>
        </w:rPr>
        <w:t xml:space="preserve"> ההון</w:t>
      </w:r>
      <w:r w:rsidRPr="001F2586">
        <w:rPr>
          <w:rFonts w:eastAsia="Calibri"/>
          <w:b/>
          <w:bCs/>
          <w:rtl/>
        </w:rPr>
        <w:t xml:space="preserve"> </w:t>
      </w:r>
      <w:r w:rsidRPr="001F2586">
        <w:rPr>
          <w:rFonts w:eastAsia="Calibri" w:hint="cs"/>
          <w:b/>
          <w:bCs/>
          <w:rtl/>
        </w:rPr>
        <w:t>ימשיכו לקדם</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cs"/>
          <w:b/>
          <w:bCs/>
          <w:rtl/>
        </w:rPr>
        <w:t xml:space="preserve">הצעת החקיקה בדבר </w:t>
      </w:r>
      <w:r w:rsidRPr="001F2586">
        <w:rPr>
          <w:rFonts w:eastAsia="Calibri" w:hint="eastAsia"/>
          <w:b/>
          <w:bCs/>
          <w:rtl/>
        </w:rPr>
        <w:t>ההסדרה</w:t>
      </w:r>
      <w:r w:rsidRPr="001F2586">
        <w:rPr>
          <w:rFonts w:eastAsia="Calibri"/>
          <w:b/>
          <w:bCs/>
          <w:rtl/>
        </w:rPr>
        <w:t xml:space="preserve"> </w:t>
      </w:r>
      <w:r w:rsidRPr="001F2586">
        <w:rPr>
          <w:rFonts w:eastAsia="Calibri" w:hint="eastAsia"/>
          <w:b/>
          <w:bCs/>
          <w:rtl/>
        </w:rPr>
        <w:t>והפיקוח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יועצי</w:t>
      </w:r>
      <w:r w:rsidRPr="001F2586">
        <w:rPr>
          <w:rFonts w:eastAsia="Calibri"/>
          <w:b/>
          <w:bCs/>
          <w:rtl/>
        </w:rPr>
        <w:t xml:space="preserve"> </w:t>
      </w:r>
      <w:r w:rsidRPr="001F2586">
        <w:rPr>
          <w:rFonts w:eastAsia="Calibri" w:hint="eastAsia"/>
          <w:b/>
          <w:bCs/>
          <w:rtl/>
        </w:rPr>
        <w:t>משכנתאות</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b/>
          <w:bCs/>
          <w:rtl/>
        </w:rPr>
        <w:t>הציבור,</w:t>
      </w:r>
      <w:r w:rsidRPr="001F2586">
        <w:rPr>
          <w:rFonts w:eastAsia="Calibri" w:hint="cs"/>
          <w:b/>
          <w:bCs/>
          <w:rtl/>
        </w:rPr>
        <w:t xml:space="preserve"> </w:t>
      </w:r>
      <w:r w:rsidRPr="001F2586">
        <w:rPr>
          <w:rFonts w:eastAsia="Calibri"/>
          <w:b/>
          <w:bCs/>
          <w:rtl/>
        </w:rPr>
        <w:t xml:space="preserve">ובמיוחד משקי בית ברמה סוציו-אקונומית נמוכה יותר, חשוף לפגיעה כלכלית משמעותית. זה הופך את הציבור למטרה קלה להטעיות ולהבטחות שווא. יועץ לא </w:t>
      </w:r>
      <w:r w:rsidRPr="001F2586">
        <w:rPr>
          <w:rFonts w:eastAsia="Calibri" w:hint="cs"/>
          <w:b/>
          <w:bCs/>
          <w:rtl/>
        </w:rPr>
        <w:t>מקצועי ושאיננו בעל כישורים מתאימים</w:t>
      </w:r>
      <w:r w:rsidRPr="001F2586">
        <w:rPr>
          <w:rFonts w:eastAsia="Calibri"/>
          <w:b/>
          <w:bCs/>
          <w:rtl/>
        </w:rPr>
        <w:t xml:space="preserve"> עלול להוביל את הלקוח להחלטות שגויות שיעלו לו מאות אלפי שקלים לאורך חיי המשכנתא</w:t>
      </w:r>
      <w:r w:rsidRPr="001F2586">
        <w:rPr>
          <w:rFonts w:eastAsia="Calibri"/>
          <w:b/>
          <w:bCs/>
        </w:rPr>
        <w:t>.</w:t>
      </w:r>
      <w:r w:rsidRPr="001F2586">
        <w:rPr>
          <w:rFonts w:eastAsia="Calibri" w:hint="cs"/>
          <w:b/>
          <w:bCs/>
          <w:rtl/>
        </w:rPr>
        <w:t xml:space="preserve">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hint="cs"/>
          <w:b/>
          <w:bCs/>
          <w:rtl/>
        </w:rPr>
        <w:t xml:space="preserve">מומלץ כי הגורמים הרלבנטיים ובהם משרד המשפטים, בנק ישראל ורשות שוק ההון, ימשיכו לקדם את הצעת החקיקה בדבר ההסדרה והפיקוח על יועצי משכנתאות. </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rtl/>
        </w:rPr>
      </w:pPr>
      <w:r w:rsidRPr="001F2586">
        <w:rPr>
          <w:rFonts w:eastAsia="Calibri" w:hint="cs"/>
          <w:rtl/>
        </w:rPr>
        <w:t>רשות שוק ההון ציינה בתשובתה כי המלצת המבקר להפוך את תחום הייעוץ במשכנתאות למקצוע מפוקח על ידי רגולטו</w:t>
      </w:r>
      <w:r w:rsidRPr="001F2586">
        <w:rPr>
          <w:rFonts w:eastAsia="Calibri" w:hint="eastAsia"/>
          <w:rtl/>
        </w:rPr>
        <w:t>ר</w:t>
      </w:r>
      <w:r w:rsidRPr="001F2586">
        <w:rPr>
          <w:rFonts w:eastAsia="Calibri" w:hint="cs"/>
          <w:rtl/>
        </w:rPr>
        <w:t xml:space="preserve"> מוצדקת, שכן מדובר בהתחייבות הפיננסית הגדולה ביותר שאדם לוקח על עצמו ולאור פערי המידע בינו לבין נותני האשראי והפוטנציאל לניגוד עניינים. ברשות נעשית עבודת מטה שנועדה לבחון את מערכת היחסים בין מי שעוסקים בייעוץ משכנתאות לבין נותני אשראי ובכוונת הרשות לפרסם טיוטת חוזר להערות הציבור ברבעון השני של שנת 2026. </w:t>
      </w:r>
    </w:p>
    <w:p w:rsidR="001F2586" w:rsidRPr="001F2586" w:rsidP="001F2586">
      <w:pPr>
        <w:keepNext/>
        <w:keepLines/>
        <w:spacing w:line="269" w:lineRule="auto"/>
        <w:outlineLvl w:val="2"/>
        <w:rPr>
          <w:rFonts w:eastAsia="Times New Roman"/>
          <w:bCs/>
          <w:szCs w:val="28"/>
          <w:u w:val="single"/>
          <w:rtl/>
        </w:rPr>
      </w:pPr>
      <w:r w:rsidRPr="001F2586">
        <w:rPr>
          <w:rFonts w:eastAsia="Times New Roman" w:hint="cs"/>
          <w:bCs/>
          <w:szCs w:val="28"/>
          <w:u w:val="single"/>
          <w:rtl/>
        </w:rPr>
        <w:t>ס</w:t>
      </w:r>
      <w:bookmarkStart w:id="103" w:name="_GoBack"/>
      <w:bookmarkEnd w:id="103"/>
      <w:r w:rsidRPr="001F2586">
        <w:rPr>
          <w:rFonts w:eastAsia="Times New Roman" w:hint="cs"/>
          <w:bCs/>
          <w:szCs w:val="28"/>
          <w:u w:val="single"/>
          <w:rtl/>
        </w:rPr>
        <w:t>יכום</w:t>
      </w:r>
    </w:p>
    <w:p w:rsidR="001F2586" w:rsidRPr="001F2586" w:rsidP="001F2586">
      <w:pPr>
        <w:spacing w:line="269" w:lineRule="auto"/>
        <w:ind w:left="-567"/>
        <w:contextualSpacing/>
        <w:rPr>
          <w:rFonts w:eastAsia="Calibri"/>
          <w:szCs w:val="20"/>
          <w:rtl/>
        </w:rPr>
      </w:pPr>
    </w:p>
    <w:p w:rsidR="001F2586" w:rsidRPr="001F2586" w:rsidP="001F2586">
      <w:pPr>
        <w:spacing w:line="269" w:lineRule="auto"/>
        <w:rPr>
          <w:rFonts w:eastAsia="Calibri"/>
          <w:b/>
          <w:bCs/>
          <w:rtl/>
        </w:rPr>
      </w:pPr>
      <w:r w:rsidRPr="001F2586">
        <w:rPr>
          <w:rFonts w:eastAsia="Calibri"/>
          <w:b/>
          <w:bCs/>
          <w:rtl/>
        </w:rPr>
        <w:t xml:space="preserve">מוצר המשכנתא ניצב במוקד ההוויה הכלכלית של משקי הבית בישראל, ומהווה את ההתחייבות הפיננסית המשמעותית ביותר עבור הצרכן </w:t>
      </w:r>
      <w:r w:rsidRPr="001F2586">
        <w:rPr>
          <w:rFonts w:eastAsia="Calibri" w:hint="eastAsia"/>
          <w:b/>
          <w:bCs/>
          <w:rtl/>
        </w:rPr>
        <w:t>הישראלי</w:t>
      </w:r>
      <w:r w:rsidRPr="001F2586">
        <w:rPr>
          <w:rFonts w:eastAsia="Calibri"/>
          <w:b/>
          <w:bCs/>
          <w:rtl/>
        </w:rPr>
        <w:t xml:space="preserve">. בשל היקפה הכספי הניכר ופריסתה על פני עשרות שנים, המשכנתא אינה רק כלי מימוני לרכישת </w:t>
      </w:r>
      <w:r w:rsidRPr="001F2586">
        <w:rPr>
          <w:rFonts w:eastAsia="Calibri" w:hint="eastAsia"/>
          <w:b/>
          <w:bCs/>
          <w:rtl/>
        </w:rPr>
        <w:t>דירה</w:t>
      </w:r>
      <w:r w:rsidRPr="001F2586">
        <w:rPr>
          <w:rFonts w:eastAsia="Calibri"/>
          <w:b/>
          <w:bCs/>
          <w:rtl/>
        </w:rPr>
        <w:t xml:space="preserve">, אלא גורם המשפיע ישירות על תזרים המזומנים הפנוי של משק בית, על רמת החיים, ועל חוסנם הכלכלי של הלווים לאורך </w:t>
      </w:r>
      <w:r w:rsidRPr="001F2586">
        <w:rPr>
          <w:rFonts w:eastAsia="Calibri" w:hint="eastAsia"/>
          <w:b/>
          <w:bCs/>
          <w:rtl/>
        </w:rPr>
        <w:t>תקופת</w:t>
      </w:r>
      <w:r w:rsidRPr="001F2586">
        <w:rPr>
          <w:rFonts w:eastAsia="Calibri"/>
          <w:b/>
          <w:bCs/>
          <w:rtl/>
        </w:rPr>
        <w:t xml:space="preserve"> </w:t>
      </w:r>
      <w:r w:rsidRPr="001F2586">
        <w:rPr>
          <w:rFonts w:eastAsia="Calibri" w:hint="eastAsia"/>
          <w:b/>
          <w:bCs/>
          <w:rtl/>
        </w:rPr>
        <w:t>זמן</w:t>
      </w:r>
      <w:r w:rsidRPr="001F2586">
        <w:rPr>
          <w:rFonts w:eastAsia="Calibri"/>
          <w:b/>
          <w:bCs/>
          <w:rtl/>
        </w:rPr>
        <w:t xml:space="preserve"> </w:t>
      </w:r>
      <w:r w:rsidRPr="001F2586">
        <w:rPr>
          <w:rFonts w:eastAsia="Calibri" w:hint="eastAsia"/>
          <w:b/>
          <w:bCs/>
          <w:rtl/>
        </w:rPr>
        <w:t>ניכרת</w:t>
      </w:r>
      <w:r w:rsidRPr="001F2586">
        <w:rPr>
          <w:rFonts w:eastAsia="Calibri"/>
          <w:b/>
          <w:bCs/>
          <w:rtl/>
        </w:rPr>
        <w:t xml:space="preserve">. מורכבותו המובנית של המוצר, לצד השלכות הרוחב ארוכות הטווח של </w:t>
      </w:r>
      <w:r w:rsidRPr="001F2586">
        <w:rPr>
          <w:rFonts w:eastAsia="Calibri" w:hint="eastAsia"/>
          <w:b/>
          <w:bCs/>
          <w:rtl/>
        </w:rPr>
        <w:t>תנאיו</w:t>
      </w:r>
      <w:r w:rsidRPr="001F2586">
        <w:rPr>
          <w:rFonts w:eastAsia="Calibri"/>
          <w:b/>
          <w:bCs/>
          <w:rtl/>
        </w:rPr>
        <w:t xml:space="preserve">, מחייבות רמת מודעות צרכנית גבוהה ואסדרה </w:t>
      </w:r>
      <w:r w:rsidRPr="001F2586">
        <w:rPr>
          <w:rFonts w:eastAsia="Calibri" w:hint="eastAsia"/>
          <w:b/>
          <w:bCs/>
          <w:rtl/>
        </w:rPr>
        <w:t>מתאימה</w:t>
      </w:r>
      <w:r w:rsidRPr="001F2586">
        <w:rPr>
          <w:rFonts w:eastAsia="Calibri"/>
          <w:b/>
          <w:bCs/>
          <w:rtl/>
        </w:rPr>
        <w:t xml:space="preserve"> </w:t>
      </w:r>
      <w:r w:rsidRPr="001F2586">
        <w:rPr>
          <w:rFonts w:eastAsia="Calibri" w:hint="eastAsia"/>
          <w:b/>
          <w:bCs/>
          <w:rtl/>
        </w:rPr>
        <w:t>ועדכנית</w:t>
      </w:r>
      <w:r w:rsidRPr="001F2586">
        <w:rPr>
          <w:rFonts w:eastAsia="Calibri"/>
          <w:b/>
          <w:bCs/>
          <w:rtl/>
        </w:rPr>
        <w:t xml:space="preserve"> </w:t>
      </w:r>
      <w:r w:rsidRPr="001F2586">
        <w:rPr>
          <w:rFonts w:eastAsia="Calibri" w:hint="eastAsia"/>
          <w:b/>
          <w:bCs/>
          <w:rtl/>
        </w:rPr>
        <w:t>בהתאם</w:t>
      </w:r>
      <w:r w:rsidRPr="001F2586">
        <w:rPr>
          <w:rFonts w:eastAsia="Calibri"/>
          <w:b/>
          <w:bCs/>
          <w:rtl/>
        </w:rPr>
        <w:t xml:space="preserve"> </w:t>
      </w:r>
      <w:r w:rsidRPr="001F2586">
        <w:rPr>
          <w:rFonts w:eastAsia="Calibri" w:hint="eastAsia"/>
          <w:b/>
          <w:bCs/>
          <w:rtl/>
        </w:rPr>
        <w:t>לשינויים</w:t>
      </w:r>
      <w:r w:rsidRPr="001F2586">
        <w:rPr>
          <w:rFonts w:eastAsia="Calibri"/>
          <w:b/>
          <w:bCs/>
          <w:rtl/>
        </w:rPr>
        <w:t xml:space="preserve"> </w:t>
      </w:r>
      <w:r w:rsidRPr="001F2586">
        <w:rPr>
          <w:rFonts w:eastAsia="Calibri" w:hint="eastAsia"/>
          <w:b/>
          <w:bCs/>
          <w:rtl/>
        </w:rPr>
        <w:t>במשק</w:t>
      </w:r>
      <w:r w:rsidRPr="001F2586">
        <w:rPr>
          <w:rFonts w:eastAsia="Calibri"/>
          <w:b/>
          <w:bCs/>
          <w:rtl/>
        </w:rPr>
        <w:t xml:space="preserve"> </w:t>
      </w:r>
      <w:r w:rsidRPr="001F2586">
        <w:rPr>
          <w:rFonts w:eastAsia="Calibri" w:hint="eastAsia"/>
          <w:b/>
          <w:bCs/>
          <w:rtl/>
        </w:rPr>
        <w:t>מצד</w:t>
      </w:r>
      <w:r w:rsidRPr="001F2586">
        <w:rPr>
          <w:rFonts w:eastAsia="Calibri"/>
          <w:b/>
          <w:bCs/>
          <w:rtl/>
        </w:rPr>
        <w:t xml:space="preserve"> </w:t>
      </w:r>
      <w:r w:rsidRPr="001F2586">
        <w:rPr>
          <w:rFonts w:eastAsia="Calibri" w:hint="eastAsia"/>
          <w:b/>
          <w:bCs/>
          <w:rtl/>
        </w:rPr>
        <w:t>המאסדרים</w:t>
      </w:r>
      <w:r w:rsidRPr="001F2586">
        <w:rPr>
          <w:rFonts w:eastAsia="Calibri"/>
          <w:b/>
          <w:bCs/>
          <w:rtl/>
        </w:rPr>
        <w:t xml:space="preserve"> </w:t>
      </w:r>
      <w:r w:rsidRPr="001F2586">
        <w:rPr>
          <w:rFonts w:eastAsia="Calibri" w:hint="eastAsia"/>
          <w:b/>
          <w:bCs/>
          <w:rtl/>
        </w:rPr>
        <w:t>הרלוונטיים</w:t>
      </w:r>
      <w:r w:rsidRPr="001F2586">
        <w:rPr>
          <w:rFonts w:eastAsia="Calibri"/>
          <w:b/>
          <w:bCs/>
          <w:rtl/>
        </w:rPr>
        <w:t xml:space="preserve"> (בנק </w:t>
      </w:r>
      <w:r w:rsidRPr="001F2586">
        <w:rPr>
          <w:rFonts w:eastAsia="Calibri" w:hint="eastAsia"/>
          <w:b/>
          <w:bCs/>
          <w:rtl/>
        </w:rPr>
        <w:t>ישראל</w:t>
      </w:r>
      <w:r w:rsidRPr="001F2586">
        <w:rPr>
          <w:rFonts w:eastAsia="Calibri"/>
          <w:b/>
          <w:bCs/>
          <w:rtl/>
        </w:rPr>
        <w:t xml:space="preserve"> </w:t>
      </w:r>
      <w:r w:rsidRPr="001F2586">
        <w:rPr>
          <w:rFonts w:eastAsia="Calibri" w:hint="eastAsia"/>
          <w:b/>
          <w:bCs/>
          <w:rtl/>
        </w:rPr>
        <w:t>ורשות</w:t>
      </w:r>
      <w:r w:rsidRPr="001F2586">
        <w:rPr>
          <w:rFonts w:eastAsia="Calibri"/>
          <w:b/>
          <w:bCs/>
          <w:rtl/>
        </w:rPr>
        <w:t xml:space="preserve"> </w:t>
      </w:r>
      <w:r w:rsidRPr="001F2586">
        <w:rPr>
          <w:rFonts w:eastAsia="Calibri" w:hint="eastAsia"/>
          <w:b/>
          <w:bCs/>
          <w:rtl/>
        </w:rPr>
        <w:t>שוק</w:t>
      </w:r>
      <w:r w:rsidRPr="001F2586">
        <w:rPr>
          <w:rFonts w:eastAsia="Calibri"/>
          <w:b/>
          <w:bCs/>
          <w:rtl/>
        </w:rPr>
        <w:t xml:space="preserve"> </w:t>
      </w:r>
      <w:r w:rsidRPr="001F2586">
        <w:rPr>
          <w:rFonts w:eastAsia="Calibri" w:hint="eastAsia"/>
          <w:b/>
          <w:bCs/>
          <w:rtl/>
        </w:rPr>
        <w:t>ההון</w:t>
      </w:r>
      <w:r w:rsidRPr="001F2586">
        <w:rPr>
          <w:rFonts w:eastAsia="Calibri"/>
          <w:b/>
          <w:bCs/>
          <w:rtl/>
        </w:rPr>
        <w:t xml:space="preserve">). </w:t>
      </w:r>
    </w:p>
    <w:p w:rsidR="001F2586" w:rsidRPr="001F2586" w:rsidP="001F2586">
      <w:pPr>
        <w:spacing w:line="269" w:lineRule="auto"/>
        <w:ind w:left="-567"/>
        <w:contextualSpacing/>
        <w:rPr>
          <w:rFonts w:eastAsia="Calibri"/>
          <w:szCs w:val="20"/>
          <w:rtl/>
        </w:rPr>
      </w:pPr>
    </w:p>
    <w:p w:rsidR="001F2586" w:rsidRPr="001F2586" w:rsidP="001F2586">
      <w:pPr>
        <w:spacing w:line="269" w:lineRule="auto"/>
        <w:rPr>
          <w:rFonts w:eastAsia="Calibri"/>
          <w:b/>
          <w:bCs/>
          <w:rtl/>
        </w:rPr>
      </w:pPr>
      <w:r w:rsidRPr="001F2586">
        <w:rPr>
          <w:rFonts w:eastAsia="Calibri" w:hint="eastAsia"/>
          <w:b/>
          <w:bCs/>
          <w:rtl/>
        </w:rPr>
        <w:t>יתרת</w:t>
      </w:r>
      <w:r w:rsidRPr="001F2586">
        <w:rPr>
          <w:rFonts w:eastAsia="Calibri"/>
          <w:b/>
          <w:bCs/>
          <w:rtl/>
        </w:rPr>
        <w:t xml:space="preserve"> </w:t>
      </w:r>
      <w:r w:rsidRPr="001F2586">
        <w:rPr>
          <w:rFonts w:eastAsia="Calibri" w:hint="eastAsia"/>
          <w:b/>
          <w:bCs/>
          <w:rtl/>
        </w:rPr>
        <w:t>חוב</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w:t>
      </w:r>
      <w:r w:rsidRPr="001F2586">
        <w:rPr>
          <w:rFonts w:eastAsia="Calibri" w:hint="eastAsia"/>
          <w:b/>
          <w:bCs/>
          <w:rtl/>
        </w:rPr>
        <w:t>של</w:t>
      </w:r>
      <w:r w:rsidRPr="001F2586">
        <w:rPr>
          <w:rFonts w:eastAsia="Calibri"/>
          <w:b/>
          <w:bCs/>
          <w:rtl/>
        </w:rPr>
        <w:t xml:space="preserve"> </w:t>
      </w:r>
      <w:r w:rsidRPr="001F2586">
        <w:rPr>
          <w:rFonts w:eastAsia="Calibri" w:hint="eastAsia"/>
          <w:b/>
          <w:bCs/>
          <w:rtl/>
        </w:rPr>
        <w:t>משקי</w:t>
      </w:r>
      <w:r w:rsidRPr="001F2586">
        <w:rPr>
          <w:rFonts w:eastAsia="Calibri"/>
          <w:b/>
          <w:bCs/>
          <w:rtl/>
        </w:rPr>
        <w:t xml:space="preserve"> </w:t>
      </w:r>
      <w:r w:rsidRPr="001F2586">
        <w:rPr>
          <w:rFonts w:eastAsia="Calibri" w:hint="eastAsia"/>
          <w:b/>
          <w:bCs/>
          <w:rtl/>
        </w:rPr>
        <w:t>הבית</w:t>
      </w:r>
      <w:r w:rsidRPr="001F2586">
        <w:rPr>
          <w:rFonts w:eastAsia="Calibri"/>
          <w:b/>
          <w:bCs/>
          <w:rtl/>
        </w:rPr>
        <w:t xml:space="preserve"> </w:t>
      </w:r>
      <w:r w:rsidRPr="001F2586">
        <w:rPr>
          <w:rFonts w:eastAsia="Calibri" w:hint="eastAsia"/>
          <w:b/>
          <w:bCs/>
          <w:rtl/>
        </w:rPr>
        <w:t>עומדת</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כ</w:t>
      </w:r>
      <w:r w:rsidRPr="001F2586">
        <w:rPr>
          <w:rFonts w:eastAsia="Calibri"/>
          <w:b/>
          <w:bCs/>
          <w:rtl/>
        </w:rPr>
        <w:t xml:space="preserve">-630 </w:t>
      </w:r>
      <w:r w:rsidRPr="001F2586">
        <w:rPr>
          <w:rFonts w:eastAsia="Calibri" w:hint="eastAsia"/>
          <w:b/>
          <w:bCs/>
          <w:rtl/>
        </w:rPr>
        <w:t>מיליארד</w:t>
      </w:r>
      <w:r w:rsidRPr="001F2586">
        <w:rPr>
          <w:rFonts w:eastAsia="Calibri"/>
          <w:b/>
          <w:bCs/>
          <w:rtl/>
        </w:rPr>
        <w:t xml:space="preserve"> </w:t>
      </w:r>
      <w:r w:rsidR="00480481">
        <w:rPr>
          <w:rFonts w:eastAsia="Calibri" w:hint="eastAsia"/>
          <w:b/>
          <w:bCs/>
          <w:rtl/>
        </w:rPr>
        <w:t>ש</w:t>
      </w:r>
      <w:r w:rsidR="00480481">
        <w:rPr>
          <w:rFonts w:eastAsia="Calibri"/>
          <w:b/>
          <w:bCs/>
          <w:rtl/>
        </w:rPr>
        <w:t>"</w:t>
      </w:r>
      <w:r w:rsidR="00480481">
        <w:rPr>
          <w:rFonts w:eastAsia="Calibri" w:hint="eastAsia"/>
          <w:b/>
          <w:bCs/>
          <w:rtl/>
        </w:rPr>
        <w:t>ח</w:t>
      </w:r>
      <w:r w:rsidRPr="001F2586">
        <w:rPr>
          <w:rFonts w:eastAsia="Calibri"/>
          <w:b/>
          <w:bCs/>
          <w:rtl/>
        </w:rPr>
        <w:t xml:space="preserve">, </w:t>
      </w:r>
      <w:r w:rsidRPr="001F2586">
        <w:rPr>
          <w:rFonts w:eastAsia="Calibri" w:hint="eastAsia"/>
          <w:b/>
          <w:bCs/>
          <w:rtl/>
        </w:rPr>
        <w:t>כשרובה</w:t>
      </w:r>
      <w:r w:rsidRPr="001F2586">
        <w:rPr>
          <w:rFonts w:eastAsia="Calibri"/>
          <w:b/>
          <w:bCs/>
          <w:rtl/>
        </w:rPr>
        <w:t xml:space="preserve"> </w:t>
      </w:r>
      <w:r w:rsidRPr="001F2586">
        <w:rPr>
          <w:rFonts w:eastAsia="Calibri" w:hint="eastAsia"/>
          <w:b/>
          <w:bCs/>
          <w:rtl/>
        </w:rPr>
        <w:t>המוחלט</w:t>
      </w:r>
      <w:r w:rsidRPr="001F2586">
        <w:rPr>
          <w:rFonts w:eastAsia="Calibri"/>
          <w:b/>
          <w:bCs/>
          <w:rtl/>
        </w:rPr>
        <w:t xml:space="preserve"> (כ-96 </w:t>
      </w:r>
      <w:r w:rsidRPr="001F2586">
        <w:rPr>
          <w:rFonts w:eastAsia="Calibri" w:hint="eastAsia"/>
          <w:b/>
          <w:bCs/>
          <w:rtl/>
        </w:rPr>
        <w:t>אחוז</w:t>
      </w:r>
      <w:r w:rsidRPr="001F2586">
        <w:rPr>
          <w:rFonts w:eastAsia="Calibri"/>
          <w:b/>
          <w:bCs/>
          <w:rtl/>
        </w:rPr>
        <w:t xml:space="preserve">) </w:t>
      </w:r>
      <w:r w:rsidRPr="001F2586">
        <w:rPr>
          <w:rFonts w:eastAsia="Calibri" w:hint="eastAsia"/>
          <w:b/>
          <w:bCs/>
          <w:rtl/>
        </w:rPr>
        <w:t>הוא</w:t>
      </w:r>
      <w:r w:rsidRPr="001F2586">
        <w:rPr>
          <w:rFonts w:eastAsia="Calibri"/>
          <w:b/>
          <w:bCs/>
          <w:rtl/>
        </w:rPr>
        <w:t xml:space="preserve"> </w:t>
      </w:r>
      <w:r w:rsidRPr="001F2586">
        <w:rPr>
          <w:rFonts w:eastAsia="Calibri" w:hint="eastAsia"/>
          <w:b/>
          <w:bCs/>
          <w:rtl/>
        </w:rPr>
        <w:t>למערכת</w:t>
      </w:r>
      <w:r w:rsidRPr="001F2586">
        <w:rPr>
          <w:rFonts w:eastAsia="Calibri"/>
          <w:b/>
          <w:bCs/>
          <w:rtl/>
        </w:rPr>
        <w:t xml:space="preserve"> </w:t>
      </w:r>
      <w:r w:rsidRPr="001F2586">
        <w:rPr>
          <w:rFonts w:eastAsia="Calibri" w:hint="eastAsia"/>
          <w:b/>
          <w:bCs/>
          <w:rtl/>
        </w:rPr>
        <w:t>הבנקאית</w:t>
      </w:r>
      <w:r w:rsidRPr="001F2586">
        <w:rPr>
          <w:rFonts w:eastAsia="Calibri"/>
          <w:b/>
          <w:bCs/>
          <w:rtl/>
        </w:rPr>
        <w:t xml:space="preserve">. </w:t>
      </w:r>
      <w:r w:rsidRPr="001F2586">
        <w:rPr>
          <w:rFonts w:eastAsia="Calibri" w:hint="eastAsia"/>
          <w:b/>
          <w:bCs/>
          <w:rtl/>
        </w:rPr>
        <w:t>כל</w:t>
      </w:r>
      <w:r w:rsidRPr="001F2586">
        <w:rPr>
          <w:rFonts w:eastAsia="Calibri"/>
          <w:b/>
          <w:bCs/>
          <w:rtl/>
        </w:rPr>
        <w:t xml:space="preserve"> </w:t>
      </w:r>
      <w:r w:rsidRPr="001F2586">
        <w:rPr>
          <w:rFonts w:eastAsia="Calibri" w:hint="eastAsia"/>
          <w:b/>
          <w:bCs/>
          <w:rtl/>
        </w:rPr>
        <w:t>הטלת</w:t>
      </w:r>
      <w:r w:rsidRPr="001F2586">
        <w:rPr>
          <w:rFonts w:eastAsia="Calibri"/>
          <w:b/>
          <w:bCs/>
          <w:rtl/>
        </w:rPr>
        <w:t xml:space="preserve"> </w:t>
      </w:r>
      <w:r w:rsidRPr="001F2586">
        <w:rPr>
          <w:rFonts w:eastAsia="Calibri" w:hint="eastAsia"/>
          <w:b/>
          <w:bCs/>
          <w:rtl/>
        </w:rPr>
        <w:t>מגבלה</w:t>
      </w:r>
      <w:r w:rsidRPr="001F2586">
        <w:rPr>
          <w:rFonts w:eastAsia="Calibri"/>
          <w:b/>
          <w:bCs/>
          <w:rtl/>
        </w:rPr>
        <w:t xml:space="preserve">, </w:t>
      </w:r>
      <w:r w:rsidRPr="001F2586">
        <w:rPr>
          <w:rFonts w:eastAsia="Calibri" w:hint="eastAsia"/>
          <w:b/>
          <w:bCs/>
          <w:rtl/>
        </w:rPr>
        <w:t>הרחבתה</w:t>
      </w:r>
      <w:r w:rsidRPr="001F2586">
        <w:rPr>
          <w:rFonts w:eastAsia="Calibri"/>
          <w:b/>
          <w:bCs/>
          <w:rtl/>
        </w:rPr>
        <w:t xml:space="preserve"> </w:t>
      </w:r>
      <w:r w:rsidRPr="001F2586">
        <w:rPr>
          <w:rFonts w:eastAsia="Calibri" w:hint="eastAsia"/>
          <w:b/>
          <w:bCs/>
          <w:rtl/>
        </w:rPr>
        <w:t>או</w:t>
      </w:r>
      <w:r w:rsidRPr="001F2586">
        <w:rPr>
          <w:rFonts w:eastAsia="Calibri"/>
          <w:b/>
          <w:bCs/>
          <w:rtl/>
        </w:rPr>
        <w:t xml:space="preserve"> </w:t>
      </w:r>
      <w:r w:rsidRPr="001F2586">
        <w:rPr>
          <w:rFonts w:eastAsia="Calibri" w:hint="eastAsia"/>
          <w:b/>
          <w:bCs/>
          <w:rtl/>
        </w:rPr>
        <w:t>הסרתה</w:t>
      </w:r>
      <w:r w:rsidRPr="001F2586">
        <w:rPr>
          <w:rFonts w:eastAsia="Calibri"/>
          <w:b/>
          <w:bCs/>
          <w:rtl/>
        </w:rPr>
        <w:t xml:space="preserve"> </w:t>
      </w:r>
      <w:r w:rsidRPr="001F2586">
        <w:rPr>
          <w:rFonts w:eastAsia="Calibri" w:hint="eastAsia"/>
          <w:b/>
          <w:bCs/>
          <w:rtl/>
        </w:rPr>
        <w:t>בתחום</w:t>
      </w:r>
      <w:r w:rsidRPr="001F2586">
        <w:rPr>
          <w:rFonts w:eastAsia="Calibri"/>
          <w:b/>
          <w:bCs/>
          <w:rtl/>
        </w:rPr>
        <w:t xml:space="preserve"> </w:t>
      </w:r>
      <w:r w:rsidRPr="001F2586">
        <w:rPr>
          <w:rFonts w:eastAsia="Calibri" w:hint="eastAsia"/>
          <w:b/>
          <w:bCs/>
          <w:rtl/>
        </w:rPr>
        <w:t>המשכנתאות</w:t>
      </w:r>
      <w:r w:rsidRPr="001F2586">
        <w:rPr>
          <w:rFonts w:eastAsia="Calibri"/>
          <w:b/>
          <w:bCs/>
          <w:rtl/>
        </w:rPr>
        <w:t xml:space="preserve">, </w:t>
      </w:r>
      <w:r w:rsidRPr="001F2586">
        <w:rPr>
          <w:rFonts w:eastAsia="Calibri" w:hint="eastAsia"/>
          <w:b/>
          <w:bCs/>
          <w:rtl/>
        </w:rPr>
        <w:t>כגון</w:t>
      </w:r>
      <w:r w:rsidRPr="001F2586">
        <w:rPr>
          <w:rFonts w:eastAsia="Calibri"/>
          <w:b/>
          <w:bCs/>
          <w:rtl/>
        </w:rPr>
        <w:t xml:space="preserve">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המימון</w:t>
      </w:r>
      <w:r w:rsidRPr="001F2586">
        <w:rPr>
          <w:rFonts w:eastAsia="Calibri"/>
          <w:b/>
          <w:bCs/>
          <w:rtl/>
        </w:rPr>
        <w:t xml:space="preserve"> (</w:t>
      </w:r>
      <w:r w:rsidRPr="001F2586">
        <w:rPr>
          <w:rFonts w:eastAsia="Calibri"/>
          <w:b/>
          <w:bCs/>
        </w:rPr>
        <w:t>LTV</w:t>
      </w:r>
      <w:r w:rsidRPr="001F2586">
        <w:rPr>
          <w:rFonts w:eastAsia="Calibri"/>
          <w:b/>
          <w:bCs/>
          <w:rtl/>
        </w:rPr>
        <w:t xml:space="preserve">), </w:t>
      </w:r>
      <w:r w:rsidRPr="001F2586">
        <w:rPr>
          <w:rFonts w:eastAsia="Calibri" w:hint="eastAsia"/>
          <w:b/>
          <w:bCs/>
          <w:rtl/>
        </w:rPr>
        <w:t>שיעור</w:t>
      </w:r>
      <w:r w:rsidRPr="001F2586">
        <w:rPr>
          <w:rFonts w:eastAsia="Calibri"/>
          <w:b/>
          <w:bCs/>
          <w:rtl/>
        </w:rPr>
        <w:t xml:space="preserve"> </w:t>
      </w:r>
      <w:r w:rsidRPr="001F2586">
        <w:rPr>
          <w:rFonts w:eastAsia="Calibri" w:hint="eastAsia"/>
          <w:b/>
          <w:bCs/>
          <w:rtl/>
        </w:rPr>
        <w:t>ההחזר</w:t>
      </w:r>
      <w:r w:rsidRPr="001F2586">
        <w:rPr>
          <w:rFonts w:eastAsia="Calibri"/>
          <w:b/>
          <w:bCs/>
          <w:rtl/>
        </w:rPr>
        <w:t xml:space="preserve"> </w:t>
      </w:r>
      <w:r w:rsidRPr="001F2586">
        <w:rPr>
          <w:rFonts w:eastAsia="Calibri" w:hint="eastAsia"/>
          <w:b/>
          <w:bCs/>
          <w:rtl/>
        </w:rPr>
        <w:t>מההכנסה</w:t>
      </w:r>
      <w:r w:rsidRPr="001F2586">
        <w:rPr>
          <w:rFonts w:eastAsia="Calibri"/>
          <w:b/>
          <w:bCs/>
          <w:rtl/>
        </w:rPr>
        <w:t xml:space="preserve"> (</w:t>
      </w:r>
      <w:r w:rsidRPr="001F2586">
        <w:rPr>
          <w:rFonts w:eastAsia="Calibri"/>
          <w:b/>
          <w:bCs/>
        </w:rPr>
        <w:t>PTI</w:t>
      </w:r>
      <w:r w:rsidRPr="001F2586">
        <w:rPr>
          <w:rFonts w:eastAsia="Calibri"/>
          <w:b/>
          <w:bCs/>
          <w:rtl/>
        </w:rPr>
        <w:t xml:space="preserve">), </w:t>
      </w:r>
      <w:r w:rsidRPr="001F2586">
        <w:rPr>
          <w:rFonts w:eastAsia="Calibri" w:hint="eastAsia"/>
          <w:b/>
          <w:bCs/>
          <w:rtl/>
        </w:rPr>
        <w:t>תקופת</w:t>
      </w:r>
      <w:r w:rsidRPr="001F2586">
        <w:rPr>
          <w:rFonts w:eastAsia="Calibri"/>
          <w:b/>
          <w:bCs/>
          <w:rtl/>
        </w:rPr>
        <w:t xml:space="preserve"> </w:t>
      </w:r>
      <w:r w:rsidRPr="001F2586">
        <w:rPr>
          <w:rFonts w:eastAsia="Calibri" w:hint="eastAsia"/>
          <w:b/>
          <w:bCs/>
          <w:rtl/>
        </w:rPr>
        <w:t>פירעון</w:t>
      </w:r>
      <w:r w:rsidRPr="001F2586">
        <w:rPr>
          <w:rFonts w:eastAsia="Calibri"/>
          <w:b/>
          <w:bCs/>
          <w:rtl/>
        </w:rPr>
        <w:t xml:space="preserve"> </w:t>
      </w:r>
      <w:r w:rsidRPr="001F2586">
        <w:rPr>
          <w:rFonts w:eastAsia="Calibri" w:hint="eastAsia"/>
          <w:b/>
          <w:bCs/>
          <w:rtl/>
        </w:rPr>
        <w:t>ההלוואה</w:t>
      </w:r>
      <w:r w:rsidRPr="001F2586">
        <w:rPr>
          <w:rFonts w:eastAsia="Calibri"/>
          <w:b/>
          <w:bCs/>
          <w:rtl/>
        </w:rPr>
        <w:t xml:space="preserve">, </w:t>
      </w:r>
      <w:r w:rsidRPr="001F2586">
        <w:rPr>
          <w:rFonts w:eastAsia="Calibri" w:hint="eastAsia"/>
          <w:b/>
          <w:bCs/>
          <w:rtl/>
        </w:rPr>
        <w:t>ושיעור</w:t>
      </w:r>
      <w:r w:rsidRPr="001F2586">
        <w:rPr>
          <w:rFonts w:eastAsia="Calibri"/>
          <w:b/>
          <w:bCs/>
          <w:rtl/>
        </w:rPr>
        <w:t xml:space="preserve"> </w:t>
      </w:r>
      <w:r w:rsidRPr="001F2586">
        <w:rPr>
          <w:rFonts w:eastAsia="Calibri" w:hint="eastAsia"/>
          <w:b/>
          <w:bCs/>
          <w:rtl/>
        </w:rPr>
        <w:t>ההלוואה</w:t>
      </w:r>
      <w:r w:rsidRPr="001F2586">
        <w:rPr>
          <w:rFonts w:eastAsia="Calibri"/>
          <w:b/>
          <w:bCs/>
          <w:rtl/>
        </w:rPr>
        <w:t xml:space="preserve"> </w:t>
      </w:r>
      <w:r w:rsidRPr="001F2586">
        <w:rPr>
          <w:rFonts w:eastAsia="Calibri" w:hint="eastAsia"/>
          <w:b/>
          <w:bCs/>
          <w:rtl/>
        </w:rPr>
        <w:t>בריבית</w:t>
      </w:r>
      <w:r w:rsidRPr="001F2586">
        <w:rPr>
          <w:rFonts w:eastAsia="Calibri"/>
          <w:b/>
          <w:bCs/>
          <w:rtl/>
        </w:rPr>
        <w:t xml:space="preserve"> </w:t>
      </w:r>
      <w:r w:rsidRPr="001F2586">
        <w:rPr>
          <w:rFonts w:eastAsia="Calibri" w:hint="eastAsia"/>
          <w:b/>
          <w:bCs/>
          <w:rtl/>
        </w:rPr>
        <w:t>משתנה</w:t>
      </w:r>
      <w:r w:rsidRPr="001F2586">
        <w:rPr>
          <w:rFonts w:eastAsia="Calibri"/>
          <w:b/>
          <w:bCs/>
          <w:rtl/>
        </w:rPr>
        <w:t xml:space="preserve">, </w:t>
      </w:r>
      <w:r w:rsidRPr="001F2586">
        <w:rPr>
          <w:rFonts w:eastAsia="Calibri" w:hint="eastAsia"/>
          <w:b/>
          <w:bCs/>
          <w:rtl/>
        </w:rPr>
        <w:t>עשויה</w:t>
      </w:r>
      <w:r w:rsidRPr="001F2586">
        <w:rPr>
          <w:rFonts w:eastAsia="Calibri"/>
          <w:b/>
          <w:bCs/>
          <w:rtl/>
        </w:rPr>
        <w:t xml:space="preserve"> </w:t>
      </w:r>
      <w:r w:rsidRPr="001F2586">
        <w:rPr>
          <w:rFonts w:eastAsia="Calibri" w:hint="eastAsia"/>
          <w:b/>
          <w:bCs/>
          <w:rtl/>
        </w:rPr>
        <w:t>להשפיע</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הצרכנים</w:t>
      </w:r>
      <w:r w:rsidRPr="001F2586">
        <w:rPr>
          <w:rFonts w:eastAsia="Calibri"/>
          <w:b/>
          <w:bCs/>
          <w:rtl/>
        </w:rPr>
        <w:t xml:space="preserve"> </w:t>
      </w:r>
      <w:r w:rsidRPr="001F2586">
        <w:rPr>
          <w:rFonts w:eastAsia="Calibri" w:hint="eastAsia"/>
          <w:b/>
          <w:bCs/>
          <w:rtl/>
        </w:rPr>
        <w:t>ועל</w:t>
      </w:r>
      <w:r w:rsidRPr="001F2586">
        <w:rPr>
          <w:rFonts w:eastAsia="Calibri"/>
          <w:b/>
          <w:bCs/>
          <w:rtl/>
        </w:rPr>
        <w:t xml:space="preserve"> </w:t>
      </w:r>
      <w:r w:rsidRPr="001F2586">
        <w:rPr>
          <w:rFonts w:eastAsia="Calibri" w:hint="eastAsia"/>
          <w:b/>
          <w:bCs/>
          <w:rtl/>
        </w:rPr>
        <w:t>יציבות</w:t>
      </w:r>
      <w:r w:rsidRPr="001F2586">
        <w:rPr>
          <w:rFonts w:eastAsia="Calibri"/>
          <w:b/>
          <w:bCs/>
          <w:rtl/>
        </w:rPr>
        <w:t xml:space="preserve"> </w:t>
      </w:r>
      <w:r w:rsidRPr="001F2586">
        <w:rPr>
          <w:rFonts w:eastAsia="Calibri" w:hint="eastAsia"/>
          <w:b/>
          <w:bCs/>
          <w:rtl/>
        </w:rPr>
        <w:t>המערכת</w:t>
      </w:r>
      <w:r w:rsidRPr="001F2586">
        <w:rPr>
          <w:rFonts w:eastAsia="Calibri"/>
          <w:b/>
          <w:bCs/>
          <w:rtl/>
        </w:rPr>
        <w:t xml:space="preserve"> </w:t>
      </w:r>
      <w:r w:rsidRPr="001F2586">
        <w:rPr>
          <w:rFonts w:eastAsia="Calibri" w:hint="eastAsia"/>
          <w:b/>
          <w:bCs/>
          <w:rtl/>
        </w:rPr>
        <w:t>הבנקאית</w:t>
      </w:r>
      <w:r w:rsidRPr="001F2586">
        <w:rPr>
          <w:rFonts w:eastAsia="Calibri"/>
          <w:b/>
          <w:bCs/>
          <w:rtl/>
        </w:rPr>
        <w:t xml:space="preserve">. </w:t>
      </w:r>
      <w:r w:rsidRPr="001F2586">
        <w:rPr>
          <w:rFonts w:eastAsia="Calibri" w:hint="eastAsia"/>
          <w:b/>
          <w:bCs/>
          <w:rtl/>
        </w:rPr>
        <w:t>לפיכך</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הפיקוח</w:t>
      </w:r>
      <w:r w:rsidRPr="001F2586">
        <w:rPr>
          <w:rFonts w:eastAsia="Calibri"/>
          <w:b/>
          <w:bCs/>
          <w:rtl/>
        </w:rPr>
        <w:t xml:space="preserve"> </w:t>
      </w:r>
      <w:r w:rsidRPr="001F2586">
        <w:rPr>
          <w:rFonts w:eastAsia="Calibri" w:hint="eastAsia"/>
          <w:b/>
          <w:bCs/>
          <w:rtl/>
        </w:rPr>
        <w:t>על</w:t>
      </w:r>
      <w:r w:rsidRPr="001F2586">
        <w:rPr>
          <w:rFonts w:eastAsia="Calibri"/>
          <w:b/>
          <w:bCs/>
          <w:rtl/>
        </w:rPr>
        <w:t xml:space="preserve"> </w:t>
      </w:r>
      <w:r w:rsidRPr="001F2586">
        <w:rPr>
          <w:rFonts w:eastAsia="Calibri" w:hint="eastAsia"/>
          <w:b/>
          <w:bCs/>
          <w:rtl/>
        </w:rPr>
        <w:t>הבנקים</w:t>
      </w:r>
      <w:r w:rsidRPr="001F2586">
        <w:rPr>
          <w:rFonts w:eastAsia="Calibri"/>
          <w:b/>
          <w:bCs/>
          <w:rtl/>
        </w:rPr>
        <w:t xml:space="preserve"> </w:t>
      </w:r>
      <w:r w:rsidRPr="001F2586">
        <w:rPr>
          <w:rFonts w:eastAsia="Calibri" w:hint="eastAsia"/>
          <w:b/>
          <w:bCs/>
          <w:rtl/>
        </w:rPr>
        <w:t>בבנק</w:t>
      </w:r>
      <w:r w:rsidRPr="001F2586">
        <w:rPr>
          <w:rFonts w:eastAsia="Calibri"/>
          <w:b/>
          <w:bCs/>
          <w:rtl/>
        </w:rPr>
        <w:t xml:space="preserve"> </w:t>
      </w:r>
      <w:r w:rsidRPr="001F2586">
        <w:rPr>
          <w:rFonts w:eastAsia="Calibri" w:hint="eastAsia"/>
          <w:b/>
          <w:bCs/>
          <w:rtl/>
        </w:rPr>
        <w:t>ישראל</w:t>
      </w:r>
      <w:r w:rsidRPr="001F2586">
        <w:rPr>
          <w:rFonts w:eastAsia="Calibri"/>
          <w:b/>
          <w:bCs/>
          <w:rtl/>
        </w:rPr>
        <w:t xml:space="preserve"> </w:t>
      </w:r>
      <w:r w:rsidRPr="001F2586">
        <w:rPr>
          <w:rFonts w:eastAsia="Calibri" w:hint="eastAsia"/>
          <w:b/>
          <w:bCs/>
          <w:rtl/>
        </w:rPr>
        <w:t>לבחון</w:t>
      </w:r>
      <w:r w:rsidRPr="001F2586">
        <w:rPr>
          <w:rFonts w:eastAsia="Calibri"/>
          <w:b/>
          <w:bCs/>
          <w:rtl/>
        </w:rPr>
        <w:t xml:space="preserve"> </w:t>
      </w:r>
      <w:r w:rsidRPr="001F2586">
        <w:rPr>
          <w:rFonts w:eastAsia="Calibri" w:hint="eastAsia"/>
          <w:b/>
          <w:bCs/>
          <w:rtl/>
        </w:rPr>
        <w:t>את</w:t>
      </w:r>
      <w:r w:rsidRPr="001F2586">
        <w:rPr>
          <w:rFonts w:eastAsia="Calibri"/>
          <w:b/>
          <w:bCs/>
          <w:rtl/>
        </w:rPr>
        <w:t xml:space="preserve"> </w:t>
      </w:r>
      <w:r w:rsidRPr="001F2586">
        <w:rPr>
          <w:rFonts w:eastAsia="Calibri" w:hint="eastAsia"/>
          <w:b/>
          <w:bCs/>
          <w:rtl/>
        </w:rPr>
        <w:t>המגבלות</w:t>
      </w:r>
      <w:r w:rsidRPr="001F2586">
        <w:rPr>
          <w:rFonts w:eastAsia="Calibri"/>
          <w:b/>
          <w:bCs/>
          <w:rtl/>
        </w:rPr>
        <w:t xml:space="preserve"> </w:t>
      </w:r>
      <w:r w:rsidRPr="001F2586">
        <w:rPr>
          <w:rFonts w:eastAsia="Calibri" w:hint="eastAsia"/>
          <w:b/>
          <w:bCs/>
          <w:rtl/>
        </w:rPr>
        <w:t>באופן</w:t>
      </w:r>
      <w:r w:rsidRPr="001F2586">
        <w:rPr>
          <w:rFonts w:eastAsia="Calibri"/>
          <w:b/>
          <w:bCs/>
          <w:rtl/>
        </w:rPr>
        <w:t xml:space="preserve"> </w:t>
      </w:r>
      <w:r w:rsidRPr="001F2586">
        <w:rPr>
          <w:rFonts w:eastAsia="Calibri" w:hint="eastAsia"/>
          <w:b/>
          <w:bCs/>
          <w:rtl/>
        </w:rPr>
        <w:t>עיתי</w:t>
      </w:r>
      <w:r w:rsidRPr="001F2586">
        <w:rPr>
          <w:rFonts w:eastAsia="Calibri"/>
          <w:b/>
          <w:bCs/>
          <w:rtl/>
        </w:rPr>
        <w:t xml:space="preserve">, </w:t>
      </w:r>
      <w:r w:rsidRPr="001F2586">
        <w:rPr>
          <w:rFonts w:eastAsia="Calibri" w:hint="eastAsia"/>
          <w:b/>
          <w:bCs/>
          <w:rtl/>
        </w:rPr>
        <w:t>במיוחד</w:t>
      </w:r>
      <w:r w:rsidRPr="001F2586">
        <w:rPr>
          <w:rFonts w:eastAsia="Calibri"/>
          <w:b/>
          <w:bCs/>
          <w:rtl/>
        </w:rPr>
        <w:t xml:space="preserve"> </w:t>
      </w:r>
      <w:r w:rsidRPr="001F2586">
        <w:rPr>
          <w:rFonts w:eastAsia="Calibri" w:hint="eastAsia"/>
          <w:b/>
          <w:bCs/>
          <w:rtl/>
        </w:rPr>
        <w:t>בשינויי</w:t>
      </w:r>
      <w:r w:rsidRPr="001F2586">
        <w:rPr>
          <w:rFonts w:eastAsia="Calibri"/>
          <w:b/>
          <w:bCs/>
          <w:rtl/>
        </w:rPr>
        <w:t xml:space="preserve"> </w:t>
      </w:r>
      <w:r w:rsidRPr="001F2586">
        <w:rPr>
          <w:rFonts w:eastAsia="Calibri" w:hint="eastAsia"/>
          <w:b/>
          <w:bCs/>
          <w:rtl/>
        </w:rPr>
        <w:t>נסיבות</w:t>
      </w:r>
      <w:r w:rsidRPr="001F2586">
        <w:rPr>
          <w:rFonts w:eastAsia="Calibri"/>
          <w:b/>
          <w:bCs/>
          <w:rtl/>
        </w:rPr>
        <w:t xml:space="preserve"> </w:t>
      </w:r>
      <w:r w:rsidRPr="001F2586">
        <w:rPr>
          <w:rFonts w:eastAsia="Calibri" w:hint="eastAsia"/>
          <w:b/>
          <w:bCs/>
          <w:rtl/>
        </w:rPr>
        <w:t>מקרו</w:t>
      </w:r>
      <w:r w:rsidRPr="001F2586">
        <w:rPr>
          <w:rFonts w:eastAsia="Calibri" w:hint="cs"/>
          <w:b/>
          <w:bCs/>
          <w:rtl/>
        </w:rPr>
        <w:t>-</w:t>
      </w:r>
      <w:r w:rsidRPr="001F2586">
        <w:rPr>
          <w:rFonts w:eastAsia="Calibri" w:hint="eastAsia"/>
          <w:b/>
          <w:bCs/>
          <w:rtl/>
        </w:rPr>
        <w:t>כלכליים</w:t>
      </w:r>
      <w:r w:rsidRPr="001F2586">
        <w:rPr>
          <w:rFonts w:eastAsia="Calibri"/>
          <w:b/>
          <w:bCs/>
          <w:rtl/>
        </w:rPr>
        <w:t xml:space="preserve">, </w:t>
      </w:r>
      <w:r w:rsidRPr="001F2586">
        <w:rPr>
          <w:rFonts w:eastAsia="Calibri" w:hint="eastAsia"/>
          <w:b/>
          <w:bCs/>
          <w:rtl/>
        </w:rPr>
        <w:t>גלובליים</w:t>
      </w:r>
      <w:r w:rsidRPr="001F2586">
        <w:rPr>
          <w:rFonts w:eastAsia="Calibri"/>
          <w:b/>
          <w:bCs/>
          <w:rtl/>
        </w:rPr>
        <w:t xml:space="preserve"> </w:t>
      </w:r>
      <w:r w:rsidRPr="001F2586">
        <w:rPr>
          <w:rFonts w:eastAsia="Calibri" w:hint="eastAsia"/>
          <w:b/>
          <w:bCs/>
          <w:rtl/>
        </w:rPr>
        <w:t>ומקומיים</w:t>
      </w:r>
      <w:r w:rsidRPr="001F2586">
        <w:rPr>
          <w:rFonts w:eastAsia="Calibri"/>
          <w:b/>
          <w:bCs/>
          <w:rtl/>
        </w:rPr>
        <w:t>.</w:t>
      </w:r>
    </w:p>
    <w:p w:rsidR="001F2586" w:rsidRPr="001F2586" w:rsidP="001F2586">
      <w:pPr>
        <w:spacing w:line="269" w:lineRule="auto"/>
        <w:ind w:left="-567"/>
        <w:rPr>
          <w:rFonts w:eastAsia="Calibri"/>
          <w:szCs w:val="20"/>
          <w:rtl/>
        </w:rPr>
      </w:pPr>
    </w:p>
    <w:p w:rsidR="001F2586" w:rsidRPr="001F2586" w:rsidP="001F2586">
      <w:pPr>
        <w:spacing w:line="269" w:lineRule="auto"/>
        <w:rPr>
          <w:rFonts w:eastAsia="Calibri"/>
          <w:b/>
          <w:bCs/>
          <w:rtl/>
        </w:rPr>
      </w:pPr>
      <w:r w:rsidRPr="001F2586">
        <w:rPr>
          <w:rFonts w:eastAsia="Calibri"/>
          <w:b/>
          <w:bCs/>
          <w:rtl/>
        </w:rPr>
        <w:t xml:space="preserve">בביקורת </w:t>
      </w:r>
      <w:r w:rsidRPr="001F2586">
        <w:rPr>
          <w:rFonts w:eastAsia="Calibri" w:hint="cs"/>
          <w:b/>
          <w:bCs/>
          <w:rtl/>
        </w:rPr>
        <w:t xml:space="preserve">לא </w:t>
      </w:r>
      <w:r w:rsidRPr="001F2586">
        <w:rPr>
          <w:rFonts w:eastAsia="Calibri"/>
          <w:b/>
          <w:bCs/>
          <w:rtl/>
        </w:rPr>
        <w:t xml:space="preserve">נמצא </w:t>
      </w:r>
      <w:r w:rsidRPr="001F2586">
        <w:rPr>
          <w:rFonts w:eastAsia="Calibri" w:hint="cs"/>
          <w:b/>
          <w:bCs/>
          <w:rtl/>
        </w:rPr>
        <w:t>תיעוד לכך ש</w:t>
      </w:r>
      <w:r w:rsidRPr="001F2586">
        <w:rPr>
          <w:rFonts w:eastAsia="Calibri"/>
          <w:b/>
          <w:bCs/>
          <w:rtl/>
        </w:rPr>
        <w:t>בשנים 2020</w:t>
      </w:r>
      <w:r w:rsidRPr="001F2586">
        <w:rPr>
          <w:rFonts w:eastAsia="Calibri" w:hint="cs"/>
          <w:b/>
          <w:bCs/>
          <w:rtl/>
        </w:rPr>
        <w:t xml:space="preserve"> </w:t>
      </w:r>
      <w:r w:rsidRPr="001F2586">
        <w:rPr>
          <w:rFonts w:eastAsia="Calibri"/>
          <w:b/>
          <w:bCs/>
          <w:rtl/>
        </w:rPr>
        <w:t>- 2024 הפיקוח על הבנקים בחן באופן עיתי את המגבלות העיקריות למתן הלוואות לדיור (מגבלת שיעור המימון, מגבלת שיעור החזר מהכנסה, מגבלת חלק הלוואה בריבית משתנה ומגבלת התקופה)</w:t>
      </w:r>
      <w:r w:rsidRPr="001F2586">
        <w:rPr>
          <w:rFonts w:eastAsia="Calibri" w:hint="cs"/>
          <w:b/>
          <w:bCs/>
          <w:rtl/>
        </w:rPr>
        <w:t>. בנוסף</w:t>
      </w:r>
      <w:r w:rsidRPr="001F2586">
        <w:rPr>
          <w:rFonts w:eastAsia="Calibri"/>
          <w:b/>
          <w:bCs/>
          <w:rtl/>
        </w:rPr>
        <w:t xml:space="preserve"> </w:t>
      </w:r>
      <w:r w:rsidRPr="001F2586">
        <w:rPr>
          <w:rFonts w:eastAsia="Calibri" w:hint="cs"/>
          <w:b/>
          <w:bCs/>
          <w:rtl/>
        </w:rPr>
        <w:t xml:space="preserve">בביקורת נמצא </w:t>
      </w:r>
      <w:r w:rsidRPr="001F2586">
        <w:rPr>
          <w:rFonts w:eastAsia="Calibri"/>
          <w:b/>
          <w:bCs/>
          <w:rtl/>
        </w:rPr>
        <w:t xml:space="preserve">כי </w:t>
      </w:r>
      <w:r w:rsidRPr="001F2586">
        <w:rPr>
          <w:rFonts w:eastAsia="Calibri" w:hint="cs"/>
          <w:b/>
          <w:bCs/>
          <w:rtl/>
        </w:rPr>
        <w:t>הפיקוח על הבנקים</w:t>
      </w:r>
      <w:r w:rsidRPr="001F2586">
        <w:rPr>
          <w:rFonts w:eastAsia="Calibri"/>
          <w:b/>
          <w:bCs/>
          <w:rtl/>
        </w:rPr>
        <w:t xml:space="preserve"> משתמש במספר גדול יותר של כלים מגבילים על משכנתאות ומיישם את חלקן באופן שמרני ביחס למרבית המדינות בעולם. בכך, הפיקוח על הבנקים מצמצם את האפשרות להתפתחות סיכונים בתיק האשראי לדיור באופן ששומר על יציבות המערכת הבנקאית ומגן על לווים מלקיחת משכנתאות ממונפות אך עלול גם לחסום אוכלוסיות מסוימות מלקבל משכנתא לרכישת דירה במערכת הבנקאית.</w:t>
      </w:r>
    </w:p>
    <w:p w:rsidR="001F2586" w:rsidRPr="001F2586" w:rsidP="001F2586">
      <w:pPr>
        <w:spacing w:line="269" w:lineRule="auto"/>
        <w:ind w:left="-567"/>
        <w:contextualSpacing/>
        <w:rPr>
          <w:rFonts w:eastAsia="Calibri"/>
          <w:szCs w:val="20"/>
          <w:rtl/>
        </w:rPr>
      </w:pPr>
    </w:p>
    <w:p w:rsidR="001F2586" w:rsidRPr="001F2586" w:rsidP="001F2586">
      <w:pPr>
        <w:spacing w:line="269" w:lineRule="auto"/>
        <w:rPr>
          <w:rFonts w:eastAsia="Calibri"/>
          <w:b/>
          <w:bCs/>
          <w:rtl/>
        </w:rPr>
      </w:pPr>
      <w:r w:rsidRPr="001F2586">
        <w:rPr>
          <w:rFonts w:eastAsia="Calibri"/>
          <w:b/>
          <w:bCs/>
          <w:rtl/>
        </w:rPr>
        <w:t xml:space="preserve">הביקורת העלתה כי בשנים האחרונות חל גידול ב"מבצעי עידוד" שונים שניתנים על ידי הקבלנים </w:t>
      </w:r>
      <w:r w:rsidRPr="001F2586">
        <w:rPr>
          <w:rFonts w:eastAsia="Calibri"/>
          <w:b/>
          <w:bCs/>
          <w:rtl/>
        </w:rPr>
        <w:t>לרוכשי</w:t>
      </w:r>
      <w:r w:rsidRPr="001F2586">
        <w:rPr>
          <w:rFonts w:eastAsia="Calibri"/>
          <w:b/>
          <w:bCs/>
          <w:rtl/>
        </w:rPr>
        <w:t xml:space="preserve"> הדירות, כגון דחייה משמעותית בתשלומים, הלוואות בסבסוד קבלנים, סבסוד משכנתאות ועוד. כך לדוגמה, הלוואות בסבסוד קבלן, הגיעו </w:t>
      </w:r>
      <w:r w:rsidRPr="001F2586">
        <w:rPr>
          <w:rFonts w:eastAsia="Calibri"/>
          <w:b/>
          <w:bCs/>
          <w:rtl/>
        </w:rPr>
        <w:t>ללמעלה</w:t>
      </w:r>
      <w:r w:rsidRPr="001F2586">
        <w:rPr>
          <w:rFonts w:eastAsia="Calibri"/>
          <w:b/>
          <w:bCs/>
          <w:rtl/>
        </w:rPr>
        <w:t xml:space="preserve"> מ-8 מיליארד ש"ח במצטבר באוגוסט 2025. </w:t>
      </w:r>
      <w:bookmarkStart w:id="104" w:name="_Hlk224052157"/>
      <w:r w:rsidRPr="001F2586">
        <w:rPr>
          <w:rFonts w:eastAsia="Calibri"/>
          <w:b/>
          <w:bCs/>
          <w:rtl/>
        </w:rPr>
        <w:t>על הפיקוח על הבנקים לאמוד את הסיכון המתהווה כתוצאה מהמבצעים, ואת השפעתם על יציבות המערכת הבנקאית והצרכנים, לנקוט בצעדים רגולטורים במידת הצורך, ולבחון את האפקטיביות שלהם. עם זאת, יש להיזהר מנקיטת צעדים בתחום המשכנתאות שיש בהם לפגוע במדיניות המוניטרית שמתווה בנק ישראל, ואף יכולים להביא לשיבוש שוק מימון חופש</w:t>
      </w:r>
      <w:r w:rsidRPr="001F2586">
        <w:rPr>
          <w:rFonts w:eastAsia="Calibri" w:hint="cs"/>
          <w:b/>
          <w:bCs/>
          <w:rtl/>
        </w:rPr>
        <w:t>י</w:t>
      </w:r>
      <w:r w:rsidRPr="001F2586">
        <w:rPr>
          <w:rFonts w:eastAsia="Calibri"/>
          <w:b/>
          <w:bCs/>
          <w:rtl/>
        </w:rPr>
        <w:t xml:space="preserve"> </w:t>
      </w:r>
      <w:r w:rsidRPr="001F2586">
        <w:rPr>
          <w:rFonts w:eastAsia="Calibri" w:hint="cs"/>
          <w:b/>
          <w:bCs/>
          <w:rtl/>
        </w:rPr>
        <w:t>ו</w:t>
      </w:r>
      <w:r w:rsidRPr="001F2586">
        <w:rPr>
          <w:rFonts w:eastAsia="Calibri"/>
          <w:b/>
          <w:bCs/>
          <w:rtl/>
        </w:rPr>
        <w:t xml:space="preserve">תחרותי </w:t>
      </w:r>
      <w:r w:rsidRPr="001F2586">
        <w:rPr>
          <w:rFonts w:eastAsia="Calibri" w:hint="cs"/>
          <w:b/>
          <w:bCs/>
          <w:rtl/>
        </w:rPr>
        <w:t>ולפגוע</w:t>
      </w:r>
      <w:r w:rsidRPr="001F2586">
        <w:rPr>
          <w:rFonts w:eastAsia="Calibri"/>
          <w:b/>
          <w:bCs/>
          <w:rtl/>
        </w:rPr>
        <w:t xml:space="preserve"> בהוגנות כלפי הציבור. </w:t>
      </w:r>
    </w:p>
    <w:bookmarkEnd w:id="104"/>
    <w:p w:rsidR="001F2586" w:rsidRPr="001F2586" w:rsidP="001F2586">
      <w:pPr>
        <w:spacing w:line="269" w:lineRule="auto"/>
        <w:ind w:left="-567"/>
        <w:contextualSpacing/>
        <w:rPr>
          <w:rFonts w:ascii="David" w:eastAsia="Calibri" w:hAnsi="David"/>
          <w:sz w:val="24"/>
          <w:rtl/>
        </w:rPr>
      </w:pPr>
    </w:p>
    <w:p w:rsidR="001F2586" w:rsidRPr="001F2586" w:rsidP="001F2586">
      <w:pPr>
        <w:spacing w:line="269" w:lineRule="auto"/>
        <w:rPr>
          <w:rFonts w:eastAsia="Calibri"/>
          <w:b/>
          <w:bCs/>
          <w:rtl/>
        </w:rPr>
      </w:pPr>
      <w:r w:rsidRPr="001F2586">
        <w:rPr>
          <w:rFonts w:eastAsia="Calibri"/>
          <w:b/>
          <w:bCs/>
          <w:rtl/>
        </w:rPr>
        <w:t xml:space="preserve">הביקורת העלתה כי יש פערים בתחום המשכנתאות בין האוכלוסייה הערבית והחרדית לבין האוכלוסייה הכללית. יש לבחון נקיטת פעולות להסרת חסמים, ולהקטין ולנהל סיכונים במידה וקיימים באוכלוסיות אלו, שעלולים להשפיע על יציבות כלל המערכת. כמו כן יש לבחון את אפקטיביות הצעדים בהם המדינה נוקטת בתחום הסיוע במשכנתאות לאוכלוסיות מסוימות, כגון הלוואות לדיור לזכאים, תוכניות מתן הלוואות לדיור למשפחות יוצאי אתיופיה, </w:t>
      </w:r>
      <w:r w:rsidRPr="001F2586">
        <w:rPr>
          <w:rFonts w:eastAsia="Calibri"/>
          <w:b/>
          <w:bCs/>
          <w:rtl/>
        </w:rPr>
        <w:t>רוכשי</w:t>
      </w:r>
      <w:r w:rsidRPr="001F2586">
        <w:rPr>
          <w:rFonts w:eastAsia="Calibri"/>
          <w:b/>
          <w:bCs/>
          <w:rtl/>
        </w:rPr>
        <w:t xml:space="preserve"> דירות בפריפריה ומוגבלים בתנועה, ובמידת הצורך לעדכן את ההטבות על מנת לעמוד ביעדי הסיוע.</w:t>
      </w:r>
    </w:p>
    <w:p w:rsidR="001F2586" w:rsidRPr="001F2586" w:rsidP="001F2586">
      <w:pPr>
        <w:spacing w:line="269" w:lineRule="auto"/>
        <w:ind w:left="-567"/>
        <w:contextualSpacing/>
        <w:rPr>
          <w:rFonts w:ascii="David" w:eastAsia="Calibri" w:hAnsi="David"/>
          <w:sz w:val="24"/>
          <w:rtl/>
        </w:rPr>
      </w:pPr>
    </w:p>
    <w:p w:rsidR="001F2586" w:rsidRPr="001F2586" w:rsidP="001F2586">
      <w:pPr>
        <w:spacing w:line="269" w:lineRule="auto"/>
        <w:rPr>
          <w:rFonts w:eastAsia="Calibri"/>
          <w:b/>
          <w:bCs/>
          <w:rtl/>
        </w:rPr>
      </w:pPr>
      <w:r w:rsidRPr="001F2586">
        <w:rPr>
          <w:rFonts w:eastAsia="Calibri"/>
          <w:b/>
          <w:bCs/>
          <w:rtl/>
        </w:rPr>
        <w:t>בשנים האחרונות הוביל בנק ישראל שורה של רפורמות וצעדי אסדרה שנועדו להגביר את השקיפות והתחרות בשוק המשכנתאות, לצד שמירה על יציבות המערכת הפיננסית. המרכזית שבהן היא רפורמת השקיפות, אשר חייבה את הבנקים להציג ללווים תמהילים אחידים ופשוטים המאפשרים השוואה ישירה בין ההצעות השונות, וכן קידמה את אתר "קו המשווה" המציג לציבור את הריביות הממוצעות בשוק. נמצא כי על אף רפורמת השקיפות של הפיקוח על הבנקים,</w:t>
      </w:r>
      <w:r w:rsidRPr="001F2586">
        <w:rPr>
          <w:rFonts w:eastAsia="Calibri" w:hint="cs"/>
          <w:b/>
          <w:bCs/>
          <w:rtl/>
        </w:rPr>
        <w:t xml:space="preserve"> </w:t>
      </w:r>
      <w:r w:rsidRPr="001F2586">
        <w:rPr>
          <w:rFonts w:eastAsia="Calibri"/>
          <w:b/>
          <w:bCs/>
          <w:rtl/>
        </w:rPr>
        <w:t xml:space="preserve">שיעור </w:t>
      </w:r>
      <w:r w:rsidRPr="001F2586">
        <w:rPr>
          <w:rFonts w:eastAsia="Calibri"/>
          <w:b/>
          <w:bCs/>
          <w:rtl/>
        </w:rPr>
        <w:t>התיחור</w:t>
      </w:r>
      <w:r w:rsidRPr="001F2586">
        <w:rPr>
          <w:rFonts w:eastAsia="Calibri" w:hint="cs"/>
          <w:b/>
          <w:bCs/>
          <w:rtl/>
        </w:rPr>
        <w:t xml:space="preserve"> של לווים בשנת 2024 הוא נמוך יחסית (37%), </w:t>
      </w:r>
      <w:r w:rsidRPr="001F2586">
        <w:rPr>
          <w:rFonts w:ascii="David" w:eastAsia="Calibri" w:hAnsi="David" w:hint="cs"/>
          <w:b/>
          <w:bCs/>
          <w:sz w:val="24"/>
          <w:rtl/>
        </w:rPr>
        <w:t>כך שמרבית הלווים (63%)</w:t>
      </w:r>
      <w:r w:rsidRPr="001F2586">
        <w:rPr>
          <w:rFonts w:ascii="David" w:eastAsia="Calibri" w:hAnsi="David"/>
          <w:b/>
          <w:bCs/>
          <w:sz w:val="24"/>
          <w:rtl/>
        </w:rPr>
        <w:t xml:space="preserve"> </w:t>
      </w:r>
      <w:r w:rsidRPr="001F2586">
        <w:rPr>
          <w:rFonts w:ascii="David" w:eastAsia="Calibri" w:hAnsi="David" w:hint="cs"/>
          <w:b/>
          <w:bCs/>
          <w:sz w:val="24"/>
          <w:rtl/>
        </w:rPr>
        <w:t>קיבלו</w:t>
      </w:r>
      <w:r w:rsidRPr="001F2586">
        <w:rPr>
          <w:rFonts w:ascii="David" w:eastAsia="Calibri" w:hAnsi="David"/>
          <w:b/>
          <w:bCs/>
          <w:sz w:val="24"/>
          <w:rtl/>
        </w:rPr>
        <w:t xml:space="preserve"> הצעה מבנק אחד בלבד.</w:t>
      </w:r>
    </w:p>
    <w:p w:rsidR="001F2586" w:rsidRPr="001F2586" w:rsidP="001F2586">
      <w:pPr>
        <w:spacing w:line="269" w:lineRule="auto"/>
        <w:ind w:left="-567"/>
        <w:contextualSpacing/>
        <w:rPr>
          <w:rFonts w:ascii="David" w:eastAsia="Calibri" w:hAnsi="David"/>
          <w:sz w:val="24"/>
          <w:rtl/>
        </w:rPr>
      </w:pPr>
    </w:p>
    <w:p w:rsidR="001F2586" w:rsidRPr="001F2586" w:rsidP="001F2586">
      <w:pPr>
        <w:spacing w:line="269" w:lineRule="auto"/>
        <w:rPr>
          <w:rFonts w:eastAsia="Calibri"/>
          <w:b/>
          <w:bCs/>
          <w:rtl/>
        </w:rPr>
      </w:pPr>
      <w:r w:rsidRPr="001F2586">
        <w:rPr>
          <w:rFonts w:eastAsia="Calibri"/>
          <w:b/>
          <w:bCs/>
          <w:rtl/>
        </w:rPr>
        <w:t>נוכח מורכבותה של המשכנתא, מרבית הצרכנים צריכים ייעוץ מקצועי. עם זאת נמצא, כי בניגוד לתחומי ייעוץ פיננסיים אחרים (כגון</w:t>
      </w:r>
      <w:r w:rsidRPr="001F2586">
        <w:rPr>
          <w:rFonts w:eastAsia="Calibri" w:hint="cs"/>
          <w:b/>
          <w:bCs/>
          <w:rtl/>
        </w:rPr>
        <w:t xml:space="preserve"> ה</w:t>
      </w:r>
      <w:r w:rsidRPr="001F2586">
        <w:rPr>
          <w:rFonts w:eastAsia="Calibri"/>
          <w:b/>
          <w:bCs/>
          <w:rtl/>
        </w:rPr>
        <w:t xml:space="preserve"> ייעוץ פנסיוני או ייעוץ השקעות</w:t>
      </w:r>
      <w:r w:rsidRPr="001F2586">
        <w:rPr>
          <w:rFonts w:eastAsia="Calibri" w:hint="cs"/>
          <w:b/>
          <w:bCs/>
          <w:rtl/>
        </w:rPr>
        <w:t>, שמאות מקרקעין וסוכני ביטוח</w:t>
      </w:r>
      <w:r w:rsidRPr="001F2586">
        <w:rPr>
          <w:rFonts w:eastAsia="Calibri"/>
          <w:b/>
          <w:bCs/>
          <w:rtl/>
        </w:rPr>
        <w:t xml:space="preserve">), תחום ייעוץ המשכנתאות אינו מוסדר בחוק, אין דרישות סף למקצוע (השכלה, ניסיון, גיל) ואין חובת רישוי. בהיעדר פיקוח סטטוטורי, צרכנים חשופים לשיטות שיווק אגרסיביות, גביית שכר טרחה מופרז, וייעוץ שאינו בהכרח אובייקטיבי. </w:t>
      </w:r>
    </w:p>
    <w:p w:rsidR="001F2586" w:rsidRPr="001F2586" w:rsidP="001F2586">
      <w:pPr>
        <w:spacing w:line="269" w:lineRule="auto"/>
        <w:ind w:left="-567"/>
        <w:contextualSpacing/>
        <w:rPr>
          <w:rFonts w:ascii="David" w:eastAsia="Calibri" w:hAnsi="David"/>
          <w:sz w:val="24"/>
          <w:rtl/>
        </w:rPr>
      </w:pPr>
    </w:p>
    <w:p w:rsidR="001F2586" w:rsidRPr="001F2586" w:rsidP="001F2586">
      <w:pPr>
        <w:spacing w:line="269" w:lineRule="auto"/>
        <w:rPr>
          <w:rFonts w:eastAsia="Calibri"/>
          <w:b/>
          <w:bCs/>
          <w:rtl/>
        </w:rPr>
      </w:pPr>
      <w:r w:rsidRPr="001F2586">
        <w:rPr>
          <w:rFonts w:eastAsia="Calibri"/>
          <w:b/>
          <w:bCs/>
          <w:rtl/>
        </w:rPr>
        <w:t xml:space="preserve">מנתוני שוק האשראי לדיור של רשות שוק ההון נמצא כי חלקם של הגופים החוץ-בנקאיים נאמד בכ-5.7 מיליארד ש"ח, המהווים כ-1% בלבד מכלל השוק. היקף פעילות זה משקף את הפער הקיים בין המערכת הבנקאית לבין שחקנים חדשים המבקשים להציע חלופות </w:t>
      </w:r>
      <w:r w:rsidRPr="001F2586">
        <w:rPr>
          <w:rFonts w:eastAsia="Calibri"/>
          <w:b/>
          <w:bCs/>
          <w:rtl/>
        </w:rPr>
        <w:t>מימוניות</w:t>
      </w:r>
      <w:r w:rsidRPr="001F2586">
        <w:rPr>
          <w:rFonts w:eastAsia="Calibri"/>
          <w:b/>
          <w:bCs/>
          <w:rtl/>
        </w:rPr>
        <w:t xml:space="preserve"> לציבור. כדי לאפשר לשחקנים אלו לשמש אלטרנטיבה ממשית, נדרשת חשיבה משותפת של רשות שוק ההון, בנק ישראל, ומשרד האוצר. כך למשל, </w:t>
      </w:r>
      <w:r w:rsidRPr="001F2586">
        <w:rPr>
          <w:rFonts w:eastAsia="Calibri" w:hint="eastAsia"/>
          <w:b/>
          <w:bCs/>
          <w:rtl/>
        </w:rPr>
        <w:t>מומלץ</w:t>
      </w:r>
      <w:r w:rsidRPr="001F2586">
        <w:rPr>
          <w:rFonts w:eastAsia="Calibri"/>
          <w:b/>
          <w:bCs/>
          <w:rtl/>
        </w:rPr>
        <w:t xml:space="preserve"> לבחון כלים נוספים להוזלת מקורות גיוס החוב של הגופים החוץ-בנקאיים, ובכך לצמצם את פערי העלויות בינם לבין התאגידים הבנקאיים. צעד זה, לצד קביעת סטנדרטים ברורים של שקיפות וגילוי נאות מול הלקוח, יוכל להפוך את המשכנתא החוץ-בנקאית למוצר נגיש ותחרותי יותר עבור הלווה הישראלי. </w:t>
      </w:r>
    </w:p>
    <w:p w:rsidR="001F2586" w:rsidRPr="001F2586" w:rsidP="001F2586">
      <w:pPr>
        <w:spacing w:line="269" w:lineRule="auto"/>
        <w:ind w:left="-567"/>
        <w:contextualSpacing/>
        <w:rPr>
          <w:rFonts w:ascii="David" w:eastAsia="Calibri" w:hAnsi="David"/>
          <w:sz w:val="24"/>
          <w:rtl/>
        </w:rPr>
      </w:pPr>
    </w:p>
    <w:p w:rsidR="00F954E4" w:rsidRPr="00504E2C" w:rsidP="00504E2C">
      <w:pPr>
        <w:spacing w:line="269" w:lineRule="auto"/>
        <w:contextualSpacing/>
        <w:rPr>
          <w:rFonts w:ascii="David" w:eastAsia="Times New Roman" w:hAnsi="David" w:cs="Times New Roman"/>
          <w:b/>
          <w:bCs/>
          <w:sz w:val="24"/>
        </w:rPr>
      </w:pPr>
      <w:r w:rsidRPr="001F2586">
        <w:rPr>
          <w:rFonts w:ascii="David" w:eastAsia="Times New Roman" w:hAnsi="David"/>
          <w:b/>
          <w:bCs/>
          <w:sz w:val="24"/>
          <w:rtl/>
        </w:rPr>
        <w:t>המשכנתא אינה רק מוצר בנקאי, אלא תשתית קיומית ליציבותו הכלכלית של משק הבית בישראל. על בנק ישראל בשיתוף רשות שוק ההון להבטיח כי שוק זה יתנהל בשקיפות, בהגינות, ותחת פיקוח הולם, תוך עידוד התחרות מחד ושמירה על יציבות המערכת הפיננסית מאידך.</w:t>
      </w:r>
      <w:bookmarkEnd w:id="0"/>
      <w:bookmarkEnd w:id="85"/>
    </w:p>
    <w:sectPr w:rsidSect="006C2C6D">
      <w:headerReference w:type="first" r:id="rId96"/>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Math">
    <w:altName w:val="Yu Gothic"/>
    <w:panose1 w:val="00000000000000000000"/>
    <w:charset w:val="80"/>
    <w:family w:val="auto"/>
    <w:notTrueType/>
    <w:pitch w:val="default"/>
    <w:sig w:usb0="00000001" w:usb1="08070000" w:usb2="00000010" w:usb3="00000000" w:csb0="00020000" w:csb1="00000000"/>
  </w:font>
  <w:font w:name="Calibri-Bold">
    <w:altName w:val="Calibri"/>
    <w:panose1 w:val="00000000000000000000"/>
    <w:charset w:val="B1"/>
    <w:family w:val="auto"/>
    <w:notTrueType/>
    <w:pitch w:val="default"/>
    <w:sig w:usb0="00000801" w:usb1="00000000" w:usb2="00000000" w:usb3="00000000" w:csb0="00000020" w:csb1="00000000"/>
  </w:font>
  <w:font w:name="Rubik">
    <w:altName w:val="Cambria"/>
    <w:panose1 w:val="00000000000000000000"/>
    <w:charset w:val="00"/>
    <w:family w:val="roman"/>
    <w:notTrueType/>
    <w:pitch w:val="default"/>
  </w:font>
  <w:font w:name="OpenSans-Regular">
    <w:altName w:val="Cambria"/>
    <w:panose1 w:val="00000000000000000000"/>
    <w:charset w:val="00"/>
    <w:family w:val="roman"/>
    <w:notTrueType/>
    <w:pitch w:val="default"/>
  </w:font>
  <w:font w:name="Open Sans Hebrew">
    <w:altName w:val="Segoe UI"/>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793">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F74793"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F74793"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74793" w:rsidP="00C23CC9">
      <w:pPr>
        <w:spacing w:line="240" w:lineRule="auto"/>
      </w:pPr>
      <w:r>
        <w:separator/>
      </w:r>
    </w:p>
  </w:footnote>
  <w:footnote w:type="continuationSeparator" w:id="1">
    <w:p w:rsidR="00F74793" w:rsidP="00C23CC9">
      <w:pPr>
        <w:spacing w:line="240" w:lineRule="auto"/>
      </w:pPr>
      <w:r>
        <w:continuationSeparator/>
      </w:r>
    </w:p>
  </w:footnote>
  <w:footnote w:id="2">
    <w:p w:rsidR="00F74793" w:rsidP="001F2586">
      <w:pPr>
        <w:pStyle w:val="FootnoteText"/>
      </w:pPr>
      <w:r>
        <w:rPr>
          <w:rStyle w:val="FootnoteReference1"/>
        </w:rPr>
        <w:footnoteRef/>
      </w:r>
      <w:r>
        <w:rPr>
          <w:rtl/>
        </w:rPr>
        <w:t xml:space="preserve"> </w:t>
      </w:r>
      <w:r>
        <w:rPr>
          <w:rtl/>
        </w:rPr>
        <w:tab/>
      </w:r>
      <w:r w:rsidRPr="0017439E">
        <w:rPr>
          <w:rtl/>
        </w:rPr>
        <w:t>משבר פיננסי-</w:t>
      </w:r>
      <w:r w:rsidRPr="0017439E">
        <w:rPr>
          <w:rtl/>
        </w:rPr>
        <w:t>נדל"ני</w:t>
      </w:r>
      <w:r w:rsidRPr="0017439E">
        <w:rPr>
          <w:rtl/>
        </w:rPr>
        <w:t xml:space="preserve"> שפרץ בארה"ב </w:t>
      </w:r>
      <w:r>
        <w:rPr>
          <w:rFonts w:hint="cs"/>
          <w:rtl/>
        </w:rPr>
        <w:t>בשנת 2007 ו</w:t>
      </w:r>
      <w:r w:rsidRPr="0017439E">
        <w:rPr>
          <w:rtl/>
        </w:rPr>
        <w:t>התגלגל לידי משבר כלל-עולמי</w:t>
      </w:r>
      <w:r>
        <w:rPr>
          <w:rFonts w:hint="cs"/>
          <w:rtl/>
        </w:rPr>
        <w:t xml:space="preserve"> בשנת 2008</w:t>
      </w:r>
      <w:r w:rsidRPr="0017439E">
        <w:rPr>
          <w:rtl/>
        </w:rPr>
        <w:t xml:space="preserve">. המשבר </w:t>
      </w:r>
      <w:r>
        <w:rPr>
          <w:rFonts w:hint="cs"/>
          <w:rtl/>
        </w:rPr>
        <w:t>מקורו בכך ש</w:t>
      </w:r>
      <w:r w:rsidRPr="0017439E">
        <w:rPr>
          <w:rtl/>
        </w:rPr>
        <w:t xml:space="preserve">בנקים בארה"ב </w:t>
      </w:r>
      <w:r>
        <w:rPr>
          <w:rFonts w:hint="cs"/>
          <w:rtl/>
        </w:rPr>
        <w:t xml:space="preserve">נתנו </w:t>
      </w:r>
      <w:r w:rsidRPr="0017439E">
        <w:rPr>
          <w:rtl/>
        </w:rPr>
        <w:t xml:space="preserve">משכנתאות </w:t>
      </w:r>
      <w:r>
        <w:rPr>
          <w:rFonts w:hint="cs"/>
          <w:rtl/>
        </w:rPr>
        <w:t>מסוכנות (משכנתאות סאב-פריים) ל</w:t>
      </w:r>
      <w:r w:rsidRPr="0017439E">
        <w:rPr>
          <w:rtl/>
        </w:rPr>
        <w:t>לווים בעלי יכולות החזר נמוכות מאוד וברמות מינוף של כמעט 100%</w:t>
      </w:r>
      <w:r>
        <w:rPr>
          <w:rFonts w:hint="cs"/>
          <w:rtl/>
        </w:rPr>
        <w:t>.</w:t>
      </w:r>
      <w:r w:rsidRPr="00C14C1E">
        <w:rPr>
          <w:rtl/>
        </w:rPr>
        <w:t xml:space="preserve"> </w:t>
      </w:r>
      <w:r>
        <w:rPr>
          <w:rFonts w:hint="cs"/>
          <w:rtl/>
        </w:rPr>
        <w:t xml:space="preserve">כאשר </w:t>
      </w:r>
      <w:r w:rsidRPr="00C14C1E">
        <w:rPr>
          <w:rtl/>
        </w:rPr>
        <w:t>לווים רבים לא עמדו בתשלומי המשכנת</w:t>
      </w:r>
      <w:r>
        <w:rPr>
          <w:rFonts w:hint="cs"/>
          <w:rtl/>
        </w:rPr>
        <w:t>א</w:t>
      </w:r>
      <w:r w:rsidRPr="00C14C1E">
        <w:rPr>
          <w:rtl/>
        </w:rPr>
        <w:t>, החלה האטה בשוק הנדל"ן ומחירי הדירות ירדו ירידה חדה, ואף היו נמוכים מערך המשכנתאות שנלקחו לצורך רכישתן. אירועים אלו הביאו לידי כך שבנקים אמריקניים פשטו את הרגל, קרנות גידור, פנסיה וגופי השקעה רבים ספגו הפסדים כבדים והבורסות בכל העולם נכנסו למיתון קשה ביותר.</w:t>
      </w:r>
      <w:r>
        <w:rPr>
          <w:rFonts w:hint="cs"/>
          <w:rtl/>
        </w:rPr>
        <w:t xml:space="preserve"> </w:t>
      </w:r>
      <w:r w:rsidRPr="0017439E">
        <w:rPr>
          <w:rtl/>
        </w:rPr>
        <w:t xml:space="preserve">מקור: </w:t>
      </w:r>
      <w:r w:rsidRPr="00873D69">
        <w:rPr>
          <w:rtl/>
        </w:rPr>
        <w:t>מבקר המדינה</w:t>
      </w:r>
      <w:r>
        <w:rPr>
          <w:rFonts w:hint="cs"/>
          <w:rtl/>
        </w:rPr>
        <w:t xml:space="preserve">, דו"ח ביקורת מיוחד - </w:t>
      </w:r>
      <w:r w:rsidRPr="00B4661A">
        <w:rPr>
          <w:rFonts w:hint="cs"/>
          <w:rtl/>
        </w:rPr>
        <w:t>משבר הדיור (</w:t>
      </w:r>
      <w:r w:rsidRPr="00B4661A">
        <w:rPr>
          <w:rtl/>
        </w:rPr>
        <w:t>2015</w:t>
      </w:r>
      <w:r>
        <w:rPr>
          <w:rFonts w:hint="cs"/>
          <w:rtl/>
        </w:rPr>
        <w:t>), עמ' 27.</w:t>
      </w:r>
    </w:p>
  </w:footnote>
  <w:footnote w:id="3">
    <w:p w:rsidR="00F74793" w:rsidP="001F2586">
      <w:pPr>
        <w:pStyle w:val="FootnoteText"/>
        <w:ind w:left="841" w:hanging="841"/>
        <w:rPr>
          <w:rtl/>
        </w:rPr>
      </w:pPr>
      <w:r>
        <w:rPr>
          <w:rStyle w:val="FootnoteReference1"/>
        </w:rPr>
        <w:footnoteRef/>
      </w:r>
      <w:r>
        <w:rPr>
          <w:rtl/>
        </w:rPr>
        <w:t xml:space="preserve"> </w:t>
      </w:r>
      <w:r>
        <w:rPr>
          <w:rtl/>
        </w:rPr>
        <w:tab/>
      </w:r>
      <w:r>
        <w:rPr>
          <w:rFonts w:hint="cs"/>
          <w:rtl/>
        </w:rPr>
        <w:t>בן שטרית וכרמון, "</w:t>
      </w:r>
      <w:r w:rsidRPr="00B4661A">
        <w:rPr>
          <w:rFonts w:hint="cs"/>
          <w:rtl/>
        </w:rPr>
        <w:t>הלוואת משכנתא לדיור וכשלים בפירעונן</w:t>
      </w:r>
      <w:r>
        <w:rPr>
          <w:rFonts w:hint="cs"/>
          <w:rtl/>
        </w:rPr>
        <w:t xml:space="preserve">: מבוא לנושא עם פרספקטיבה השוואתית בינלאומית" (2010), עמ' 2. </w:t>
      </w:r>
    </w:p>
  </w:footnote>
  <w:footnote w:id="4">
    <w:p w:rsidR="00F74793" w:rsidP="001F2586">
      <w:pPr>
        <w:pStyle w:val="FootnoteText"/>
        <w:ind w:left="841" w:hanging="841"/>
        <w:rPr>
          <w:rtl/>
        </w:rPr>
      </w:pPr>
      <w:r>
        <w:rPr>
          <w:rStyle w:val="FootnoteReference1"/>
        </w:rPr>
        <w:footnoteRef/>
      </w:r>
      <w:r>
        <w:rPr>
          <w:rtl/>
        </w:rPr>
        <w:t xml:space="preserve"> </w:t>
      </w:r>
      <w:r>
        <w:rPr>
          <w:rtl/>
        </w:rPr>
        <w:tab/>
      </w:r>
      <w:r>
        <w:rPr>
          <w:rFonts w:hint="cs"/>
          <w:rtl/>
        </w:rPr>
        <w:t xml:space="preserve">דירת מגורים, </w:t>
      </w:r>
      <w:r w:rsidRPr="00B4661A">
        <w:rPr>
          <w:rFonts w:hint="cs"/>
          <w:rtl/>
        </w:rPr>
        <w:t xml:space="preserve">לפי </w:t>
      </w:r>
      <w:r w:rsidRPr="00B4661A">
        <w:rPr>
          <w:rtl/>
        </w:rPr>
        <w:t>סעיף 9</w:t>
      </w:r>
      <w:r w:rsidRPr="00B4661A">
        <w:rPr>
          <w:rFonts w:hint="cs"/>
          <w:rtl/>
        </w:rPr>
        <w:t xml:space="preserve">(ג) </w:t>
      </w:r>
      <w:r w:rsidRPr="00B4661A">
        <w:rPr>
          <w:rtl/>
        </w:rPr>
        <w:t xml:space="preserve">לחוק מיסוי מקרקעין </w:t>
      </w:r>
      <w:r w:rsidRPr="00B4661A">
        <w:rPr>
          <w:rFonts w:hint="cs"/>
          <w:rtl/>
        </w:rPr>
        <w:t>(</w:t>
      </w:r>
      <w:r w:rsidRPr="00B4661A">
        <w:rPr>
          <w:rtl/>
        </w:rPr>
        <w:t>שבח ורכישה</w:t>
      </w:r>
      <w:r w:rsidRPr="00B4661A">
        <w:rPr>
          <w:rFonts w:hint="cs"/>
          <w:rtl/>
        </w:rPr>
        <w:t>)</w:t>
      </w:r>
      <w:r w:rsidRPr="00B4661A">
        <w:rPr>
          <w:rtl/>
        </w:rPr>
        <w:t>, התשכ"ג-</w:t>
      </w:r>
      <w:r w:rsidRPr="00B4661A">
        <w:rPr>
          <w:rFonts w:hint="cs"/>
          <w:rtl/>
        </w:rPr>
        <w:t>1963</w:t>
      </w:r>
      <w:r>
        <w:rPr>
          <w:rFonts w:hint="cs"/>
          <w:rtl/>
        </w:rPr>
        <w:t>, היא בין היתר דירה המשמשת או המיועדת לשמש למגורים וגם דירה שבנייתה טרם הסתיימה, ככל והמוכר התחייב לסיים את בנייתה.</w:t>
      </w:r>
    </w:p>
  </w:footnote>
  <w:footnote w:id="5">
    <w:p w:rsidR="00F74793" w:rsidP="001F2586">
      <w:pPr>
        <w:pStyle w:val="FootnoteText"/>
        <w:ind w:left="841" w:hanging="841"/>
      </w:pPr>
      <w:r>
        <w:rPr>
          <w:rStyle w:val="FootnoteReference1"/>
        </w:rPr>
        <w:footnoteRef/>
      </w:r>
      <w:r>
        <w:rPr>
          <w:rtl/>
        </w:rPr>
        <w:t xml:space="preserve"> </w:t>
      </w:r>
      <w:r>
        <w:rPr>
          <w:rtl/>
        </w:rPr>
        <w:tab/>
      </w:r>
      <w:r>
        <w:rPr>
          <w:rFonts w:hint="cs"/>
          <w:rtl/>
        </w:rPr>
        <w:t xml:space="preserve">לביב שמאי, אורי </w:t>
      </w:r>
      <w:r>
        <w:rPr>
          <w:rFonts w:hint="cs"/>
          <w:rtl/>
        </w:rPr>
        <w:t>אוברמן</w:t>
      </w:r>
      <w:r>
        <w:rPr>
          <w:rFonts w:hint="cs"/>
          <w:rtl/>
        </w:rPr>
        <w:t xml:space="preserve"> ובנימין בנטל, </w:t>
      </w:r>
      <w:r w:rsidRPr="00AD2558">
        <w:rPr>
          <w:rtl/>
        </w:rPr>
        <w:t>מרכז טאוב</w:t>
      </w:r>
      <w:r>
        <w:rPr>
          <w:rFonts w:hint="cs"/>
          <w:rtl/>
        </w:rPr>
        <w:t xml:space="preserve"> לחקר המדיניות החברתית בישראל</w:t>
      </w:r>
      <w:r w:rsidRPr="00AD2558">
        <w:rPr>
          <w:rtl/>
        </w:rPr>
        <w:t xml:space="preserve">, </w:t>
      </w:r>
      <w:r w:rsidRPr="00B4661A">
        <w:rPr>
          <w:b/>
          <w:bCs/>
          <w:rtl/>
        </w:rPr>
        <w:t>ריבית, אינפלציה ומשכנתאות בישראל</w:t>
      </w:r>
      <w:r w:rsidRPr="00AD2558">
        <w:rPr>
          <w:rtl/>
        </w:rPr>
        <w:t xml:space="preserve"> </w:t>
      </w:r>
      <w:r>
        <w:rPr>
          <w:rFonts w:hint="cs"/>
          <w:rtl/>
        </w:rPr>
        <w:t>(</w:t>
      </w:r>
      <w:r w:rsidRPr="00AD2558">
        <w:rPr>
          <w:rtl/>
        </w:rPr>
        <w:t>נובמבר 2023</w:t>
      </w:r>
      <w:r>
        <w:rPr>
          <w:rFonts w:hint="cs"/>
          <w:rtl/>
        </w:rPr>
        <w:t>)</w:t>
      </w:r>
      <w:r w:rsidRPr="00AD2558">
        <w:rPr>
          <w:rtl/>
        </w:rPr>
        <w:t xml:space="preserve">, עמ' </w:t>
      </w:r>
      <w:r>
        <w:rPr>
          <w:rFonts w:hint="cs"/>
          <w:rtl/>
        </w:rPr>
        <w:t>5.</w:t>
      </w:r>
    </w:p>
  </w:footnote>
  <w:footnote w:id="6">
    <w:p w:rsidR="00F74793" w:rsidP="001F2586">
      <w:pPr>
        <w:pStyle w:val="FootnoteText"/>
        <w:ind w:left="841" w:hanging="841"/>
      </w:pPr>
      <w:r>
        <w:rPr>
          <w:rStyle w:val="FootnoteReference1"/>
        </w:rPr>
        <w:footnoteRef/>
      </w:r>
      <w:r>
        <w:rPr>
          <w:rtl/>
        </w:rPr>
        <w:t xml:space="preserve"> </w:t>
      </w:r>
      <w:r>
        <w:rPr>
          <w:rtl/>
        </w:rPr>
        <w:tab/>
      </w:r>
      <w:r>
        <w:rPr>
          <w:rFonts w:hint="cs"/>
          <w:rtl/>
        </w:rPr>
        <w:t xml:space="preserve">בנק ישראל, </w:t>
      </w:r>
      <w:r w:rsidRPr="00B4661A">
        <w:rPr>
          <w:rFonts w:hint="eastAsia"/>
          <w:b/>
          <w:bCs/>
          <w:rtl/>
        </w:rPr>
        <w:t>מערכת</w:t>
      </w:r>
      <w:r w:rsidRPr="00B4661A">
        <w:rPr>
          <w:b/>
          <w:bCs/>
          <w:rtl/>
        </w:rPr>
        <w:t xml:space="preserve"> </w:t>
      </w:r>
      <w:r w:rsidRPr="00B4661A">
        <w:rPr>
          <w:rFonts w:hint="eastAsia"/>
          <w:b/>
          <w:bCs/>
          <w:rtl/>
        </w:rPr>
        <w:t>הבנקאות</w:t>
      </w:r>
      <w:r w:rsidRPr="00B4661A">
        <w:rPr>
          <w:b/>
          <w:bCs/>
          <w:rtl/>
        </w:rPr>
        <w:t xml:space="preserve"> </w:t>
      </w:r>
      <w:r w:rsidRPr="00B4661A">
        <w:rPr>
          <w:rFonts w:hint="eastAsia"/>
          <w:b/>
          <w:bCs/>
          <w:rtl/>
        </w:rPr>
        <w:t>בישראל</w:t>
      </w:r>
      <w:r>
        <w:rPr>
          <w:rFonts w:hint="cs"/>
          <w:rtl/>
        </w:rPr>
        <w:t xml:space="preserve"> (2024), עמ' 202. </w:t>
      </w:r>
    </w:p>
  </w:footnote>
  <w:footnote w:id="7">
    <w:p w:rsidR="00F74793" w:rsidP="001F2586">
      <w:pPr>
        <w:pStyle w:val="FootnoteText"/>
        <w:ind w:left="841" w:hanging="841"/>
        <w:rPr>
          <w:rtl/>
        </w:rPr>
      </w:pPr>
      <w:r>
        <w:rPr>
          <w:rStyle w:val="FootnoteReference1"/>
        </w:rPr>
        <w:footnoteRef/>
      </w:r>
      <w:r>
        <w:rPr>
          <w:rtl/>
        </w:rPr>
        <w:t xml:space="preserve"> </w:t>
      </w:r>
      <w:r>
        <w:rPr>
          <w:rtl/>
        </w:rPr>
        <w:tab/>
      </w:r>
      <w:r>
        <w:rPr>
          <w:rFonts w:hint="cs"/>
          <w:rtl/>
        </w:rPr>
        <w:t xml:space="preserve">הגופים המוסדיים כוללים את </w:t>
      </w:r>
      <w:r w:rsidRPr="000A0EE8">
        <w:rPr>
          <w:rtl/>
        </w:rPr>
        <w:t xml:space="preserve">חברות </w:t>
      </w:r>
      <w:r>
        <w:rPr>
          <w:rFonts w:hint="cs"/>
          <w:rtl/>
        </w:rPr>
        <w:t>ה</w:t>
      </w:r>
      <w:r w:rsidRPr="000A0EE8">
        <w:rPr>
          <w:rtl/>
        </w:rPr>
        <w:t xml:space="preserve">ביטוח, </w:t>
      </w:r>
      <w:r>
        <w:rPr>
          <w:rFonts w:hint="cs"/>
          <w:rtl/>
        </w:rPr>
        <w:t>ה</w:t>
      </w:r>
      <w:r w:rsidRPr="000A0EE8">
        <w:rPr>
          <w:rtl/>
        </w:rPr>
        <w:t xml:space="preserve">חברות </w:t>
      </w:r>
      <w:r>
        <w:rPr>
          <w:rFonts w:hint="cs"/>
          <w:rtl/>
        </w:rPr>
        <w:t>ה</w:t>
      </w:r>
      <w:r w:rsidRPr="000A0EE8">
        <w:rPr>
          <w:rtl/>
        </w:rPr>
        <w:t>מנהלות קרנות פנסיה וקופות</w:t>
      </w:r>
      <w:r w:rsidRPr="000A0EE8">
        <w:rPr>
          <w:rFonts w:hint="cs"/>
          <w:rtl/>
        </w:rPr>
        <w:t xml:space="preserve"> </w:t>
      </w:r>
      <w:r w:rsidRPr="000A0EE8">
        <w:rPr>
          <w:rtl/>
        </w:rPr>
        <w:t>גמל</w:t>
      </w:r>
      <w:r>
        <w:rPr>
          <w:rFonts w:hint="cs"/>
          <w:rtl/>
        </w:rPr>
        <w:t>.</w:t>
      </w:r>
    </w:p>
  </w:footnote>
  <w:footnote w:id="8">
    <w:p w:rsidR="00F74793" w:rsidP="001F2586">
      <w:pPr>
        <w:pStyle w:val="FootnoteText"/>
        <w:ind w:left="841" w:hanging="841"/>
      </w:pPr>
      <w:r>
        <w:rPr>
          <w:rStyle w:val="FootnoteReference1"/>
        </w:rPr>
        <w:footnoteRef/>
      </w:r>
      <w:r>
        <w:rPr>
          <w:rtl/>
        </w:rPr>
        <w:t xml:space="preserve"> </w:t>
      </w:r>
      <w:r>
        <w:rPr>
          <w:rtl/>
        </w:rPr>
        <w:tab/>
      </w:r>
      <w:r w:rsidRPr="00B4661A">
        <w:rPr>
          <w:rFonts w:hint="cs"/>
          <w:rtl/>
        </w:rPr>
        <w:t>חברות אשראי חוץ בנקאיות הן נותני שירותים פיננסיים</w:t>
      </w:r>
      <w:r>
        <w:rPr>
          <w:rFonts w:hint="cs"/>
          <w:rtl/>
        </w:rPr>
        <w:t xml:space="preserve"> העוסקים ב</w:t>
      </w:r>
      <w:r>
        <w:rPr>
          <w:rtl/>
        </w:rPr>
        <w:t>מתן אשראי, מתן</w:t>
      </w:r>
      <w:r>
        <w:rPr>
          <w:rFonts w:hint="cs"/>
          <w:rtl/>
        </w:rPr>
        <w:t xml:space="preserve"> </w:t>
      </w:r>
      <w:r>
        <w:rPr>
          <w:rtl/>
        </w:rPr>
        <w:t xml:space="preserve">שירות בנכס פיננסי, תיווך באשראי בין לווים ומלווים </w:t>
      </w:r>
      <w:r>
        <w:rPr>
          <w:rFonts w:hint="cs"/>
          <w:rtl/>
        </w:rPr>
        <w:t xml:space="preserve">ועוד. </w:t>
      </w:r>
    </w:p>
  </w:footnote>
  <w:footnote w:id="9">
    <w:p w:rsidR="00F74793" w:rsidP="001F2586">
      <w:pPr>
        <w:pStyle w:val="FootnoteText"/>
        <w:ind w:left="841" w:hanging="841"/>
      </w:pPr>
      <w:r>
        <w:rPr>
          <w:rStyle w:val="FootnoteReference1"/>
        </w:rPr>
        <w:footnoteRef/>
      </w:r>
      <w:r>
        <w:rPr>
          <w:rtl/>
        </w:rPr>
        <w:t xml:space="preserve"> </w:t>
      </w:r>
      <w:r>
        <w:rPr>
          <w:rtl/>
        </w:rPr>
        <w:tab/>
      </w:r>
      <w:r w:rsidRPr="00B4661A">
        <w:rPr>
          <w:rFonts w:hint="cs"/>
          <w:rtl/>
        </w:rPr>
        <w:t>בחוק הלוואות לדיור</w:t>
      </w:r>
      <w:r>
        <w:rPr>
          <w:rFonts w:hint="cs"/>
          <w:rtl/>
        </w:rPr>
        <w:t xml:space="preserve">, התשנ"ב-1992, נקבע כי </w:t>
      </w:r>
      <w:r w:rsidRPr="0079323C">
        <w:rPr>
          <w:rtl/>
        </w:rPr>
        <w:t>הלווא</w:t>
      </w:r>
      <w:r>
        <w:rPr>
          <w:rFonts w:hint="cs"/>
          <w:rtl/>
        </w:rPr>
        <w:t>ה לדיור לפי חוק זה היא</w:t>
      </w:r>
      <w:r w:rsidRPr="0079323C">
        <w:rPr>
          <w:rtl/>
        </w:rPr>
        <w:t xml:space="preserve"> </w:t>
      </w:r>
      <w:r>
        <w:rPr>
          <w:rFonts w:hint="cs"/>
          <w:rtl/>
        </w:rPr>
        <w:t xml:space="preserve">הלוואה </w:t>
      </w:r>
      <w:r w:rsidRPr="001D52E5">
        <w:rPr>
          <w:rtl/>
        </w:rPr>
        <w:t xml:space="preserve">הניתנת לזכאים מתקציב המדינה, או בסיוע של המדינה, למטרה של רכישת דירה או בנייתה או למטרה של רכישת זכויות בדירה. </w:t>
      </w:r>
      <w:r>
        <w:rPr>
          <w:rFonts w:hint="cs"/>
          <w:rtl/>
        </w:rPr>
        <w:t>ראו עוד בעניין זה</w:t>
      </w:r>
      <w:r w:rsidRPr="001D52E5">
        <w:rPr>
          <w:rtl/>
        </w:rPr>
        <w:t xml:space="preserve"> </w:t>
      </w:r>
      <w:r>
        <w:rPr>
          <w:rFonts w:hint="cs"/>
          <w:rtl/>
        </w:rPr>
        <w:t>ב</w:t>
      </w:r>
      <w:r w:rsidRPr="001D52E5">
        <w:rPr>
          <w:rtl/>
        </w:rPr>
        <w:t>פרק "</w:t>
      </w:r>
      <w:r>
        <w:rPr>
          <w:rFonts w:hint="cs"/>
          <w:rtl/>
        </w:rPr>
        <w:t>פעולות הסיוע בדיור</w:t>
      </w:r>
      <w:r w:rsidRPr="001D52E5">
        <w:rPr>
          <w:rtl/>
        </w:rPr>
        <w:t>".</w:t>
      </w:r>
    </w:p>
  </w:footnote>
  <w:footnote w:id="10">
    <w:p w:rsidR="00F74793" w:rsidP="001F2586">
      <w:pPr>
        <w:pStyle w:val="FootnoteText"/>
        <w:rPr>
          <w:rtl/>
        </w:rPr>
      </w:pPr>
      <w:r>
        <w:rPr>
          <w:rStyle w:val="FootnoteReference1"/>
        </w:rPr>
        <w:footnoteRef/>
      </w:r>
      <w:r>
        <w:rPr>
          <w:rtl/>
        </w:rPr>
        <w:t xml:space="preserve"> </w:t>
      </w:r>
      <w:r>
        <w:rPr>
          <w:rtl/>
        </w:rPr>
        <w:tab/>
      </w:r>
      <w:r>
        <w:rPr>
          <w:rFonts w:hint="cs"/>
          <w:rtl/>
        </w:rPr>
        <w:t>עוד בעניין הלוואות לדיור שנותנות חברות אשראי חוץ בנקאיות ראו בפרק "משכנתאות חוץ בנקאיות".</w:t>
      </w:r>
    </w:p>
  </w:footnote>
  <w:footnote w:id="11">
    <w:p w:rsidR="00F74793" w:rsidP="001F2586">
      <w:pPr>
        <w:pStyle w:val="FootnoteText"/>
        <w:rPr>
          <w:rtl/>
        </w:rPr>
      </w:pPr>
      <w:r>
        <w:rPr>
          <w:rStyle w:val="FootnoteReference1"/>
        </w:rPr>
        <w:footnoteRef/>
      </w:r>
      <w:r>
        <w:rPr>
          <w:rtl/>
        </w:rPr>
        <w:t xml:space="preserve"> </w:t>
      </w:r>
      <w:r>
        <w:rPr>
          <w:rtl/>
        </w:rPr>
        <w:tab/>
      </w:r>
      <w:r>
        <w:rPr>
          <w:rFonts w:hint="cs"/>
          <w:rtl/>
        </w:rPr>
        <w:t xml:space="preserve">מבקר המדינה, </w:t>
      </w:r>
      <w:r w:rsidRPr="00FE7387">
        <w:rPr>
          <w:rFonts w:hint="eastAsia"/>
          <w:b/>
          <w:bCs/>
          <w:rtl/>
        </w:rPr>
        <w:t>דוח</w:t>
      </w:r>
      <w:r w:rsidRPr="00FE7387">
        <w:rPr>
          <w:b/>
          <w:bCs/>
          <w:rtl/>
        </w:rPr>
        <w:t xml:space="preserve"> על</w:t>
      </w:r>
      <w:r>
        <w:rPr>
          <w:b/>
          <w:bCs/>
          <w:rtl/>
        </w:rPr>
        <w:t xml:space="preserve"> </w:t>
      </w:r>
      <w:r w:rsidRPr="00FE7387">
        <w:rPr>
          <w:rFonts w:hint="eastAsia"/>
          <w:b/>
          <w:bCs/>
          <w:rtl/>
        </w:rPr>
        <w:t>היבטים</w:t>
      </w:r>
      <w:r w:rsidRPr="00FE7387">
        <w:rPr>
          <w:b/>
          <w:bCs/>
          <w:rtl/>
        </w:rPr>
        <w:t xml:space="preserve"> </w:t>
      </w:r>
      <w:r w:rsidRPr="00FE7387">
        <w:rPr>
          <w:rFonts w:hint="eastAsia"/>
          <w:b/>
          <w:bCs/>
          <w:rtl/>
        </w:rPr>
        <w:t>בהתמודדות</w:t>
      </w:r>
      <w:r w:rsidRPr="00FE7387">
        <w:rPr>
          <w:b/>
          <w:bCs/>
          <w:rtl/>
        </w:rPr>
        <w:t xml:space="preserve"> </w:t>
      </w:r>
      <w:r w:rsidRPr="00FE7387">
        <w:rPr>
          <w:rFonts w:hint="eastAsia"/>
          <w:b/>
          <w:bCs/>
          <w:rtl/>
        </w:rPr>
        <w:t>עם</w:t>
      </w:r>
      <w:r w:rsidRPr="00FE7387">
        <w:rPr>
          <w:b/>
          <w:bCs/>
          <w:rtl/>
        </w:rPr>
        <w:t xml:space="preserve"> </w:t>
      </w:r>
      <w:r w:rsidRPr="00FE7387">
        <w:rPr>
          <w:rFonts w:hint="eastAsia"/>
          <w:b/>
          <w:bCs/>
          <w:rtl/>
        </w:rPr>
        <w:t>יוקר</w:t>
      </w:r>
      <w:r w:rsidRPr="00FE7387">
        <w:rPr>
          <w:b/>
          <w:bCs/>
          <w:rtl/>
        </w:rPr>
        <w:t xml:space="preserve"> </w:t>
      </w:r>
      <w:r w:rsidRPr="00FE7387">
        <w:rPr>
          <w:rFonts w:hint="eastAsia"/>
          <w:b/>
          <w:bCs/>
          <w:rtl/>
        </w:rPr>
        <w:t>המחיה</w:t>
      </w:r>
      <w:r>
        <w:rPr>
          <w:rFonts w:hint="cs"/>
          <w:rtl/>
        </w:rPr>
        <w:t xml:space="preserve"> (2024), "</w:t>
      </w:r>
      <w:r w:rsidRPr="00B4661A">
        <w:rPr>
          <w:rFonts w:hint="cs"/>
          <w:rtl/>
        </w:rPr>
        <w:t>מאגר נתוני אשראי</w:t>
      </w:r>
      <w:r>
        <w:rPr>
          <w:rFonts w:hint="cs"/>
          <w:rtl/>
        </w:rPr>
        <w:t>", עמ' 224.</w:t>
      </w:r>
    </w:p>
  </w:footnote>
  <w:footnote w:id="12">
    <w:p w:rsidR="00F74793" w:rsidP="001F2586">
      <w:pPr>
        <w:pStyle w:val="FootnoteText"/>
        <w:rPr>
          <w:rtl/>
        </w:rPr>
      </w:pPr>
      <w:r>
        <w:rPr>
          <w:rStyle w:val="FootnoteReference1"/>
        </w:rPr>
        <w:footnoteRef/>
      </w:r>
      <w:r>
        <w:rPr>
          <w:rtl/>
        </w:rPr>
        <w:t xml:space="preserve"> </w:t>
      </w:r>
      <w:r>
        <w:rPr>
          <w:rtl/>
        </w:rPr>
        <w:tab/>
      </w:r>
      <w:r>
        <w:rPr>
          <w:rFonts w:hint="cs"/>
          <w:rtl/>
        </w:rPr>
        <w:t xml:space="preserve">עוד בעניין סיבות לכך ששוק משכנתאות בישראל מתנהל </w:t>
      </w:r>
      <w:r w:rsidRPr="00D642AF">
        <w:rPr>
          <w:rtl/>
        </w:rPr>
        <w:t>ללא תחרות בין גופים בנקאיים לבין גופים שאינם בנקאיים</w:t>
      </w:r>
      <w:r>
        <w:rPr>
          <w:rFonts w:hint="cs"/>
          <w:rtl/>
        </w:rPr>
        <w:t xml:space="preserve"> ראו בפרק "משכנתאות חוץ בנקאיות".</w:t>
      </w:r>
    </w:p>
  </w:footnote>
  <w:footnote w:id="13">
    <w:p w:rsidR="00F74793" w:rsidP="001F2586">
      <w:pPr>
        <w:pStyle w:val="FootnoteText"/>
      </w:pPr>
      <w:r>
        <w:rPr>
          <w:rStyle w:val="FootnoteReference1"/>
        </w:rPr>
        <w:footnoteRef/>
      </w:r>
      <w:r>
        <w:rPr>
          <w:rtl/>
        </w:rPr>
        <w:t xml:space="preserve"> </w:t>
      </w:r>
      <w:r>
        <w:rPr>
          <w:rtl/>
        </w:rPr>
        <w:tab/>
      </w:r>
      <w:r>
        <w:rPr>
          <w:rFonts w:hint="cs"/>
          <w:rtl/>
        </w:rPr>
        <w:t>שלושת הבנקים הגדולים במשכנתאות הם בנק מזרחי טפחות, בנק הפועלים ובנק לאומי.</w:t>
      </w:r>
    </w:p>
  </w:footnote>
  <w:footnote w:id="14">
    <w:p w:rsidR="00F74793" w:rsidP="001F2586">
      <w:pPr>
        <w:pStyle w:val="FootnoteText"/>
      </w:pPr>
      <w:r>
        <w:rPr>
          <w:rStyle w:val="FootnoteReference1"/>
        </w:rPr>
        <w:footnoteRef/>
      </w:r>
      <w:r>
        <w:rPr>
          <w:rtl/>
        </w:rPr>
        <w:t xml:space="preserve"> </w:t>
      </w:r>
      <w:r>
        <w:rPr>
          <w:rtl/>
        </w:rPr>
        <w:tab/>
      </w:r>
      <w:r>
        <w:rPr>
          <w:rFonts w:hint="cs"/>
          <w:rtl/>
        </w:rPr>
        <w:t>ארבעת הבנקים הגדולים במשכנתאות הם בנק מזרחי טפחות, בנק הפועלים, בנק לאומי ובנק דיסקונט.</w:t>
      </w:r>
    </w:p>
  </w:footnote>
  <w:footnote w:id="15">
    <w:p w:rsidR="00F74793" w:rsidP="001F2586">
      <w:pPr>
        <w:pStyle w:val="FootnoteText"/>
        <w:rPr>
          <w:rtl/>
        </w:rPr>
      </w:pPr>
      <w:r>
        <w:rPr>
          <w:rStyle w:val="FootnoteReference1"/>
        </w:rPr>
        <w:footnoteRef/>
      </w:r>
      <w:r>
        <w:rPr>
          <w:rtl/>
        </w:rPr>
        <w:t xml:space="preserve"> </w:t>
      </w:r>
      <w:r>
        <w:rPr>
          <w:rtl/>
        </w:rPr>
        <w:tab/>
      </w:r>
      <w:r w:rsidRPr="004F753E">
        <w:rPr>
          <w:rtl/>
        </w:rPr>
        <w:t>על פי משרד המשפטים האמריק</w:t>
      </w:r>
      <w:r>
        <w:rPr>
          <w:rFonts w:hint="cs"/>
          <w:rtl/>
        </w:rPr>
        <w:t>נ</w:t>
      </w:r>
      <w:r w:rsidRPr="004F753E">
        <w:rPr>
          <w:rtl/>
        </w:rPr>
        <w:t xml:space="preserve">י, </w:t>
      </w:r>
      <w:r w:rsidRPr="00B4661A">
        <w:rPr>
          <w:rtl/>
        </w:rPr>
        <w:t>רמת ריכוזיות</w:t>
      </w:r>
      <w:r w:rsidRPr="004F753E">
        <w:rPr>
          <w:rtl/>
        </w:rPr>
        <w:t xml:space="preserve"> לפי מדד</w:t>
      </w:r>
      <w:r>
        <w:rPr>
          <w:rFonts w:hint="cs"/>
          <w:rtl/>
        </w:rPr>
        <w:t xml:space="preserve"> </w:t>
      </w:r>
      <w:r>
        <w:rPr>
          <w:rFonts w:hint="cs"/>
          <w:rtl/>
        </w:rPr>
        <w:t>הרפינדל</w:t>
      </w:r>
      <w:r>
        <w:rPr>
          <w:rFonts w:hint="cs"/>
          <w:rtl/>
        </w:rPr>
        <w:t xml:space="preserve"> </w:t>
      </w:r>
      <w:r>
        <w:rPr>
          <w:rFonts w:hint="cs"/>
          <w:rtl/>
        </w:rPr>
        <w:t>הירשמן</w:t>
      </w:r>
      <w:r>
        <w:rPr>
          <w:rFonts w:hint="cs"/>
          <w:rtl/>
        </w:rPr>
        <w:t xml:space="preserve"> בענף מוגדרת בשלושה טווחים: ריכוזיות נמוכה - 0 -0.15; ריכוזיות בינונית - 0.15 - 0.25; וריכוזיות גבוהה - מעל 0.25.</w:t>
      </w:r>
    </w:p>
  </w:footnote>
  <w:footnote w:id="16">
    <w:p w:rsidR="00F74793" w:rsidP="001F2586">
      <w:pPr>
        <w:pStyle w:val="FootnoteText"/>
        <w:rPr>
          <w:rtl/>
        </w:rPr>
      </w:pPr>
      <w:r>
        <w:rPr>
          <w:rStyle w:val="FootnoteReference1"/>
        </w:rPr>
        <w:footnoteRef/>
      </w:r>
      <w:r>
        <w:rPr>
          <w:rtl/>
        </w:rPr>
        <w:t xml:space="preserve"> </w:t>
      </w:r>
      <w:r>
        <w:rPr>
          <w:rtl/>
        </w:rPr>
        <w:tab/>
      </w:r>
      <w:r>
        <w:rPr>
          <w:rFonts w:hint="cs"/>
          <w:rtl/>
        </w:rPr>
        <w:t>עוד בנושא אסדרה של משכנתאות חוץ בנקאיות ראו בפרק "משכנתאות חוץ בנקאיות".</w:t>
      </w:r>
    </w:p>
  </w:footnote>
  <w:footnote w:id="17">
    <w:p w:rsidR="00F74793" w:rsidP="001F2586">
      <w:pPr>
        <w:pStyle w:val="FootnoteText"/>
        <w:ind w:left="841" w:hanging="841"/>
        <w:rPr>
          <w:rtl/>
        </w:rPr>
      </w:pPr>
      <w:r>
        <w:rPr>
          <w:rStyle w:val="FootnoteReference1"/>
        </w:rPr>
        <w:footnoteRef/>
      </w:r>
      <w:r>
        <w:rPr>
          <w:rtl/>
        </w:rPr>
        <w:t xml:space="preserve"> </w:t>
      </w:r>
      <w:r>
        <w:rPr>
          <w:rtl/>
        </w:rPr>
        <w:tab/>
      </w:r>
      <w:r>
        <w:rPr>
          <w:rFonts w:hint="cs"/>
          <w:rtl/>
        </w:rPr>
        <w:t>באשראי הכולל במשק נכללים אשראי למשקי בית, אשראי למגזר העסקי ואשראי של ממשלה ורשויות מקומיות במשק. יצוין כי הנתון לשנת 2025 הוא הנתון המעודכן לחודש אוגוסט 2025.</w:t>
      </w:r>
    </w:p>
  </w:footnote>
  <w:footnote w:id="18">
    <w:p w:rsidR="00F74793" w:rsidP="001F2586">
      <w:pPr>
        <w:pStyle w:val="FootnoteText"/>
      </w:pPr>
      <w:r>
        <w:rPr>
          <w:rStyle w:val="FootnoteReference1"/>
        </w:rPr>
        <w:footnoteRef/>
      </w:r>
      <w:r>
        <w:rPr>
          <w:rtl/>
        </w:rPr>
        <w:t xml:space="preserve"> </w:t>
      </w:r>
      <w:r>
        <w:rPr>
          <w:rtl/>
        </w:rPr>
        <w:tab/>
      </w:r>
      <w:r>
        <w:rPr>
          <w:rFonts w:hint="cs"/>
          <w:rtl/>
        </w:rPr>
        <w:t xml:space="preserve">יחס זה מבטא את כמות האשראי לדיור ביחס </w:t>
      </w:r>
      <w:r>
        <w:rPr>
          <w:rtl/>
        </w:rPr>
        <w:t>להיקף הפעילות</w:t>
      </w:r>
      <w:r>
        <w:rPr>
          <w:rFonts w:hint="cs"/>
          <w:rtl/>
        </w:rPr>
        <w:t xml:space="preserve"> </w:t>
      </w:r>
      <w:r>
        <w:rPr>
          <w:rtl/>
        </w:rPr>
        <w:t>הכלכלית</w:t>
      </w:r>
      <w:r>
        <w:rPr>
          <w:rFonts w:hint="cs"/>
          <w:rtl/>
        </w:rPr>
        <w:t xml:space="preserve"> במשק.</w:t>
      </w:r>
    </w:p>
  </w:footnote>
  <w:footnote w:id="19">
    <w:p w:rsidR="00F74793" w:rsidP="001F2586">
      <w:pPr>
        <w:pStyle w:val="FootnoteText"/>
      </w:pPr>
      <w:r>
        <w:rPr>
          <w:rStyle w:val="FootnoteReference1"/>
        </w:rPr>
        <w:footnoteRef/>
      </w:r>
      <w:r>
        <w:rPr>
          <w:rtl/>
        </w:rPr>
        <w:t xml:space="preserve"> </w:t>
      </w:r>
      <w:r>
        <w:rPr>
          <w:rtl/>
        </w:rPr>
        <w:tab/>
      </w:r>
      <w:r w:rsidRPr="00C563E8">
        <w:rPr>
          <w:rtl/>
        </w:rPr>
        <w:t>מרכז המחקר והמידע של הכנסת</w:t>
      </w:r>
      <w:r>
        <w:rPr>
          <w:rFonts w:hint="cs"/>
          <w:rtl/>
        </w:rPr>
        <w:t xml:space="preserve">, </w:t>
      </w:r>
      <w:r w:rsidRPr="00B4661A">
        <w:rPr>
          <w:b/>
          <w:bCs/>
          <w:rtl/>
        </w:rPr>
        <w:t>ניתוח סיכונים מקרו-</w:t>
      </w:r>
      <w:r w:rsidRPr="00B4661A">
        <w:rPr>
          <w:b/>
          <w:bCs/>
          <w:rtl/>
        </w:rPr>
        <w:t>יציבותיים</w:t>
      </w:r>
      <w:r w:rsidRPr="00B4661A">
        <w:rPr>
          <w:b/>
          <w:bCs/>
          <w:rtl/>
        </w:rPr>
        <w:t xml:space="preserve"> הנובעים מאשראי לדיור ומאשראי לענף הבנייה</w:t>
      </w:r>
      <w:r w:rsidRPr="00C563E8">
        <w:rPr>
          <w:rtl/>
        </w:rPr>
        <w:t xml:space="preserve"> (מרץ 2025), עמ' </w:t>
      </w:r>
      <w:r>
        <w:rPr>
          <w:rFonts w:hint="cs"/>
          <w:rtl/>
        </w:rPr>
        <w:t>9</w:t>
      </w:r>
      <w:r w:rsidRPr="00C563E8">
        <w:rPr>
          <w:rtl/>
        </w:rPr>
        <w:t>.</w:t>
      </w:r>
    </w:p>
  </w:footnote>
  <w:footnote w:id="20">
    <w:p w:rsidR="00F74793" w:rsidP="001F2586">
      <w:pPr>
        <w:pStyle w:val="FootnoteText"/>
      </w:pPr>
      <w:r>
        <w:rPr>
          <w:rStyle w:val="FootnoteReference1"/>
        </w:rPr>
        <w:footnoteRef/>
      </w:r>
      <w:r>
        <w:rPr>
          <w:rtl/>
        </w:rPr>
        <w:t xml:space="preserve"> </w:t>
      </w:r>
      <w:r>
        <w:rPr>
          <w:rtl/>
        </w:rPr>
        <w:tab/>
      </w:r>
      <w:r w:rsidRPr="00B4661A">
        <w:rPr>
          <w:rFonts w:hint="cs"/>
          <w:rtl/>
        </w:rPr>
        <w:t>קרן ההלוואה</w:t>
      </w:r>
      <w:r>
        <w:rPr>
          <w:rFonts w:hint="cs"/>
          <w:rtl/>
        </w:rPr>
        <w:t xml:space="preserve"> היא סכום ההלוואה הבסיסי, ללא תוספת ריבית.</w:t>
      </w:r>
    </w:p>
  </w:footnote>
  <w:footnote w:id="21">
    <w:p w:rsidR="00F74793" w:rsidP="001F2586">
      <w:pPr>
        <w:pStyle w:val="FootnoteText"/>
      </w:pPr>
      <w:r>
        <w:rPr>
          <w:rStyle w:val="FootnoteReference1"/>
        </w:rPr>
        <w:footnoteRef/>
      </w:r>
      <w:r>
        <w:rPr>
          <w:rtl/>
        </w:rPr>
        <w:t xml:space="preserve"> </w:t>
      </w:r>
      <w:r>
        <w:rPr>
          <w:rtl/>
        </w:rPr>
        <w:tab/>
      </w:r>
      <w:r>
        <w:rPr>
          <w:rFonts w:hint="cs"/>
          <w:rtl/>
        </w:rPr>
        <w:t xml:space="preserve">לביב שמאי, אורי </w:t>
      </w:r>
      <w:r>
        <w:rPr>
          <w:rFonts w:hint="cs"/>
          <w:rtl/>
        </w:rPr>
        <w:t>אוברמן</w:t>
      </w:r>
      <w:r>
        <w:rPr>
          <w:rFonts w:hint="cs"/>
          <w:rtl/>
        </w:rPr>
        <w:t xml:space="preserve"> ובנימין בנטל, </w:t>
      </w:r>
      <w:r w:rsidRPr="00AD2558">
        <w:rPr>
          <w:rtl/>
        </w:rPr>
        <w:t>מרכז טאוב</w:t>
      </w:r>
      <w:r>
        <w:rPr>
          <w:rFonts w:hint="cs"/>
          <w:rtl/>
        </w:rPr>
        <w:t xml:space="preserve"> לחקר המדיניות החברתית בישראל</w:t>
      </w:r>
      <w:r w:rsidRPr="00AD2558">
        <w:rPr>
          <w:rtl/>
        </w:rPr>
        <w:t xml:space="preserve">, </w:t>
      </w:r>
      <w:r w:rsidRPr="00B4661A">
        <w:rPr>
          <w:b/>
          <w:bCs/>
          <w:rtl/>
        </w:rPr>
        <w:t>ריבית, אינפלציה ומשכנתאות בישראל</w:t>
      </w:r>
      <w:r w:rsidRPr="00AD2558">
        <w:rPr>
          <w:rtl/>
        </w:rPr>
        <w:t xml:space="preserve"> </w:t>
      </w:r>
      <w:r>
        <w:rPr>
          <w:rFonts w:hint="cs"/>
          <w:rtl/>
        </w:rPr>
        <w:t>(</w:t>
      </w:r>
      <w:r w:rsidRPr="00AD2558">
        <w:rPr>
          <w:rtl/>
        </w:rPr>
        <w:t>נובמבר 2023</w:t>
      </w:r>
      <w:r>
        <w:rPr>
          <w:rFonts w:hint="cs"/>
          <w:rtl/>
        </w:rPr>
        <w:t>)</w:t>
      </w:r>
      <w:r w:rsidRPr="00AD2558">
        <w:rPr>
          <w:rtl/>
        </w:rPr>
        <w:t xml:space="preserve">, עמ' </w:t>
      </w:r>
      <w:r>
        <w:rPr>
          <w:rFonts w:hint="cs"/>
          <w:rtl/>
        </w:rPr>
        <w:t>6 - 8.</w:t>
      </w:r>
    </w:p>
  </w:footnote>
  <w:footnote w:id="22">
    <w:p w:rsidR="00F74793" w:rsidP="001F2586">
      <w:pPr>
        <w:pStyle w:val="FootnoteText"/>
        <w:rPr>
          <w:rtl/>
        </w:rPr>
      </w:pPr>
      <w:r>
        <w:rPr>
          <w:rStyle w:val="FootnoteReference1"/>
        </w:rPr>
        <w:footnoteRef/>
      </w:r>
      <w:r>
        <w:rPr>
          <w:rtl/>
        </w:rPr>
        <w:t xml:space="preserve"> </w:t>
      </w:r>
      <w:r>
        <w:rPr>
          <w:rtl/>
        </w:rPr>
        <w:tab/>
      </w:r>
      <w:r>
        <w:rPr>
          <w:rFonts w:hint="cs"/>
          <w:rtl/>
        </w:rPr>
        <w:t xml:space="preserve">יצוין כי המרווח הוא שיעור ריבית שנשאר קבוע לאורך כל תקופת ההלוואה, ונקבע בהתאם למטרת ההלוואה ולהערכת המלווה את סיכוני הלווה והעסקה. </w:t>
      </w:r>
    </w:p>
  </w:footnote>
  <w:footnote w:id="23">
    <w:p w:rsidR="00F74793" w:rsidP="001F2586">
      <w:pPr>
        <w:pStyle w:val="FootnoteText"/>
      </w:pPr>
      <w:r>
        <w:rPr>
          <w:rStyle w:val="FootnoteReference1"/>
        </w:rPr>
        <w:footnoteRef/>
      </w:r>
      <w:r>
        <w:rPr>
          <w:rtl/>
        </w:rPr>
        <w:t xml:space="preserve"> </w:t>
      </w:r>
      <w:r>
        <w:rPr>
          <w:rtl/>
        </w:rPr>
        <w:tab/>
      </w:r>
      <w:r>
        <w:rPr>
          <w:rFonts w:hint="cs"/>
          <w:rtl/>
        </w:rPr>
        <w:t>יצוין כי קיימים</w:t>
      </w:r>
      <w:r w:rsidRPr="00F95D5E">
        <w:rPr>
          <w:rtl/>
        </w:rPr>
        <w:t xml:space="preserve"> גם מסלולים </w:t>
      </w:r>
      <w:r>
        <w:rPr>
          <w:rFonts w:hint="cs"/>
          <w:rtl/>
        </w:rPr>
        <w:t>של ריביות משתנות שבהן העוגן משתנה</w:t>
      </w:r>
      <w:r w:rsidRPr="00F95D5E">
        <w:rPr>
          <w:rtl/>
        </w:rPr>
        <w:t xml:space="preserve"> </w:t>
      </w:r>
      <w:r>
        <w:rPr>
          <w:rFonts w:hint="cs"/>
          <w:rtl/>
        </w:rPr>
        <w:t>בתקופה קצרה או ארוכה מחמש שנים.</w:t>
      </w:r>
    </w:p>
  </w:footnote>
  <w:footnote w:id="24">
    <w:p w:rsidR="00F74793" w:rsidP="001F2586">
      <w:pPr>
        <w:pStyle w:val="FootnoteText"/>
        <w:rPr>
          <w:rtl/>
        </w:rPr>
      </w:pPr>
      <w:r>
        <w:rPr>
          <w:rStyle w:val="FootnoteReference1"/>
        </w:rPr>
        <w:footnoteRef/>
      </w:r>
      <w:r>
        <w:rPr>
          <w:rtl/>
        </w:rPr>
        <w:t xml:space="preserve"> </w:t>
      </w:r>
      <w:r>
        <w:rPr>
          <w:rtl/>
        </w:rPr>
        <w:tab/>
      </w:r>
      <w:r>
        <w:rPr>
          <w:rFonts w:hint="cs"/>
          <w:rtl/>
        </w:rPr>
        <w:t>ריבית הפריים היא ריבית בנק ישראל, שנקבעת</w:t>
      </w:r>
      <w:r>
        <w:rPr>
          <w:rtl/>
        </w:rPr>
        <w:t xml:space="preserve"> על ידי הוועדה המוניטרית של בנק ישראל שמונה פעמים בשנה, בדרך כלל</w:t>
      </w:r>
      <w:r>
        <w:rPr>
          <w:rFonts w:hint="cs"/>
          <w:rtl/>
        </w:rPr>
        <w:t xml:space="preserve"> </w:t>
      </w:r>
      <w:r>
        <w:rPr>
          <w:rtl/>
        </w:rPr>
        <w:t>בתוספת מרווח של 1.5 נקודות אחוז.</w:t>
      </w:r>
      <w:r>
        <w:rPr>
          <w:rFonts w:hint="cs"/>
          <w:rtl/>
        </w:rPr>
        <w:t xml:space="preserve"> יצוין כי </w:t>
      </w:r>
      <w:r w:rsidRPr="009C2A77">
        <w:rPr>
          <w:rtl/>
        </w:rPr>
        <w:t xml:space="preserve">הריבית המוניטרית היא כלי </w:t>
      </w:r>
      <w:r>
        <w:rPr>
          <w:rFonts w:hint="cs"/>
          <w:rtl/>
        </w:rPr>
        <w:t xml:space="preserve">מרכזי </w:t>
      </w:r>
      <w:r w:rsidRPr="009C2A77">
        <w:rPr>
          <w:rtl/>
        </w:rPr>
        <w:t xml:space="preserve">של בנק </w:t>
      </w:r>
      <w:r>
        <w:rPr>
          <w:rFonts w:hint="cs"/>
          <w:rtl/>
        </w:rPr>
        <w:t xml:space="preserve">ישראל בשמירה על </w:t>
      </w:r>
      <w:r w:rsidRPr="009C2A77">
        <w:rPr>
          <w:rtl/>
        </w:rPr>
        <w:t>יציבות מחירים</w:t>
      </w:r>
      <w:r>
        <w:rPr>
          <w:rFonts w:hint="cs"/>
          <w:rtl/>
        </w:rPr>
        <w:t xml:space="preserve">. </w:t>
      </w:r>
    </w:p>
  </w:footnote>
  <w:footnote w:id="25">
    <w:p w:rsidR="00F74793" w:rsidP="001F2586">
      <w:pPr>
        <w:pStyle w:val="FootnoteText"/>
      </w:pPr>
      <w:r>
        <w:rPr>
          <w:rStyle w:val="FootnoteReference1"/>
        </w:rPr>
        <w:footnoteRef/>
      </w:r>
      <w:r>
        <w:rPr>
          <w:rtl/>
        </w:rPr>
        <w:t xml:space="preserve"> </w:t>
      </w:r>
      <w:r>
        <w:rPr>
          <w:rtl/>
        </w:rPr>
        <w:tab/>
      </w:r>
      <w:r w:rsidRPr="00B4661A">
        <w:rPr>
          <w:rtl/>
        </w:rPr>
        <w:t>ריבית</w:t>
      </w:r>
      <w:r w:rsidRPr="00B4661A">
        <w:rPr>
          <w:rFonts w:hint="cs"/>
          <w:rtl/>
        </w:rPr>
        <w:t xml:space="preserve"> הבנק המרכזי היא ריבית</w:t>
      </w:r>
      <w:r w:rsidRPr="00B4661A">
        <w:rPr>
          <w:rtl/>
        </w:rPr>
        <w:t xml:space="preserve"> בנק ישראל</w:t>
      </w:r>
      <w:r>
        <w:rPr>
          <w:rFonts w:hint="cs"/>
          <w:rtl/>
        </w:rPr>
        <w:t xml:space="preserve"> הנקבעת באופן עצמאי על ידי ועדה מוניטרית בראשות נגיד בנק ישראל. ריבית זו היא אחד הכלים המרכזיים לניהול המדיניות המוניטרית. ריבית</w:t>
      </w:r>
      <w:r>
        <w:rPr>
          <w:rtl/>
        </w:rPr>
        <w:t xml:space="preserve"> </w:t>
      </w:r>
      <w:r>
        <w:rPr>
          <w:rFonts w:hint="cs"/>
          <w:rtl/>
        </w:rPr>
        <w:t>בנק ישראל היא ריבית ה</w:t>
      </w:r>
      <w:r>
        <w:rPr>
          <w:rtl/>
        </w:rPr>
        <w:t xml:space="preserve">בסיס לשערי </w:t>
      </w:r>
      <w:r>
        <w:rPr>
          <w:rFonts w:hint="cs"/>
          <w:rtl/>
        </w:rPr>
        <w:t>ה</w:t>
      </w:r>
      <w:r>
        <w:rPr>
          <w:rtl/>
        </w:rPr>
        <w:t xml:space="preserve">ריבית </w:t>
      </w:r>
      <w:r>
        <w:rPr>
          <w:rFonts w:hint="cs"/>
          <w:rtl/>
        </w:rPr>
        <w:t>ש</w:t>
      </w:r>
      <w:r>
        <w:rPr>
          <w:rtl/>
        </w:rPr>
        <w:t>משקי בית ופירמות משלמים לבנקים</w:t>
      </w:r>
      <w:r>
        <w:rPr>
          <w:rFonts w:hint="cs"/>
          <w:rtl/>
        </w:rPr>
        <w:t xml:space="preserve"> </w:t>
      </w:r>
      <w:r>
        <w:rPr>
          <w:rtl/>
        </w:rPr>
        <w:t>בגין אשראי לטווח קצר</w:t>
      </w:r>
      <w:r>
        <w:rPr>
          <w:rFonts w:hint="cs"/>
          <w:rtl/>
        </w:rPr>
        <w:t>,</w:t>
      </w:r>
      <w:r>
        <w:rPr>
          <w:rtl/>
        </w:rPr>
        <w:t xml:space="preserve"> ו</w:t>
      </w:r>
      <w:r>
        <w:rPr>
          <w:rFonts w:hint="cs"/>
          <w:rtl/>
        </w:rPr>
        <w:t>ל</w:t>
      </w:r>
      <w:r>
        <w:rPr>
          <w:rtl/>
        </w:rPr>
        <w:t xml:space="preserve">שערי </w:t>
      </w:r>
      <w:r>
        <w:rPr>
          <w:rFonts w:hint="cs"/>
          <w:rtl/>
        </w:rPr>
        <w:t>ה</w:t>
      </w:r>
      <w:r>
        <w:rPr>
          <w:rtl/>
        </w:rPr>
        <w:t>ריבית שמשקי בית ופירמות מקבלים מהבנקים בגין פיקדונות</w:t>
      </w:r>
      <w:r>
        <w:rPr>
          <w:rFonts w:hint="cs"/>
          <w:rtl/>
        </w:rPr>
        <w:t xml:space="preserve"> </w:t>
      </w:r>
      <w:r>
        <w:rPr>
          <w:rtl/>
        </w:rPr>
        <w:t>לטווח קצר.</w:t>
      </w:r>
    </w:p>
  </w:footnote>
  <w:footnote w:id="26">
    <w:p w:rsidR="00F74793" w:rsidP="001F2586">
      <w:pPr>
        <w:pStyle w:val="FootnoteText"/>
        <w:rPr>
          <w:rtl/>
        </w:rPr>
      </w:pPr>
      <w:r>
        <w:rPr>
          <w:rStyle w:val="FootnoteReference1"/>
        </w:rPr>
        <w:footnoteRef/>
      </w:r>
      <w:r>
        <w:rPr>
          <w:rtl/>
        </w:rPr>
        <w:t xml:space="preserve"> </w:t>
      </w:r>
      <w:r>
        <w:rPr>
          <w:rtl/>
        </w:rPr>
        <w:tab/>
      </w:r>
      <w:r w:rsidRPr="00B4661A">
        <w:rPr>
          <w:rtl/>
        </w:rPr>
        <w:t>אינפלצי</w:t>
      </w:r>
      <w:r w:rsidRPr="00B4661A">
        <w:rPr>
          <w:rFonts w:hint="cs"/>
          <w:rtl/>
        </w:rPr>
        <w:t>ה</w:t>
      </w:r>
      <w:r>
        <w:rPr>
          <w:rtl/>
        </w:rPr>
        <w:t xml:space="preserve"> </w:t>
      </w:r>
      <w:r>
        <w:rPr>
          <w:rFonts w:hint="cs"/>
          <w:rtl/>
        </w:rPr>
        <w:t xml:space="preserve">הוא תהליך שבו </w:t>
      </w:r>
      <w:r>
        <w:rPr>
          <w:rtl/>
        </w:rPr>
        <w:t xml:space="preserve">ערך הכסף נשחק לאורך זמן, </w:t>
      </w:r>
      <w:r>
        <w:rPr>
          <w:rFonts w:hint="cs"/>
          <w:rtl/>
        </w:rPr>
        <w:t>כך</w:t>
      </w:r>
      <w:r>
        <w:rPr>
          <w:rtl/>
        </w:rPr>
        <w:t xml:space="preserve"> </w:t>
      </w:r>
      <w:r>
        <w:rPr>
          <w:rFonts w:hint="cs"/>
          <w:rtl/>
        </w:rPr>
        <w:t>ש</w:t>
      </w:r>
      <w:r>
        <w:rPr>
          <w:rtl/>
        </w:rPr>
        <w:t>באותו סכום כסף אפשר לרכוש פחות</w:t>
      </w:r>
      <w:r>
        <w:rPr>
          <w:rFonts w:hint="cs"/>
          <w:rtl/>
        </w:rPr>
        <w:t xml:space="preserve"> </w:t>
      </w:r>
      <w:r>
        <w:rPr>
          <w:rtl/>
        </w:rPr>
        <w:t>מוצרים ושירותים.</w:t>
      </w:r>
      <w:r>
        <w:rPr>
          <w:rFonts w:hint="cs"/>
          <w:rtl/>
        </w:rPr>
        <w:t xml:space="preserve"> תהליך זה יכול ליצור אי-ודאות לערכו העתידי של הכסף, לייקר ולהפחית את האשראי במשק, ובתוכו את האשראי לדיור.</w:t>
      </w:r>
    </w:p>
  </w:footnote>
  <w:footnote w:id="27">
    <w:p w:rsidR="00F74793" w:rsidP="001F2586">
      <w:pPr>
        <w:pStyle w:val="FootnoteText"/>
      </w:pPr>
      <w:r>
        <w:rPr>
          <w:rStyle w:val="FootnoteReference1"/>
        </w:rPr>
        <w:footnoteRef/>
      </w:r>
      <w:r>
        <w:rPr>
          <w:rtl/>
        </w:rPr>
        <w:t xml:space="preserve"> </w:t>
      </w:r>
      <w:r>
        <w:rPr>
          <w:rtl/>
        </w:rPr>
        <w:tab/>
      </w:r>
      <w:r w:rsidRPr="00B4661A">
        <w:rPr>
          <w:rtl/>
        </w:rPr>
        <w:t>מדד המחירים לצרכן</w:t>
      </w:r>
      <w:r>
        <w:rPr>
          <w:rtl/>
        </w:rPr>
        <w:t xml:space="preserve"> מודד את שיעור</w:t>
      </w:r>
      <w:r>
        <w:rPr>
          <w:rFonts w:hint="cs"/>
          <w:rtl/>
        </w:rPr>
        <w:t xml:space="preserve"> </w:t>
      </w:r>
      <w:r>
        <w:rPr>
          <w:rtl/>
        </w:rPr>
        <w:t>השינוי בזמן שנבדק בהוצאה הדרושה לקניית "סל קבוע" של מוצרים ושל שירותים שמחיריהם</w:t>
      </w:r>
      <w:r>
        <w:rPr>
          <w:rFonts w:hint="cs"/>
          <w:rtl/>
        </w:rPr>
        <w:t xml:space="preserve"> </w:t>
      </w:r>
      <w:r>
        <w:rPr>
          <w:rtl/>
        </w:rPr>
        <w:t>ניתנים למדידה סדירה. סל זה מייצג את התצרוכת של אוכלוסיית משקי הבית. המדד משמש</w:t>
      </w:r>
      <w:r>
        <w:rPr>
          <w:rFonts w:hint="cs"/>
          <w:rtl/>
        </w:rPr>
        <w:t xml:space="preserve"> </w:t>
      </w:r>
      <w:r>
        <w:rPr>
          <w:rtl/>
        </w:rPr>
        <w:t>בעיקר להצמדות שונות, לקביעת תוספת היוקר לתעריפי השכר ולניתוח מגמות המחירים במשק</w:t>
      </w:r>
      <w:r>
        <w:rPr>
          <w:rFonts w:hint="cs"/>
          <w:rtl/>
        </w:rPr>
        <w:t>.</w:t>
      </w:r>
    </w:p>
  </w:footnote>
  <w:footnote w:id="28">
    <w:p w:rsidR="00F74793" w:rsidP="001F2586">
      <w:pPr>
        <w:pStyle w:val="FootnoteText"/>
      </w:pPr>
      <w:r>
        <w:rPr>
          <w:rStyle w:val="FootnoteReference1"/>
        </w:rPr>
        <w:footnoteRef/>
      </w:r>
      <w:r>
        <w:rPr>
          <w:rtl/>
        </w:rPr>
        <w:t xml:space="preserve"> </w:t>
      </w:r>
      <w:r>
        <w:rPr>
          <w:rtl/>
        </w:rPr>
        <w:tab/>
      </w:r>
      <w:r>
        <w:rPr>
          <w:rFonts w:hint="cs"/>
          <w:rtl/>
        </w:rPr>
        <w:t xml:space="preserve">יצוין כי </w:t>
      </w:r>
      <w:r w:rsidRPr="00B4661A">
        <w:rPr>
          <w:rFonts w:hint="cs"/>
          <w:rtl/>
        </w:rPr>
        <w:t>העלייה החדה במדד המחירים</w:t>
      </w:r>
      <w:r>
        <w:rPr>
          <w:rFonts w:hint="cs"/>
          <w:rtl/>
        </w:rPr>
        <w:t xml:space="preserve"> נגרמה משתי סיבות: בצד ההיצע - שיבושים </w:t>
      </w:r>
      <w:r>
        <w:rPr>
          <w:rtl/>
        </w:rPr>
        <w:t>בשרשרת האספקה העולמית עקב משבר הקורונה ועליית מחירי סחורות ואנרגיה בעקבות מלחמת רוסיה-אוקראינה</w:t>
      </w:r>
      <w:r>
        <w:rPr>
          <w:rFonts w:hint="cs"/>
          <w:rtl/>
        </w:rPr>
        <w:t xml:space="preserve">; ובצד הביקוש - </w:t>
      </w:r>
      <w:r>
        <w:rPr>
          <w:rtl/>
        </w:rPr>
        <w:t xml:space="preserve">גידול </w:t>
      </w:r>
      <w:r>
        <w:rPr>
          <w:rtl/>
        </w:rPr>
        <w:t>בביקושים</w:t>
      </w:r>
      <w:r>
        <w:rPr>
          <w:rtl/>
        </w:rPr>
        <w:t xml:space="preserve"> לאחר סיום משבר הקורונה</w:t>
      </w:r>
      <w:r>
        <w:rPr>
          <w:rFonts w:hint="cs"/>
          <w:rtl/>
        </w:rPr>
        <w:t>.</w:t>
      </w:r>
    </w:p>
  </w:footnote>
  <w:footnote w:id="29">
    <w:p w:rsidR="00F74793" w:rsidP="001F2586">
      <w:pPr>
        <w:pStyle w:val="FootnoteText"/>
        <w:rPr>
          <w:rtl/>
        </w:rPr>
      </w:pPr>
      <w:r>
        <w:rPr>
          <w:rStyle w:val="FootnoteReference1"/>
        </w:rPr>
        <w:footnoteRef/>
      </w:r>
      <w:r>
        <w:rPr>
          <w:rtl/>
        </w:rPr>
        <w:t xml:space="preserve"> </w:t>
      </w:r>
      <w:r>
        <w:rPr>
          <w:rtl/>
        </w:rPr>
        <w:tab/>
        <w:t xml:space="preserve">יצוין כי בנק ישראל נקט בצעד מוניטרי של העלאת הריבית בשל </w:t>
      </w:r>
      <w:r w:rsidRPr="00B4661A">
        <w:rPr>
          <w:rtl/>
        </w:rPr>
        <w:t>האינפלציה בשנת 2022 שהגיעה לשיעור של כ</w:t>
      </w:r>
      <w:r w:rsidRPr="00B4661A">
        <w:rPr>
          <w:rFonts w:hint="cs"/>
          <w:rtl/>
        </w:rPr>
        <w:t>-5.3%</w:t>
      </w:r>
      <w:r>
        <w:rPr>
          <w:rFonts w:hint="cs"/>
          <w:rtl/>
        </w:rPr>
        <w:t xml:space="preserve"> (</w:t>
      </w:r>
      <w:r>
        <w:rPr>
          <w:rtl/>
        </w:rPr>
        <w:t>לעומת 2.8% בשנת 2021</w:t>
      </w:r>
      <w:r>
        <w:rPr>
          <w:rFonts w:hint="cs"/>
          <w:rtl/>
        </w:rPr>
        <w:t>),</w:t>
      </w:r>
      <w:r>
        <w:rPr>
          <w:rtl/>
        </w:rPr>
        <w:t xml:space="preserve"> כ2.3%- מעל ליעד העליון של 3% </w:t>
      </w:r>
      <w:r>
        <w:rPr>
          <w:rFonts w:hint="cs"/>
          <w:rtl/>
        </w:rPr>
        <w:t>שקבעה</w:t>
      </w:r>
      <w:r>
        <w:rPr>
          <w:rtl/>
        </w:rPr>
        <w:t xml:space="preserve"> הממשלה</w:t>
      </w:r>
      <w:r>
        <w:rPr>
          <w:rFonts w:hint="cs"/>
          <w:rtl/>
        </w:rPr>
        <w:t>.</w:t>
      </w:r>
    </w:p>
  </w:footnote>
  <w:footnote w:id="30">
    <w:p w:rsidR="00F74793" w:rsidP="001F2586">
      <w:pPr>
        <w:pStyle w:val="FootnoteText"/>
      </w:pPr>
      <w:r>
        <w:rPr>
          <w:rStyle w:val="FootnoteReference1"/>
        </w:rPr>
        <w:footnoteRef/>
      </w:r>
      <w:r>
        <w:rPr>
          <w:rtl/>
        </w:rPr>
        <w:t xml:space="preserve"> </w:t>
      </w:r>
      <w:r>
        <w:rPr>
          <w:rtl/>
        </w:rPr>
        <w:tab/>
      </w:r>
      <w:r>
        <w:rPr>
          <w:rFonts w:hint="cs"/>
          <w:rtl/>
        </w:rPr>
        <w:t>משקלן עלה בכ-1% - 2%. יצוין כי ניתן לייחס את כך שמשקל הריביות הקבועות לא השתנה כמעט בכך שנדרש שליש מהלוואה בריבית קבועה בשל המגבלה על חלק הלוואה בריבית משתנה שהוא עד שני שליש.</w:t>
      </w:r>
    </w:p>
  </w:footnote>
  <w:footnote w:id="31">
    <w:p w:rsidR="00F74793" w:rsidRPr="00FD4AAF" w:rsidP="001F2586">
      <w:pPr>
        <w:pStyle w:val="FootnoteText"/>
        <w:rPr>
          <w:rFonts w:ascii="David" w:hAnsi="David"/>
        </w:rPr>
      </w:pPr>
      <w:r w:rsidRPr="00FD4AAF">
        <w:rPr>
          <w:rStyle w:val="FootnoteReference1"/>
          <w:rFonts w:ascii="David" w:hAnsi="David"/>
        </w:rPr>
        <w:footnoteRef/>
      </w:r>
      <w:r w:rsidRPr="00FD4AAF">
        <w:rPr>
          <w:rFonts w:ascii="David" w:hAnsi="David"/>
          <w:rtl/>
        </w:rPr>
        <w:t xml:space="preserve"> </w:t>
      </w:r>
      <w:r w:rsidRPr="00FD4AAF">
        <w:rPr>
          <w:rFonts w:ascii="David" w:hAnsi="David"/>
          <w:rtl/>
        </w:rPr>
        <w:tab/>
      </w:r>
      <w:r w:rsidRPr="00B4661A">
        <w:rPr>
          <w:rFonts w:ascii="David" w:hAnsi="David"/>
          <w:rtl/>
        </w:rPr>
        <w:t>סקירת מערכת הבנקאות לשנת 2023</w:t>
      </w:r>
      <w:r>
        <w:rPr>
          <w:rFonts w:ascii="David" w:hAnsi="David" w:hint="cs"/>
          <w:rtl/>
        </w:rPr>
        <w:t>, בנק ישראל, עמ' 79.</w:t>
      </w:r>
    </w:p>
  </w:footnote>
  <w:footnote w:id="32">
    <w:p w:rsidR="00F74793" w:rsidP="001F2586">
      <w:pPr>
        <w:pStyle w:val="FootnoteText"/>
        <w:rPr>
          <w:rtl/>
        </w:rPr>
      </w:pPr>
      <w:r>
        <w:rPr>
          <w:rStyle w:val="FootnoteReference1"/>
        </w:rPr>
        <w:footnoteRef/>
      </w:r>
      <w:r>
        <w:rPr>
          <w:rtl/>
        </w:rPr>
        <w:t xml:space="preserve"> </w:t>
      </w:r>
      <w:r>
        <w:rPr>
          <w:rtl/>
        </w:rPr>
        <w:tab/>
      </w:r>
      <w:r>
        <w:rPr>
          <w:rFonts w:hint="cs"/>
          <w:rtl/>
        </w:rPr>
        <w:t xml:space="preserve">יצוין כי </w:t>
      </w:r>
      <w:r w:rsidRPr="008E1F64">
        <w:rPr>
          <w:rFonts w:ascii="David" w:hAnsi="David" w:hint="cs"/>
          <w:rtl/>
        </w:rPr>
        <w:t>מדובר</w:t>
      </w:r>
      <w:r>
        <w:rPr>
          <w:rFonts w:hint="cs"/>
          <w:rtl/>
        </w:rPr>
        <w:t xml:space="preserve"> בנתוני ביניים לשנת 2025.</w:t>
      </w:r>
    </w:p>
  </w:footnote>
  <w:footnote w:id="33">
    <w:p w:rsidR="00F74793" w:rsidP="001F2586">
      <w:pPr>
        <w:pStyle w:val="FootnoteText"/>
        <w:rPr>
          <w:rtl/>
        </w:rPr>
      </w:pPr>
      <w:r>
        <w:rPr>
          <w:rStyle w:val="FootnoteReference1"/>
        </w:rPr>
        <w:footnoteRef/>
      </w:r>
      <w:r>
        <w:rPr>
          <w:rtl/>
        </w:rPr>
        <w:t xml:space="preserve"> </w:t>
      </w:r>
      <w:r>
        <w:rPr>
          <w:rtl/>
        </w:rPr>
        <w:tab/>
      </w:r>
      <w:r w:rsidRPr="004827F8">
        <w:rPr>
          <w:rtl/>
        </w:rPr>
        <w:t>דירות חדשות ודירות יד שנ</w:t>
      </w:r>
      <w:r>
        <w:rPr>
          <w:rFonts w:hint="cs"/>
          <w:rtl/>
        </w:rPr>
        <w:t>י</w:t>
      </w:r>
      <w:r w:rsidRPr="004827F8">
        <w:rPr>
          <w:rtl/>
        </w:rPr>
        <w:t>יה.</w:t>
      </w:r>
    </w:p>
  </w:footnote>
  <w:footnote w:id="34">
    <w:p w:rsidR="00F74793" w:rsidP="001F2586">
      <w:pPr>
        <w:pStyle w:val="FootnoteText"/>
        <w:rPr>
          <w:rtl/>
        </w:rPr>
      </w:pPr>
      <w:r>
        <w:rPr>
          <w:rStyle w:val="FootnoteReference1"/>
        </w:rPr>
        <w:footnoteRef/>
      </w:r>
      <w:r>
        <w:rPr>
          <w:rtl/>
        </w:rPr>
        <w:t xml:space="preserve"> </w:t>
      </w:r>
      <w:r>
        <w:rPr>
          <w:rtl/>
        </w:rPr>
        <w:tab/>
      </w:r>
      <w:r>
        <w:rPr>
          <w:rFonts w:hint="cs"/>
          <w:rtl/>
        </w:rPr>
        <w:t xml:space="preserve">יצוין </w:t>
      </w:r>
      <w:r w:rsidRPr="008139FC">
        <w:rPr>
          <w:rtl/>
        </w:rPr>
        <w:t xml:space="preserve">כי בתקופה </w:t>
      </w:r>
      <w:r>
        <w:rPr>
          <w:rFonts w:hint="cs"/>
          <w:rtl/>
        </w:rPr>
        <w:t>ש</w:t>
      </w:r>
      <w:r w:rsidRPr="008139FC">
        <w:rPr>
          <w:rtl/>
        </w:rPr>
        <w:t>בין</w:t>
      </w:r>
      <w:r>
        <w:rPr>
          <w:rFonts w:hint="cs"/>
          <w:rtl/>
        </w:rPr>
        <w:t xml:space="preserve"> אפריל</w:t>
      </w:r>
      <w:r w:rsidRPr="008139FC">
        <w:rPr>
          <w:rtl/>
        </w:rPr>
        <w:t xml:space="preserve"> 2023 </w:t>
      </w:r>
      <w:r>
        <w:rPr>
          <w:rFonts w:hint="cs"/>
          <w:rtl/>
        </w:rPr>
        <w:t xml:space="preserve">לינואר </w:t>
      </w:r>
      <w:r w:rsidRPr="008139FC">
        <w:rPr>
          <w:rtl/>
        </w:rPr>
        <w:t>2024 ירד המדד בשיעור של כ-2</w:t>
      </w:r>
      <w:r>
        <w:rPr>
          <w:rFonts w:hint="cs"/>
          <w:rtl/>
        </w:rPr>
        <w:t>.5%.</w:t>
      </w:r>
      <w:r w:rsidRPr="008139FC">
        <w:rPr>
          <w:rtl/>
        </w:rPr>
        <w:t xml:space="preserve"> </w:t>
      </w:r>
    </w:p>
  </w:footnote>
  <w:footnote w:id="35">
    <w:p w:rsidR="00F74793" w:rsidP="001F2586">
      <w:pPr>
        <w:pStyle w:val="FootnoteText"/>
      </w:pPr>
      <w:r>
        <w:rPr>
          <w:rStyle w:val="FootnoteReference1"/>
        </w:rPr>
        <w:footnoteRef/>
      </w:r>
      <w:r>
        <w:rPr>
          <w:rtl/>
        </w:rPr>
        <w:t xml:space="preserve"> </w:t>
      </w:r>
      <w:r>
        <w:rPr>
          <w:rtl/>
        </w:rPr>
        <w:tab/>
      </w:r>
      <w:r w:rsidRPr="004B59CF">
        <w:rPr>
          <w:rtl/>
        </w:rPr>
        <w:t>ביצועים - הלוואות שנלקחו או בוצעו במהלך השנה, המתייחסים להיקף ההלוואות ו/או סכומי ההלוואות.</w:t>
      </w:r>
    </w:p>
  </w:footnote>
  <w:footnote w:id="36">
    <w:p w:rsidR="00F74793" w:rsidP="001F2586">
      <w:pPr>
        <w:pStyle w:val="FootnoteText"/>
        <w:rPr>
          <w:rtl/>
        </w:rPr>
      </w:pPr>
      <w:r>
        <w:rPr>
          <w:rStyle w:val="FootnoteReference1"/>
        </w:rPr>
        <w:footnoteRef/>
      </w:r>
      <w:r>
        <w:rPr>
          <w:rtl/>
        </w:rPr>
        <w:t xml:space="preserve"> </w:t>
      </w:r>
      <w:r>
        <w:rPr>
          <w:rtl/>
        </w:rPr>
        <w:tab/>
      </w:r>
      <w:r>
        <w:rPr>
          <w:rFonts w:hint="cs"/>
          <w:rtl/>
        </w:rPr>
        <w:t>נתוני ביניים לשנת 2025.</w:t>
      </w:r>
    </w:p>
  </w:footnote>
  <w:footnote w:id="37">
    <w:p w:rsidR="00F74793" w:rsidP="001F2586">
      <w:pPr>
        <w:pStyle w:val="FootnoteText"/>
      </w:pPr>
      <w:r>
        <w:rPr>
          <w:rStyle w:val="FootnoteReference1"/>
        </w:rPr>
        <w:footnoteRef/>
      </w:r>
      <w:r>
        <w:rPr>
          <w:rtl/>
        </w:rPr>
        <w:t xml:space="preserve"> </w:t>
      </w:r>
      <w:r>
        <w:rPr>
          <w:rtl/>
        </w:rPr>
        <w:tab/>
      </w:r>
      <w:r>
        <w:rPr>
          <w:rFonts w:hint="cs"/>
          <w:rtl/>
        </w:rPr>
        <w:t>יצוין כי מדובר בהחזר חודשי ראשון על הלוואות שנלקחו בשנים 2019 - 2025 הנתון לשינויים במהלך תקופת המשכנתא.</w:t>
      </w:r>
    </w:p>
  </w:footnote>
  <w:footnote w:id="38">
    <w:p w:rsidR="00F74793" w:rsidP="001F2586">
      <w:pPr>
        <w:pStyle w:val="FootnoteText"/>
        <w:rPr>
          <w:rtl/>
        </w:rPr>
      </w:pPr>
      <w:r>
        <w:rPr>
          <w:rStyle w:val="FootnoteReference1"/>
        </w:rPr>
        <w:footnoteRef/>
      </w:r>
      <w:r>
        <w:rPr>
          <w:rtl/>
        </w:rPr>
        <w:t xml:space="preserve"> </w:t>
      </w:r>
      <w:r>
        <w:rPr>
          <w:rtl/>
        </w:rPr>
        <w:tab/>
      </w:r>
      <w:r>
        <w:rPr>
          <w:rFonts w:hint="cs"/>
          <w:rtl/>
        </w:rPr>
        <w:t>יצוין כי נתוני יתרת האשראי לדיור מובאים בתרשים "</w:t>
      </w:r>
      <w:r w:rsidRPr="004F522E">
        <w:rPr>
          <w:rtl/>
        </w:rPr>
        <w:t xml:space="preserve">יתרות חוב המשכנתאות של משקי הבית בשנים 2015 </w:t>
      </w:r>
      <w:r>
        <w:rPr>
          <w:rFonts w:hint="cs"/>
          <w:rtl/>
        </w:rPr>
        <w:t>-</w:t>
      </w:r>
      <w:r w:rsidRPr="004F522E">
        <w:rPr>
          <w:rtl/>
        </w:rPr>
        <w:t xml:space="preserve"> 2025</w:t>
      </w:r>
      <w:r>
        <w:rPr>
          <w:rFonts w:hint="cs"/>
          <w:rtl/>
        </w:rPr>
        <w:t xml:space="preserve"> </w:t>
      </w:r>
      <w:r w:rsidRPr="004F522E">
        <w:rPr>
          <w:rtl/>
        </w:rPr>
        <w:t>לפי מלווים (בנקים, גופים מוסדיים וממשלה)</w:t>
      </w:r>
      <w:r>
        <w:rPr>
          <w:rFonts w:hint="cs"/>
          <w:rtl/>
        </w:rPr>
        <w:t>, במיליארדי ש"ח" בפרק זה.</w:t>
      </w:r>
    </w:p>
  </w:footnote>
  <w:footnote w:id="39">
    <w:p w:rsidR="00F74793" w:rsidP="001F2586">
      <w:pPr>
        <w:pStyle w:val="FootnoteText"/>
        <w:rPr>
          <w:rtl/>
        </w:rPr>
      </w:pPr>
      <w:r>
        <w:rPr>
          <w:rStyle w:val="FootnoteReference1"/>
        </w:rPr>
        <w:footnoteRef/>
      </w:r>
      <w:r>
        <w:rPr>
          <w:rtl/>
        </w:rPr>
        <w:t xml:space="preserve"> </w:t>
      </w:r>
      <w:r>
        <w:rPr>
          <w:rtl/>
        </w:rPr>
        <w:tab/>
      </w:r>
      <w:r>
        <w:rPr>
          <w:rFonts w:hint="cs"/>
          <w:rtl/>
        </w:rPr>
        <w:t>יצוין כי אומדן לסכום המשכנתא הממוצע מוצג בפרק "מחירי הדירות והביקוש למשכנתאות במערכת הבנקאית".</w:t>
      </w:r>
    </w:p>
  </w:footnote>
  <w:footnote w:id="40">
    <w:p w:rsidR="00F74793" w:rsidP="001F2586">
      <w:pPr>
        <w:pStyle w:val="FootnoteText"/>
        <w:rPr>
          <w:rtl/>
        </w:rPr>
      </w:pPr>
      <w:r>
        <w:rPr>
          <w:rStyle w:val="FootnoteReference1"/>
        </w:rPr>
        <w:footnoteRef/>
      </w:r>
      <w:r>
        <w:rPr>
          <w:rtl/>
        </w:rPr>
        <w:t xml:space="preserve"> </w:t>
      </w:r>
      <w:r>
        <w:rPr>
          <w:rtl/>
        </w:rPr>
        <w:tab/>
      </w:r>
      <w:r>
        <w:rPr>
          <w:rFonts w:hint="cs"/>
          <w:rtl/>
        </w:rPr>
        <w:t>יצוין כי בשל משבר הקורונה בשנת 2020 עלה שיעור הפיגורים בשנה זו.</w:t>
      </w:r>
    </w:p>
  </w:footnote>
  <w:footnote w:id="41">
    <w:p w:rsidR="00F74793" w:rsidP="001F2586">
      <w:pPr>
        <w:pStyle w:val="FootnoteText"/>
        <w:rPr>
          <w:rtl/>
        </w:rPr>
      </w:pPr>
      <w:r>
        <w:rPr>
          <w:rStyle w:val="FootnoteReference1"/>
        </w:rPr>
        <w:footnoteRef/>
      </w:r>
      <w:r>
        <w:rPr>
          <w:rtl/>
        </w:rPr>
        <w:t xml:space="preserve"> </w:t>
      </w:r>
      <w:r>
        <w:rPr>
          <w:rtl/>
        </w:rPr>
        <w:tab/>
      </w:r>
      <w:r>
        <w:rPr>
          <w:rFonts w:hint="cs"/>
          <w:rtl/>
        </w:rPr>
        <w:t xml:space="preserve">יצוין כי </w:t>
      </w:r>
      <w:r w:rsidRPr="00A016BA">
        <w:rPr>
          <w:rtl/>
        </w:rPr>
        <w:t>לפי בנק ישראל, הגידול שנצפה החל מסוף שנת 2023 מיוחס להלוואות מסוג סבסוד יזמים ששווקו על ידי יזמים כאחד ממבצעי העידוד לרכישת דירה</w:t>
      </w:r>
      <w:r>
        <w:rPr>
          <w:rtl/>
        </w:rPr>
        <w:t>.</w:t>
      </w:r>
      <w:r>
        <w:rPr>
          <w:rFonts w:hint="cs"/>
          <w:rtl/>
        </w:rPr>
        <w:t xml:space="preserve"> ראו הרחבה של הנושא בפרק "ענף הבנייה והשפעתו על שוק המשכנתאות".</w:t>
      </w:r>
    </w:p>
  </w:footnote>
  <w:footnote w:id="42">
    <w:p w:rsidR="00F74793" w:rsidP="001F2586">
      <w:pPr>
        <w:pStyle w:val="FootnoteText"/>
      </w:pPr>
      <w:r>
        <w:rPr>
          <w:rStyle w:val="FootnoteReference1"/>
        </w:rPr>
        <w:footnoteRef/>
      </w:r>
      <w:r>
        <w:rPr>
          <w:rtl/>
        </w:rPr>
        <w:t xml:space="preserve"> </w:t>
      </w:r>
      <w:r>
        <w:rPr>
          <w:rtl/>
        </w:rPr>
        <w:tab/>
      </w:r>
      <w:r>
        <w:rPr>
          <w:rFonts w:hint="cs"/>
          <w:rtl/>
        </w:rPr>
        <w:t xml:space="preserve">אסדרה, כהגדרתה </w:t>
      </w:r>
      <w:r w:rsidRPr="00B4661A">
        <w:rPr>
          <w:rFonts w:hint="cs"/>
          <w:rtl/>
        </w:rPr>
        <w:t>בחוק עקרונות האסדרה</w:t>
      </w:r>
      <w:r>
        <w:rPr>
          <w:rFonts w:hint="cs"/>
          <w:rtl/>
        </w:rPr>
        <w:t xml:space="preserve">, התשפ"ב-2021, היא הוראה המקיימת תנאים אלו: היא </w:t>
      </w:r>
      <w:r>
        <w:rPr>
          <w:rtl/>
        </w:rPr>
        <w:t>קובעת כלל התנהגות שהוא בעל אופי כללי</w:t>
      </w:r>
      <w:r>
        <w:rPr>
          <w:rFonts w:hint="cs"/>
          <w:rtl/>
        </w:rPr>
        <w:t xml:space="preserve"> ומקיימת תנאים אלו;</w:t>
      </w:r>
      <w:r>
        <w:rPr>
          <w:rtl/>
        </w:rPr>
        <w:t xml:space="preserve"> </w:t>
      </w:r>
      <w:r>
        <w:rPr>
          <w:rFonts w:hint="cs"/>
          <w:rtl/>
        </w:rPr>
        <w:t xml:space="preserve">היא </w:t>
      </w:r>
      <w:r>
        <w:rPr>
          <w:rtl/>
        </w:rPr>
        <w:t>נקבע</w:t>
      </w:r>
      <w:r>
        <w:rPr>
          <w:rFonts w:hint="cs"/>
          <w:rtl/>
        </w:rPr>
        <w:t xml:space="preserve">ה </w:t>
      </w:r>
      <w:r>
        <w:rPr>
          <w:rtl/>
        </w:rPr>
        <w:t xml:space="preserve">להסדרת פעילות כלכלית או חברתית; </w:t>
      </w:r>
      <w:r>
        <w:rPr>
          <w:rFonts w:hint="cs"/>
          <w:rtl/>
        </w:rPr>
        <w:t xml:space="preserve">היא </w:t>
      </w:r>
      <w:r>
        <w:rPr>
          <w:rtl/>
        </w:rPr>
        <w:t>ניתנת לאכיפה</w:t>
      </w:r>
      <w:r>
        <w:rPr>
          <w:rFonts w:hint="cs"/>
          <w:rtl/>
        </w:rPr>
        <w:t xml:space="preserve"> </w:t>
      </w:r>
      <w:r>
        <w:rPr>
          <w:rtl/>
        </w:rPr>
        <w:t>פלילית או מינהלית בידי רשות ציבורית או תאגיד ציבורי; ו</w:t>
      </w:r>
      <w:r>
        <w:rPr>
          <w:rFonts w:hint="cs"/>
          <w:rtl/>
        </w:rPr>
        <w:t xml:space="preserve">היא </w:t>
      </w:r>
      <w:r>
        <w:rPr>
          <w:rtl/>
        </w:rPr>
        <w:t xml:space="preserve">נקבעה </w:t>
      </w:r>
      <w:r>
        <w:rPr>
          <w:rFonts w:hint="cs"/>
          <w:rtl/>
        </w:rPr>
        <w:t>בחקיקה</w:t>
      </w:r>
      <w:r>
        <w:rPr>
          <w:rtl/>
        </w:rPr>
        <w:t xml:space="preserve"> או על פי סמכות כדין בהנחיה, נוהל, חוזר,</w:t>
      </w:r>
      <w:r>
        <w:rPr>
          <w:rFonts w:hint="cs"/>
          <w:rtl/>
        </w:rPr>
        <w:t xml:space="preserve"> </w:t>
      </w:r>
      <w:r>
        <w:rPr>
          <w:rtl/>
        </w:rPr>
        <w:t xml:space="preserve">גילוי דעת או בהוראה </w:t>
      </w:r>
      <w:r>
        <w:rPr>
          <w:rFonts w:hint="cs"/>
          <w:rtl/>
        </w:rPr>
        <w:t>דומה.</w:t>
      </w:r>
    </w:p>
  </w:footnote>
  <w:footnote w:id="43">
    <w:p w:rsidR="00F74793" w:rsidRPr="00883DBB" w:rsidP="001F2586">
      <w:pPr>
        <w:pStyle w:val="FootnoteText"/>
        <w:rPr>
          <w:rtl/>
        </w:rPr>
      </w:pPr>
      <w:r>
        <w:rPr>
          <w:rStyle w:val="FootnoteReference1"/>
        </w:rPr>
        <w:footnoteRef/>
      </w:r>
      <w:r>
        <w:rPr>
          <w:rtl/>
        </w:rPr>
        <w:t xml:space="preserve"> </w:t>
      </w:r>
      <w:r>
        <w:rPr>
          <w:rtl/>
        </w:rPr>
        <w:tab/>
      </w:r>
      <w:r w:rsidRPr="00500152">
        <w:rPr>
          <w:rtl/>
        </w:rPr>
        <w:t xml:space="preserve">הסמכות להתקין הוראת </w:t>
      </w:r>
      <w:r w:rsidRPr="00500152">
        <w:rPr>
          <w:rtl/>
        </w:rPr>
        <w:t>נב"ת</w:t>
      </w:r>
      <w:r w:rsidRPr="00500152">
        <w:rPr>
          <w:rtl/>
        </w:rPr>
        <w:t xml:space="preserve"> באשר לדרכי הפעילות והניהול של בנקים </w:t>
      </w:r>
      <w:r>
        <w:rPr>
          <w:rFonts w:hint="cs"/>
          <w:rtl/>
        </w:rPr>
        <w:t xml:space="preserve">ניתנת למפקח על הבנקים בסעיף 5(ג1) </w:t>
      </w:r>
      <w:r w:rsidRPr="00B4661A">
        <w:rPr>
          <w:rFonts w:hint="cs"/>
          <w:rtl/>
        </w:rPr>
        <w:t>לפקודת הבנקאות</w:t>
      </w:r>
      <w:r>
        <w:rPr>
          <w:rFonts w:hint="cs"/>
          <w:rtl/>
        </w:rPr>
        <w:t>.</w:t>
      </w:r>
    </w:p>
  </w:footnote>
  <w:footnote w:id="44">
    <w:p w:rsidR="00F74793" w:rsidP="001F2586">
      <w:pPr>
        <w:pStyle w:val="FootnoteText"/>
        <w:rPr>
          <w:rtl/>
        </w:rPr>
      </w:pPr>
      <w:r>
        <w:rPr>
          <w:rStyle w:val="FootnoteReference1"/>
        </w:rPr>
        <w:footnoteRef/>
      </w:r>
      <w:r>
        <w:rPr>
          <w:rtl/>
        </w:rPr>
        <w:t xml:space="preserve"> </w:t>
      </w:r>
      <w:r>
        <w:rPr>
          <w:rtl/>
        </w:rPr>
        <w:tab/>
      </w:r>
      <w:r>
        <w:rPr>
          <w:rFonts w:hint="cs"/>
          <w:rtl/>
        </w:rPr>
        <w:t xml:space="preserve">מבקר המדינה, </w:t>
      </w:r>
      <w:r w:rsidRPr="00B4661A">
        <w:rPr>
          <w:rFonts w:hint="eastAsia"/>
          <w:b/>
          <w:bCs/>
          <w:rtl/>
        </w:rPr>
        <w:t>דוח</w:t>
      </w:r>
      <w:r w:rsidRPr="00B4661A">
        <w:rPr>
          <w:b/>
          <w:bCs/>
          <w:rtl/>
        </w:rPr>
        <w:t xml:space="preserve"> </w:t>
      </w:r>
      <w:r w:rsidRPr="00B4661A">
        <w:rPr>
          <w:rFonts w:hint="eastAsia"/>
          <w:b/>
          <w:bCs/>
          <w:rtl/>
        </w:rPr>
        <w:t>מבקר</w:t>
      </w:r>
      <w:r w:rsidRPr="00B4661A">
        <w:rPr>
          <w:b/>
          <w:bCs/>
          <w:rtl/>
        </w:rPr>
        <w:t xml:space="preserve"> </w:t>
      </w:r>
      <w:r w:rsidRPr="00B4661A">
        <w:rPr>
          <w:rFonts w:hint="eastAsia"/>
          <w:b/>
          <w:bCs/>
          <w:rtl/>
        </w:rPr>
        <w:t>המדינה</w:t>
      </w:r>
      <w:r w:rsidRPr="00B4661A">
        <w:rPr>
          <w:b/>
          <w:bCs/>
          <w:rtl/>
        </w:rPr>
        <w:t xml:space="preserve">, </w:t>
      </w:r>
      <w:r w:rsidRPr="00B4661A">
        <w:rPr>
          <w:rFonts w:hint="eastAsia"/>
          <w:b/>
          <w:bCs/>
          <w:rtl/>
        </w:rPr>
        <w:t>הפיקוח</w:t>
      </w:r>
      <w:r w:rsidRPr="00B4661A">
        <w:rPr>
          <w:b/>
          <w:bCs/>
          <w:rtl/>
        </w:rPr>
        <w:t xml:space="preserve"> </w:t>
      </w:r>
      <w:r w:rsidRPr="00B4661A">
        <w:rPr>
          <w:rFonts w:hint="eastAsia"/>
          <w:b/>
          <w:bCs/>
          <w:rtl/>
        </w:rPr>
        <w:t>על</w:t>
      </w:r>
      <w:r w:rsidRPr="00B4661A">
        <w:rPr>
          <w:b/>
          <w:bCs/>
          <w:rtl/>
        </w:rPr>
        <w:t xml:space="preserve"> </w:t>
      </w:r>
      <w:r w:rsidRPr="00B4661A">
        <w:rPr>
          <w:rFonts w:hint="eastAsia"/>
          <w:b/>
          <w:bCs/>
          <w:rtl/>
        </w:rPr>
        <w:t>מתן</w:t>
      </w:r>
      <w:r w:rsidRPr="00B4661A">
        <w:rPr>
          <w:b/>
          <w:bCs/>
          <w:rtl/>
        </w:rPr>
        <w:t xml:space="preserve"> </w:t>
      </w:r>
      <w:r w:rsidRPr="00B4661A">
        <w:rPr>
          <w:rFonts w:hint="eastAsia"/>
          <w:b/>
          <w:bCs/>
          <w:rtl/>
        </w:rPr>
        <w:t>אשראי</w:t>
      </w:r>
      <w:r w:rsidRPr="00B4661A">
        <w:rPr>
          <w:b/>
          <w:bCs/>
          <w:rtl/>
        </w:rPr>
        <w:t xml:space="preserve"> </w:t>
      </w:r>
      <w:r w:rsidRPr="00B4661A">
        <w:rPr>
          <w:rFonts w:hint="eastAsia"/>
          <w:b/>
          <w:bCs/>
          <w:rtl/>
        </w:rPr>
        <w:t>לדיור</w:t>
      </w:r>
      <w:r w:rsidRPr="00B4661A">
        <w:rPr>
          <w:rFonts w:hint="cs"/>
          <w:rtl/>
        </w:rPr>
        <w:t xml:space="preserve"> (2015</w:t>
      </w:r>
      <w:r>
        <w:rPr>
          <w:rFonts w:hint="cs"/>
          <w:rtl/>
        </w:rPr>
        <w:t>), עמ' 65.</w:t>
      </w:r>
    </w:p>
  </w:footnote>
  <w:footnote w:id="45">
    <w:p w:rsidR="00F74793" w:rsidP="001F2586">
      <w:pPr>
        <w:pStyle w:val="FootnoteText"/>
        <w:rPr>
          <w:rtl/>
        </w:rPr>
      </w:pPr>
      <w:r>
        <w:rPr>
          <w:rStyle w:val="FootnoteReference1"/>
        </w:rPr>
        <w:footnoteRef/>
      </w:r>
      <w:r>
        <w:rPr>
          <w:rtl/>
        </w:rPr>
        <w:t xml:space="preserve"> </w:t>
      </w:r>
      <w:r>
        <w:rPr>
          <w:rtl/>
        </w:rPr>
        <w:tab/>
      </w:r>
      <w:r>
        <w:rPr>
          <w:rFonts w:hint="cs"/>
          <w:rtl/>
        </w:rPr>
        <w:t>לקסידל</w:t>
      </w:r>
      <w:r>
        <w:rPr>
          <w:rFonts w:hint="cs"/>
          <w:rtl/>
        </w:rPr>
        <w:t xml:space="preserve"> (עבור </w:t>
      </w:r>
      <w:r>
        <w:rPr>
          <w:rtl/>
        </w:rPr>
        <w:t>מרכז המחקר והמידע של הכנסת</w:t>
      </w:r>
      <w:r>
        <w:rPr>
          <w:rFonts w:hint="cs"/>
          <w:rtl/>
        </w:rPr>
        <w:t xml:space="preserve">), </w:t>
      </w:r>
      <w:r w:rsidRPr="00B4661A">
        <w:rPr>
          <w:rtl/>
        </w:rPr>
        <w:t>מבני פיקוח ורגולציה של שווקים פיננסיים - מבט עולמי והשוואה לישראל</w:t>
      </w:r>
      <w:r>
        <w:rPr>
          <w:rFonts w:hint="cs"/>
          <w:rtl/>
        </w:rPr>
        <w:t xml:space="preserve"> (</w:t>
      </w:r>
      <w:r>
        <w:rPr>
          <w:rtl/>
        </w:rPr>
        <w:t>יולי 2012</w:t>
      </w:r>
      <w:r>
        <w:rPr>
          <w:rFonts w:hint="cs"/>
          <w:rtl/>
        </w:rPr>
        <w:t>), עמ' 18.</w:t>
      </w:r>
    </w:p>
  </w:footnote>
  <w:footnote w:id="46">
    <w:p w:rsidR="00F74793" w:rsidP="001F2586">
      <w:pPr>
        <w:pStyle w:val="FootnoteText"/>
        <w:rPr>
          <w:rtl/>
        </w:rPr>
      </w:pPr>
      <w:r>
        <w:rPr>
          <w:rStyle w:val="FootnoteReference1"/>
        </w:rPr>
        <w:footnoteRef/>
      </w:r>
      <w:r>
        <w:rPr>
          <w:rtl/>
        </w:rPr>
        <w:t xml:space="preserve"> </w:t>
      </w:r>
      <w:r>
        <w:rPr>
          <w:rtl/>
        </w:rPr>
        <w:tab/>
      </w:r>
      <w:r>
        <w:rPr>
          <w:rFonts w:hint="cs"/>
          <w:rtl/>
        </w:rPr>
        <w:t xml:space="preserve">מקור: </w:t>
      </w:r>
      <w:r w:rsidRPr="00B4661A">
        <w:t>https://www.boi.org.il/roles/supervisionregulation/bank-sup/anual_progreg/#anchor6</w:t>
      </w:r>
      <w:r>
        <w:rPr>
          <w:rFonts w:hint="cs"/>
          <w:rtl/>
        </w:rPr>
        <w:t>.</w:t>
      </w:r>
    </w:p>
  </w:footnote>
  <w:footnote w:id="47">
    <w:p w:rsidR="00F74793" w:rsidP="001F2586">
      <w:pPr>
        <w:pStyle w:val="FootnoteText"/>
        <w:rPr>
          <w:rtl/>
        </w:rPr>
      </w:pPr>
      <w:r>
        <w:rPr>
          <w:rStyle w:val="FootnoteReference1"/>
        </w:rPr>
        <w:footnoteRef/>
      </w:r>
      <w:r>
        <w:rPr>
          <w:rtl/>
        </w:rPr>
        <w:t xml:space="preserve"> </w:t>
      </w:r>
      <w:r>
        <w:rPr>
          <w:rtl/>
        </w:rPr>
        <w:tab/>
      </w:r>
      <w:r w:rsidRPr="00B4661A">
        <w:rPr>
          <w:rFonts w:hint="cs"/>
          <w:rtl/>
        </w:rPr>
        <w:t xml:space="preserve">ועדת באזל לפיקוח על הבנקים </w:t>
      </w:r>
      <w:r w:rsidRPr="00317549">
        <w:rPr>
          <w:rFonts w:hint="cs"/>
          <w:rtl/>
        </w:rPr>
        <w:t>(</w:t>
      </w:r>
      <w:r w:rsidRPr="00317549">
        <w:t xml:space="preserve">BCBS </w:t>
      </w:r>
      <w:r>
        <w:t xml:space="preserve">- </w:t>
      </w:r>
      <w:r w:rsidRPr="00317549">
        <w:t>The Basel Committee on Banking Supervision</w:t>
      </w:r>
      <w:r>
        <w:rPr>
          <w:rFonts w:hint="cs"/>
          <w:rtl/>
        </w:rPr>
        <w:t xml:space="preserve">) </w:t>
      </w:r>
      <w:r w:rsidRPr="005E2BDC">
        <w:rPr>
          <w:rtl/>
        </w:rPr>
        <w:t xml:space="preserve">היא </w:t>
      </w:r>
      <w:r>
        <w:rPr>
          <w:rFonts w:hint="cs"/>
          <w:rtl/>
        </w:rPr>
        <w:t>הגוף המרכזי</w:t>
      </w:r>
      <w:r w:rsidRPr="005E2BDC">
        <w:rPr>
          <w:rtl/>
        </w:rPr>
        <w:t xml:space="preserve"> לקביעה של סטנדרטים בי</w:t>
      </w:r>
      <w:r>
        <w:rPr>
          <w:rFonts w:hint="cs"/>
          <w:rtl/>
        </w:rPr>
        <w:t>ן-</w:t>
      </w:r>
      <w:r w:rsidRPr="005E2BDC">
        <w:rPr>
          <w:rtl/>
        </w:rPr>
        <w:t xml:space="preserve">לאומיים בתחום הרגולציה </w:t>
      </w:r>
      <w:r w:rsidRPr="005E2BDC">
        <w:rPr>
          <w:rtl/>
        </w:rPr>
        <w:t>היציבותית</w:t>
      </w:r>
      <w:r w:rsidRPr="005E2BDC">
        <w:rPr>
          <w:rtl/>
        </w:rPr>
        <w:t xml:space="preserve"> הבנקאית והיא משמשת </w:t>
      </w:r>
      <w:r>
        <w:rPr>
          <w:rFonts w:hint="cs"/>
          <w:rtl/>
        </w:rPr>
        <w:t xml:space="preserve">מסגרת לשיתוף פעולה בענייני פיקוח בנקאי. היא קובעת את </w:t>
      </w:r>
      <w:r w:rsidRPr="0007697C">
        <w:rPr>
          <w:rtl/>
        </w:rPr>
        <w:t xml:space="preserve">עקרונות </w:t>
      </w:r>
      <w:r w:rsidRPr="0007697C">
        <w:rPr>
          <w:rFonts w:hint="cs"/>
          <w:rtl/>
        </w:rPr>
        <w:t>ה</w:t>
      </w:r>
      <w:r w:rsidRPr="0007697C">
        <w:rPr>
          <w:rtl/>
        </w:rPr>
        <w:t>ליבה לפיקוח בנקאי אפקטיבי</w:t>
      </w:r>
      <w:r>
        <w:rPr>
          <w:rFonts w:hint="cs"/>
          <w:rtl/>
        </w:rPr>
        <w:t xml:space="preserve"> ו</w:t>
      </w:r>
      <w:r w:rsidRPr="0007697C">
        <w:rPr>
          <w:rtl/>
        </w:rPr>
        <w:t>מפרסמת תקנים לאסדרה ופיקוח בנקאי</w:t>
      </w:r>
      <w:r>
        <w:rPr>
          <w:rFonts w:hint="cs"/>
          <w:rtl/>
        </w:rPr>
        <w:t xml:space="preserve"> כמו</w:t>
      </w:r>
      <w:r w:rsidRPr="0007697C">
        <w:rPr>
          <w:rtl/>
        </w:rPr>
        <w:t xml:space="preserve"> דרישות הון ונזילות</w:t>
      </w:r>
      <w:r>
        <w:rPr>
          <w:rFonts w:hint="cs"/>
          <w:rtl/>
        </w:rPr>
        <w:t>.</w:t>
      </w:r>
      <w:r w:rsidRPr="00B95834">
        <w:rPr>
          <w:rtl/>
        </w:rPr>
        <w:t xml:space="preserve"> </w:t>
      </w:r>
      <w:r>
        <w:rPr>
          <w:rtl/>
        </w:rPr>
        <w:t xml:space="preserve">חברי הוועדה כוללים </w:t>
      </w:r>
      <w:r w:rsidRPr="00B4661A">
        <w:rPr>
          <w:rtl/>
        </w:rPr>
        <w:t>45 גופים</w:t>
      </w:r>
      <w:r>
        <w:rPr>
          <w:rtl/>
        </w:rPr>
        <w:t xml:space="preserve"> </w:t>
      </w:r>
      <w:r>
        <w:rPr>
          <w:rFonts w:hint="cs"/>
          <w:rtl/>
        </w:rPr>
        <w:t>-</w:t>
      </w:r>
      <w:r>
        <w:rPr>
          <w:rtl/>
        </w:rPr>
        <w:t xml:space="preserve"> בנקים מרכזיים</w:t>
      </w:r>
      <w:r>
        <w:rPr>
          <w:rFonts w:hint="cs"/>
          <w:rtl/>
        </w:rPr>
        <w:t xml:space="preserve"> </w:t>
      </w:r>
      <w:r>
        <w:rPr>
          <w:rtl/>
        </w:rPr>
        <w:t xml:space="preserve">ורשויות פיקוח </w:t>
      </w:r>
      <w:r>
        <w:rPr>
          <w:rFonts w:hint="cs"/>
          <w:rtl/>
        </w:rPr>
        <w:t>-</w:t>
      </w:r>
      <w:r>
        <w:rPr>
          <w:rtl/>
        </w:rPr>
        <w:t xml:space="preserve"> מ</w:t>
      </w:r>
      <w:r>
        <w:rPr>
          <w:rFonts w:hint="cs"/>
          <w:rtl/>
        </w:rPr>
        <w:t>-</w:t>
      </w:r>
      <w:r>
        <w:rPr>
          <w:rtl/>
        </w:rPr>
        <w:t>28 תחומי שיפוט שונים.</w:t>
      </w:r>
    </w:p>
  </w:footnote>
  <w:footnote w:id="48">
    <w:p w:rsidR="00F74793" w:rsidP="001F2586">
      <w:pPr>
        <w:pStyle w:val="FootnoteText"/>
      </w:pPr>
      <w:r>
        <w:rPr>
          <w:rStyle w:val="FootnoteReference1"/>
        </w:rPr>
        <w:footnoteRef/>
      </w:r>
      <w:r>
        <w:rPr>
          <w:rtl/>
        </w:rPr>
        <w:t xml:space="preserve"> </w:t>
      </w:r>
      <w:r>
        <w:rPr>
          <w:rtl/>
        </w:rPr>
        <w:tab/>
      </w:r>
      <w:r w:rsidRPr="00956083">
        <w:rPr>
          <w:rtl/>
        </w:rPr>
        <w:t xml:space="preserve">הפיקוח על הבנקים פועל לבסס "מערכת בנקאות </w:t>
      </w:r>
      <w:r w:rsidRPr="00B4661A">
        <w:rPr>
          <w:rtl/>
        </w:rPr>
        <w:t>תחרותית</w:t>
      </w:r>
      <w:r w:rsidRPr="00956083">
        <w:rPr>
          <w:rtl/>
        </w:rPr>
        <w:t xml:space="preserve"> ומתקדמת לטובת הציבור</w:t>
      </w:r>
      <w:r>
        <w:rPr>
          <w:rFonts w:hint="cs"/>
          <w:rtl/>
        </w:rPr>
        <w:t>"</w:t>
      </w:r>
      <w:r w:rsidRPr="00956083">
        <w:rPr>
          <w:rtl/>
        </w:rPr>
        <w:t xml:space="preserve"> </w:t>
      </w:r>
      <w:r>
        <w:rPr>
          <w:rFonts w:hint="cs"/>
          <w:rtl/>
        </w:rPr>
        <w:t>ה</w:t>
      </w:r>
      <w:r w:rsidRPr="00956083">
        <w:rPr>
          <w:rtl/>
        </w:rPr>
        <w:t xml:space="preserve">נשענת בין היתר על עקרונות יסוד </w:t>
      </w:r>
      <w:r>
        <w:rPr>
          <w:rFonts w:hint="cs"/>
          <w:rtl/>
        </w:rPr>
        <w:t>כמו</w:t>
      </w:r>
      <w:r w:rsidRPr="00956083">
        <w:rPr>
          <w:rtl/>
        </w:rPr>
        <w:t xml:space="preserve"> הרחבת הנגישות למידע פיננסי</w:t>
      </w:r>
      <w:r>
        <w:rPr>
          <w:rFonts w:hint="cs"/>
          <w:rtl/>
        </w:rPr>
        <w:t xml:space="preserve"> </w:t>
      </w:r>
      <w:r w:rsidRPr="00956083">
        <w:rPr>
          <w:rtl/>
        </w:rPr>
        <w:t>והגברת השקיפות לגבי המחירים של מוצרים פיננסיים</w:t>
      </w:r>
      <w:r>
        <w:rPr>
          <w:rFonts w:hint="cs"/>
          <w:rtl/>
        </w:rPr>
        <w:t>. עוד בעניין יעד התחרות ראו בפרק "יישום רפורמת השקיפות במשכנתאות".</w:t>
      </w:r>
    </w:p>
  </w:footnote>
  <w:footnote w:id="49">
    <w:p w:rsidR="00F74793" w:rsidP="001F2586">
      <w:pPr>
        <w:pStyle w:val="FootnoteText"/>
        <w:rPr>
          <w:rtl/>
        </w:rPr>
      </w:pPr>
      <w:r>
        <w:rPr>
          <w:rStyle w:val="FootnoteReference1"/>
        </w:rPr>
        <w:footnoteRef/>
      </w:r>
      <w:r>
        <w:rPr>
          <w:rtl/>
        </w:rPr>
        <w:t xml:space="preserve"> </w:t>
      </w:r>
      <w:r>
        <w:rPr>
          <w:rtl/>
        </w:rPr>
        <w:tab/>
      </w:r>
      <w:r w:rsidRPr="00B4661A">
        <w:rPr>
          <w:rFonts w:hint="cs"/>
          <w:rtl/>
        </w:rPr>
        <w:t>מודל הפעלת פיקוח</w:t>
      </w:r>
      <w:r>
        <w:rPr>
          <w:rFonts w:hint="cs"/>
          <w:rtl/>
        </w:rPr>
        <w:t xml:space="preserve"> - קביעת מדיניות בהתאם</w:t>
      </w:r>
      <w:r w:rsidRPr="00956083">
        <w:rPr>
          <w:rtl/>
        </w:rPr>
        <w:t xml:space="preserve"> לאתגרי הסביבה המשתנה ובמטרה לייצר סביבת עבודה אפקטיבית ומותאמת ליעדי הפיקוח ולסביבה המקרו-כלכלית.</w:t>
      </w:r>
    </w:p>
  </w:footnote>
  <w:footnote w:id="50">
    <w:p w:rsidR="00F74793" w:rsidP="001F2586">
      <w:pPr>
        <w:pStyle w:val="FootnoteText"/>
        <w:ind w:left="708" w:hanging="708"/>
      </w:pPr>
      <w:r>
        <w:rPr>
          <w:rStyle w:val="FootnoteReference1"/>
        </w:rPr>
        <w:footnoteRef/>
      </w:r>
      <w:r>
        <w:rPr>
          <w:rtl/>
        </w:rPr>
        <w:t xml:space="preserve"> </w:t>
      </w:r>
      <w:r>
        <w:rPr>
          <w:rtl/>
        </w:rPr>
        <w:tab/>
      </w:r>
      <w:r>
        <w:rPr>
          <w:rFonts w:hint="cs"/>
          <w:rtl/>
        </w:rPr>
        <w:t xml:space="preserve">בנק ישראל, דוברות והסברה כלכלית, </w:t>
      </w:r>
      <w:r w:rsidRPr="00B4661A">
        <w:rPr>
          <w:rFonts w:hint="eastAsia"/>
          <w:b/>
          <w:bCs/>
          <w:rtl/>
        </w:rPr>
        <w:t>נאום</w:t>
      </w:r>
      <w:r w:rsidRPr="00B4661A">
        <w:rPr>
          <w:b/>
          <w:bCs/>
          <w:rtl/>
        </w:rPr>
        <w:t xml:space="preserve"> </w:t>
      </w:r>
      <w:r w:rsidRPr="00B4661A">
        <w:rPr>
          <w:rFonts w:hint="eastAsia"/>
          <w:b/>
          <w:bCs/>
          <w:rtl/>
        </w:rPr>
        <w:t>בכנס</w:t>
      </w:r>
      <w:r w:rsidRPr="00B4661A">
        <w:rPr>
          <w:b/>
          <w:bCs/>
          <w:rtl/>
        </w:rPr>
        <w:t xml:space="preserve"> </w:t>
      </w:r>
      <w:r w:rsidRPr="00B4661A">
        <w:rPr>
          <w:rFonts w:hint="eastAsia"/>
          <w:b/>
          <w:bCs/>
          <w:rtl/>
        </w:rPr>
        <w:t>בנושא</w:t>
      </w:r>
      <w:r w:rsidRPr="00B4661A">
        <w:rPr>
          <w:b/>
          <w:bCs/>
          <w:rtl/>
        </w:rPr>
        <w:t xml:space="preserve"> </w:t>
      </w:r>
      <w:r w:rsidRPr="00B4661A">
        <w:rPr>
          <w:rFonts w:hint="eastAsia"/>
          <w:b/>
          <w:bCs/>
          <w:rtl/>
        </w:rPr>
        <w:t>רגולציה</w:t>
      </w:r>
      <w:r w:rsidRPr="00B4661A">
        <w:rPr>
          <w:b/>
          <w:bCs/>
          <w:rtl/>
        </w:rPr>
        <w:t xml:space="preserve"> </w:t>
      </w:r>
      <w:r w:rsidRPr="00B4661A">
        <w:rPr>
          <w:rFonts w:hint="eastAsia"/>
          <w:b/>
          <w:bCs/>
          <w:rtl/>
        </w:rPr>
        <w:t>פיננסית</w:t>
      </w:r>
      <w:r>
        <w:rPr>
          <w:rFonts w:hint="cs"/>
          <w:rtl/>
        </w:rPr>
        <w:t xml:space="preserve"> (4.2.24).</w:t>
      </w:r>
    </w:p>
  </w:footnote>
  <w:footnote w:id="51">
    <w:p w:rsidR="00F74793" w:rsidP="00EF4431">
      <w:pPr>
        <w:pStyle w:val="FootnoteText"/>
        <w:ind w:left="841" w:hanging="841"/>
      </w:pPr>
      <w:r>
        <w:rPr>
          <w:rStyle w:val="FootnoteReference1"/>
        </w:rPr>
        <w:footnoteRef/>
      </w:r>
      <w:r>
        <w:rPr>
          <w:rtl/>
        </w:rPr>
        <w:t xml:space="preserve"> </w:t>
      </w:r>
      <w:r>
        <w:rPr>
          <w:rtl/>
        </w:rPr>
        <w:tab/>
      </w:r>
      <w:r w:rsidRPr="007606CB">
        <w:rPr>
          <w:rFonts w:hint="cs"/>
          <w:rtl/>
        </w:rPr>
        <w:t>פירעון מוקדם הוא סילוק חלקי או מלא של המשכנת</w:t>
      </w:r>
      <w:r>
        <w:rPr>
          <w:rFonts w:hint="cs"/>
          <w:rtl/>
        </w:rPr>
        <w:t>א</w:t>
      </w:r>
      <w:r w:rsidRPr="007606CB">
        <w:rPr>
          <w:rFonts w:hint="cs"/>
          <w:rtl/>
        </w:rPr>
        <w:t xml:space="preserve">, כולל </w:t>
      </w:r>
      <w:r w:rsidRPr="0012171C">
        <w:rPr>
          <w:rFonts w:hint="cs"/>
          <w:rtl/>
        </w:rPr>
        <w:t>מיחזור</w:t>
      </w:r>
      <w:r w:rsidRPr="007606CB">
        <w:rPr>
          <w:rFonts w:hint="cs"/>
          <w:rtl/>
        </w:rPr>
        <w:t xml:space="preserve"> של</w:t>
      </w:r>
      <w:r>
        <w:rPr>
          <w:rFonts w:hint="cs"/>
          <w:rtl/>
        </w:rPr>
        <w:t xml:space="preserve"> ההלוואה שהיא פירעון של הלוואה קיימת באמצעות נטילת הלוואה אחרת בתנאים שונים. עוד בעניין </w:t>
      </w:r>
      <w:r>
        <w:rPr>
          <w:rFonts w:hint="cs"/>
          <w:rtl/>
        </w:rPr>
        <w:t>מיחזור</w:t>
      </w:r>
      <w:r>
        <w:rPr>
          <w:rFonts w:hint="cs"/>
          <w:rtl/>
        </w:rPr>
        <w:t xml:space="preserve"> משכנתאות ראו בפרק "</w:t>
      </w:r>
      <w:r>
        <w:rPr>
          <w:rFonts w:hint="cs"/>
          <w:rtl/>
        </w:rPr>
        <w:t>מיחזור</w:t>
      </w:r>
      <w:r>
        <w:rPr>
          <w:rFonts w:hint="cs"/>
          <w:rtl/>
        </w:rPr>
        <w:t xml:space="preserve"> משכנתאות". </w:t>
      </w:r>
    </w:p>
  </w:footnote>
  <w:footnote w:id="52">
    <w:p w:rsidR="00F74793" w:rsidP="00EF4431">
      <w:pPr>
        <w:pStyle w:val="FootnoteText"/>
        <w:ind w:left="841" w:hanging="841"/>
        <w:rPr>
          <w:rtl/>
        </w:rPr>
      </w:pPr>
      <w:r>
        <w:rPr>
          <w:rStyle w:val="FootnoteReference1"/>
        </w:rPr>
        <w:footnoteRef/>
      </w:r>
      <w:r>
        <w:rPr>
          <w:rtl/>
        </w:rPr>
        <w:t xml:space="preserve"> </w:t>
      </w:r>
      <w:r>
        <w:rPr>
          <w:rtl/>
        </w:rPr>
        <w:tab/>
      </w:r>
      <w:r w:rsidRPr="0012171C">
        <w:rPr>
          <w:rtl/>
        </w:rPr>
        <w:t>בהוראת דיווח לפיקוח מס' 876</w:t>
      </w:r>
      <w:r w:rsidRPr="00F75CA8">
        <w:rPr>
          <w:rtl/>
        </w:rPr>
        <w:t xml:space="preserve"> נקבע כי "הלוואה בביטחון דירת מגורים" היא הלוואה לדיור הניתנת במשכון דירת מגורים, כאמור בפסקה (3) להגדרת "הלוואה לדיור" </w:t>
      </w:r>
      <w:r w:rsidRPr="0012171C">
        <w:rPr>
          <w:rtl/>
        </w:rPr>
        <w:t>בנב"ת</w:t>
      </w:r>
      <w:r w:rsidRPr="0012171C">
        <w:rPr>
          <w:rtl/>
        </w:rPr>
        <w:t xml:space="preserve"> 451.</w:t>
      </w:r>
    </w:p>
  </w:footnote>
  <w:footnote w:id="53">
    <w:p w:rsidR="00F74793" w:rsidP="001F2586">
      <w:pPr>
        <w:pStyle w:val="FootnoteText"/>
        <w:ind w:left="708" w:hanging="708"/>
        <w:rPr>
          <w:rtl/>
        </w:rPr>
      </w:pPr>
      <w:r>
        <w:rPr>
          <w:rStyle w:val="FootnoteReference1"/>
        </w:rPr>
        <w:footnoteRef/>
      </w:r>
      <w:r>
        <w:rPr>
          <w:rtl/>
        </w:rPr>
        <w:t xml:space="preserve"> </w:t>
      </w:r>
      <w:r>
        <w:rPr>
          <w:rtl/>
        </w:rPr>
        <w:tab/>
      </w:r>
      <w:r>
        <w:rPr>
          <w:rFonts w:hint="cs"/>
          <w:rtl/>
        </w:rPr>
        <w:t xml:space="preserve">בנק ישראל, הפיקוח על הבנקים, </w:t>
      </w:r>
      <w:r w:rsidRPr="00B4661A">
        <w:rPr>
          <w:rFonts w:hint="eastAsia"/>
          <w:b/>
          <w:bCs/>
          <w:rtl/>
        </w:rPr>
        <w:t>מערכת</w:t>
      </w:r>
      <w:r w:rsidRPr="00B4661A">
        <w:rPr>
          <w:b/>
          <w:bCs/>
          <w:rtl/>
        </w:rPr>
        <w:t xml:space="preserve"> </w:t>
      </w:r>
      <w:r w:rsidRPr="00B4661A">
        <w:rPr>
          <w:rFonts w:hint="eastAsia"/>
          <w:b/>
          <w:bCs/>
          <w:rtl/>
        </w:rPr>
        <w:t>הבנקאות</w:t>
      </w:r>
      <w:r w:rsidRPr="00B4661A">
        <w:rPr>
          <w:b/>
          <w:bCs/>
          <w:rtl/>
        </w:rPr>
        <w:t xml:space="preserve"> </w:t>
      </w:r>
      <w:r w:rsidRPr="00B4661A">
        <w:rPr>
          <w:rFonts w:hint="eastAsia"/>
          <w:b/>
          <w:bCs/>
          <w:rtl/>
        </w:rPr>
        <w:t>בישראל</w:t>
      </w:r>
      <w:r w:rsidRPr="00B4661A">
        <w:rPr>
          <w:b/>
          <w:bCs/>
          <w:rtl/>
        </w:rPr>
        <w:t xml:space="preserve">: </w:t>
      </w:r>
      <w:r w:rsidRPr="00B4661A">
        <w:rPr>
          <w:rFonts w:hint="eastAsia"/>
          <w:b/>
          <w:bCs/>
          <w:rtl/>
        </w:rPr>
        <w:t>סקירה</w:t>
      </w:r>
      <w:r w:rsidRPr="00B4661A">
        <w:rPr>
          <w:b/>
          <w:bCs/>
          <w:rtl/>
        </w:rPr>
        <w:t xml:space="preserve"> </w:t>
      </w:r>
      <w:r w:rsidRPr="00B4661A">
        <w:rPr>
          <w:rFonts w:hint="eastAsia"/>
          <w:b/>
          <w:bCs/>
          <w:rtl/>
        </w:rPr>
        <w:t>שנתית</w:t>
      </w:r>
      <w:r w:rsidRPr="00B4661A">
        <w:rPr>
          <w:b/>
          <w:bCs/>
          <w:rtl/>
        </w:rPr>
        <w:t xml:space="preserve"> 2020</w:t>
      </w:r>
      <w:r w:rsidRPr="000E18CF">
        <w:rPr>
          <w:b/>
          <w:bCs/>
          <w:rtl/>
        </w:rPr>
        <w:t xml:space="preserve"> </w:t>
      </w:r>
      <w:r>
        <w:rPr>
          <w:rFonts w:hint="cs"/>
          <w:rtl/>
        </w:rPr>
        <w:t xml:space="preserve">(מאי 2021), עמ' 197. </w:t>
      </w:r>
    </w:p>
  </w:footnote>
  <w:footnote w:id="54">
    <w:p w:rsidR="00F74793" w:rsidP="00EF4431">
      <w:pPr>
        <w:pStyle w:val="FootnoteText"/>
        <w:ind w:left="708" w:hanging="708"/>
      </w:pPr>
      <w:r>
        <w:rPr>
          <w:rStyle w:val="FootnoteReference1"/>
        </w:rPr>
        <w:footnoteRef/>
      </w:r>
      <w:r>
        <w:rPr>
          <w:rtl/>
        </w:rPr>
        <w:t xml:space="preserve"> </w:t>
      </w:r>
      <w:r>
        <w:rPr>
          <w:rtl/>
        </w:rPr>
        <w:tab/>
      </w:r>
      <w:r>
        <w:rPr>
          <w:rFonts w:hint="cs"/>
          <w:rtl/>
        </w:rPr>
        <w:t xml:space="preserve">מדינת ישראל צלחה את משבר </w:t>
      </w:r>
      <w:r>
        <w:rPr>
          <w:rFonts w:hint="cs"/>
          <w:rtl/>
        </w:rPr>
        <w:t>הסאב</w:t>
      </w:r>
      <w:r>
        <w:rPr>
          <w:rFonts w:hint="cs"/>
          <w:rtl/>
        </w:rPr>
        <w:t xml:space="preserve"> פריים בעיקר משתי סיבות אלו: </w:t>
      </w:r>
      <w:r w:rsidRPr="001B568D">
        <w:rPr>
          <w:rtl/>
        </w:rPr>
        <w:t xml:space="preserve">מערכת בנקאית שמרנית </w:t>
      </w:r>
      <w:r>
        <w:rPr>
          <w:rFonts w:hint="cs"/>
          <w:rtl/>
        </w:rPr>
        <w:t xml:space="preserve">שהביאה </w:t>
      </w:r>
      <w:r w:rsidRPr="001B568D">
        <w:rPr>
          <w:rtl/>
        </w:rPr>
        <w:t>לחשיפה נמוכה לנכסים רעילים</w:t>
      </w:r>
      <w:r>
        <w:rPr>
          <w:rFonts w:hint="cs"/>
          <w:rtl/>
        </w:rPr>
        <w:t xml:space="preserve"> (</w:t>
      </w:r>
      <w:r w:rsidRPr="00846C16">
        <w:rPr>
          <w:rtl/>
        </w:rPr>
        <w:t>נכסים מורכבים שמחירם נגזר ממחיר הנדל"ן ורמת הסיכון שלהם בפועל הי</w:t>
      </w:r>
      <w:r>
        <w:rPr>
          <w:rFonts w:hint="cs"/>
          <w:rtl/>
        </w:rPr>
        <w:t>י</w:t>
      </w:r>
      <w:r w:rsidRPr="00846C16">
        <w:rPr>
          <w:rtl/>
        </w:rPr>
        <w:t>תה גבוהה בהרבה מזו שהוערכה מראש</w:t>
      </w:r>
      <w:r>
        <w:rPr>
          <w:rFonts w:hint="cs"/>
          <w:rtl/>
        </w:rPr>
        <w:t>); ופיקוח הדוק על שוק האשראי לדיור - הוביל ל</w:t>
      </w:r>
      <w:r w:rsidRPr="0012171C">
        <w:rPr>
          <w:rFonts w:hint="cs"/>
          <w:rtl/>
        </w:rPr>
        <w:t>סיכון האשראי</w:t>
      </w:r>
      <w:r>
        <w:rPr>
          <w:rFonts w:hint="cs"/>
          <w:rtl/>
        </w:rPr>
        <w:t xml:space="preserve"> </w:t>
      </w:r>
      <w:r w:rsidRPr="001A6359">
        <w:rPr>
          <w:rtl/>
        </w:rPr>
        <w:t>נמוך יחסית כפי שהתבטא בשיעורים נמוכים של יתרת המשכנתאות ביחס לתוצר או להכנסות משקי הבית</w:t>
      </w:r>
      <w:r>
        <w:rPr>
          <w:rFonts w:hint="cs"/>
          <w:rtl/>
        </w:rPr>
        <w:t xml:space="preserve">. מקור: </w:t>
      </w:r>
      <w:r w:rsidRPr="00467B34">
        <w:rPr>
          <w:rtl/>
        </w:rPr>
        <w:t>מרכז המחקר והמידע של הכנסת</w:t>
      </w:r>
      <w:r>
        <w:rPr>
          <w:rFonts w:hint="cs"/>
          <w:rtl/>
        </w:rPr>
        <w:t xml:space="preserve">, </w:t>
      </w:r>
      <w:r w:rsidRPr="0012171C">
        <w:rPr>
          <w:b/>
          <w:bCs/>
          <w:rtl/>
        </w:rPr>
        <w:t>ניתוח סיכונים מקרו-</w:t>
      </w:r>
      <w:r w:rsidRPr="0012171C">
        <w:rPr>
          <w:b/>
          <w:bCs/>
          <w:rtl/>
        </w:rPr>
        <w:t>יציבותיים</w:t>
      </w:r>
      <w:r w:rsidRPr="000E18CF">
        <w:rPr>
          <w:b/>
          <w:bCs/>
          <w:rtl/>
        </w:rPr>
        <w:t xml:space="preserve"> הנובעים מאשראי לדיור ומאשראי לענף הבנייה</w:t>
      </w:r>
      <w:r w:rsidRPr="00467B34">
        <w:rPr>
          <w:rtl/>
        </w:rPr>
        <w:t xml:space="preserve"> (מרץ 2025), עמ' </w:t>
      </w:r>
      <w:r>
        <w:rPr>
          <w:rFonts w:hint="cs"/>
          <w:rtl/>
        </w:rPr>
        <w:t xml:space="preserve">5. </w:t>
      </w:r>
    </w:p>
  </w:footnote>
  <w:footnote w:id="55">
    <w:p w:rsidR="00F74793" w:rsidP="00EF4431">
      <w:pPr>
        <w:pStyle w:val="FootnoteText"/>
        <w:rPr>
          <w:rtl/>
        </w:rPr>
      </w:pPr>
      <w:r>
        <w:rPr>
          <w:rStyle w:val="FootnoteReference1"/>
        </w:rPr>
        <w:footnoteRef/>
      </w:r>
      <w:r>
        <w:rPr>
          <w:rtl/>
        </w:rPr>
        <w:t xml:space="preserve"> </w:t>
      </w:r>
      <w:r>
        <w:rPr>
          <w:rtl/>
        </w:rPr>
        <w:tab/>
      </w:r>
      <w:r w:rsidRPr="0012171C">
        <w:rPr>
          <w:rtl/>
        </w:rPr>
        <w:t>ניתוח סיכונים מקרו-</w:t>
      </w:r>
      <w:r w:rsidRPr="0012171C">
        <w:rPr>
          <w:rtl/>
        </w:rPr>
        <w:t>יציבותיים</w:t>
      </w:r>
      <w:r w:rsidRPr="00467B34">
        <w:rPr>
          <w:rtl/>
        </w:rPr>
        <w:t xml:space="preserve"> הנובעים מאשראי לדיור ומאשראי לענף הבנייה (מרץ 2025),</w:t>
      </w:r>
      <w:r>
        <w:rPr>
          <w:rtl/>
        </w:rPr>
        <w:t xml:space="preserve"> </w:t>
      </w:r>
      <w:r w:rsidRPr="00467B34">
        <w:rPr>
          <w:rtl/>
        </w:rPr>
        <w:t xml:space="preserve">מרכז המחקר והמידע של הכנסת, 2025, עמ' </w:t>
      </w:r>
      <w:r>
        <w:rPr>
          <w:rFonts w:hint="cs"/>
          <w:rtl/>
        </w:rPr>
        <w:t>5 -8.</w:t>
      </w:r>
    </w:p>
  </w:footnote>
  <w:footnote w:id="56">
    <w:p w:rsidR="00F74793" w:rsidP="001F2586">
      <w:pPr>
        <w:pStyle w:val="FootnoteText"/>
      </w:pPr>
      <w:r>
        <w:rPr>
          <w:rStyle w:val="FootnoteReference1"/>
        </w:rPr>
        <w:footnoteRef/>
      </w:r>
      <w:r>
        <w:rPr>
          <w:rtl/>
        </w:rPr>
        <w:t xml:space="preserve"> </w:t>
      </w:r>
      <w:r>
        <w:rPr>
          <w:rtl/>
        </w:rPr>
        <w:tab/>
      </w:r>
      <w:r w:rsidRPr="00B4661A">
        <w:rPr>
          <w:rtl/>
        </w:rPr>
        <w:t>בועה</w:t>
      </w:r>
      <w:r w:rsidRPr="00D32174">
        <w:rPr>
          <w:rtl/>
        </w:rPr>
        <w:t xml:space="preserve"> ה</w:t>
      </w:r>
      <w:r>
        <w:rPr>
          <w:rFonts w:hint="cs"/>
          <w:rtl/>
        </w:rPr>
        <w:t>יא</w:t>
      </w:r>
      <w:r w:rsidRPr="00D32174">
        <w:rPr>
          <w:rtl/>
        </w:rPr>
        <w:t xml:space="preserve"> גידול במחיר הדירות בהשוואה למחיר השכירות ובהשוואה לשכר הממוצע.</w:t>
      </w:r>
    </w:p>
  </w:footnote>
  <w:footnote w:id="57">
    <w:p w:rsidR="00F74793" w:rsidP="001F2586">
      <w:pPr>
        <w:pStyle w:val="FootnoteText"/>
        <w:rPr>
          <w:rtl/>
        </w:rPr>
      </w:pPr>
      <w:r>
        <w:rPr>
          <w:rStyle w:val="FootnoteReference1"/>
        </w:rPr>
        <w:footnoteRef/>
      </w:r>
      <w:r>
        <w:rPr>
          <w:rtl/>
        </w:rPr>
        <w:t xml:space="preserve"> </w:t>
      </w:r>
      <w:r>
        <w:rPr>
          <w:rtl/>
        </w:rPr>
        <w:tab/>
      </w:r>
      <w:r w:rsidRPr="00873D69">
        <w:rPr>
          <w:rtl/>
        </w:rPr>
        <w:t>מבקר המדינה</w:t>
      </w:r>
      <w:r>
        <w:rPr>
          <w:rFonts w:hint="cs"/>
          <w:rtl/>
        </w:rPr>
        <w:t xml:space="preserve">, דו"ח ביקורת מיוחד - </w:t>
      </w:r>
      <w:r w:rsidRPr="00B4661A">
        <w:rPr>
          <w:rFonts w:hint="cs"/>
          <w:rtl/>
        </w:rPr>
        <w:t>משבר הדיור (</w:t>
      </w:r>
      <w:r w:rsidRPr="00B4661A">
        <w:rPr>
          <w:rtl/>
        </w:rPr>
        <w:t>2015</w:t>
      </w:r>
      <w:r>
        <w:rPr>
          <w:rFonts w:hint="cs"/>
          <w:rtl/>
        </w:rPr>
        <w:t>), עמ' 105.</w:t>
      </w:r>
    </w:p>
  </w:footnote>
  <w:footnote w:id="58">
    <w:p w:rsidR="00F74793" w:rsidP="001F2586">
      <w:pPr>
        <w:pStyle w:val="FootnoteText"/>
        <w:rPr>
          <w:rtl/>
        </w:rPr>
      </w:pPr>
      <w:r>
        <w:rPr>
          <w:rStyle w:val="FootnoteReference1"/>
        </w:rPr>
        <w:footnoteRef/>
      </w:r>
      <w:r>
        <w:rPr>
          <w:rtl/>
        </w:rPr>
        <w:t xml:space="preserve"> </w:t>
      </w:r>
      <w:r>
        <w:rPr>
          <w:rtl/>
        </w:rPr>
        <w:tab/>
      </w:r>
      <w:r>
        <w:rPr>
          <w:rFonts w:hint="cs"/>
          <w:rtl/>
        </w:rPr>
        <w:t xml:space="preserve">הפיקוח על הבנקים בבנק ישראל, </w:t>
      </w:r>
      <w:r w:rsidRPr="00B4661A">
        <w:rPr>
          <w:rFonts w:hint="cs"/>
          <w:rtl/>
        </w:rPr>
        <w:t>מדיניות מקרו-</w:t>
      </w:r>
      <w:r w:rsidRPr="00B4661A">
        <w:rPr>
          <w:rFonts w:hint="cs"/>
          <w:rtl/>
        </w:rPr>
        <w:t>יציבותית</w:t>
      </w:r>
      <w:r w:rsidRPr="00B4661A">
        <w:rPr>
          <w:rFonts w:hint="cs"/>
          <w:rtl/>
        </w:rPr>
        <w:t xml:space="preserve"> בשוק המשכנתאות</w:t>
      </w:r>
      <w:r>
        <w:rPr>
          <w:rFonts w:hint="cs"/>
          <w:rtl/>
        </w:rPr>
        <w:t xml:space="preserve"> (מאי 2025), עמ' 1- 6.</w:t>
      </w:r>
    </w:p>
  </w:footnote>
  <w:footnote w:id="59">
    <w:p w:rsidR="00F74793" w:rsidP="001F2586">
      <w:pPr>
        <w:pStyle w:val="FootnoteText"/>
        <w:rPr>
          <w:rtl/>
        </w:rPr>
      </w:pPr>
      <w:r>
        <w:rPr>
          <w:rStyle w:val="FootnoteReference1"/>
        </w:rPr>
        <w:footnoteRef/>
      </w:r>
      <w:r>
        <w:rPr>
          <w:rtl/>
        </w:rPr>
        <w:t xml:space="preserve"> </w:t>
      </w:r>
      <w:r>
        <w:rPr>
          <w:rtl/>
        </w:rPr>
        <w:tab/>
      </w:r>
      <w:r w:rsidRPr="00B4661A">
        <w:rPr>
          <w:rtl/>
        </w:rPr>
        <w:t xml:space="preserve">שווי </w:t>
      </w:r>
      <w:r w:rsidRPr="00B4661A">
        <w:rPr>
          <w:rFonts w:hint="cs"/>
          <w:rtl/>
        </w:rPr>
        <w:t>הנכס</w:t>
      </w:r>
      <w:r w:rsidRPr="00C06A4C">
        <w:rPr>
          <w:rtl/>
        </w:rPr>
        <w:t xml:space="preserve"> נקב</w:t>
      </w:r>
      <w:r w:rsidRPr="00C06A4C">
        <w:rPr>
          <w:rFonts w:hint="cs"/>
          <w:rtl/>
        </w:rPr>
        <w:t>ע</w:t>
      </w:r>
      <w:r w:rsidRPr="00C06A4C">
        <w:rPr>
          <w:rtl/>
        </w:rPr>
        <w:t xml:space="preserve"> על פי הערכת שמאי מקרקעין</w:t>
      </w:r>
      <w:r w:rsidRPr="00C06A4C">
        <w:rPr>
          <w:rFonts w:hint="cs"/>
          <w:rtl/>
        </w:rPr>
        <w:t xml:space="preserve"> </w:t>
      </w:r>
      <w:r w:rsidRPr="00C06A4C">
        <w:rPr>
          <w:rtl/>
        </w:rPr>
        <w:t>או לפי עלות הנכס בהסכם הרכישה</w:t>
      </w:r>
      <w:r w:rsidRPr="00C06A4C">
        <w:rPr>
          <w:rFonts w:hint="cs"/>
          <w:rtl/>
        </w:rPr>
        <w:t xml:space="preserve">, לפי </w:t>
      </w:r>
      <w:r w:rsidRPr="00C06A4C">
        <w:rPr>
          <w:rtl/>
        </w:rPr>
        <w:t xml:space="preserve">הנמוך </w:t>
      </w:r>
      <w:r w:rsidRPr="00C06A4C">
        <w:rPr>
          <w:rtl/>
        </w:rPr>
        <w:t>מביניהם</w:t>
      </w:r>
      <w:r w:rsidRPr="00C06A4C">
        <w:rPr>
          <w:rtl/>
        </w:rPr>
        <w:t>.</w:t>
      </w:r>
    </w:p>
  </w:footnote>
  <w:footnote w:id="60">
    <w:p w:rsidR="00F74793" w:rsidP="001F2586">
      <w:pPr>
        <w:pStyle w:val="FootnoteText"/>
        <w:rPr>
          <w:rtl/>
        </w:rPr>
      </w:pPr>
      <w:r>
        <w:rPr>
          <w:rStyle w:val="FootnoteReference1"/>
        </w:rPr>
        <w:footnoteRef/>
      </w:r>
      <w:r>
        <w:rPr>
          <w:rtl/>
        </w:rPr>
        <w:t xml:space="preserve"> </w:t>
      </w:r>
      <w:r>
        <w:rPr>
          <w:rtl/>
        </w:rPr>
        <w:tab/>
      </w:r>
      <w:bookmarkStart w:id="13" w:name="_Hlk222231960"/>
      <w:r w:rsidRPr="00B4661A">
        <w:rPr>
          <w:rFonts w:hint="cs"/>
          <w:rtl/>
        </w:rPr>
        <w:t>דירה יחידה</w:t>
      </w:r>
      <w:r>
        <w:rPr>
          <w:rFonts w:hint="cs"/>
          <w:rtl/>
        </w:rPr>
        <w:t xml:space="preserve"> - </w:t>
      </w:r>
      <w:r>
        <w:rPr>
          <w:rtl/>
        </w:rPr>
        <w:t xml:space="preserve">כהגדרתה </w:t>
      </w:r>
      <w:r w:rsidRPr="00B4661A">
        <w:rPr>
          <w:rtl/>
        </w:rPr>
        <w:t>בסעיף 9(ג1א)(2)(ב) לחוק מיסוי מקרקעין</w:t>
      </w:r>
      <w:r w:rsidRPr="00690AEC">
        <w:rPr>
          <w:rtl/>
        </w:rPr>
        <w:t xml:space="preserve"> </w:t>
      </w:r>
      <w:r w:rsidRPr="00690AEC">
        <w:rPr>
          <w:rFonts w:hint="cs"/>
          <w:rtl/>
        </w:rPr>
        <w:t>(שבח ורכישה), התשכ"ג-1963</w:t>
      </w:r>
      <w:r>
        <w:rPr>
          <w:rFonts w:hint="cs"/>
          <w:rtl/>
        </w:rPr>
        <w:t xml:space="preserve"> היא דירה </w:t>
      </w:r>
      <w:r w:rsidRPr="00E15B9C">
        <w:rPr>
          <w:rtl/>
        </w:rPr>
        <w:t>הנרכשת על ידי אזרח ישראלי והיא דירתו היחידה של הרוכש בישראל.</w:t>
      </w:r>
      <w:bookmarkEnd w:id="13"/>
    </w:p>
  </w:footnote>
  <w:footnote w:id="61">
    <w:p w:rsidR="00F74793" w:rsidP="001F2586">
      <w:pPr>
        <w:pStyle w:val="FootnoteText"/>
        <w:rPr>
          <w:rtl/>
        </w:rPr>
      </w:pPr>
      <w:r>
        <w:rPr>
          <w:rStyle w:val="FootnoteReference1"/>
        </w:rPr>
        <w:footnoteRef/>
      </w:r>
      <w:r>
        <w:rPr>
          <w:rtl/>
        </w:rPr>
        <w:t xml:space="preserve"> </w:t>
      </w:r>
      <w:r>
        <w:rPr>
          <w:rtl/>
        </w:rPr>
        <w:tab/>
      </w:r>
      <w:r w:rsidRPr="00B4661A">
        <w:rPr>
          <w:rFonts w:hint="cs"/>
          <w:rtl/>
        </w:rPr>
        <w:t>דירה חליפית</w:t>
      </w:r>
      <w:r>
        <w:rPr>
          <w:rFonts w:hint="cs"/>
          <w:rtl/>
        </w:rPr>
        <w:t xml:space="preserve"> - </w:t>
      </w:r>
      <w:r w:rsidRPr="00E15B9C">
        <w:rPr>
          <w:rtl/>
        </w:rPr>
        <w:t>דירת מגורים הנרכשת על ידי אזרח ישראלי, שבבעלותו</w:t>
      </w:r>
      <w:r>
        <w:rPr>
          <w:rFonts w:hint="cs"/>
          <w:rtl/>
        </w:rPr>
        <w:t xml:space="preserve"> גם</w:t>
      </w:r>
      <w:r w:rsidRPr="00E15B9C">
        <w:rPr>
          <w:rtl/>
        </w:rPr>
        <w:t xml:space="preserve"> דירת מגורים</w:t>
      </w:r>
      <w:r>
        <w:rPr>
          <w:rFonts w:hint="cs"/>
          <w:rtl/>
        </w:rPr>
        <w:t xml:space="preserve"> קיימת שה</w:t>
      </w:r>
      <w:r w:rsidRPr="00E15B9C">
        <w:rPr>
          <w:rtl/>
        </w:rPr>
        <w:t xml:space="preserve">לווה מתחייב למכור בהתאם לקבוע </w:t>
      </w:r>
      <w:r w:rsidRPr="00B4661A">
        <w:rPr>
          <w:rtl/>
        </w:rPr>
        <w:t>בסעיף 9(ג1א)(2)(</w:t>
      </w:r>
      <w:r w:rsidRPr="00B4661A">
        <w:rPr>
          <w:rFonts w:hint="cs"/>
          <w:rtl/>
        </w:rPr>
        <w:t>א2</w:t>
      </w:r>
      <w:r w:rsidRPr="00B4661A">
        <w:rPr>
          <w:rtl/>
        </w:rPr>
        <w:t>) לחוק מיסוי מקרקעין</w:t>
      </w:r>
      <w:r>
        <w:rPr>
          <w:rFonts w:hint="cs"/>
          <w:rtl/>
        </w:rPr>
        <w:t xml:space="preserve"> </w:t>
      </w:r>
      <w:r w:rsidRPr="00690AEC">
        <w:rPr>
          <w:rFonts w:hint="cs"/>
          <w:rtl/>
        </w:rPr>
        <w:t>(שבח ורכישה), התשכ"ג-1963.</w:t>
      </w:r>
    </w:p>
  </w:footnote>
  <w:footnote w:id="62">
    <w:p w:rsidR="00F74793" w:rsidP="001F2586">
      <w:pPr>
        <w:pStyle w:val="FootnoteText"/>
      </w:pPr>
      <w:r>
        <w:rPr>
          <w:rStyle w:val="FootnoteReference1"/>
        </w:rPr>
        <w:footnoteRef/>
      </w:r>
      <w:r>
        <w:rPr>
          <w:rtl/>
        </w:rPr>
        <w:t xml:space="preserve"> </w:t>
      </w:r>
      <w:r>
        <w:rPr>
          <w:rtl/>
        </w:rPr>
        <w:tab/>
      </w:r>
      <w:r w:rsidRPr="00B4661A">
        <w:rPr>
          <w:rFonts w:hint="cs"/>
          <w:rtl/>
        </w:rPr>
        <w:t>דירה להשקעה</w:t>
      </w:r>
      <w:r>
        <w:rPr>
          <w:rFonts w:hint="cs"/>
          <w:rtl/>
        </w:rPr>
        <w:t xml:space="preserve"> - דירה שאינה דירה יחידה או דירה חליפית.</w:t>
      </w:r>
    </w:p>
  </w:footnote>
  <w:footnote w:id="63">
    <w:p w:rsidR="00F74793" w:rsidP="001F2586">
      <w:pPr>
        <w:pStyle w:val="FootnoteText"/>
        <w:rPr>
          <w:rtl/>
        </w:rPr>
      </w:pPr>
      <w:r>
        <w:rPr>
          <w:rStyle w:val="FootnoteReference1"/>
        </w:rPr>
        <w:footnoteRef/>
      </w:r>
      <w:r>
        <w:rPr>
          <w:rtl/>
        </w:rPr>
        <w:t xml:space="preserve"> </w:t>
      </w:r>
      <w:r>
        <w:rPr>
          <w:rtl/>
        </w:rPr>
        <w:tab/>
      </w:r>
      <w:r>
        <w:rPr>
          <w:rFonts w:hint="cs"/>
          <w:rtl/>
        </w:rPr>
        <w:t>יצוין כי ההגדרה של החזר חודשי עודכנה על ידי הפיקוח על הבנקים ביום 8.2.26. עוד בעניין זה ראו בהמשך פרק זה.</w:t>
      </w:r>
    </w:p>
  </w:footnote>
  <w:footnote w:id="64">
    <w:p w:rsidR="00F74793" w:rsidP="001F2586">
      <w:pPr>
        <w:pStyle w:val="FootnoteText"/>
        <w:rPr>
          <w:rtl/>
        </w:rPr>
      </w:pPr>
      <w:r>
        <w:rPr>
          <w:rStyle w:val="FootnoteReference1"/>
        </w:rPr>
        <w:footnoteRef/>
      </w:r>
      <w:r>
        <w:rPr>
          <w:rtl/>
        </w:rPr>
        <w:t xml:space="preserve"> </w:t>
      </w:r>
      <w:r>
        <w:rPr>
          <w:rtl/>
        </w:rPr>
        <w:tab/>
      </w:r>
      <w:r w:rsidRPr="00B4661A">
        <w:rPr>
          <w:rFonts w:hint="cs"/>
          <w:rtl/>
        </w:rPr>
        <w:t>הכנסה חודשית פנויה</w:t>
      </w:r>
      <w:r>
        <w:rPr>
          <w:rFonts w:hint="cs"/>
          <w:rtl/>
        </w:rPr>
        <w:t xml:space="preserve"> - </w:t>
      </w:r>
      <w:r w:rsidRPr="006F28CF">
        <w:rPr>
          <w:rtl/>
        </w:rPr>
        <w:t>הכנסה חודשית קבועה נטו בניכוי הוצאות קבועות ש</w:t>
      </w:r>
      <w:r>
        <w:rPr>
          <w:rFonts w:hint="cs"/>
          <w:rtl/>
        </w:rPr>
        <w:t xml:space="preserve">מקורן בהתחייבות של </w:t>
      </w:r>
      <w:r w:rsidRPr="006F28CF">
        <w:rPr>
          <w:rtl/>
        </w:rPr>
        <w:t xml:space="preserve">הלווה </w:t>
      </w:r>
      <w:r>
        <w:rPr>
          <w:rFonts w:hint="cs"/>
          <w:rtl/>
        </w:rPr>
        <w:t>ש</w:t>
      </w:r>
      <w:r w:rsidRPr="006F28CF">
        <w:rPr>
          <w:rtl/>
        </w:rPr>
        <w:t>יתרת תקופתן עולה על 18 חודשים</w:t>
      </w:r>
      <w:r>
        <w:rPr>
          <w:rFonts w:hint="cs"/>
          <w:rtl/>
        </w:rPr>
        <w:t>, ובכלל זה דמי מזונות והחזרים חודשיים על הלוואות שלא נלקחו במסגרת חישוב ההחזר החודשי.</w:t>
      </w:r>
    </w:p>
  </w:footnote>
  <w:footnote w:id="65">
    <w:p w:rsidR="00F74793" w:rsidP="001F2586">
      <w:pPr>
        <w:pStyle w:val="FootnoteText"/>
        <w:rPr>
          <w:rtl/>
        </w:rPr>
      </w:pPr>
      <w:r>
        <w:rPr>
          <w:rStyle w:val="FootnoteReference1"/>
        </w:rPr>
        <w:footnoteRef/>
      </w:r>
      <w:r>
        <w:rPr>
          <w:rtl/>
        </w:rPr>
        <w:t xml:space="preserve"> </w:t>
      </w:r>
      <w:r>
        <w:rPr>
          <w:rtl/>
        </w:rPr>
        <w:tab/>
      </w:r>
      <w:r w:rsidRPr="000F42EA">
        <w:rPr>
          <w:rtl/>
        </w:rPr>
        <w:t>דירה במחיר מופחת היא דירה יחידה הנרכשת במחיר מופחת בפרויקט במסגרתו ניתנת הנחה בקרקע</w:t>
      </w:r>
      <w:r>
        <w:rPr>
          <w:rFonts w:hint="cs"/>
          <w:rtl/>
        </w:rPr>
        <w:t xml:space="preserve">, </w:t>
      </w:r>
      <w:r w:rsidRPr="000F42EA">
        <w:rPr>
          <w:rtl/>
        </w:rPr>
        <w:t>דוגמת "מחיר מטרה" ו"מחיר למשתכן".</w:t>
      </w:r>
      <w:r>
        <w:rPr>
          <w:rFonts w:hint="cs"/>
          <w:rtl/>
        </w:rPr>
        <w:t xml:space="preserve"> ראו עוד בעניין זה בחלק העוסק ב-"עדכון שיעור המימון לזכאים לדירות במחיר מופחת" בפרק "האסדרה של שוק המשכנתאות במערכת הבנקאית".</w:t>
      </w:r>
    </w:p>
  </w:footnote>
  <w:footnote w:id="66">
    <w:p w:rsidR="00F74793" w:rsidP="001F2586">
      <w:pPr>
        <w:pStyle w:val="FootnoteText"/>
        <w:rPr>
          <w:rtl/>
        </w:rPr>
      </w:pPr>
      <w:r>
        <w:rPr>
          <w:rStyle w:val="FootnoteReference1"/>
        </w:rPr>
        <w:footnoteRef/>
      </w:r>
      <w:r>
        <w:rPr>
          <w:rtl/>
        </w:rPr>
        <w:t xml:space="preserve"> </w:t>
      </w:r>
      <w:r>
        <w:rPr>
          <w:rtl/>
        </w:rPr>
        <w:tab/>
      </w:r>
      <w:r>
        <w:rPr>
          <w:rFonts w:hint="cs"/>
          <w:rtl/>
        </w:rPr>
        <w:t>ראו עוד בעניין זה בפרק "ענף הבניה והשפעתו על שוק המשכנתאות".</w:t>
      </w:r>
    </w:p>
  </w:footnote>
  <w:footnote w:id="67">
    <w:p w:rsidR="00F74793" w:rsidP="001F2586">
      <w:pPr>
        <w:pStyle w:val="FootnoteText"/>
        <w:rPr>
          <w:rtl/>
        </w:rPr>
      </w:pPr>
      <w:r>
        <w:rPr>
          <w:rStyle w:val="FootnoteReference1"/>
        </w:rPr>
        <w:footnoteRef/>
      </w:r>
      <w:r>
        <w:rPr>
          <w:rtl/>
        </w:rPr>
        <w:t xml:space="preserve"> </w:t>
      </w:r>
      <w:r>
        <w:rPr>
          <w:rtl/>
        </w:rPr>
        <w:tab/>
      </w:r>
      <w:bookmarkStart w:id="14" w:name="_Hlk225166344"/>
      <w:r>
        <w:rPr>
          <w:rFonts w:hint="cs"/>
          <w:rtl/>
        </w:rPr>
        <w:t xml:space="preserve">מדד שנקבע בידי הפיקוח על הבנקים כדי להעריך את הסיכון הכרוך בפעילות של בנק, במיוחד את הסיכון שנוצר מהעמדת אשראי. משקל הסיכון מחושב לפי הוראות הפיקוח ומשקף את החשיפה של הבנק לסיכונים שונים. </w:t>
      </w:r>
      <w:bookmarkEnd w:id="14"/>
    </w:p>
  </w:footnote>
  <w:footnote w:id="68">
    <w:p w:rsidR="00F74793" w:rsidP="001F2586">
      <w:pPr>
        <w:pStyle w:val="FootnoteText"/>
        <w:rPr>
          <w:rtl/>
        </w:rPr>
      </w:pPr>
      <w:r>
        <w:rPr>
          <w:rStyle w:val="FootnoteReference1"/>
        </w:rPr>
        <w:footnoteRef/>
      </w:r>
      <w:r>
        <w:rPr>
          <w:rtl/>
        </w:rPr>
        <w:t xml:space="preserve"> </w:t>
      </w:r>
      <w:r>
        <w:rPr>
          <w:rtl/>
        </w:rPr>
        <w:tab/>
      </w:r>
      <w:r w:rsidRPr="00F53757">
        <w:rPr>
          <w:rFonts w:ascii="David" w:hAnsi="David"/>
          <w:rtl/>
        </w:rPr>
        <w:t>יצוין כי משקלי סיכון אלו הן בהלוואות למטרת מגורים אשר נועדו לרכישת או לחכירת הדירה וסכומן הוא עד 5 מ</w:t>
      </w:r>
      <w:r>
        <w:rPr>
          <w:rFonts w:ascii="David" w:hAnsi="David" w:hint="cs"/>
          <w:rtl/>
        </w:rPr>
        <w:t>י</w:t>
      </w:r>
      <w:r w:rsidRPr="00F53757">
        <w:rPr>
          <w:rFonts w:ascii="David" w:hAnsi="David"/>
          <w:rtl/>
        </w:rPr>
        <w:t xml:space="preserve">ליוני </w:t>
      </w:r>
      <w:r>
        <w:rPr>
          <w:rFonts w:ascii="David" w:hAnsi="David" w:hint="cs"/>
          <w:rtl/>
        </w:rPr>
        <w:t>ש"ח.</w:t>
      </w:r>
      <w:r w:rsidRPr="00F53757">
        <w:rPr>
          <w:rFonts w:ascii="David" w:hAnsi="David"/>
          <w:rtl/>
        </w:rPr>
        <w:t xml:space="preserve"> בהתאם לסעיף 69 </w:t>
      </w:r>
      <w:r w:rsidRPr="00B4661A">
        <w:rPr>
          <w:rFonts w:hint="cs"/>
          <w:rtl/>
        </w:rPr>
        <w:t>ב</w:t>
      </w:r>
      <w:r w:rsidRPr="00B4661A">
        <w:rPr>
          <w:rtl/>
        </w:rPr>
        <w:t>נב"ת</w:t>
      </w:r>
      <w:r w:rsidRPr="00B4661A">
        <w:rPr>
          <w:rtl/>
        </w:rPr>
        <w:t xml:space="preserve"> 203</w:t>
      </w:r>
      <w:r>
        <w:rPr>
          <w:rFonts w:ascii="David" w:hAnsi="David" w:hint="cs"/>
          <w:rtl/>
        </w:rPr>
        <w:t xml:space="preserve"> </w:t>
      </w:r>
      <w:r w:rsidRPr="00F53757">
        <w:rPr>
          <w:rFonts w:ascii="David" w:hAnsi="David"/>
          <w:rtl/>
        </w:rPr>
        <w:t>הלוואות במשכון דירת מגורים (כמו הלוואות לכל מטרה) משוקללות לפי משקל סיכון של 75%, וכאשר הן בפיגור הן ישוקללו לפי משקל סיכון של 100% או 150% בהתאם לשיעור הפרשות מיתרת ההלוואות.</w:t>
      </w:r>
    </w:p>
  </w:footnote>
  <w:footnote w:id="69">
    <w:p w:rsidR="00F74793" w:rsidP="001F2586">
      <w:pPr>
        <w:pStyle w:val="FootnoteText"/>
        <w:rPr>
          <w:rtl/>
        </w:rPr>
      </w:pPr>
      <w:r>
        <w:rPr>
          <w:rStyle w:val="FootnoteReference1"/>
        </w:rPr>
        <w:footnoteRef/>
      </w:r>
      <w:r>
        <w:rPr>
          <w:rtl/>
        </w:rPr>
        <w:t xml:space="preserve"> </w:t>
      </w:r>
      <w:r>
        <w:rPr>
          <w:rtl/>
        </w:rPr>
        <w:tab/>
      </w:r>
      <w:r>
        <w:rPr>
          <w:rFonts w:hint="cs"/>
          <w:rtl/>
        </w:rPr>
        <w:t xml:space="preserve">סעיף 78 </w:t>
      </w:r>
      <w:r w:rsidRPr="00B4661A">
        <w:rPr>
          <w:rFonts w:hint="cs"/>
          <w:rtl/>
        </w:rPr>
        <w:t>ב</w:t>
      </w:r>
      <w:r w:rsidRPr="00B4661A">
        <w:rPr>
          <w:rtl/>
        </w:rPr>
        <w:t>נב"ת</w:t>
      </w:r>
      <w:r w:rsidRPr="00B4661A">
        <w:rPr>
          <w:rtl/>
        </w:rPr>
        <w:t xml:space="preserve"> 203</w:t>
      </w:r>
      <w:r>
        <w:rPr>
          <w:rFonts w:hint="cs"/>
          <w:rtl/>
        </w:rPr>
        <w:t xml:space="preserve">. </w:t>
      </w:r>
    </w:p>
  </w:footnote>
  <w:footnote w:id="70">
    <w:p w:rsidR="00F74793" w:rsidP="001F2586">
      <w:pPr>
        <w:pStyle w:val="FootnoteText"/>
        <w:ind w:left="708" w:hanging="708"/>
        <w:rPr>
          <w:rtl/>
        </w:rPr>
      </w:pPr>
      <w:r>
        <w:rPr>
          <w:rStyle w:val="FootnoteReference1"/>
        </w:rPr>
        <w:footnoteRef/>
      </w:r>
      <w:r>
        <w:rPr>
          <w:rtl/>
        </w:rPr>
        <w:t xml:space="preserve"> </w:t>
      </w:r>
      <w:r>
        <w:rPr>
          <w:rtl/>
        </w:rPr>
        <w:tab/>
      </w:r>
      <w:r>
        <w:rPr>
          <w:rFonts w:hint="cs"/>
          <w:rtl/>
        </w:rPr>
        <w:t xml:space="preserve">מרכז המחקר והמידע של הכנסת, </w:t>
      </w:r>
      <w:r w:rsidRPr="00B4661A">
        <w:rPr>
          <w:b/>
          <w:bCs/>
          <w:rtl/>
        </w:rPr>
        <w:t>ניתוח סיכונים מקרו-</w:t>
      </w:r>
      <w:r w:rsidRPr="00B4661A">
        <w:rPr>
          <w:b/>
          <w:bCs/>
          <w:rtl/>
        </w:rPr>
        <w:t>יציבותיים</w:t>
      </w:r>
      <w:r w:rsidRPr="000E18CF">
        <w:rPr>
          <w:b/>
          <w:bCs/>
          <w:rtl/>
        </w:rPr>
        <w:t xml:space="preserve"> הנובעים מאשראי לדיור ומאשראי לענף הבנייה</w:t>
      </w:r>
      <w:r w:rsidRPr="00467B34">
        <w:rPr>
          <w:rtl/>
        </w:rPr>
        <w:t xml:space="preserve"> (מרץ 2025),</w:t>
      </w:r>
      <w:r>
        <w:rPr>
          <w:rtl/>
        </w:rPr>
        <w:t xml:space="preserve"> </w:t>
      </w:r>
      <w:r w:rsidRPr="00467B34">
        <w:rPr>
          <w:rtl/>
        </w:rPr>
        <w:t xml:space="preserve">עמ' </w:t>
      </w:r>
      <w:r>
        <w:rPr>
          <w:rFonts w:hint="cs"/>
          <w:rtl/>
        </w:rPr>
        <w:t>6 - 7.</w:t>
      </w:r>
    </w:p>
  </w:footnote>
  <w:footnote w:id="71">
    <w:p w:rsidR="00F74793" w:rsidP="001F2586">
      <w:pPr>
        <w:pStyle w:val="FootnoteText"/>
        <w:ind w:left="708" w:hanging="708"/>
        <w:rPr>
          <w:rtl/>
        </w:rPr>
      </w:pPr>
      <w:r>
        <w:rPr>
          <w:rStyle w:val="FootnoteReference1"/>
        </w:rPr>
        <w:footnoteRef/>
      </w:r>
      <w:r>
        <w:rPr>
          <w:rtl/>
        </w:rPr>
        <w:t xml:space="preserve"> </w:t>
      </w:r>
      <w:r>
        <w:rPr>
          <w:rtl/>
        </w:rPr>
        <w:tab/>
      </w:r>
      <w:r>
        <w:rPr>
          <w:rFonts w:hint="cs"/>
          <w:rtl/>
        </w:rPr>
        <w:t xml:space="preserve">מ' אופיר וי' </w:t>
      </w:r>
      <w:r>
        <w:rPr>
          <w:rFonts w:hint="cs"/>
          <w:rtl/>
        </w:rPr>
        <w:t>מוגרמן</w:t>
      </w:r>
      <w:r>
        <w:rPr>
          <w:rFonts w:hint="cs"/>
          <w:rtl/>
        </w:rPr>
        <w:t xml:space="preserve">, </w:t>
      </w:r>
      <w:r w:rsidRPr="00B4661A">
        <w:rPr>
          <w:rFonts w:hint="eastAsia"/>
          <w:b/>
          <w:bCs/>
          <w:rtl/>
        </w:rPr>
        <w:t>השפעות</w:t>
      </w:r>
      <w:r w:rsidRPr="00B4661A">
        <w:rPr>
          <w:b/>
          <w:bCs/>
          <w:rtl/>
        </w:rPr>
        <w:t xml:space="preserve"> </w:t>
      </w:r>
      <w:r w:rsidRPr="00B4661A">
        <w:rPr>
          <w:rFonts w:hint="eastAsia"/>
          <w:b/>
          <w:bCs/>
          <w:rtl/>
        </w:rPr>
        <w:t>צעדי</w:t>
      </w:r>
      <w:r w:rsidRPr="00B4661A">
        <w:rPr>
          <w:b/>
          <w:bCs/>
          <w:rtl/>
        </w:rPr>
        <w:t xml:space="preserve"> </w:t>
      </w:r>
      <w:r w:rsidRPr="00B4661A">
        <w:rPr>
          <w:rFonts w:hint="eastAsia"/>
          <w:b/>
          <w:bCs/>
          <w:rtl/>
        </w:rPr>
        <w:t>רגולציה</w:t>
      </w:r>
      <w:r w:rsidRPr="00B4661A">
        <w:rPr>
          <w:b/>
          <w:bCs/>
          <w:rtl/>
        </w:rPr>
        <w:t xml:space="preserve"> </w:t>
      </w:r>
      <w:r w:rsidRPr="00B4661A">
        <w:rPr>
          <w:rFonts w:hint="eastAsia"/>
          <w:b/>
          <w:bCs/>
          <w:rtl/>
        </w:rPr>
        <w:t>מגינה</w:t>
      </w:r>
      <w:r w:rsidRPr="00B4661A">
        <w:rPr>
          <w:b/>
          <w:bCs/>
          <w:rtl/>
        </w:rPr>
        <w:t xml:space="preserve"> </w:t>
      </w:r>
      <w:r w:rsidRPr="00B4661A">
        <w:rPr>
          <w:rFonts w:hint="eastAsia"/>
          <w:b/>
          <w:bCs/>
          <w:rtl/>
        </w:rPr>
        <w:t>בישראל</w:t>
      </w:r>
      <w:r w:rsidRPr="00B4661A">
        <w:rPr>
          <w:b/>
          <w:bCs/>
          <w:rtl/>
        </w:rPr>
        <w:t xml:space="preserve"> </w:t>
      </w:r>
      <w:r w:rsidRPr="00B4661A">
        <w:rPr>
          <w:rFonts w:hint="eastAsia"/>
          <w:b/>
          <w:bCs/>
          <w:rtl/>
        </w:rPr>
        <w:t>על</w:t>
      </w:r>
      <w:r w:rsidRPr="00B4661A">
        <w:rPr>
          <w:b/>
          <w:bCs/>
          <w:rtl/>
        </w:rPr>
        <w:t xml:space="preserve"> </w:t>
      </w:r>
      <w:r w:rsidRPr="00B4661A">
        <w:rPr>
          <w:rFonts w:hint="eastAsia"/>
          <w:b/>
          <w:bCs/>
          <w:rtl/>
        </w:rPr>
        <w:t>התנהגות</w:t>
      </w:r>
      <w:r w:rsidRPr="00B4661A">
        <w:rPr>
          <w:b/>
          <w:bCs/>
          <w:rtl/>
        </w:rPr>
        <w:t xml:space="preserve"> </w:t>
      </w:r>
      <w:r w:rsidRPr="00B4661A">
        <w:rPr>
          <w:rFonts w:hint="eastAsia"/>
          <w:b/>
          <w:bCs/>
          <w:rtl/>
        </w:rPr>
        <w:t>משקי</w:t>
      </w:r>
      <w:r w:rsidRPr="00B4661A">
        <w:rPr>
          <w:b/>
          <w:bCs/>
          <w:rtl/>
        </w:rPr>
        <w:t xml:space="preserve"> </w:t>
      </w:r>
      <w:r w:rsidRPr="00B4661A">
        <w:rPr>
          <w:rFonts w:hint="eastAsia"/>
          <w:b/>
          <w:bCs/>
          <w:rtl/>
        </w:rPr>
        <w:t>הבית</w:t>
      </w:r>
      <w:r w:rsidRPr="00B4661A">
        <w:rPr>
          <w:b/>
          <w:bCs/>
          <w:rtl/>
        </w:rPr>
        <w:t xml:space="preserve"> </w:t>
      </w:r>
      <w:r w:rsidRPr="00B4661A">
        <w:rPr>
          <w:rFonts w:hint="eastAsia"/>
          <w:b/>
          <w:bCs/>
          <w:rtl/>
        </w:rPr>
        <w:t>בלקיחת</w:t>
      </w:r>
      <w:r w:rsidRPr="00B4661A">
        <w:rPr>
          <w:b/>
          <w:bCs/>
          <w:rtl/>
        </w:rPr>
        <w:t xml:space="preserve"> </w:t>
      </w:r>
      <w:r w:rsidRPr="00B4661A">
        <w:rPr>
          <w:rFonts w:hint="eastAsia"/>
          <w:b/>
          <w:bCs/>
          <w:rtl/>
        </w:rPr>
        <w:t>משכנתאות</w:t>
      </w:r>
      <w:r>
        <w:rPr>
          <w:rFonts w:hint="cs"/>
          <w:rtl/>
        </w:rPr>
        <w:t xml:space="preserve"> (2016), עמ' 6 - 7.</w:t>
      </w:r>
    </w:p>
  </w:footnote>
  <w:footnote w:id="72">
    <w:p w:rsidR="00F74793" w:rsidP="00EF4431">
      <w:pPr>
        <w:pStyle w:val="FootnoteText"/>
        <w:rPr>
          <w:rtl/>
        </w:rPr>
      </w:pPr>
      <w:r>
        <w:rPr>
          <w:rStyle w:val="FootnoteReference1"/>
        </w:rPr>
        <w:footnoteRef/>
      </w:r>
      <w:r>
        <w:rPr>
          <w:rtl/>
        </w:rPr>
        <w:t xml:space="preserve"> </w:t>
      </w:r>
      <w:r>
        <w:rPr>
          <w:rtl/>
        </w:rPr>
        <w:tab/>
      </w:r>
      <w:r>
        <w:rPr>
          <w:rFonts w:hint="cs"/>
          <w:rtl/>
        </w:rPr>
        <w:t>עוד בנושא זה ראו בחלק העוסק ב-"מגבלת חלק ההלוואה בריבית משתנה" בפרק זה.</w:t>
      </w:r>
    </w:p>
  </w:footnote>
  <w:footnote w:id="73">
    <w:p w:rsidR="00F74793" w:rsidP="00EF4431">
      <w:pPr>
        <w:pStyle w:val="FootnoteText"/>
      </w:pPr>
      <w:r>
        <w:rPr>
          <w:rStyle w:val="FootnoteReference1"/>
        </w:rPr>
        <w:footnoteRef/>
      </w:r>
      <w:r>
        <w:rPr>
          <w:rtl/>
        </w:rPr>
        <w:t xml:space="preserve"> </w:t>
      </w:r>
      <w:r>
        <w:rPr>
          <w:rtl/>
        </w:rPr>
        <w:tab/>
      </w:r>
      <w:r>
        <w:rPr>
          <w:rFonts w:hint="cs"/>
          <w:rtl/>
        </w:rPr>
        <w:t>עוד בנושא זה ראו בחלק העוסק ב-"מגבלת שיעור המימון" בפרק זה.</w:t>
      </w:r>
    </w:p>
  </w:footnote>
  <w:footnote w:id="74">
    <w:p w:rsidR="00F74793" w:rsidP="00EF4431">
      <w:pPr>
        <w:pStyle w:val="FootnoteText"/>
      </w:pPr>
      <w:r>
        <w:rPr>
          <w:rStyle w:val="FootnoteReference1"/>
        </w:rPr>
        <w:footnoteRef/>
      </w:r>
      <w:r>
        <w:rPr>
          <w:rtl/>
        </w:rPr>
        <w:t xml:space="preserve"> </w:t>
      </w:r>
      <w:r>
        <w:rPr>
          <w:rtl/>
        </w:rPr>
        <w:tab/>
      </w:r>
      <w:r>
        <w:rPr>
          <w:rFonts w:hint="cs"/>
          <w:rtl/>
        </w:rPr>
        <w:t>עוד בנושא זה ראו בפרק "ענף הבניה והשפעתו על שוק המשכנתאות".</w:t>
      </w:r>
    </w:p>
  </w:footnote>
  <w:footnote w:id="75">
    <w:p w:rsidR="00F74793" w:rsidP="00EF4431">
      <w:pPr>
        <w:pStyle w:val="FootnoteText"/>
      </w:pPr>
      <w:r>
        <w:rPr>
          <w:rStyle w:val="FootnoteReference1"/>
        </w:rPr>
        <w:footnoteRef/>
      </w:r>
      <w:r>
        <w:rPr>
          <w:rtl/>
        </w:rPr>
        <w:t xml:space="preserve"> </w:t>
      </w:r>
      <w:r>
        <w:rPr>
          <w:rtl/>
        </w:rPr>
        <w:tab/>
      </w:r>
      <w:r>
        <w:rPr>
          <w:rFonts w:hint="cs"/>
          <w:rtl/>
        </w:rPr>
        <w:t>עוד בנושא זה ראו בחלק העוסק ב-מגבלת שיעור החזר מהכנסה" בפרק זה.</w:t>
      </w:r>
    </w:p>
  </w:footnote>
  <w:footnote w:id="76">
    <w:p w:rsidR="00F74793" w:rsidP="001F2586">
      <w:pPr>
        <w:pStyle w:val="FootnoteText"/>
      </w:pPr>
      <w:r>
        <w:rPr>
          <w:rStyle w:val="FootnoteReference1"/>
        </w:rPr>
        <w:footnoteRef/>
      </w:r>
      <w:r>
        <w:rPr>
          <w:rtl/>
        </w:rPr>
        <w:t xml:space="preserve"> </w:t>
      </w:r>
      <w:r>
        <w:rPr>
          <w:rtl/>
        </w:rPr>
        <w:tab/>
      </w:r>
      <w:r>
        <w:rPr>
          <w:rFonts w:hint="cs"/>
          <w:rtl/>
        </w:rPr>
        <w:t xml:space="preserve">בנק ישראל, </w:t>
      </w:r>
      <w:r w:rsidRPr="00B4661A">
        <w:rPr>
          <w:rFonts w:hint="cs"/>
          <w:rtl/>
        </w:rPr>
        <w:t>מדיניות פעילות פיקוחית</w:t>
      </w:r>
      <w:r>
        <w:rPr>
          <w:rFonts w:hint="cs"/>
          <w:rtl/>
        </w:rPr>
        <w:t xml:space="preserve"> (מאי 2025), עמ' 6.</w:t>
      </w:r>
    </w:p>
  </w:footnote>
  <w:footnote w:id="77">
    <w:p w:rsidR="00F74793" w:rsidP="001F2586">
      <w:pPr>
        <w:pStyle w:val="FootnoteText"/>
        <w:rPr>
          <w:rtl/>
        </w:rPr>
      </w:pPr>
      <w:r>
        <w:rPr>
          <w:rStyle w:val="FootnoteReference1"/>
        </w:rPr>
        <w:footnoteRef/>
      </w:r>
      <w:r>
        <w:rPr>
          <w:rtl/>
        </w:rPr>
        <w:t xml:space="preserve"> </w:t>
      </w:r>
      <w:r>
        <w:rPr>
          <w:rtl/>
        </w:rPr>
        <w:tab/>
      </w:r>
      <w:r>
        <w:rPr>
          <w:rFonts w:hint="cs"/>
          <w:rtl/>
        </w:rPr>
        <w:t>השיטות הן: הגישה הסטנדרטית - מדידת סיכון האשראי באופן סטנדרטי שנתמך על ידי דירוגי אשראי חיצוניים; והגישה המבוססת על דירוגים פנימיים המתירה</w:t>
      </w:r>
      <w:r>
        <w:rPr>
          <w:rtl/>
        </w:rPr>
        <w:t xml:space="preserve"> לתאגידים בנקאיים להשתמש במערכות הדירוג</w:t>
      </w:r>
    </w:p>
    <w:p w:rsidR="00F74793" w:rsidP="001F2586">
      <w:pPr>
        <w:pStyle w:val="FootnoteText"/>
        <w:ind w:firstLine="0"/>
        <w:rPr>
          <w:rtl/>
        </w:rPr>
      </w:pPr>
      <w:r>
        <w:rPr>
          <w:rtl/>
        </w:rPr>
        <w:t>הפנימיות שלהם ל</w:t>
      </w:r>
      <w:r>
        <w:rPr>
          <w:rFonts w:hint="cs"/>
          <w:rtl/>
        </w:rPr>
        <w:t xml:space="preserve">מדידת </w:t>
      </w:r>
      <w:r>
        <w:rPr>
          <w:rtl/>
        </w:rPr>
        <w:t xml:space="preserve">סיכון </w:t>
      </w:r>
      <w:r>
        <w:rPr>
          <w:rFonts w:hint="cs"/>
          <w:rtl/>
        </w:rPr>
        <w:t>ה</w:t>
      </w:r>
      <w:r>
        <w:rPr>
          <w:rtl/>
        </w:rPr>
        <w:t>אשראי</w:t>
      </w:r>
      <w:r>
        <w:rPr>
          <w:rFonts w:hint="cs"/>
          <w:rtl/>
        </w:rPr>
        <w:t xml:space="preserve">. מקור: המפקח על הבנקים, </w:t>
      </w:r>
      <w:r w:rsidRPr="00B4661A">
        <w:rPr>
          <w:rFonts w:hint="cs"/>
          <w:rtl/>
        </w:rPr>
        <w:t>נב"ת</w:t>
      </w:r>
      <w:r w:rsidRPr="00B4661A">
        <w:rPr>
          <w:rFonts w:hint="cs"/>
          <w:rtl/>
        </w:rPr>
        <w:t xml:space="preserve"> 203 - הגישה הסטנדרטית -סיכון אשראי</w:t>
      </w:r>
      <w:r>
        <w:rPr>
          <w:rFonts w:hint="cs"/>
          <w:rtl/>
        </w:rPr>
        <w:t xml:space="preserve"> (אפריל 2025), עמ' 2.</w:t>
      </w:r>
    </w:p>
  </w:footnote>
  <w:footnote w:id="78">
    <w:p w:rsidR="00F74793" w:rsidP="001F2586">
      <w:pPr>
        <w:pStyle w:val="FootnoteText"/>
      </w:pPr>
      <w:r>
        <w:rPr>
          <w:rStyle w:val="FootnoteReference1"/>
        </w:rPr>
        <w:footnoteRef/>
      </w:r>
      <w:r>
        <w:rPr>
          <w:rtl/>
        </w:rPr>
        <w:t xml:space="preserve"> </w:t>
      </w:r>
      <w:r>
        <w:rPr>
          <w:rtl/>
        </w:rPr>
        <w:tab/>
      </w:r>
      <w:r>
        <w:rPr>
          <w:rFonts w:hint="cs"/>
          <w:rtl/>
        </w:rPr>
        <w:t>הפיקוח על הבנקים, "</w:t>
      </w:r>
      <w:r w:rsidRPr="00B4661A">
        <w:rPr>
          <w:rFonts w:hint="cs"/>
          <w:rtl/>
        </w:rPr>
        <w:t>מענה לבקשת חומרים במסגרת "פיקוח על שוק המשכנתאות</w:t>
      </w:r>
      <w:r>
        <w:rPr>
          <w:rFonts w:hint="cs"/>
          <w:rtl/>
        </w:rPr>
        <w:t>" של מבקר המדינה, (22.1.26).</w:t>
      </w:r>
    </w:p>
  </w:footnote>
  <w:footnote w:id="79">
    <w:p w:rsidR="00F74793" w:rsidP="001F2586">
      <w:pPr>
        <w:pStyle w:val="FootnoteText"/>
      </w:pPr>
      <w:r>
        <w:rPr>
          <w:rStyle w:val="FootnoteReference1"/>
        </w:rPr>
        <w:footnoteRef/>
      </w:r>
      <w:r>
        <w:rPr>
          <w:rtl/>
        </w:rPr>
        <w:t xml:space="preserve"> </w:t>
      </w:r>
      <w:r>
        <w:rPr>
          <w:rtl/>
        </w:rPr>
        <w:tab/>
      </w:r>
      <w:r w:rsidRPr="00CF621A">
        <w:rPr>
          <w:rtl/>
        </w:rPr>
        <w:t xml:space="preserve">המערכת הבנקאית בישראל מספקת משכנתאות מסוג </w:t>
      </w:r>
      <w:r w:rsidRPr="00CF621A">
        <w:rPr>
          <w:rtl/>
        </w:rPr>
        <w:t>ריקורס</w:t>
      </w:r>
      <w:r w:rsidRPr="00CF621A">
        <w:rPr>
          <w:rtl/>
        </w:rPr>
        <w:t xml:space="preserve"> </w:t>
      </w:r>
      <w:r w:rsidRPr="00CF621A">
        <w:t>Recourse</w:t>
      </w:r>
      <w:r w:rsidRPr="00CF621A">
        <w:rPr>
          <w:rtl/>
        </w:rPr>
        <w:t>) בהן למלווה יש זכות לרדת לנכסי הלווה. כך הלווה חייב תמיד להחזיר את הלוואת המשכנתא במלואה, ובפרט כאשר נוצר מצב שערך הנכס שעבורו נלקחה המשכנתא ירד והוא נמוך מיתרת המשכנתא (הון דיור שלילי)</w:t>
      </w:r>
      <w:r>
        <w:rPr>
          <w:rtl/>
        </w:rPr>
        <w:t>.</w:t>
      </w:r>
      <w:r w:rsidRPr="00CF621A">
        <w:rPr>
          <w:rtl/>
        </w:rPr>
        <w:t xml:space="preserve"> לעומת זאת, במשכנתא מסוג נון-</w:t>
      </w:r>
      <w:r w:rsidRPr="00CF621A">
        <w:rPr>
          <w:rtl/>
        </w:rPr>
        <w:t>ריקורס</w:t>
      </w:r>
      <w:r w:rsidRPr="00CF621A">
        <w:rPr>
          <w:rtl/>
        </w:rPr>
        <w:t xml:space="preserve"> (</w:t>
      </w:r>
      <w:r w:rsidRPr="00CF621A">
        <w:t>Nonrecourse</w:t>
      </w:r>
      <w:r>
        <w:rPr>
          <w:rFonts w:hint="cs"/>
          <w:rtl/>
        </w:rPr>
        <w:t>)</w:t>
      </w:r>
      <w:r w:rsidRPr="00CF621A">
        <w:rPr>
          <w:rtl/>
        </w:rPr>
        <w:t>, כפי שנהוג בארה"ב, למלווה אין זכות לרדת לנכסי הלווה. כך הלוואה מסוג זה מגבילה את ההפסד המרבי של הלווה שיכול להחזיר את הנכס הממושכן לידי המלווה תמורת ביטול ההלוואה</w:t>
      </w:r>
      <w:r>
        <w:rPr>
          <w:rFonts w:hint="cs"/>
          <w:rtl/>
        </w:rPr>
        <w:t>. מקור: גילת בן שטרית ונעמי כרמון, "</w:t>
      </w:r>
      <w:r w:rsidRPr="00B4661A">
        <w:rPr>
          <w:rFonts w:hint="cs"/>
          <w:rtl/>
        </w:rPr>
        <w:t>הלוואות משכנתא לדיור וכשלים בפירעונן</w:t>
      </w:r>
      <w:r>
        <w:rPr>
          <w:rFonts w:hint="cs"/>
          <w:rtl/>
        </w:rPr>
        <w:t>: מבוא לנושא עם פרספקטיבה השוואתית בינלאומית" (2010),", עמ' 1.</w:t>
      </w:r>
    </w:p>
  </w:footnote>
  <w:footnote w:id="80">
    <w:p w:rsidR="00F74793" w:rsidP="001F2586">
      <w:pPr>
        <w:pStyle w:val="FootnoteText"/>
      </w:pPr>
      <w:r>
        <w:rPr>
          <w:rStyle w:val="FootnoteReference1"/>
        </w:rPr>
        <w:footnoteRef/>
      </w:r>
      <w:r>
        <w:rPr>
          <w:rtl/>
        </w:rPr>
        <w:t xml:space="preserve"> </w:t>
      </w:r>
      <w:r>
        <w:rPr>
          <w:rtl/>
        </w:rPr>
        <w:tab/>
      </w:r>
      <w:r w:rsidRPr="00B4661A">
        <w:rPr>
          <w:rtl/>
        </w:rPr>
        <w:t>איגוח הוא תהליך</w:t>
      </w:r>
      <w:r>
        <w:rPr>
          <w:rtl/>
        </w:rPr>
        <w:t xml:space="preserve"> שבו נכסים לא-נזילים </w:t>
      </w:r>
      <w:r>
        <w:rPr>
          <w:rFonts w:hint="cs"/>
          <w:rtl/>
        </w:rPr>
        <w:t>(</w:t>
      </w:r>
      <w:r>
        <w:rPr>
          <w:rtl/>
        </w:rPr>
        <w:t xml:space="preserve">משכנתאות, הלוואות צרכניות, חובות מסחריים, הלוואות לרכב ועוד שנמצאים בבעלות יזם </w:t>
      </w:r>
      <w:r>
        <w:rPr>
          <w:rFonts w:hint="cs"/>
          <w:rtl/>
        </w:rPr>
        <w:t>(</w:t>
      </w:r>
      <w:r>
        <w:rPr>
          <w:rtl/>
        </w:rPr>
        <w:t xml:space="preserve">בנקים, גופים </w:t>
      </w:r>
      <w:r>
        <w:rPr>
          <w:rFonts w:hint="cs"/>
          <w:rtl/>
        </w:rPr>
        <w:t xml:space="preserve">חוץ בנקאים וחברות) </w:t>
      </w:r>
      <w:r>
        <w:rPr>
          <w:rFonts w:hint="cs"/>
          <w:rtl/>
        </w:rPr>
        <w:t>מאוגמים</w:t>
      </w:r>
      <w:r>
        <w:rPr>
          <w:rFonts w:hint="cs"/>
          <w:rtl/>
        </w:rPr>
        <w:t xml:space="preserve"> </w:t>
      </w:r>
      <w:r>
        <w:rPr>
          <w:rtl/>
        </w:rPr>
        <w:t xml:space="preserve">יחד ומומרים לניירות ערך סחירים דרך "תאגיד ייעודי"; זאת בתמורה למזומן, העברת סיכוני האשראי </w:t>
      </w:r>
      <w:r>
        <w:rPr>
          <w:rFonts w:hint="cs"/>
          <w:rtl/>
        </w:rPr>
        <w:t xml:space="preserve">אל </w:t>
      </w:r>
      <w:r>
        <w:rPr>
          <w:rtl/>
        </w:rPr>
        <w:t>המשקיעים</w:t>
      </w:r>
      <w:r>
        <w:rPr>
          <w:rFonts w:hint="cs"/>
          <w:rtl/>
        </w:rPr>
        <w:t xml:space="preserve"> (</w:t>
      </w:r>
      <w:r>
        <w:rPr>
          <w:rtl/>
        </w:rPr>
        <w:t>גופים מוסדיים והציבור הרחב</w:t>
      </w:r>
      <w:r>
        <w:rPr>
          <w:rFonts w:hint="cs"/>
          <w:rtl/>
        </w:rPr>
        <w:t xml:space="preserve">) </w:t>
      </w:r>
      <w:r>
        <w:rPr>
          <w:rtl/>
        </w:rPr>
        <w:t>ושחרור ההון לפעולות אחרות של היזם.</w:t>
      </w:r>
      <w:r>
        <w:rPr>
          <w:rFonts w:hint="cs"/>
          <w:rtl/>
        </w:rPr>
        <w:t xml:space="preserve"> יצוין כי </w:t>
      </w:r>
      <w:r w:rsidRPr="002E1335">
        <w:rPr>
          <w:rtl/>
        </w:rPr>
        <w:t>באר</w:t>
      </w:r>
      <w:r>
        <w:rPr>
          <w:rFonts w:hint="cs"/>
          <w:rtl/>
        </w:rPr>
        <w:t xml:space="preserve">צות הברית </w:t>
      </w:r>
      <w:r w:rsidRPr="002E1335">
        <w:rPr>
          <w:rtl/>
        </w:rPr>
        <w:t>שוק איגוח מפותח ונרחב</w:t>
      </w:r>
      <w:r>
        <w:rPr>
          <w:rFonts w:hint="cs"/>
          <w:rtl/>
        </w:rPr>
        <w:t xml:space="preserve">, בפרט בתחום המשכנתאות והלוואות צרכניות - </w:t>
      </w:r>
      <w:r w:rsidRPr="00B4661A">
        <w:rPr>
          <w:rtl/>
        </w:rPr>
        <w:t>היקפו</w:t>
      </w:r>
      <w:r>
        <w:rPr>
          <w:rFonts w:hint="cs"/>
          <w:rtl/>
        </w:rPr>
        <w:t xml:space="preserve">, </w:t>
      </w:r>
      <w:r w:rsidRPr="007C035D">
        <w:rPr>
          <w:rtl/>
        </w:rPr>
        <w:t>נכון ל</w:t>
      </w:r>
      <w:r>
        <w:rPr>
          <w:rFonts w:hint="cs"/>
          <w:rtl/>
        </w:rPr>
        <w:t xml:space="preserve">שנת 2023, </w:t>
      </w:r>
      <w:r w:rsidRPr="007C035D">
        <w:rPr>
          <w:rtl/>
        </w:rPr>
        <w:t>מוערך בכ-50</w:t>
      </w:r>
      <w:r>
        <w:rPr>
          <w:rFonts w:hint="cs"/>
          <w:rtl/>
        </w:rPr>
        <w:t>%</w:t>
      </w:r>
      <w:r w:rsidRPr="007C035D">
        <w:rPr>
          <w:rtl/>
        </w:rPr>
        <w:t xml:space="preserve"> מהתוצר</w:t>
      </w:r>
      <w:r>
        <w:rPr>
          <w:rFonts w:hint="cs"/>
          <w:rtl/>
        </w:rPr>
        <w:t xml:space="preserve">, והרכיב העיקרי בו הוא משכנתאות למגורים (81%). יצוין כי </w:t>
      </w:r>
      <w:r w:rsidRPr="002E1335">
        <w:rPr>
          <w:rtl/>
        </w:rPr>
        <w:t xml:space="preserve">באירופה </w:t>
      </w:r>
      <w:r>
        <w:rPr>
          <w:rFonts w:hint="cs"/>
          <w:rtl/>
        </w:rPr>
        <w:t>שוק האיגוח</w:t>
      </w:r>
      <w:r w:rsidRPr="002E1335">
        <w:rPr>
          <w:rtl/>
        </w:rPr>
        <w:t xml:space="preserve"> מתרחב בהדרגה</w:t>
      </w:r>
      <w:r>
        <w:rPr>
          <w:rFonts w:hint="cs"/>
          <w:rtl/>
        </w:rPr>
        <w:t xml:space="preserve"> </w:t>
      </w:r>
      <w:r w:rsidRPr="007B61E1">
        <w:rPr>
          <w:rtl/>
        </w:rPr>
        <w:t>ומתמקד באיגוח משכנתאות והלוואות לרכב</w:t>
      </w:r>
      <w:r>
        <w:rPr>
          <w:rFonts w:hint="cs"/>
          <w:rtl/>
        </w:rPr>
        <w:t xml:space="preserve"> - היקפו נכון לסוף שנת 2023 הוא כ-</w:t>
      </w:r>
      <w:r w:rsidRPr="00B4661A">
        <w:rPr>
          <w:rFonts w:hint="cs"/>
          <w:rtl/>
        </w:rPr>
        <w:t>6% מהתוצר, שהרכיב העיקרי הוא משכנתאות למגורים - כ-54%.</w:t>
      </w:r>
      <w:r>
        <w:rPr>
          <w:rFonts w:hint="cs"/>
          <w:rtl/>
        </w:rPr>
        <w:t xml:space="preserve"> מקורות: הודעה לעיתונות של בנק ישראל, </w:t>
      </w:r>
      <w:r w:rsidRPr="00B4661A">
        <w:rPr>
          <w:rFonts w:hint="cs"/>
          <w:rtl/>
        </w:rPr>
        <w:t>"</w:t>
      </w:r>
      <w:r w:rsidRPr="00B4661A">
        <w:rPr>
          <w:rtl/>
        </w:rPr>
        <w:t>תיבה מתוך דוח בנק ישראל לשנת 2024: הודעה לעיתונות: פיתוח של שוק האיגוח בישראל - גרסת 2025 (על רקע השלמת החקיקה)</w:t>
      </w:r>
      <w:r w:rsidRPr="00B4661A">
        <w:rPr>
          <w:rFonts w:hint="cs"/>
          <w:rtl/>
        </w:rPr>
        <w:t xml:space="preserve"> (</w:t>
      </w:r>
      <w:r>
        <w:rPr>
          <w:rFonts w:hint="cs"/>
          <w:rtl/>
        </w:rPr>
        <w:t xml:space="preserve">12.3.25); גילת בן </w:t>
      </w:r>
      <w:r>
        <w:rPr>
          <w:rFonts w:hint="cs"/>
          <w:rtl/>
        </w:rPr>
        <w:t>שיטרית</w:t>
      </w:r>
      <w:r>
        <w:rPr>
          <w:rFonts w:hint="cs"/>
          <w:rtl/>
        </w:rPr>
        <w:t xml:space="preserve"> ונעמי כרמון, "</w:t>
      </w:r>
      <w:r w:rsidRPr="00B4661A">
        <w:rPr>
          <w:rFonts w:hint="cs"/>
          <w:rtl/>
        </w:rPr>
        <w:t>הלוואות משכנתא לדיור וכשלים בפירעונן</w:t>
      </w:r>
      <w:r>
        <w:rPr>
          <w:rFonts w:hint="cs"/>
          <w:rtl/>
        </w:rPr>
        <w:t>: מבוא לנושא עם פרספקטיבה השוואתית בינלאומית" (2010), עמ' 336.</w:t>
      </w:r>
    </w:p>
  </w:footnote>
  <w:footnote w:id="81">
    <w:p w:rsidR="00F74793" w:rsidP="001F2586">
      <w:pPr>
        <w:pStyle w:val="FootnoteText"/>
      </w:pPr>
      <w:r>
        <w:rPr>
          <w:rStyle w:val="FootnoteReference1"/>
        </w:rPr>
        <w:footnoteRef/>
      </w:r>
      <w:r>
        <w:rPr>
          <w:rtl/>
        </w:rPr>
        <w:t xml:space="preserve"> </w:t>
      </w:r>
      <w:r>
        <w:rPr>
          <w:rtl/>
        </w:rPr>
        <w:tab/>
      </w:r>
      <w:r w:rsidRPr="00B4661A">
        <w:rPr>
          <w:rtl/>
        </w:rPr>
        <w:t>הצעת חוק להסדרת עסקאות איגוח,</w:t>
      </w:r>
      <w:r w:rsidRPr="00BE500F">
        <w:rPr>
          <w:rtl/>
        </w:rPr>
        <w:t xml:space="preserve"> </w:t>
      </w:r>
      <w:r w:rsidRPr="00BE500F">
        <w:rPr>
          <w:rtl/>
        </w:rPr>
        <w:t>התשפ"ה</w:t>
      </w:r>
      <w:r>
        <w:rPr>
          <w:rFonts w:hint="cs"/>
          <w:rtl/>
        </w:rPr>
        <w:t xml:space="preserve"> </w:t>
      </w:r>
      <w:r w:rsidRPr="00BE500F">
        <w:rPr>
          <w:rtl/>
        </w:rPr>
        <w:t xml:space="preserve">2025, </w:t>
      </w:r>
      <w:r w:rsidRPr="00BE500F">
        <w:rPr>
          <w:rtl/>
        </w:rPr>
        <w:t>ה"ח</w:t>
      </w:r>
      <w:r w:rsidRPr="00BE500F">
        <w:rPr>
          <w:rtl/>
        </w:rPr>
        <w:t xml:space="preserve"> 1838, עמ' 550</w:t>
      </w:r>
      <w:r>
        <w:rPr>
          <w:rFonts w:hint="cs"/>
          <w:rtl/>
        </w:rPr>
        <w:t>.</w:t>
      </w:r>
    </w:p>
  </w:footnote>
  <w:footnote w:id="82">
    <w:p w:rsidR="00F74793" w:rsidP="001F2586">
      <w:pPr>
        <w:pStyle w:val="FootnoteText"/>
        <w:rPr>
          <w:rtl/>
        </w:rPr>
      </w:pPr>
      <w:r>
        <w:rPr>
          <w:rStyle w:val="FootnoteReference1"/>
        </w:rPr>
        <w:footnoteRef/>
      </w:r>
      <w:r>
        <w:rPr>
          <w:rtl/>
        </w:rPr>
        <w:t xml:space="preserve"> </w:t>
      </w:r>
      <w:r>
        <w:rPr>
          <w:rtl/>
        </w:rPr>
        <w:tab/>
      </w:r>
      <w:r>
        <w:rPr>
          <w:rFonts w:hint="cs"/>
          <w:rtl/>
        </w:rPr>
        <w:t>המדינות הם בין היתר ארה"ב, אוסטריה, בלגיה, צ'כיה, פולין, הולנד, יוון.</w:t>
      </w:r>
    </w:p>
  </w:footnote>
  <w:footnote w:id="83">
    <w:p w:rsidR="00F74793" w:rsidP="001F2586">
      <w:pPr>
        <w:pStyle w:val="FootnoteText"/>
        <w:rPr>
          <w:rtl/>
        </w:rPr>
      </w:pPr>
      <w:r>
        <w:rPr>
          <w:rStyle w:val="FootnoteReference1"/>
        </w:rPr>
        <w:footnoteRef/>
      </w:r>
      <w:r>
        <w:rPr>
          <w:rtl/>
        </w:rPr>
        <w:t xml:space="preserve"> </w:t>
      </w:r>
      <w:r>
        <w:rPr>
          <w:rtl/>
        </w:rPr>
        <w:tab/>
      </w:r>
      <w:r>
        <w:rPr>
          <w:rFonts w:hint="cs"/>
          <w:rtl/>
        </w:rPr>
        <w:t>ראו בחלק העוסק במגבלת שיעור החזר מהכנסה בהמשך פרק זה. יצוין כי החל ב-1.7.26 ישתנה חישוב מגבלת שיעור החזר מהכנסה לפי כלל ההלוואות על הנכס המובטחות במשכנתא.</w:t>
      </w:r>
    </w:p>
  </w:footnote>
  <w:footnote w:id="84">
    <w:p w:rsidR="00F74793" w:rsidP="0053373A">
      <w:pPr>
        <w:pStyle w:val="FootnoteText"/>
        <w:rPr>
          <w:rtl/>
        </w:rPr>
      </w:pPr>
      <w:r>
        <w:rPr>
          <w:rStyle w:val="FootnoteReference1"/>
        </w:rPr>
        <w:footnoteRef/>
      </w:r>
      <w:r>
        <w:rPr>
          <w:rtl/>
        </w:rPr>
        <w:t xml:space="preserve"> </w:t>
      </w:r>
      <w:r>
        <w:rPr>
          <w:rtl/>
        </w:rPr>
        <w:tab/>
      </w:r>
      <w:r>
        <w:rPr>
          <w:rFonts w:hint="cs"/>
          <w:rtl/>
        </w:rPr>
        <w:t>לפי נתוני הפיקוח על הבנקים לחודש יוני 2024 משקל הסיכון הממוצע בגין אשראי לדיור במערכת הבנקאית הוא כ-54% לעומת ממוצע במדיניות שנדגמו העומד על כ-37%. בין המדינות שנדגמו הן: אירלנד, הונגריה, ליטא, בלגיה הולנד, ספרד, פורטוגל, איטליה, גרמניה ועוד. מקור: הפיקוח על הבנקים, "</w:t>
      </w:r>
      <w:r w:rsidRPr="0012171C">
        <w:rPr>
          <w:rFonts w:hint="cs"/>
          <w:rtl/>
        </w:rPr>
        <w:t>מדיניות מקרו-</w:t>
      </w:r>
      <w:r w:rsidRPr="0012171C">
        <w:rPr>
          <w:rFonts w:hint="cs"/>
          <w:rtl/>
        </w:rPr>
        <w:t>יציבותית</w:t>
      </w:r>
      <w:r w:rsidRPr="0012171C">
        <w:rPr>
          <w:rFonts w:hint="cs"/>
          <w:rtl/>
        </w:rPr>
        <w:t xml:space="preserve"> בשוק המשכנתאות</w:t>
      </w:r>
      <w:r>
        <w:rPr>
          <w:rFonts w:hint="cs"/>
          <w:rtl/>
        </w:rPr>
        <w:t>"(מאי 2025), עמ' 16.</w:t>
      </w:r>
    </w:p>
  </w:footnote>
  <w:footnote w:id="85">
    <w:p w:rsidR="00F74793" w:rsidP="0053373A">
      <w:pPr>
        <w:pStyle w:val="FootnoteText"/>
        <w:rPr>
          <w:rtl/>
        </w:rPr>
      </w:pPr>
      <w:r>
        <w:rPr>
          <w:rStyle w:val="FootnoteReference1"/>
        </w:rPr>
        <w:footnoteRef/>
      </w:r>
      <w:r>
        <w:rPr>
          <w:rtl/>
        </w:rPr>
        <w:t xml:space="preserve"> </w:t>
      </w:r>
      <w:r>
        <w:rPr>
          <w:rtl/>
        </w:rPr>
        <w:tab/>
      </w:r>
      <w:r>
        <w:rPr>
          <w:rFonts w:hint="cs"/>
          <w:rtl/>
        </w:rPr>
        <w:t xml:space="preserve">מדינות בהן חלה מגבלה זו הן בין היתר אוסטריה, איסלנד, אסטוניה, הולנד, לטביה, מלטה, סלובקיה , פורטוגל. מקור: בנק ישראל, </w:t>
      </w:r>
      <w:r w:rsidRPr="0012171C">
        <w:rPr>
          <w:rFonts w:hint="cs"/>
          <w:rtl/>
        </w:rPr>
        <w:t>חלופת חישוב יחס החזר בעת מתן אשראי נוסף לדיור</w:t>
      </w:r>
      <w:r>
        <w:rPr>
          <w:rFonts w:hint="cs"/>
          <w:rtl/>
        </w:rPr>
        <w:t xml:space="preserve"> (אפריל 2025), עמ' 22 - 23.</w:t>
      </w:r>
    </w:p>
    <w:p w:rsidR="00F74793" w:rsidP="0053373A">
      <w:pPr>
        <w:pStyle w:val="FootnoteText"/>
        <w:rPr>
          <w:rtl/>
        </w:rPr>
      </w:pPr>
    </w:p>
  </w:footnote>
  <w:footnote w:id="86">
    <w:p w:rsidR="00F74793" w:rsidP="00B748E3">
      <w:pPr>
        <w:pStyle w:val="FootnoteText"/>
      </w:pPr>
      <w:r>
        <w:rPr>
          <w:rStyle w:val="FootnoteReference1"/>
        </w:rPr>
        <w:footnoteRef/>
      </w:r>
      <w:r>
        <w:rPr>
          <w:rtl/>
        </w:rPr>
        <w:t xml:space="preserve"> </w:t>
      </w:r>
      <w:r>
        <w:rPr>
          <w:rtl/>
        </w:rPr>
        <w:tab/>
      </w:r>
      <w:r>
        <w:rPr>
          <w:rFonts w:hint="cs"/>
          <w:rtl/>
        </w:rPr>
        <w:t xml:space="preserve">בנק ישראל, </w:t>
      </w:r>
      <w:r w:rsidRPr="0012171C">
        <w:rPr>
          <w:rFonts w:hint="cs"/>
          <w:rtl/>
        </w:rPr>
        <w:t>ישראל והמשבר העולמי 2007 - 2009 (ספטמבר 2011),</w:t>
      </w:r>
      <w:r>
        <w:rPr>
          <w:rFonts w:hint="cs"/>
          <w:rtl/>
        </w:rPr>
        <w:t xml:space="preserve"> עמ' 119.</w:t>
      </w:r>
    </w:p>
  </w:footnote>
  <w:footnote w:id="87">
    <w:p w:rsidR="00F74793" w:rsidP="00B748E3">
      <w:pPr>
        <w:pStyle w:val="FootnoteText"/>
      </w:pPr>
      <w:r>
        <w:rPr>
          <w:rStyle w:val="FootnoteReference1"/>
        </w:rPr>
        <w:footnoteRef/>
      </w:r>
      <w:r>
        <w:rPr>
          <w:rtl/>
        </w:rPr>
        <w:t xml:space="preserve"> </w:t>
      </w:r>
      <w:r>
        <w:rPr>
          <w:rtl/>
        </w:rPr>
        <w:tab/>
      </w:r>
      <w:r>
        <w:rPr>
          <w:rFonts w:hint="cs"/>
          <w:rtl/>
        </w:rPr>
        <w:t xml:space="preserve">מקורות: מרכז המחקר והמידע של הכנסת, </w:t>
      </w:r>
      <w:r w:rsidRPr="0012171C">
        <w:rPr>
          <w:rFonts w:hint="eastAsia"/>
          <w:b/>
          <w:bCs/>
          <w:rtl/>
        </w:rPr>
        <w:t>התמודדות</w:t>
      </w:r>
      <w:r w:rsidRPr="0012171C">
        <w:rPr>
          <w:b/>
          <w:bCs/>
          <w:rtl/>
        </w:rPr>
        <w:t xml:space="preserve"> </w:t>
      </w:r>
      <w:r w:rsidRPr="0012171C">
        <w:rPr>
          <w:rFonts w:hint="eastAsia"/>
          <w:b/>
          <w:bCs/>
          <w:rtl/>
        </w:rPr>
        <w:t>ישראל</w:t>
      </w:r>
      <w:r w:rsidRPr="0012171C">
        <w:rPr>
          <w:b/>
          <w:bCs/>
          <w:rtl/>
        </w:rPr>
        <w:t xml:space="preserve"> </w:t>
      </w:r>
      <w:r w:rsidRPr="0012171C">
        <w:rPr>
          <w:rFonts w:hint="eastAsia"/>
          <w:b/>
          <w:bCs/>
          <w:rtl/>
        </w:rPr>
        <w:t>עם</w:t>
      </w:r>
      <w:r w:rsidRPr="0012171C">
        <w:rPr>
          <w:b/>
          <w:bCs/>
          <w:rtl/>
        </w:rPr>
        <w:t xml:space="preserve"> </w:t>
      </w:r>
      <w:r w:rsidRPr="0012171C">
        <w:rPr>
          <w:rFonts w:hint="eastAsia"/>
          <w:b/>
          <w:bCs/>
          <w:rtl/>
        </w:rPr>
        <w:t>המשבר</w:t>
      </w:r>
      <w:r w:rsidRPr="0012171C">
        <w:rPr>
          <w:b/>
          <w:bCs/>
          <w:rtl/>
        </w:rPr>
        <w:t xml:space="preserve"> </w:t>
      </w:r>
      <w:r w:rsidRPr="0012171C">
        <w:rPr>
          <w:rFonts w:hint="eastAsia"/>
          <w:b/>
          <w:bCs/>
          <w:rtl/>
        </w:rPr>
        <w:t>הכלכלי</w:t>
      </w:r>
      <w:r w:rsidRPr="0012171C">
        <w:rPr>
          <w:b/>
          <w:bCs/>
          <w:rtl/>
        </w:rPr>
        <w:t xml:space="preserve"> </w:t>
      </w:r>
      <w:r w:rsidRPr="0012171C">
        <w:rPr>
          <w:rFonts w:hint="eastAsia"/>
          <w:b/>
          <w:bCs/>
          <w:rtl/>
        </w:rPr>
        <w:t>ואתגרים</w:t>
      </w:r>
      <w:r w:rsidRPr="0012171C">
        <w:rPr>
          <w:b/>
          <w:bCs/>
          <w:rtl/>
        </w:rPr>
        <w:t xml:space="preserve"> </w:t>
      </w:r>
      <w:r w:rsidRPr="0012171C">
        <w:rPr>
          <w:rFonts w:hint="eastAsia"/>
          <w:b/>
          <w:bCs/>
          <w:rtl/>
        </w:rPr>
        <w:t>לעתיד</w:t>
      </w:r>
      <w:r>
        <w:rPr>
          <w:rFonts w:hint="cs"/>
          <w:rtl/>
        </w:rPr>
        <w:t xml:space="preserve"> (מאי 2010), עמ' 2 - 3; מרכז המחקר והמידע של הכנסת, </w:t>
      </w:r>
      <w:r w:rsidRPr="0012171C">
        <w:rPr>
          <w:rFonts w:hint="eastAsia"/>
          <w:b/>
          <w:bCs/>
          <w:rtl/>
        </w:rPr>
        <w:t>משכנתאות</w:t>
      </w:r>
      <w:r w:rsidRPr="0012171C">
        <w:rPr>
          <w:b/>
          <w:bCs/>
          <w:rtl/>
        </w:rPr>
        <w:t xml:space="preserve"> </w:t>
      </w:r>
      <w:r w:rsidRPr="0012171C">
        <w:rPr>
          <w:rFonts w:hint="eastAsia"/>
          <w:b/>
          <w:bCs/>
          <w:rtl/>
        </w:rPr>
        <w:t>בישראל</w:t>
      </w:r>
      <w:r w:rsidRPr="0012171C">
        <w:rPr>
          <w:b/>
          <w:bCs/>
          <w:rtl/>
        </w:rPr>
        <w:t xml:space="preserve"> </w:t>
      </w:r>
      <w:r w:rsidRPr="0012171C">
        <w:rPr>
          <w:rFonts w:hint="eastAsia"/>
          <w:b/>
          <w:bCs/>
          <w:rtl/>
        </w:rPr>
        <w:t>ובמדינות</w:t>
      </w:r>
      <w:r w:rsidRPr="0012171C">
        <w:rPr>
          <w:b/>
          <w:bCs/>
          <w:rtl/>
        </w:rPr>
        <w:t xml:space="preserve"> </w:t>
      </w:r>
      <w:r w:rsidRPr="0012171C">
        <w:rPr>
          <w:rFonts w:hint="eastAsia"/>
          <w:b/>
          <w:bCs/>
          <w:rtl/>
        </w:rPr>
        <w:t>נבחרות</w:t>
      </w:r>
      <w:r w:rsidRPr="0012171C">
        <w:rPr>
          <w:b/>
          <w:bCs/>
          <w:rtl/>
        </w:rPr>
        <w:t xml:space="preserve">: </w:t>
      </w:r>
      <w:r w:rsidRPr="0012171C">
        <w:rPr>
          <w:rFonts w:hint="eastAsia"/>
          <w:b/>
          <w:bCs/>
          <w:rtl/>
        </w:rPr>
        <w:t>מאפיינים</w:t>
      </w:r>
      <w:r w:rsidRPr="0012171C">
        <w:rPr>
          <w:b/>
          <w:bCs/>
          <w:rtl/>
        </w:rPr>
        <w:t xml:space="preserve">, </w:t>
      </w:r>
      <w:r w:rsidRPr="0012171C">
        <w:rPr>
          <w:rFonts w:hint="eastAsia"/>
          <w:b/>
          <w:bCs/>
          <w:rtl/>
        </w:rPr>
        <w:t>סוגים</w:t>
      </w:r>
      <w:r w:rsidRPr="0012171C">
        <w:rPr>
          <w:b/>
          <w:bCs/>
          <w:rtl/>
        </w:rPr>
        <w:t xml:space="preserve"> </w:t>
      </w:r>
      <w:r w:rsidRPr="0012171C">
        <w:rPr>
          <w:rFonts w:hint="eastAsia"/>
          <w:b/>
          <w:bCs/>
          <w:rtl/>
        </w:rPr>
        <w:t>ומסלולים</w:t>
      </w:r>
      <w:r>
        <w:rPr>
          <w:rFonts w:hint="cs"/>
          <w:rtl/>
        </w:rPr>
        <w:t xml:space="preserve"> (מרץ 2008), עמ' 2 - 3.</w:t>
      </w:r>
    </w:p>
  </w:footnote>
  <w:footnote w:id="88">
    <w:p w:rsidR="00F74793" w:rsidP="00B748E3">
      <w:pPr>
        <w:pStyle w:val="FootnoteText"/>
      </w:pPr>
      <w:r>
        <w:rPr>
          <w:rStyle w:val="FootnoteReference1"/>
        </w:rPr>
        <w:footnoteRef/>
      </w:r>
      <w:r>
        <w:rPr>
          <w:rtl/>
        </w:rPr>
        <w:t xml:space="preserve"> </w:t>
      </w:r>
      <w:r>
        <w:rPr>
          <w:rtl/>
        </w:rPr>
        <w:tab/>
      </w:r>
      <w:r>
        <w:rPr>
          <w:rFonts w:hint="cs"/>
          <w:rtl/>
        </w:rPr>
        <w:t>הביטוח היה כנגד תשלום פרמיה חודשית, נוסף על ביטוח חיים וביטוח דירה הנדרש בכל משכנתא.</w:t>
      </w:r>
    </w:p>
  </w:footnote>
  <w:footnote w:id="89">
    <w:p w:rsidR="00F74793" w:rsidP="00B748E3">
      <w:pPr>
        <w:pStyle w:val="FootnoteText"/>
        <w:rPr>
          <w:rtl/>
        </w:rPr>
      </w:pPr>
      <w:r>
        <w:rPr>
          <w:rStyle w:val="FootnoteReference1"/>
        </w:rPr>
        <w:footnoteRef/>
      </w:r>
      <w:r>
        <w:rPr>
          <w:rtl/>
        </w:rPr>
        <w:t xml:space="preserve"> </w:t>
      </w:r>
      <w:r>
        <w:tab/>
      </w:r>
      <w:r>
        <w:rPr>
          <w:rFonts w:hint="cs"/>
          <w:rtl/>
        </w:rPr>
        <w:t xml:space="preserve">מרכז המחקר והמידע של הכנסת, </w:t>
      </w:r>
      <w:r w:rsidRPr="0012171C">
        <w:rPr>
          <w:rFonts w:hint="cs"/>
          <w:rtl/>
        </w:rPr>
        <w:t>משכנתאות בישראל ובמדינות נבחרות: מאפיינים, סוגים ומסלולים</w:t>
      </w:r>
      <w:r>
        <w:rPr>
          <w:rFonts w:hint="cs"/>
          <w:rtl/>
        </w:rPr>
        <w:t xml:space="preserve"> (מרץ 2008), עמ' 2 - 3.</w:t>
      </w:r>
    </w:p>
  </w:footnote>
  <w:footnote w:id="90">
    <w:p w:rsidR="00F74793" w:rsidP="001F2586">
      <w:pPr>
        <w:pStyle w:val="FootnoteText"/>
      </w:pPr>
      <w:r>
        <w:rPr>
          <w:rStyle w:val="FootnoteReference1"/>
        </w:rPr>
        <w:footnoteRef/>
      </w:r>
      <w:r>
        <w:rPr>
          <w:rtl/>
        </w:rPr>
        <w:t xml:space="preserve"> </w:t>
      </w:r>
      <w:r>
        <w:rPr>
          <w:rtl/>
        </w:rPr>
        <w:tab/>
      </w:r>
      <w:r w:rsidRPr="00B4661A">
        <w:rPr>
          <w:rFonts w:hint="cs"/>
          <w:rtl/>
        </w:rPr>
        <w:t>הלוואות אלו נקראות "הלוואות בביטחון דירת מגורים</w:t>
      </w:r>
      <w:r w:rsidRPr="00D21855">
        <w:rPr>
          <w:rFonts w:hint="cs"/>
          <w:rtl/>
        </w:rPr>
        <w:t xml:space="preserve">" או משכנתאות </w:t>
      </w:r>
      <w:r>
        <w:rPr>
          <w:rFonts w:hint="cs"/>
          <w:rtl/>
        </w:rPr>
        <w:t>ל</w:t>
      </w:r>
      <w:r w:rsidRPr="00D21855">
        <w:rPr>
          <w:rFonts w:hint="cs"/>
          <w:rtl/>
        </w:rPr>
        <w:t>כל מטרה</w:t>
      </w:r>
      <w:r>
        <w:rPr>
          <w:rFonts w:hint="cs"/>
          <w:rtl/>
        </w:rPr>
        <w:t>,</w:t>
      </w:r>
      <w:r w:rsidRPr="00D21855">
        <w:rPr>
          <w:rFonts w:hint="cs"/>
          <w:rtl/>
        </w:rPr>
        <w:t xml:space="preserve"> הניתנות תמורת משכון הדירה ואינן משמשות למטרת מגורים (כמו רכישה, בניית דירה או שיפוצים), אלא יכולות לשמש למטרות שונות </w:t>
      </w:r>
      <w:r w:rsidRPr="00D21855">
        <w:rPr>
          <w:rtl/>
        </w:rPr>
        <w:t>כמו</w:t>
      </w:r>
      <w:r w:rsidRPr="00D21855">
        <w:rPr>
          <w:rFonts w:hint="cs"/>
          <w:rtl/>
        </w:rPr>
        <w:t xml:space="preserve"> מטרות צרכניות</w:t>
      </w:r>
      <w:r w:rsidRPr="00D21855">
        <w:rPr>
          <w:rtl/>
        </w:rPr>
        <w:t xml:space="preserve"> </w:t>
      </w:r>
      <w:r w:rsidRPr="00D21855">
        <w:rPr>
          <w:rFonts w:hint="cs"/>
          <w:rtl/>
        </w:rPr>
        <w:t xml:space="preserve">או </w:t>
      </w:r>
      <w:r w:rsidRPr="00D21855">
        <w:rPr>
          <w:rtl/>
        </w:rPr>
        <w:t>כיסוי חובות</w:t>
      </w:r>
      <w:r w:rsidRPr="00D21855">
        <w:rPr>
          <w:rFonts w:hint="cs"/>
          <w:rtl/>
        </w:rPr>
        <w:t xml:space="preserve">. יצוין כי </w:t>
      </w:r>
      <w:r w:rsidRPr="00D21855">
        <w:rPr>
          <w:rtl/>
        </w:rPr>
        <w:t xml:space="preserve">הן משמשות כמעין </w:t>
      </w:r>
      <w:r w:rsidRPr="00B4661A">
        <w:rPr>
          <w:rtl/>
        </w:rPr>
        <w:t>אשראי צרכני בשעבוד נכס</w:t>
      </w:r>
      <w:r w:rsidRPr="00D21855">
        <w:rPr>
          <w:rtl/>
        </w:rPr>
        <w:t>, ועל כן הן זולות יותר מהלוואות צרכניות.</w:t>
      </w:r>
    </w:p>
  </w:footnote>
  <w:footnote w:id="91">
    <w:p w:rsidR="00F74793" w:rsidP="001F2586">
      <w:pPr>
        <w:pStyle w:val="FootnoteText"/>
        <w:rPr>
          <w:rtl/>
        </w:rPr>
      </w:pPr>
      <w:r>
        <w:rPr>
          <w:rStyle w:val="FootnoteReference1"/>
        </w:rPr>
        <w:footnoteRef/>
      </w:r>
      <w:r>
        <w:rPr>
          <w:rtl/>
        </w:rPr>
        <w:t xml:space="preserve"> </w:t>
      </w:r>
      <w:r>
        <w:rPr>
          <w:rtl/>
        </w:rPr>
        <w:tab/>
      </w:r>
      <w:r>
        <w:rPr>
          <w:rFonts w:hint="cs"/>
          <w:rtl/>
        </w:rPr>
        <w:t xml:space="preserve">מרכז המחקר והמידע של הכנסת, </w:t>
      </w:r>
      <w:r w:rsidRPr="00B4661A">
        <w:rPr>
          <w:rFonts w:hint="eastAsia"/>
          <w:b/>
          <w:bCs/>
          <w:rtl/>
        </w:rPr>
        <w:t>תיאור</w:t>
      </w:r>
      <w:r w:rsidRPr="00B4661A">
        <w:rPr>
          <w:b/>
          <w:bCs/>
          <w:rtl/>
        </w:rPr>
        <w:t xml:space="preserve"> </w:t>
      </w:r>
      <w:r w:rsidRPr="00B4661A">
        <w:rPr>
          <w:rFonts w:hint="eastAsia"/>
          <w:b/>
          <w:bCs/>
          <w:rtl/>
        </w:rPr>
        <w:t>וניתוח</w:t>
      </w:r>
      <w:r w:rsidRPr="00B4661A">
        <w:rPr>
          <w:b/>
          <w:bCs/>
          <w:rtl/>
        </w:rPr>
        <w:t xml:space="preserve"> </w:t>
      </w:r>
      <w:r w:rsidRPr="00B4661A">
        <w:rPr>
          <w:rFonts w:hint="eastAsia"/>
          <w:b/>
          <w:bCs/>
          <w:rtl/>
        </w:rPr>
        <w:t>שוק</w:t>
      </w:r>
      <w:r w:rsidRPr="00B4661A">
        <w:rPr>
          <w:b/>
          <w:bCs/>
          <w:rtl/>
        </w:rPr>
        <w:t xml:space="preserve"> </w:t>
      </w:r>
      <w:r w:rsidRPr="00B4661A">
        <w:rPr>
          <w:rFonts w:hint="eastAsia"/>
          <w:b/>
          <w:bCs/>
          <w:rtl/>
        </w:rPr>
        <w:t>המשכנתאות</w:t>
      </w:r>
      <w:r w:rsidRPr="00B4661A">
        <w:rPr>
          <w:b/>
          <w:bCs/>
          <w:rtl/>
        </w:rPr>
        <w:t xml:space="preserve"> </w:t>
      </w:r>
      <w:r w:rsidRPr="00B4661A">
        <w:rPr>
          <w:rFonts w:hint="eastAsia"/>
          <w:b/>
          <w:bCs/>
          <w:rtl/>
        </w:rPr>
        <w:t>בישראל</w:t>
      </w:r>
      <w:r>
        <w:rPr>
          <w:rFonts w:hint="cs"/>
          <w:rtl/>
        </w:rPr>
        <w:t xml:space="preserve"> (יולי 2021), עמ' 12.</w:t>
      </w:r>
    </w:p>
  </w:footnote>
  <w:footnote w:id="92">
    <w:p w:rsidR="00F74793" w:rsidP="001F2586">
      <w:pPr>
        <w:pStyle w:val="FootnoteText"/>
        <w:rPr>
          <w:rtl/>
        </w:rPr>
      </w:pPr>
      <w:r>
        <w:rPr>
          <w:rStyle w:val="FootnoteReference1"/>
        </w:rPr>
        <w:footnoteRef/>
      </w:r>
      <w:r>
        <w:rPr>
          <w:rtl/>
        </w:rPr>
        <w:t xml:space="preserve"> </w:t>
      </w:r>
      <w:r>
        <w:rPr>
          <w:rtl/>
        </w:rPr>
        <w:tab/>
      </w:r>
      <w:r>
        <w:rPr>
          <w:rFonts w:hint="cs"/>
          <w:rtl/>
        </w:rPr>
        <w:t xml:space="preserve">הפיקוח על הבנקים, </w:t>
      </w:r>
      <w:r w:rsidRPr="00B4661A">
        <w:rPr>
          <w:rFonts w:hint="cs"/>
          <w:rtl/>
        </w:rPr>
        <w:t>חוזר מס' ח - 06 - 2840 - מגבלות למתן הלוואות לדיור (8.2.26)</w:t>
      </w:r>
      <w:r>
        <w:rPr>
          <w:rFonts w:hint="cs"/>
          <w:rtl/>
        </w:rPr>
        <w:t xml:space="preserve"> עמ' 1 - 3, ו-6 - 8. </w:t>
      </w:r>
    </w:p>
  </w:footnote>
  <w:footnote w:id="93">
    <w:p w:rsidR="00F74793" w:rsidP="001F2586">
      <w:pPr>
        <w:pStyle w:val="FootnoteText"/>
      </w:pPr>
      <w:r>
        <w:rPr>
          <w:rStyle w:val="FootnoteReference1"/>
        </w:rPr>
        <w:footnoteRef/>
      </w:r>
      <w:r>
        <w:rPr>
          <w:rtl/>
        </w:rPr>
        <w:t xml:space="preserve"> </w:t>
      </w:r>
      <w:r>
        <w:rPr>
          <w:rtl/>
        </w:rPr>
        <w:tab/>
      </w:r>
      <w:r w:rsidRPr="00B4661A">
        <w:rPr>
          <w:rFonts w:hint="cs"/>
          <w:rtl/>
        </w:rPr>
        <w:t>בנק ישראל, חטיבת המחקר, המגבלה על שיעור המימון וסיכון הלווים, דצמבר 2018, עמ</w:t>
      </w:r>
      <w:r>
        <w:rPr>
          <w:rFonts w:hint="cs"/>
          <w:rtl/>
        </w:rPr>
        <w:t>'</w:t>
      </w:r>
      <w:r w:rsidRPr="00B4661A">
        <w:rPr>
          <w:rFonts w:hint="cs"/>
          <w:rtl/>
        </w:rPr>
        <w:t xml:space="preserve"> 2 ו-8</w:t>
      </w:r>
      <w:r>
        <w:rPr>
          <w:rFonts w:hint="cs"/>
          <w:rtl/>
        </w:rPr>
        <w:t xml:space="preserve">. </w:t>
      </w:r>
    </w:p>
  </w:footnote>
  <w:footnote w:id="94">
    <w:p w:rsidR="00F74793" w:rsidP="001F2586">
      <w:pPr>
        <w:pStyle w:val="FootnoteText"/>
      </w:pPr>
      <w:r>
        <w:rPr>
          <w:rStyle w:val="FootnoteReference1"/>
        </w:rPr>
        <w:footnoteRef/>
      </w:r>
      <w:r>
        <w:rPr>
          <w:rtl/>
        </w:rPr>
        <w:t xml:space="preserve"> </w:t>
      </w:r>
      <w:r>
        <w:rPr>
          <w:rtl/>
        </w:rPr>
        <w:tab/>
      </w:r>
      <w:r w:rsidRPr="009126A3">
        <w:rPr>
          <w:rFonts w:hint="cs"/>
          <w:rtl/>
        </w:rPr>
        <w:t>הפיקוח על הבנקים</w:t>
      </w:r>
      <w:r w:rsidRPr="009126A3">
        <w:rPr>
          <w:rtl/>
        </w:rPr>
        <w:t xml:space="preserve"> </w:t>
      </w:r>
      <w:r w:rsidRPr="00B4661A">
        <w:rPr>
          <w:rFonts w:hint="cs"/>
          <w:rtl/>
        </w:rPr>
        <w:t>בבנק ישראל, חוזר ח- 06 - 276, שאלות ותשובות - מגבלות למתן הלוואות לדיור (6.10.21</w:t>
      </w:r>
      <w:r>
        <w:rPr>
          <w:rFonts w:hint="cs"/>
          <w:rtl/>
        </w:rPr>
        <w:t>).</w:t>
      </w:r>
    </w:p>
  </w:footnote>
  <w:footnote w:id="95">
    <w:p w:rsidR="00F74793" w:rsidP="001F2586">
      <w:pPr>
        <w:pStyle w:val="FootnoteText"/>
      </w:pPr>
      <w:r>
        <w:rPr>
          <w:rStyle w:val="FootnoteReference1"/>
        </w:rPr>
        <w:footnoteRef/>
      </w:r>
      <w:r>
        <w:rPr>
          <w:rtl/>
        </w:rPr>
        <w:t xml:space="preserve"> </w:t>
      </w:r>
      <w:r>
        <w:rPr>
          <w:rtl/>
        </w:rPr>
        <w:tab/>
      </w:r>
      <w:r>
        <w:rPr>
          <w:rFonts w:hint="cs"/>
          <w:rtl/>
        </w:rPr>
        <w:t>תאגיד בנקאי רשאי להעמיד ללווה הלוואה נוספת לצורך השלמת מימון רכישת דירה חליפית ובתנאי שמתקיימים התנאים להלן: 1) ההלוואה היא הלוואת גישור בשעבוד הדירה הקיימת ובלבד שסך ההלוואות בשעבוד דירה זו לא יעלה על 50% משוויה; 2) סכום ההלוואה לא יעלה על הסכום הנדרש להשלמת מימון הדירה החליפית; 3) תקופת ההלוואה לא תעלה על התקופה המקסימאלית במהלכה נדרש הלווה למכור את דירתו הקיימת על פי הנחיות רשות המסים בחוק מיסוי מקרקעין.</w:t>
      </w:r>
    </w:p>
  </w:footnote>
  <w:footnote w:id="96">
    <w:p w:rsidR="00F74793" w:rsidP="001F2586">
      <w:pPr>
        <w:pStyle w:val="FootnoteText"/>
      </w:pPr>
      <w:r>
        <w:rPr>
          <w:rStyle w:val="FootnoteReference1"/>
        </w:rPr>
        <w:footnoteRef/>
      </w:r>
      <w:r>
        <w:rPr>
          <w:rtl/>
        </w:rPr>
        <w:t xml:space="preserve"> </w:t>
      </w:r>
      <w:r>
        <w:rPr>
          <w:rtl/>
        </w:rPr>
        <w:tab/>
      </w:r>
      <w:r w:rsidRPr="00096BA3">
        <w:rPr>
          <w:rtl/>
        </w:rPr>
        <w:t>הלוואות לצד שלישי מוגדרות "הלוואה לדיור לכל מטרה" הן לחישוב נכסי הסיכון והן לשיעור המימון המרבי שנקבעו בהוראה 329. לכן שיעור המימון המותר בהלוואות לצד שלישי מוגבל ל-50% מהנכס המשועבד. כאשר שווי הנכס המשועבד אינו רלוונטי לחישוב שיעור המימון של עסקת הרכישה.</w:t>
      </w:r>
    </w:p>
  </w:footnote>
  <w:footnote w:id="97">
    <w:p w:rsidR="00F74793" w:rsidP="001F2586">
      <w:pPr>
        <w:pStyle w:val="FootnoteText"/>
        <w:ind w:left="708" w:hanging="708"/>
        <w:rPr>
          <w:rtl/>
        </w:rPr>
      </w:pPr>
      <w:r>
        <w:rPr>
          <w:rStyle w:val="FootnoteReference1"/>
        </w:rPr>
        <w:footnoteRef/>
      </w:r>
      <w:r>
        <w:rPr>
          <w:rtl/>
        </w:rPr>
        <w:t xml:space="preserve"> </w:t>
      </w:r>
      <w:r>
        <w:rPr>
          <w:rtl/>
        </w:rPr>
        <w:tab/>
      </w:r>
      <w:r>
        <w:rPr>
          <w:rFonts w:hint="cs"/>
          <w:rtl/>
        </w:rPr>
        <w:t xml:space="preserve">הוראת דיווח מספר 878 - </w:t>
      </w:r>
      <w:r w:rsidRPr="006632DF">
        <w:rPr>
          <w:rtl/>
        </w:rPr>
        <w:t>דוח רבעוני על נתוני הלוואות לדיור</w:t>
      </w:r>
      <w:r>
        <w:rPr>
          <w:rFonts w:hint="cs"/>
          <w:rtl/>
        </w:rPr>
        <w:t>.</w:t>
      </w:r>
    </w:p>
  </w:footnote>
  <w:footnote w:id="98">
    <w:p w:rsidR="00F74793" w:rsidP="001F2586">
      <w:pPr>
        <w:pStyle w:val="FootnoteText"/>
        <w:rPr>
          <w:rtl/>
        </w:rPr>
      </w:pPr>
      <w:r>
        <w:rPr>
          <w:rStyle w:val="FootnoteReference1"/>
        </w:rPr>
        <w:footnoteRef/>
      </w:r>
      <w:r>
        <w:rPr>
          <w:rtl/>
        </w:rPr>
        <w:t xml:space="preserve"> </w:t>
      </w:r>
      <w:r>
        <w:rPr>
          <w:rtl/>
        </w:rPr>
        <w:tab/>
      </w:r>
      <w:r>
        <w:rPr>
          <w:rFonts w:hint="cs"/>
          <w:rtl/>
        </w:rPr>
        <w:t>הבדיקה כוללת בין היתר בחינה של מצבם הפיננסי של הרוכשים, במיוחד את הכנסות הרוכשים ואת יכולת החזר ההלוואה לדיור, בהתאם לתלושי השכר ולדפי בנק ואת ההתחייבויות הקיימות לרוכשים. בנוסף לכך נבחן הנכס שבגין רכישתו נדרשת ההלוואה, במיוחד שווי הנכס ומצבו המשפטי.</w:t>
      </w:r>
    </w:p>
  </w:footnote>
  <w:footnote w:id="99">
    <w:p w:rsidR="00F74793" w:rsidP="001F2586">
      <w:pPr>
        <w:pStyle w:val="FootnoteText"/>
      </w:pPr>
      <w:r>
        <w:rPr>
          <w:rStyle w:val="FootnoteReference1"/>
        </w:rPr>
        <w:footnoteRef/>
      </w:r>
      <w:r>
        <w:rPr>
          <w:rtl/>
        </w:rPr>
        <w:t xml:space="preserve"> </w:t>
      </w:r>
      <w:r>
        <w:rPr>
          <w:rtl/>
        </w:rPr>
        <w:tab/>
      </w:r>
      <w:r w:rsidRPr="00B4661A">
        <w:rPr>
          <w:rFonts w:hint="cs"/>
          <w:rtl/>
        </w:rPr>
        <w:t>בנק ישראל, הפיקוח על הבנקים - אגף מדיניות והסדרה, הוראת הדיווח לפיקוח דוח חודשי על הלוואות לדיור - הוראה 876</w:t>
      </w:r>
      <w:r>
        <w:rPr>
          <w:rFonts w:hint="cs"/>
          <w:rtl/>
        </w:rPr>
        <w:t>.</w:t>
      </w:r>
    </w:p>
  </w:footnote>
  <w:footnote w:id="100">
    <w:p w:rsidR="00F74793" w:rsidP="001F2586">
      <w:pPr>
        <w:pStyle w:val="FootnoteText"/>
        <w:rPr>
          <w:rtl/>
        </w:rPr>
      </w:pPr>
      <w:r>
        <w:rPr>
          <w:rStyle w:val="FootnoteReference1"/>
        </w:rPr>
        <w:footnoteRef/>
      </w:r>
      <w:r>
        <w:rPr>
          <w:rtl/>
        </w:rPr>
        <w:t xml:space="preserve"> </w:t>
      </w:r>
      <w:r>
        <w:rPr>
          <w:rtl/>
        </w:rPr>
        <w:tab/>
      </w:r>
      <w:r w:rsidRPr="00B4661A">
        <w:rPr>
          <w:rFonts w:hint="cs"/>
          <w:rtl/>
        </w:rPr>
        <w:t>בנק ישראל, הפיקוח על הבנקים - אגף מדיניות והסדרה, מגבלות למתן הלוואות לדיור, חוזר מס' ח-06- 2499, 1.5.16</w:t>
      </w:r>
      <w:r>
        <w:rPr>
          <w:rFonts w:hint="cs"/>
          <w:rtl/>
        </w:rPr>
        <w:t>.</w:t>
      </w:r>
    </w:p>
  </w:footnote>
  <w:footnote w:id="101">
    <w:p w:rsidR="00F74793" w:rsidP="001F2586">
      <w:pPr>
        <w:pStyle w:val="FootnoteText"/>
        <w:rPr>
          <w:rtl/>
        </w:rPr>
      </w:pPr>
      <w:r>
        <w:rPr>
          <w:rStyle w:val="FootnoteReference1"/>
        </w:rPr>
        <w:footnoteRef/>
      </w:r>
      <w:r>
        <w:rPr>
          <w:rtl/>
        </w:rPr>
        <w:t xml:space="preserve"> </w:t>
      </w:r>
      <w:r>
        <w:rPr>
          <w:rtl/>
        </w:rPr>
        <w:tab/>
      </w:r>
      <w:r>
        <w:rPr>
          <w:rFonts w:hint="cs"/>
          <w:rtl/>
        </w:rPr>
        <w:t xml:space="preserve">לפי נתוני </w:t>
      </w:r>
      <w:r>
        <w:rPr>
          <w:rFonts w:hint="cs"/>
          <w:rtl/>
        </w:rPr>
        <w:t>הלמ"ס</w:t>
      </w:r>
      <w:r>
        <w:rPr>
          <w:rFonts w:hint="cs"/>
          <w:rtl/>
        </w:rPr>
        <w:t xml:space="preserve"> במאי 2016 מדד מחירי הדירות (המסומן בקוד פריט 40010) היה 391.1 נקודות ובאוגוסט 2025 מדד מחירי הדירות היה 595.4 נקודות - גידול של 52.2%.</w:t>
      </w:r>
    </w:p>
  </w:footnote>
  <w:footnote w:id="102">
    <w:p w:rsidR="00F74793" w:rsidP="001F2586">
      <w:pPr>
        <w:pStyle w:val="FootnoteText"/>
      </w:pPr>
      <w:r>
        <w:rPr>
          <w:rStyle w:val="FootnoteReference1"/>
        </w:rPr>
        <w:footnoteRef/>
      </w:r>
      <w:r>
        <w:rPr>
          <w:rtl/>
        </w:rPr>
        <w:t xml:space="preserve"> </w:t>
      </w:r>
      <w:r>
        <w:rPr>
          <w:rtl/>
        </w:rPr>
        <w:tab/>
      </w:r>
      <w:r w:rsidRPr="00B4661A">
        <w:rPr>
          <w:rFonts w:hint="cs"/>
          <w:rtl/>
        </w:rPr>
        <w:t>"חלופות חישוב יחס ההחזר בעת מתן אשראי נוסף לדיור"</w:t>
      </w:r>
      <w:r>
        <w:rPr>
          <w:rFonts w:hint="cs"/>
          <w:rtl/>
        </w:rPr>
        <w:t xml:space="preserve"> של אגף הערכה מוסדית, יחידת ניהול המידע והאגף הפיננסי בחטיבת המחקר של בנק ישראל, אפריל 2025.</w:t>
      </w:r>
    </w:p>
  </w:footnote>
  <w:footnote w:id="103">
    <w:p w:rsidR="00F74793" w:rsidP="001F2586">
      <w:pPr>
        <w:pStyle w:val="FootnoteText"/>
        <w:rPr>
          <w:rtl/>
        </w:rPr>
      </w:pPr>
      <w:r>
        <w:rPr>
          <w:rStyle w:val="FootnoteReference1"/>
        </w:rPr>
        <w:footnoteRef/>
      </w:r>
      <w:r>
        <w:rPr>
          <w:rtl/>
        </w:rPr>
        <w:t xml:space="preserve"> </w:t>
      </w:r>
      <w:r>
        <w:rPr>
          <w:rtl/>
        </w:rPr>
        <w:tab/>
      </w:r>
      <w:r>
        <w:rPr>
          <w:rFonts w:hint="cs"/>
          <w:rtl/>
        </w:rPr>
        <w:t>יצוין כי אשראי נוסף יכול להיות הלוואה לכל מטרה, הלוואה לשיפוצים או הלוואה לרכישת נכס נוסף או חליפי.</w:t>
      </w:r>
    </w:p>
  </w:footnote>
  <w:footnote w:id="104">
    <w:p w:rsidR="00F74793" w:rsidP="001F2586">
      <w:pPr>
        <w:pStyle w:val="FootnoteText"/>
      </w:pPr>
      <w:r>
        <w:rPr>
          <w:rStyle w:val="FootnoteReference1"/>
        </w:rPr>
        <w:footnoteRef/>
      </w:r>
      <w:r>
        <w:rPr>
          <w:rtl/>
        </w:rPr>
        <w:t xml:space="preserve"> </w:t>
      </w:r>
      <w:r>
        <w:rPr>
          <w:rtl/>
        </w:rPr>
        <w:tab/>
      </w:r>
      <w:r>
        <w:rPr>
          <w:rFonts w:hint="cs"/>
          <w:rtl/>
        </w:rPr>
        <w:t xml:space="preserve">בנק ישראל - אגף הערכה מוסדית, יחידת ניהול המידע והאגף הפיננסי בחטיבת המחקר בבנק ישראל, </w:t>
      </w:r>
      <w:r w:rsidRPr="00B4661A">
        <w:rPr>
          <w:rFonts w:hint="cs"/>
          <w:rtl/>
        </w:rPr>
        <w:t>"חלופות חישוב יחס ההחזר בעת מתן אשראי נוסף לדיור" (אפריל 2025)</w:t>
      </w:r>
      <w:r>
        <w:rPr>
          <w:rFonts w:hint="cs"/>
          <w:rtl/>
        </w:rPr>
        <w:t>.</w:t>
      </w:r>
    </w:p>
  </w:footnote>
  <w:footnote w:id="105">
    <w:p w:rsidR="00F74793" w:rsidP="001F2586">
      <w:pPr>
        <w:pStyle w:val="FootnoteText"/>
      </w:pPr>
      <w:r>
        <w:rPr>
          <w:rStyle w:val="FootnoteReference1"/>
        </w:rPr>
        <w:footnoteRef/>
      </w:r>
      <w:r>
        <w:rPr>
          <w:rtl/>
        </w:rPr>
        <w:t xml:space="preserve"> </w:t>
      </w:r>
      <w:r>
        <w:rPr>
          <w:rtl/>
        </w:rPr>
        <w:tab/>
      </w:r>
      <w:r>
        <w:rPr>
          <w:rFonts w:hint="cs"/>
          <w:rtl/>
        </w:rPr>
        <w:t xml:space="preserve">מדינות כמו </w:t>
      </w:r>
      <w:r>
        <w:rPr>
          <w:rtl/>
        </w:rPr>
        <w:t>אוסטריה, איסלנד, הולנד,</w:t>
      </w:r>
      <w:r>
        <w:rPr>
          <w:rFonts w:hint="cs"/>
          <w:rtl/>
        </w:rPr>
        <w:t xml:space="preserve"> </w:t>
      </w:r>
      <w:r>
        <w:rPr>
          <w:rtl/>
        </w:rPr>
        <w:t>יוון, לטביה, סינגפור,</w:t>
      </w:r>
      <w:r>
        <w:rPr>
          <w:rFonts w:hint="cs"/>
          <w:rtl/>
        </w:rPr>
        <w:t xml:space="preserve"> </w:t>
      </w:r>
      <w:r>
        <w:rPr>
          <w:rtl/>
        </w:rPr>
        <w:t>פורטוגל, פינלנד,</w:t>
      </w:r>
      <w:r>
        <w:rPr>
          <w:rFonts w:hint="cs"/>
          <w:rtl/>
        </w:rPr>
        <w:t xml:space="preserve"> </w:t>
      </w:r>
      <w:r>
        <w:rPr>
          <w:rtl/>
        </w:rPr>
        <w:t>צ'כיה, צרפת</w:t>
      </w:r>
      <w:r>
        <w:rPr>
          <w:rFonts w:hint="cs"/>
          <w:rtl/>
        </w:rPr>
        <w:t xml:space="preserve"> ו</w:t>
      </w:r>
      <w:r>
        <w:rPr>
          <w:rtl/>
        </w:rPr>
        <w:t>קפריסין</w:t>
      </w:r>
      <w:r>
        <w:rPr>
          <w:rFonts w:hint="cs"/>
          <w:rtl/>
        </w:rPr>
        <w:t>.</w:t>
      </w:r>
    </w:p>
  </w:footnote>
  <w:footnote w:id="106">
    <w:p w:rsidR="00F74793" w:rsidP="00744456">
      <w:pPr>
        <w:pStyle w:val="FootnoteText"/>
        <w:rPr>
          <w:rtl/>
        </w:rPr>
      </w:pPr>
      <w:r>
        <w:rPr>
          <w:rStyle w:val="FootnoteReference1"/>
        </w:rPr>
        <w:footnoteRef/>
      </w:r>
      <w:r>
        <w:rPr>
          <w:rtl/>
        </w:rPr>
        <w:t xml:space="preserve"> </w:t>
      </w:r>
      <w:r>
        <w:rPr>
          <w:rtl/>
        </w:rPr>
        <w:tab/>
      </w:r>
      <w:r>
        <w:rPr>
          <w:rFonts w:hint="cs"/>
          <w:rtl/>
        </w:rPr>
        <w:t>נתוני ביניים לשנת 2025.</w:t>
      </w:r>
    </w:p>
  </w:footnote>
  <w:footnote w:id="107">
    <w:p w:rsidR="00F74793" w:rsidP="00744456">
      <w:pPr>
        <w:pStyle w:val="FootnoteText"/>
        <w:rPr>
          <w:rtl/>
        </w:rPr>
      </w:pPr>
      <w:r>
        <w:rPr>
          <w:rStyle w:val="FootnoteReference1"/>
        </w:rPr>
        <w:footnoteRef/>
      </w:r>
      <w:r>
        <w:rPr>
          <w:rtl/>
        </w:rPr>
        <w:t xml:space="preserve"> </w:t>
      </w:r>
      <w:r>
        <w:rPr>
          <w:rtl/>
        </w:rPr>
        <w:tab/>
      </w:r>
      <w:r>
        <w:rPr>
          <w:rFonts w:hint="cs"/>
          <w:rtl/>
        </w:rPr>
        <w:t>הלוואות שנלקחו עד אוגוסט 2025.</w:t>
      </w:r>
    </w:p>
  </w:footnote>
  <w:footnote w:id="108">
    <w:p w:rsidR="00F74793" w:rsidP="001F2586">
      <w:pPr>
        <w:pStyle w:val="FootnoteText"/>
      </w:pPr>
      <w:r>
        <w:rPr>
          <w:rStyle w:val="FootnoteReference1"/>
        </w:rPr>
        <w:footnoteRef/>
      </w:r>
      <w:r>
        <w:rPr>
          <w:rtl/>
        </w:rPr>
        <w:t xml:space="preserve"> </w:t>
      </w:r>
      <w:r>
        <w:rPr>
          <w:rtl/>
        </w:rPr>
        <w:tab/>
      </w:r>
      <w:r>
        <w:rPr>
          <w:rFonts w:hint="cs"/>
          <w:rtl/>
        </w:rPr>
        <w:t xml:space="preserve">יצוין כי בנק ישראל הציג השערה זו בניתוח של כלל חובות משקי הבית, ולא רק הלוואות לדיור. מקור: </w:t>
      </w:r>
      <w:r w:rsidRPr="00A96CD3">
        <w:rPr>
          <w:rtl/>
        </w:rPr>
        <w:t>ב</w:t>
      </w:r>
      <w:r>
        <w:rPr>
          <w:rFonts w:hint="cs"/>
          <w:rtl/>
        </w:rPr>
        <w:t xml:space="preserve">נק ישראל, </w:t>
      </w:r>
      <w:r w:rsidRPr="00B4661A">
        <w:rPr>
          <w:rtl/>
        </w:rPr>
        <w:t>דוח היציבות הפיננסית למחצית הראשונה של שנת 2023</w:t>
      </w:r>
      <w:r w:rsidRPr="00B4661A">
        <w:rPr>
          <w:rFonts w:hint="cs"/>
          <w:rtl/>
        </w:rPr>
        <w:t xml:space="preserve"> (אוגוסט 2023</w:t>
      </w:r>
      <w:r>
        <w:rPr>
          <w:rFonts w:hint="cs"/>
          <w:rtl/>
        </w:rPr>
        <w:t>), עמ' 22 - 23.</w:t>
      </w:r>
    </w:p>
  </w:footnote>
  <w:footnote w:id="109">
    <w:p w:rsidR="00F74793" w:rsidP="001F2586">
      <w:pPr>
        <w:pStyle w:val="FootnoteText"/>
        <w:rPr>
          <w:rtl/>
        </w:rPr>
      </w:pPr>
      <w:r>
        <w:rPr>
          <w:rStyle w:val="FootnoteReference1"/>
        </w:rPr>
        <w:footnoteRef/>
      </w:r>
      <w:r>
        <w:rPr>
          <w:rtl/>
        </w:rPr>
        <w:t xml:space="preserve"> </w:t>
      </w:r>
      <w:r>
        <w:rPr>
          <w:rtl/>
        </w:rPr>
        <w:tab/>
      </w:r>
      <w:r>
        <w:rPr>
          <w:rFonts w:hint="cs"/>
          <w:rtl/>
        </w:rPr>
        <w:t>כמיליון בעלי משכנתאות.</w:t>
      </w:r>
    </w:p>
  </w:footnote>
  <w:footnote w:id="110">
    <w:p w:rsidR="00F74793" w:rsidP="001F2586">
      <w:pPr>
        <w:pStyle w:val="FootnoteText"/>
        <w:rPr>
          <w:rtl/>
        </w:rPr>
      </w:pPr>
      <w:r>
        <w:rPr>
          <w:rStyle w:val="FootnoteReference1"/>
        </w:rPr>
        <w:footnoteRef/>
      </w:r>
      <w:r>
        <w:rPr>
          <w:rtl/>
        </w:rPr>
        <w:t xml:space="preserve"> </w:t>
      </w:r>
      <w:r>
        <w:rPr>
          <w:rtl/>
        </w:rPr>
        <w:tab/>
      </w:r>
      <w:r>
        <w:rPr>
          <w:rFonts w:hint="cs"/>
          <w:rtl/>
        </w:rPr>
        <w:t xml:space="preserve">בנק ישראל, </w:t>
      </w:r>
      <w:r w:rsidRPr="00B4661A">
        <w:rPr>
          <w:rFonts w:hint="cs"/>
          <w:rtl/>
        </w:rPr>
        <w:t>תגובת בנק ישראל להצעה לסבסד משכנתאות קיימות</w:t>
      </w:r>
      <w:r>
        <w:rPr>
          <w:rFonts w:hint="cs"/>
          <w:rtl/>
        </w:rPr>
        <w:t>, 13.11.25.</w:t>
      </w:r>
    </w:p>
  </w:footnote>
  <w:footnote w:id="111">
    <w:p w:rsidR="00F74793" w:rsidP="001F2586">
      <w:pPr>
        <w:pStyle w:val="FootnoteText"/>
        <w:rPr>
          <w:rtl/>
        </w:rPr>
      </w:pPr>
      <w:r>
        <w:rPr>
          <w:rStyle w:val="FootnoteReference1"/>
        </w:rPr>
        <w:footnoteRef/>
      </w:r>
      <w:r>
        <w:rPr>
          <w:rtl/>
        </w:rPr>
        <w:t xml:space="preserve"> </w:t>
      </w:r>
      <w:r>
        <w:rPr>
          <w:rtl/>
        </w:rPr>
        <w:tab/>
      </w:r>
      <w:r w:rsidRPr="00AC0C58">
        <w:rPr>
          <w:rtl/>
        </w:rPr>
        <w:t>שיעור החזר מהכנסה מעודכן (</w:t>
      </w:r>
      <w:r w:rsidRPr="00AC0C58">
        <w:t>PTI</w:t>
      </w:r>
      <w:r w:rsidRPr="00AC0C58">
        <w:rPr>
          <w:rtl/>
        </w:rPr>
        <w:t xml:space="preserve"> מתוקנן)</w:t>
      </w:r>
      <w:r>
        <w:rPr>
          <w:rFonts w:hint="cs"/>
          <w:rtl/>
        </w:rPr>
        <w:t xml:space="preserve"> הוא לאחר שינויים בהחזר החודשי ובהכנסות של הלווים לעומת שיעור החזר מהכנסה שהיה במועד לקיחת ההלוואה.</w:t>
      </w:r>
    </w:p>
  </w:footnote>
  <w:footnote w:id="112">
    <w:p w:rsidR="00F74793" w:rsidP="001F2586">
      <w:pPr>
        <w:pStyle w:val="FootnoteText"/>
        <w:rPr>
          <w:rtl/>
        </w:rPr>
      </w:pPr>
      <w:r>
        <w:rPr>
          <w:rStyle w:val="FootnoteReference1"/>
        </w:rPr>
        <w:footnoteRef/>
      </w:r>
      <w:r>
        <w:rPr>
          <w:rtl/>
        </w:rPr>
        <w:t xml:space="preserve"> </w:t>
      </w:r>
      <w:r>
        <w:rPr>
          <w:rtl/>
        </w:rPr>
        <w:tab/>
      </w:r>
      <w:r>
        <w:rPr>
          <w:rFonts w:hint="cs"/>
          <w:rtl/>
        </w:rPr>
        <w:t>תקופת ההידוק מוניטרי מאופיינת בהעלאה של ריבית בנק ישראל, ומשכך בריבית הפריים, באופן עקבי ומתמשך.</w:t>
      </w:r>
    </w:p>
  </w:footnote>
  <w:footnote w:id="113">
    <w:p w:rsidR="00F74793" w:rsidP="001F2586">
      <w:pPr>
        <w:pStyle w:val="FootnoteText"/>
      </w:pPr>
      <w:r>
        <w:rPr>
          <w:rStyle w:val="FootnoteReference1"/>
        </w:rPr>
        <w:footnoteRef/>
      </w:r>
      <w:r>
        <w:rPr>
          <w:rtl/>
        </w:rPr>
        <w:t xml:space="preserve"> </w:t>
      </w:r>
      <w:r>
        <w:rPr>
          <w:rtl/>
        </w:rPr>
        <w:tab/>
      </w:r>
      <w:r w:rsidRPr="00B56F52">
        <w:rPr>
          <w:rtl/>
        </w:rPr>
        <w:t>הדירוג הכלכלי-חברתי של היישוב שבו מתגורר הלווה מקבל ערכים מ-1 (נמוך) ל-10 (גבוה) לפי דירוג הלשכה המרכזית לסטטיסטיקה.</w:t>
      </w:r>
    </w:p>
  </w:footnote>
  <w:footnote w:id="114">
    <w:p w:rsidR="00F74793" w:rsidP="001F2586">
      <w:pPr>
        <w:pStyle w:val="FootnoteText"/>
      </w:pPr>
      <w:r>
        <w:rPr>
          <w:rStyle w:val="FootnoteReference1"/>
        </w:rPr>
        <w:footnoteRef/>
      </w:r>
      <w:r>
        <w:rPr>
          <w:rtl/>
        </w:rPr>
        <w:t xml:space="preserve"> </w:t>
      </w:r>
      <w:r>
        <w:rPr>
          <w:rtl/>
        </w:rPr>
        <w:tab/>
      </w:r>
      <w:r>
        <w:rPr>
          <w:rFonts w:hint="cs"/>
          <w:rtl/>
        </w:rPr>
        <w:t>דירוגים 1 - 2.</w:t>
      </w:r>
    </w:p>
  </w:footnote>
  <w:footnote w:id="115">
    <w:p w:rsidR="00F74793" w:rsidP="001F2586">
      <w:pPr>
        <w:pStyle w:val="FootnoteText"/>
        <w:rPr>
          <w:rtl/>
        </w:rPr>
      </w:pPr>
      <w:r>
        <w:rPr>
          <w:rStyle w:val="FootnoteReference1"/>
        </w:rPr>
        <w:footnoteRef/>
      </w:r>
      <w:r>
        <w:rPr>
          <w:rtl/>
        </w:rPr>
        <w:t xml:space="preserve"> </w:t>
      </w:r>
      <w:r>
        <w:rPr>
          <w:rtl/>
        </w:rPr>
        <w:tab/>
      </w:r>
      <w:r>
        <w:rPr>
          <w:rFonts w:hint="cs"/>
          <w:rtl/>
        </w:rPr>
        <w:t>דירוגים 9 - 10.</w:t>
      </w:r>
    </w:p>
  </w:footnote>
  <w:footnote w:id="116">
    <w:p w:rsidR="00F74793" w:rsidP="001F2586">
      <w:pPr>
        <w:pStyle w:val="FootnoteText"/>
      </w:pPr>
      <w:r>
        <w:rPr>
          <w:rStyle w:val="FootnoteReference1"/>
        </w:rPr>
        <w:footnoteRef/>
      </w:r>
      <w:r>
        <w:rPr>
          <w:rtl/>
        </w:rPr>
        <w:t xml:space="preserve"> </w:t>
      </w:r>
      <w:r>
        <w:rPr>
          <w:rtl/>
        </w:rPr>
        <w:tab/>
      </w:r>
      <w:r>
        <w:rPr>
          <w:rFonts w:hint="cs"/>
          <w:rtl/>
        </w:rPr>
        <w:t>שינויים כמו הקטנת חוב קיים על ידי פירעון מוקדם (מלא או חלקי) או שינוי תנאי ההלוואות (מחזור) כמו הקטנת החזר חודשי על ידי הארכת תקופה או החלפת חוב בריבית משתנה (פריים) בריבית קבועה או ריבית משתנה בתדירות נמוכה.</w:t>
      </w:r>
    </w:p>
  </w:footnote>
  <w:footnote w:id="117">
    <w:p w:rsidR="00F74793" w:rsidP="001F2586">
      <w:pPr>
        <w:pStyle w:val="FootnoteText"/>
        <w:rPr>
          <w:rtl/>
        </w:rPr>
      </w:pPr>
      <w:r>
        <w:rPr>
          <w:rStyle w:val="FootnoteReference1"/>
        </w:rPr>
        <w:footnoteRef/>
      </w:r>
      <w:r>
        <w:rPr>
          <w:rtl/>
        </w:rPr>
        <w:t xml:space="preserve"> </w:t>
      </w:r>
      <w:r>
        <w:rPr>
          <w:rtl/>
        </w:rPr>
        <w:tab/>
      </w:r>
      <w:r>
        <w:rPr>
          <w:rFonts w:hint="cs"/>
          <w:rtl/>
        </w:rPr>
        <w:t>הסיבה העיקרית לכך היא חשיפה גבוהה יותר לרכיב הפריים בהלוואות של לווים המתגוררים ביישובים בעלי דירוג כלכלי-חברתי גבוה.</w:t>
      </w:r>
    </w:p>
  </w:footnote>
  <w:footnote w:id="118">
    <w:p w:rsidR="00F74793" w:rsidP="001F2586">
      <w:pPr>
        <w:pStyle w:val="FootnoteText"/>
        <w:rPr>
          <w:rtl/>
        </w:rPr>
      </w:pPr>
      <w:r>
        <w:rPr>
          <w:rStyle w:val="FootnoteReference1"/>
        </w:rPr>
        <w:footnoteRef/>
      </w:r>
      <w:r>
        <w:rPr>
          <w:rtl/>
        </w:rPr>
        <w:t xml:space="preserve"> </w:t>
      </w:r>
      <w:r>
        <w:rPr>
          <w:rtl/>
        </w:rPr>
        <w:tab/>
      </w:r>
      <w:r w:rsidRPr="000B3837">
        <w:rPr>
          <w:rtl/>
        </w:rPr>
        <w:t>לפי הניתוח של בנק ישראל עיקר החוב שנפרע היה חוב במסלול ריבית הפריים.</w:t>
      </w:r>
    </w:p>
  </w:footnote>
  <w:footnote w:id="119">
    <w:p w:rsidR="00F74793" w:rsidP="001F2586">
      <w:pPr>
        <w:pStyle w:val="FootnoteText"/>
        <w:rPr>
          <w:rtl/>
        </w:rPr>
      </w:pPr>
      <w:r>
        <w:rPr>
          <w:rStyle w:val="FootnoteReference1"/>
        </w:rPr>
        <w:footnoteRef/>
      </w:r>
      <w:r>
        <w:rPr>
          <w:rtl/>
        </w:rPr>
        <w:t xml:space="preserve"> </w:t>
      </w:r>
      <w:r>
        <w:rPr>
          <w:rtl/>
        </w:rPr>
        <w:tab/>
      </w:r>
      <w:r w:rsidRPr="00B4661A">
        <w:rPr>
          <w:rtl/>
        </w:rPr>
        <w:t>עיקרי הממצאים</w:t>
      </w:r>
      <w:r>
        <w:rPr>
          <w:rtl/>
        </w:rPr>
        <w:t>:</w:t>
      </w:r>
      <w:r>
        <w:rPr>
          <w:rFonts w:hint="cs"/>
          <w:rtl/>
        </w:rPr>
        <w:t xml:space="preserve"> </w:t>
      </w:r>
    </w:p>
    <w:p w:rsidR="00F74793" w:rsidP="001F2586">
      <w:pPr>
        <w:pStyle w:val="FootnoteText"/>
        <w:numPr>
          <w:ilvl w:val="0"/>
          <w:numId w:val="17"/>
        </w:numPr>
      </w:pPr>
      <w:r>
        <w:rPr>
          <w:rtl/>
        </w:rPr>
        <w:t>נמצא קשר מובהק בין החשיפה למשכנתאות בריבית משתנה לבין שינויים בצריכה בשנים 2022</w:t>
      </w:r>
      <w:r>
        <w:rPr>
          <w:rFonts w:hint="cs"/>
          <w:rtl/>
        </w:rPr>
        <w:t xml:space="preserve"> </w:t>
      </w:r>
      <w:r>
        <w:rPr>
          <w:rtl/>
        </w:rPr>
        <w:t>-</w:t>
      </w:r>
      <w:r>
        <w:rPr>
          <w:rFonts w:hint="cs"/>
          <w:rtl/>
        </w:rPr>
        <w:t xml:space="preserve"> </w:t>
      </w:r>
      <w:r>
        <w:rPr>
          <w:rtl/>
        </w:rPr>
        <w:t xml:space="preserve">2023. עבור כל נקודת אחוז של חשיפה גבוהה יותר לריבית משתנה, נצפה שינוי בצריכה של 5 נקודות בסיס. ההשפעה על הצריכה הלכה וגברה ככל </w:t>
      </w:r>
      <w:r>
        <w:rPr>
          <w:rFonts w:hint="cs"/>
          <w:rtl/>
        </w:rPr>
        <w:t>שתקופת ההידוק המוניטרי נמשכה זמן רב יותר.</w:t>
      </w:r>
    </w:p>
    <w:p w:rsidR="00F74793" w:rsidP="001F2586">
      <w:pPr>
        <w:pStyle w:val="FootnoteText"/>
        <w:numPr>
          <w:ilvl w:val="0"/>
          <w:numId w:val="17"/>
        </w:numPr>
      </w:pPr>
      <w:r>
        <w:rPr>
          <w:rtl/>
        </w:rPr>
        <w:t xml:space="preserve">ההשפעה על הצריכה נמצאה משמעותית יותר במשקי בית בעלי הכנסה בינונית עד נמוכה ובקרב אלו עם יחס </w:t>
      </w:r>
      <w:r>
        <w:t>PTI</w:t>
      </w:r>
      <w:r>
        <w:rPr>
          <w:rtl/>
        </w:rPr>
        <w:t xml:space="preserve"> גבוה יותר.</w:t>
      </w:r>
      <w:r>
        <w:rPr>
          <w:rFonts w:hint="cs"/>
          <w:rtl/>
        </w:rPr>
        <w:t xml:space="preserve"> </w:t>
      </w:r>
    </w:p>
  </w:footnote>
  <w:footnote w:id="120">
    <w:p w:rsidR="00F74793" w:rsidRPr="00696446" w:rsidP="00991ACF">
      <w:pPr>
        <w:pStyle w:val="FootnoteText"/>
        <w:rPr>
          <w:rFonts w:ascii="David" w:hAnsi="David"/>
          <w:sz w:val="24"/>
          <w:szCs w:val="24"/>
        </w:rPr>
      </w:pPr>
      <w:r w:rsidRPr="00696446">
        <w:rPr>
          <w:rStyle w:val="FootnoteReference1"/>
          <w:rFonts w:ascii="David" w:hAnsi="David"/>
          <w:sz w:val="24"/>
          <w:szCs w:val="24"/>
        </w:rPr>
        <w:footnoteRef/>
      </w:r>
      <w:r w:rsidRPr="00696446">
        <w:rPr>
          <w:rFonts w:ascii="David" w:hAnsi="David"/>
          <w:sz w:val="24"/>
          <w:szCs w:val="24"/>
          <w:rtl/>
        </w:rPr>
        <w:t xml:space="preserve"> </w:t>
      </w:r>
      <w:r w:rsidRPr="00696446">
        <w:rPr>
          <w:rFonts w:ascii="David" w:hAnsi="David"/>
          <w:sz w:val="24"/>
          <w:szCs w:val="24"/>
          <w:rtl/>
        </w:rPr>
        <w:tab/>
      </w:r>
      <w:r w:rsidRPr="001F2586">
        <w:rPr>
          <w:rStyle w:val="FootnoteReference1"/>
          <w:rFonts w:cs="Times New Roman"/>
        </w:rPr>
        <w:t xml:space="preserve">Bank of Israel -Research Department, </w:t>
      </w:r>
      <w:r w:rsidRPr="001F2586">
        <w:rPr>
          <w:rFonts w:cs="Times New Roman"/>
          <w:vertAlign w:val="superscript"/>
        </w:rPr>
        <w:t>The Mortgage Cash-Flow Channel: How Rising Interest Rates Impact Household Consumption</w:t>
      </w:r>
      <w:r w:rsidRPr="001F2586">
        <w:rPr>
          <w:rStyle w:val="FootnoteReference1"/>
          <w:rFonts w:cs="Times New Roman"/>
        </w:rPr>
        <w:t xml:space="preserve"> (November 2024), Pages no 2-3</w:t>
      </w:r>
    </w:p>
  </w:footnote>
  <w:footnote w:id="121">
    <w:p w:rsidR="00F74793" w:rsidRPr="001F2586" w:rsidP="001F2586">
      <w:pPr>
        <w:pStyle w:val="FootnoteText"/>
        <w:rPr>
          <w:rFonts w:ascii="Calibri" w:hAnsi="Calibri" w:cs="Arial"/>
          <w:rtl/>
        </w:rPr>
      </w:pPr>
      <w:r>
        <w:rPr>
          <w:rStyle w:val="FootnoteReference1"/>
        </w:rPr>
        <w:footnoteRef/>
      </w:r>
      <w:r>
        <w:rPr>
          <w:rtl/>
        </w:rPr>
        <w:t xml:space="preserve"> </w:t>
      </w:r>
      <w:r>
        <w:rPr>
          <w:rtl/>
        </w:rPr>
        <w:tab/>
      </w:r>
      <w:r>
        <w:rPr>
          <w:rFonts w:hint="cs"/>
          <w:rtl/>
        </w:rPr>
        <w:t>יצוין כי הוראה זו נקבעה במכתב של המפקח על הבנקים לתאגידים הבנקאיים "</w:t>
      </w:r>
      <w:r w:rsidRPr="00B4661A">
        <w:rPr>
          <w:rFonts w:hint="cs"/>
          <w:rtl/>
        </w:rPr>
        <w:t>הלוואות ממונפות לדיור בריבית משתנה</w:t>
      </w:r>
      <w:r>
        <w:rPr>
          <w:rFonts w:hint="cs"/>
          <w:rtl/>
        </w:rPr>
        <w:t>" מיום 28.10.2010. יצוין כי הוראה זו חלה בפועל על הלוואות שניתנו מיום 26.10.10 עד ליום 31.12.12.</w:t>
      </w:r>
    </w:p>
  </w:footnote>
  <w:footnote w:id="122">
    <w:p w:rsidR="00F74793" w:rsidP="001F2586">
      <w:pPr>
        <w:pStyle w:val="FootnoteText"/>
      </w:pPr>
      <w:r>
        <w:rPr>
          <w:rStyle w:val="FootnoteReference1"/>
        </w:rPr>
        <w:footnoteRef/>
      </w:r>
      <w:r>
        <w:rPr>
          <w:rtl/>
        </w:rPr>
        <w:t xml:space="preserve"> </w:t>
      </w:r>
      <w:r>
        <w:rPr>
          <w:rtl/>
        </w:rPr>
        <w:tab/>
      </w:r>
      <w:r>
        <w:rPr>
          <w:rFonts w:hint="cs"/>
          <w:rtl/>
        </w:rPr>
        <w:t>ריבית משתנה הנושאת ריבית שעשויה להשתנות במהלך תקופה הקצרה מחמש שנים ממועד אישור ההלוואה.</w:t>
      </w:r>
    </w:p>
  </w:footnote>
  <w:footnote w:id="123">
    <w:p w:rsidR="00F74793" w:rsidP="001F2586">
      <w:pPr>
        <w:pStyle w:val="FootnoteText"/>
        <w:rPr>
          <w:rtl/>
        </w:rPr>
      </w:pPr>
      <w:r>
        <w:rPr>
          <w:rStyle w:val="FootnoteReference1"/>
        </w:rPr>
        <w:footnoteRef/>
      </w:r>
      <w:r>
        <w:rPr>
          <w:rtl/>
        </w:rPr>
        <w:t xml:space="preserve"> </w:t>
      </w:r>
      <w:r>
        <w:rPr>
          <w:rtl/>
        </w:rPr>
        <w:tab/>
      </w:r>
      <w:r>
        <w:rPr>
          <w:rFonts w:hint="cs"/>
          <w:rtl/>
        </w:rPr>
        <w:t xml:space="preserve">תופעה זו נקראת </w:t>
      </w:r>
      <w:r>
        <w:rPr>
          <w:rFonts w:hint="cs"/>
        </w:rPr>
        <w:t>L</w:t>
      </w:r>
      <w:r>
        <w:t>ow For Longer</w:t>
      </w:r>
      <w:r>
        <w:rPr>
          <w:rFonts w:hint="cs"/>
          <w:rtl/>
        </w:rPr>
        <w:t>.</w:t>
      </w:r>
    </w:p>
  </w:footnote>
  <w:footnote w:id="124">
    <w:p w:rsidR="00F74793" w:rsidP="001F2586">
      <w:pPr>
        <w:pStyle w:val="FootnoteText"/>
        <w:rPr>
          <w:rtl/>
        </w:rPr>
      </w:pPr>
      <w:r>
        <w:rPr>
          <w:rStyle w:val="FootnoteReference1"/>
        </w:rPr>
        <w:footnoteRef/>
      </w:r>
      <w:r>
        <w:rPr>
          <w:rtl/>
        </w:rPr>
        <w:t xml:space="preserve"> </w:t>
      </w:r>
      <w:r>
        <w:rPr>
          <w:rtl/>
        </w:rPr>
        <w:tab/>
      </w:r>
      <w:r>
        <w:rPr>
          <w:rFonts w:hint="cs"/>
          <w:rtl/>
        </w:rPr>
        <w:t xml:space="preserve">הפיקוח על הבנקים בבנק ישראל, </w:t>
      </w:r>
      <w:r w:rsidRPr="00B4661A">
        <w:rPr>
          <w:rFonts w:hint="cs"/>
          <w:rtl/>
        </w:rPr>
        <w:t>מערכת הבנקאות בישראל - סקירה שנתית 2021 (מאי 2022)</w:t>
      </w:r>
      <w:r>
        <w:rPr>
          <w:rFonts w:hint="cs"/>
          <w:rtl/>
        </w:rPr>
        <w:t>, עמ' 30 - 32.</w:t>
      </w:r>
    </w:p>
  </w:footnote>
  <w:footnote w:id="125">
    <w:p w:rsidR="00F74793" w:rsidP="001F2586">
      <w:pPr>
        <w:pStyle w:val="FootnoteText"/>
      </w:pPr>
      <w:r>
        <w:rPr>
          <w:rStyle w:val="FootnoteReference1"/>
        </w:rPr>
        <w:footnoteRef/>
      </w:r>
      <w:r>
        <w:rPr>
          <w:rtl/>
        </w:rPr>
        <w:t xml:space="preserve"> </w:t>
      </w:r>
      <w:r>
        <w:rPr>
          <w:rtl/>
        </w:rPr>
        <w:tab/>
      </w:r>
      <w:r>
        <w:rPr>
          <w:rFonts w:hint="cs"/>
          <w:rtl/>
        </w:rPr>
        <w:t>יצוין כי ממצא זה מוצג בפרק "סקירת שוק המשכנתאות בישראל".</w:t>
      </w:r>
    </w:p>
  </w:footnote>
  <w:footnote w:id="126">
    <w:p w:rsidR="00F74793" w:rsidP="001F2586">
      <w:pPr>
        <w:pStyle w:val="FootnoteText"/>
        <w:rPr>
          <w:rtl/>
        </w:rPr>
      </w:pPr>
      <w:r>
        <w:rPr>
          <w:rFonts w:hint="cs"/>
          <w:rtl/>
        </w:rPr>
        <w:t xml:space="preserve"> </w:t>
      </w:r>
      <w:r>
        <w:rPr>
          <w:rStyle w:val="FootnoteReference1"/>
        </w:rPr>
        <w:footnoteRef/>
      </w:r>
      <w:r>
        <w:rPr>
          <w:rtl/>
        </w:rPr>
        <w:t xml:space="preserve"> </w:t>
      </w:r>
      <w:r>
        <w:tab/>
      </w:r>
      <w:r w:rsidRPr="00B4661A">
        <w:rPr>
          <w:rtl/>
        </w:rPr>
        <w:t>הבנק לסילוקין בינלאומיים (</w:t>
      </w:r>
      <w:r w:rsidRPr="00B4661A">
        <w:t>BIS</w:t>
      </w:r>
      <w:r w:rsidRPr="00B4661A">
        <w:rPr>
          <w:rtl/>
        </w:rPr>
        <w:t>)</w:t>
      </w:r>
      <w:r w:rsidRPr="00AF0B8D">
        <w:rPr>
          <w:rtl/>
        </w:rPr>
        <w:t xml:space="preserve"> הוא ארגון פיננסי בינלאומי שמקדם שיתופי פעולה בין בנקים מרכזיים, תומך בפעילותם לשמירת היציבות הפיננסית ויציבות המחירים ופועל כבנק של הבנקים המרכזיים.</w:t>
      </w:r>
    </w:p>
  </w:footnote>
  <w:footnote w:id="127">
    <w:p w:rsidR="00F74793" w:rsidP="001F2586">
      <w:pPr>
        <w:pStyle w:val="FootnoteText"/>
      </w:pPr>
      <w:r>
        <w:rPr>
          <w:rStyle w:val="FootnoteReference1"/>
        </w:rPr>
        <w:footnoteRef/>
      </w:r>
      <w:r>
        <w:rPr>
          <w:rtl/>
        </w:rPr>
        <w:t xml:space="preserve"> </w:t>
      </w:r>
      <w:r>
        <w:rPr>
          <w:rtl/>
        </w:rPr>
        <w:tab/>
      </w:r>
      <w:r w:rsidRPr="00B4661A">
        <w:rPr>
          <w:rFonts w:hint="cs"/>
          <w:rtl/>
        </w:rPr>
        <w:t>כללי באזל</w:t>
      </w:r>
      <w:r w:rsidRPr="00F85BB5">
        <w:rPr>
          <w:rFonts w:hint="cs"/>
          <w:rtl/>
        </w:rPr>
        <w:t xml:space="preserve"> - </w:t>
      </w:r>
      <w:r>
        <w:rPr>
          <w:rFonts w:hint="cs"/>
          <w:rtl/>
        </w:rPr>
        <w:t xml:space="preserve">במשך השנים ועדת באזל פרסמה מספר גרסאות של כללים שהגדירו את יעדי ההון והמינוף של הבנקים במטרה להבטיח שרמת ההון שלהם הולמת את מכלול הסיכונים שלהם הם חשופים. אלו הם הגרסאות של הכללים: </w:t>
      </w:r>
      <w:r w:rsidRPr="00F85BB5">
        <w:rPr>
          <w:rtl/>
        </w:rPr>
        <w:t xml:space="preserve">כללי באזל </w:t>
      </w:r>
      <w:r w:rsidRPr="00F85BB5">
        <w:t>I</w:t>
      </w:r>
      <w:r w:rsidRPr="00F85BB5">
        <w:rPr>
          <w:rFonts w:hint="cs"/>
          <w:rtl/>
        </w:rPr>
        <w:t xml:space="preserve"> </w:t>
      </w:r>
      <w:r>
        <w:rPr>
          <w:rFonts w:hint="cs"/>
          <w:rtl/>
        </w:rPr>
        <w:t>שפורסמו</w:t>
      </w:r>
      <w:r w:rsidRPr="00F85BB5">
        <w:rPr>
          <w:rtl/>
        </w:rPr>
        <w:t xml:space="preserve"> בשנת </w:t>
      </w:r>
      <w:r>
        <w:rPr>
          <w:rFonts w:hint="cs"/>
          <w:rtl/>
        </w:rPr>
        <w:t>1989</w:t>
      </w:r>
      <w:r w:rsidRPr="00F85BB5">
        <w:rPr>
          <w:rFonts w:hint="cs"/>
          <w:rtl/>
        </w:rPr>
        <w:t xml:space="preserve"> </w:t>
      </w:r>
      <w:r>
        <w:rPr>
          <w:rFonts w:hint="cs"/>
          <w:rtl/>
        </w:rPr>
        <w:t xml:space="preserve">עסקו בחיזוק הלימות ההון של הבנקים בעיקר בתחום סיכוני האשראי ודרשו מהבנקים יעד הון מזערי של 8%; </w:t>
      </w:r>
      <w:r w:rsidRPr="00F85BB5">
        <w:rPr>
          <w:rFonts w:hint="cs"/>
          <w:rtl/>
        </w:rPr>
        <w:t xml:space="preserve">כללי באזל </w:t>
      </w:r>
      <w:r w:rsidRPr="00F85BB5">
        <w:t>II</w:t>
      </w:r>
      <w:r>
        <w:rPr>
          <w:rFonts w:hint="cs"/>
          <w:rtl/>
        </w:rPr>
        <w:t xml:space="preserve"> שפורסמו </w:t>
      </w:r>
      <w:r w:rsidRPr="00F85BB5">
        <w:rPr>
          <w:rtl/>
        </w:rPr>
        <w:t xml:space="preserve">בשנת </w:t>
      </w:r>
      <w:r>
        <w:rPr>
          <w:rFonts w:hint="cs"/>
          <w:rtl/>
        </w:rPr>
        <w:t>2006 בשם "</w:t>
      </w:r>
      <w:r w:rsidRPr="0066245F">
        <w:rPr>
          <w:rtl/>
        </w:rPr>
        <w:t xml:space="preserve">"התכנסות בינלאומית למדידת הון ולתקני הון" </w:t>
      </w:r>
      <w:r>
        <w:rPr>
          <w:rFonts w:hint="cs"/>
          <w:rtl/>
        </w:rPr>
        <w:t>כללו המלצות בשלושה נדבכים שאומצו בישראל בסוף שנת 2008 - דרישות הון מזעריות, שיפור תהליך הפיקוח והבקרה על הלימות ההון והגברת משמעת שוק; ו</w:t>
      </w:r>
      <w:r w:rsidRPr="00F85BB5">
        <w:rPr>
          <w:rtl/>
        </w:rPr>
        <w:t xml:space="preserve">כללי באזל </w:t>
      </w:r>
      <w:r w:rsidRPr="00F85BB5">
        <w:t>III</w:t>
      </w:r>
      <w:r>
        <w:rPr>
          <w:rFonts w:hint="cs"/>
          <w:rtl/>
        </w:rPr>
        <w:t xml:space="preserve"> - "</w:t>
      </w:r>
      <w:r w:rsidRPr="008307ED">
        <w:rPr>
          <w:rtl/>
        </w:rPr>
        <w:t xml:space="preserve">מסגרת פיקוחית גלובלית לחיזוק עמידות המערכת הבנקאית" </w:t>
      </w:r>
      <w:r>
        <w:rPr>
          <w:rFonts w:hint="cs"/>
          <w:rtl/>
        </w:rPr>
        <w:t xml:space="preserve">שפורסמו בשנת 2010 כחלק מלקחי משבר </w:t>
      </w:r>
      <w:r>
        <w:rPr>
          <w:rFonts w:hint="cs"/>
          <w:rtl/>
        </w:rPr>
        <w:t>הסאב</w:t>
      </w:r>
      <w:r>
        <w:rPr>
          <w:rFonts w:hint="cs"/>
          <w:rtl/>
        </w:rPr>
        <w:t xml:space="preserve"> פריים הכלכלי העולמי ונועדו לחזק את עמידות המערכת הבנקאית ולשפר את יכולתה לספוג זעזועים בלתי צפויים באמצעות דרישה לעמידה בשני יעדי הון מזעריים - הון עצמי רובד 1 ויחס הון כולל. מקור: </w:t>
      </w:r>
      <w:r w:rsidRPr="0027761D">
        <w:rPr>
          <w:rtl/>
        </w:rPr>
        <w:t xml:space="preserve">בנק ישראל, </w:t>
      </w:r>
      <w:r w:rsidRPr="00B4661A">
        <w:rPr>
          <w:b/>
          <w:bCs/>
          <w:rtl/>
        </w:rPr>
        <w:t>מערכת הבנקאות בישראל -סקירה שנתית לשנת</w:t>
      </w:r>
      <w:r w:rsidRPr="004C2D8F">
        <w:rPr>
          <w:b/>
          <w:bCs/>
          <w:rtl/>
        </w:rPr>
        <w:t xml:space="preserve"> 2022 </w:t>
      </w:r>
      <w:r>
        <w:rPr>
          <w:rFonts w:hint="cs"/>
          <w:rtl/>
        </w:rPr>
        <w:t>(מאי 2023),</w:t>
      </w:r>
      <w:r w:rsidRPr="0027761D">
        <w:rPr>
          <w:rtl/>
        </w:rPr>
        <w:t xml:space="preserve"> עמ'</w:t>
      </w:r>
      <w:r>
        <w:rPr>
          <w:rFonts w:hint="cs"/>
          <w:rtl/>
        </w:rPr>
        <w:t xml:space="preserve"> </w:t>
      </w:r>
      <w:r w:rsidRPr="0027761D">
        <w:rPr>
          <w:rtl/>
        </w:rPr>
        <w:t>102</w:t>
      </w:r>
      <w:r>
        <w:rPr>
          <w:rFonts w:hint="cs"/>
          <w:rtl/>
        </w:rPr>
        <w:t xml:space="preserve"> </w:t>
      </w:r>
      <w:r w:rsidRPr="0027761D">
        <w:rPr>
          <w:rtl/>
        </w:rPr>
        <w:t>- 103</w:t>
      </w:r>
      <w:r>
        <w:rPr>
          <w:rFonts w:hint="cs"/>
          <w:rtl/>
        </w:rPr>
        <w:t>.</w:t>
      </w:r>
    </w:p>
  </w:footnote>
  <w:footnote w:id="128">
    <w:p w:rsidR="00F74793" w:rsidP="001F2586">
      <w:pPr>
        <w:pStyle w:val="FootnoteText"/>
        <w:rPr>
          <w:rtl/>
        </w:rPr>
      </w:pPr>
      <w:r>
        <w:rPr>
          <w:rStyle w:val="FootnoteReference1"/>
        </w:rPr>
        <w:footnoteRef/>
      </w:r>
      <w:r>
        <w:rPr>
          <w:rtl/>
        </w:rPr>
        <w:t xml:space="preserve"> </w:t>
      </w:r>
      <w:r>
        <w:rPr>
          <w:rtl/>
        </w:rPr>
        <w:tab/>
      </w:r>
      <w:r w:rsidRPr="00B4661A">
        <w:rPr>
          <w:rFonts w:hint="cs"/>
          <w:rtl/>
        </w:rPr>
        <w:t>הלימות ההון</w:t>
      </w:r>
      <w:r>
        <w:rPr>
          <w:rFonts w:hint="cs"/>
          <w:rtl/>
        </w:rPr>
        <w:t xml:space="preserve"> מתבטאת ביחס ההון לרכיבי הסיכון. </w:t>
      </w:r>
      <w:r w:rsidRPr="00541BB7">
        <w:rPr>
          <w:rtl/>
        </w:rPr>
        <w:t>ההון של בנק נחשב כהון הולם אם הוא משמש ככרית ביטחון מפני ספיגת הפסדים בלתי צפויים הנובעים מחשיפה לסיכונים שונים במהלך הפעילות השוטפת כמו סיכוני אשראי, סיכוני שוק וסיכונים תפעוליים.</w:t>
      </w:r>
      <w:r>
        <w:rPr>
          <w:rFonts w:hint="cs"/>
          <w:rtl/>
        </w:rPr>
        <w:t xml:space="preserve"> מקור: </w:t>
      </w:r>
      <w:r w:rsidRPr="0027761D">
        <w:rPr>
          <w:rtl/>
        </w:rPr>
        <w:t xml:space="preserve">בנק ישראל, </w:t>
      </w:r>
      <w:r w:rsidRPr="00B4661A">
        <w:rPr>
          <w:b/>
          <w:bCs/>
          <w:rtl/>
        </w:rPr>
        <w:t>מערכת הבנקאות בישראל -</w:t>
      </w:r>
      <w:r w:rsidRPr="00B4661A">
        <w:rPr>
          <w:rFonts w:hint="cs"/>
          <w:b/>
          <w:bCs/>
          <w:rtl/>
        </w:rPr>
        <w:t xml:space="preserve"> </w:t>
      </w:r>
      <w:r w:rsidRPr="00B4661A">
        <w:rPr>
          <w:rFonts w:hint="eastAsia"/>
          <w:b/>
          <w:bCs/>
          <w:rtl/>
        </w:rPr>
        <w:t>סקירה</w:t>
      </w:r>
      <w:r w:rsidRPr="00B4661A">
        <w:rPr>
          <w:b/>
          <w:bCs/>
          <w:rtl/>
        </w:rPr>
        <w:t xml:space="preserve"> </w:t>
      </w:r>
      <w:r w:rsidRPr="00B4661A">
        <w:rPr>
          <w:rFonts w:hint="eastAsia"/>
          <w:b/>
          <w:bCs/>
          <w:rtl/>
        </w:rPr>
        <w:t>שנתית</w:t>
      </w:r>
      <w:r w:rsidRPr="00B4661A">
        <w:rPr>
          <w:b/>
          <w:bCs/>
          <w:rtl/>
        </w:rPr>
        <w:t xml:space="preserve"> </w:t>
      </w:r>
      <w:r w:rsidRPr="00B4661A">
        <w:rPr>
          <w:rFonts w:hint="eastAsia"/>
          <w:b/>
          <w:bCs/>
          <w:rtl/>
        </w:rPr>
        <w:t>לשנת</w:t>
      </w:r>
      <w:r>
        <w:rPr>
          <w:rFonts w:hint="cs"/>
          <w:rtl/>
        </w:rPr>
        <w:t xml:space="preserve"> 2022 (מאי 2023),</w:t>
      </w:r>
      <w:r w:rsidRPr="0027761D">
        <w:rPr>
          <w:rtl/>
        </w:rPr>
        <w:t xml:space="preserve"> עמ' 102</w:t>
      </w:r>
      <w:r>
        <w:rPr>
          <w:rFonts w:hint="cs"/>
          <w:rtl/>
        </w:rPr>
        <w:t xml:space="preserve"> </w:t>
      </w:r>
      <w:r w:rsidRPr="0027761D">
        <w:rPr>
          <w:rtl/>
        </w:rPr>
        <w:t>- 103</w:t>
      </w:r>
      <w:r>
        <w:rPr>
          <w:rFonts w:hint="cs"/>
          <w:rtl/>
        </w:rPr>
        <w:t>.</w:t>
      </w:r>
    </w:p>
  </w:footnote>
  <w:footnote w:id="129">
    <w:p w:rsidR="00F74793" w:rsidP="001F2586">
      <w:pPr>
        <w:pStyle w:val="FootnoteText"/>
      </w:pPr>
      <w:r>
        <w:rPr>
          <w:rStyle w:val="FootnoteReference1"/>
        </w:rPr>
        <w:footnoteRef/>
      </w:r>
      <w:r>
        <w:rPr>
          <w:rtl/>
        </w:rPr>
        <w:t xml:space="preserve"> </w:t>
      </w:r>
      <w:r>
        <w:rPr>
          <w:rtl/>
        </w:rPr>
        <w:tab/>
      </w:r>
      <w:r>
        <w:rPr>
          <w:rFonts w:hint="cs"/>
          <w:rtl/>
        </w:rPr>
        <w:t xml:space="preserve">הוראות </w:t>
      </w:r>
      <w:r>
        <w:rPr>
          <w:rFonts w:hint="cs"/>
          <w:rtl/>
        </w:rPr>
        <w:t>נב"ת</w:t>
      </w:r>
      <w:r>
        <w:rPr>
          <w:rFonts w:hint="cs"/>
          <w:rtl/>
        </w:rPr>
        <w:t xml:space="preserve"> 201 - 211. </w:t>
      </w:r>
      <w:r>
        <w:rPr>
          <w:rtl/>
        </w:rPr>
        <w:t xml:space="preserve">הוראות </w:t>
      </w:r>
      <w:r w:rsidRPr="00B4661A">
        <w:rPr>
          <w:rFonts w:hint="cs"/>
          <w:rtl/>
        </w:rPr>
        <w:t>נב"ת</w:t>
      </w:r>
      <w:r w:rsidRPr="00B4661A">
        <w:rPr>
          <w:rtl/>
        </w:rPr>
        <w:t xml:space="preserve"> מספר 203-208</w:t>
      </w:r>
      <w:r>
        <w:rPr>
          <w:rtl/>
        </w:rPr>
        <w:t xml:space="preserve"> מציגות את חישוב סך הדרישות להון מזערי</w:t>
      </w:r>
      <w:r>
        <w:rPr>
          <w:rFonts w:hint="cs"/>
          <w:rtl/>
        </w:rPr>
        <w:t xml:space="preserve"> </w:t>
      </w:r>
      <w:r>
        <w:rPr>
          <w:rtl/>
        </w:rPr>
        <w:t xml:space="preserve">עבור סיכון אשראי, סיכון שוק וסיכון תפעולי והוראת </w:t>
      </w:r>
      <w:r>
        <w:rPr>
          <w:rFonts w:hint="cs"/>
          <w:rtl/>
        </w:rPr>
        <w:t>נב"ת</w:t>
      </w:r>
      <w:r>
        <w:rPr>
          <w:rFonts w:hint="cs"/>
          <w:rtl/>
        </w:rPr>
        <w:t xml:space="preserve"> 211 </w:t>
      </w:r>
      <w:r>
        <w:rPr>
          <w:rtl/>
        </w:rPr>
        <w:t>מציגה את תהליך הערכת נאותות הלימות ההון</w:t>
      </w:r>
      <w:r>
        <w:rPr>
          <w:rFonts w:hint="cs"/>
          <w:rtl/>
        </w:rPr>
        <w:t xml:space="preserve">. </w:t>
      </w:r>
      <w:r>
        <w:rPr>
          <w:rtl/>
        </w:rPr>
        <w:t>יחס ההון מחושב תוך</w:t>
      </w:r>
      <w:r>
        <w:rPr>
          <w:rFonts w:hint="cs"/>
          <w:rtl/>
        </w:rPr>
        <w:t xml:space="preserve"> </w:t>
      </w:r>
      <w:r>
        <w:rPr>
          <w:rtl/>
        </w:rPr>
        <w:t>שימוש בהגדרה של הון פיקוחי</w:t>
      </w:r>
      <w:r>
        <w:rPr>
          <w:rFonts w:hint="cs"/>
          <w:rtl/>
        </w:rPr>
        <w:t xml:space="preserve"> המוסדר </w:t>
      </w:r>
      <w:r>
        <w:rPr>
          <w:rFonts w:hint="cs"/>
          <w:rtl/>
        </w:rPr>
        <w:t>בנב"ת</w:t>
      </w:r>
      <w:r>
        <w:rPr>
          <w:rFonts w:hint="cs"/>
          <w:rtl/>
        </w:rPr>
        <w:t xml:space="preserve"> 202</w:t>
      </w:r>
      <w:r>
        <w:rPr>
          <w:rtl/>
        </w:rPr>
        <w:t xml:space="preserve"> ונכסים משוקללים לסיכון</w:t>
      </w:r>
      <w:r>
        <w:rPr>
          <w:rFonts w:hint="cs"/>
          <w:rtl/>
        </w:rPr>
        <w:t xml:space="preserve"> המוסדר </w:t>
      </w:r>
      <w:r>
        <w:rPr>
          <w:rFonts w:hint="cs"/>
          <w:rtl/>
        </w:rPr>
        <w:t>בנב"ת</w:t>
      </w:r>
      <w:r>
        <w:rPr>
          <w:rFonts w:hint="cs"/>
          <w:rtl/>
        </w:rPr>
        <w:t xml:space="preserve"> 203.</w:t>
      </w:r>
    </w:p>
  </w:footnote>
  <w:footnote w:id="130">
    <w:p w:rsidR="00F74793" w:rsidP="001F2586">
      <w:pPr>
        <w:pStyle w:val="FootnoteText"/>
        <w:rPr>
          <w:rtl/>
        </w:rPr>
      </w:pPr>
      <w:r>
        <w:rPr>
          <w:rStyle w:val="FootnoteReference1"/>
        </w:rPr>
        <w:footnoteRef/>
      </w:r>
      <w:r>
        <w:rPr>
          <w:rtl/>
        </w:rPr>
        <w:t xml:space="preserve"> </w:t>
      </w:r>
      <w:r>
        <w:rPr>
          <w:rtl/>
        </w:rPr>
        <w:tab/>
      </w:r>
      <w:r w:rsidRPr="00AB7C1D">
        <w:rPr>
          <w:rtl/>
        </w:rPr>
        <w:t xml:space="preserve">בהתאם לכך, </w:t>
      </w:r>
      <w:r w:rsidRPr="00B4661A">
        <w:rPr>
          <w:rFonts w:hint="cs"/>
          <w:rtl/>
        </w:rPr>
        <w:t xml:space="preserve">הוראת </w:t>
      </w:r>
      <w:r w:rsidRPr="00B4661A">
        <w:rPr>
          <w:rFonts w:hint="cs"/>
          <w:rtl/>
        </w:rPr>
        <w:t>נב"ת</w:t>
      </w:r>
      <w:r w:rsidRPr="00B4661A">
        <w:rPr>
          <w:rFonts w:hint="cs"/>
          <w:rtl/>
        </w:rPr>
        <w:t xml:space="preserve"> 311 "יחס הון מזערי"</w:t>
      </w:r>
      <w:r>
        <w:rPr>
          <w:rFonts w:hint="cs"/>
          <w:rtl/>
        </w:rPr>
        <w:t>, אשר בוטלה ב-27.12.11,</w:t>
      </w:r>
      <w:r w:rsidRPr="00AB7C1D">
        <w:rPr>
          <w:rtl/>
        </w:rPr>
        <w:t xml:space="preserve"> </w:t>
      </w:r>
      <w:r>
        <w:rPr>
          <w:rFonts w:hint="cs"/>
          <w:rtl/>
        </w:rPr>
        <w:t>קבעה</w:t>
      </w:r>
      <w:r w:rsidRPr="00AB7C1D">
        <w:rPr>
          <w:rtl/>
        </w:rPr>
        <w:t xml:space="preserve"> כי שיעור הקצאת ההון יהיה נמוך יותר במשכנתאות בשיעור מימון של עד 60%.</w:t>
      </w:r>
    </w:p>
  </w:footnote>
  <w:footnote w:id="131">
    <w:p w:rsidR="00F74793" w:rsidP="001F2586">
      <w:pPr>
        <w:pStyle w:val="FootnoteText"/>
        <w:rPr>
          <w:rtl/>
        </w:rPr>
      </w:pPr>
      <w:r>
        <w:rPr>
          <w:rStyle w:val="FootnoteReference1"/>
        </w:rPr>
        <w:footnoteRef/>
      </w:r>
      <w:r>
        <w:rPr>
          <w:rtl/>
        </w:rPr>
        <w:t xml:space="preserve"> </w:t>
      </w:r>
      <w:r>
        <w:rPr>
          <w:rtl/>
        </w:rPr>
        <w:tab/>
      </w:r>
      <w:r>
        <w:rPr>
          <w:rFonts w:hint="cs"/>
          <w:rtl/>
        </w:rPr>
        <w:t xml:space="preserve">מרכז המחקר והמידע של הכנסת, </w:t>
      </w:r>
      <w:r w:rsidRPr="00B4661A">
        <w:rPr>
          <w:rFonts w:hint="eastAsia"/>
          <w:b/>
          <w:bCs/>
          <w:rtl/>
        </w:rPr>
        <w:t>משכנתאות</w:t>
      </w:r>
      <w:r w:rsidRPr="00B4661A">
        <w:rPr>
          <w:b/>
          <w:bCs/>
          <w:rtl/>
        </w:rPr>
        <w:t xml:space="preserve"> </w:t>
      </w:r>
      <w:r w:rsidRPr="00B4661A">
        <w:rPr>
          <w:rFonts w:hint="eastAsia"/>
          <w:b/>
          <w:bCs/>
          <w:rtl/>
        </w:rPr>
        <w:t>בישראל</w:t>
      </w:r>
      <w:r w:rsidRPr="00B4661A">
        <w:rPr>
          <w:b/>
          <w:bCs/>
          <w:rtl/>
        </w:rPr>
        <w:t xml:space="preserve"> </w:t>
      </w:r>
      <w:r w:rsidRPr="00B4661A">
        <w:rPr>
          <w:rFonts w:hint="eastAsia"/>
          <w:b/>
          <w:bCs/>
          <w:rtl/>
        </w:rPr>
        <w:t>ובמדינות</w:t>
      </w:r>
      <w:r w:rsidRPr="00B4661A">
        <w:rPr>
          <w:b/>
          <w:bCs/>
          <w:rtl/>
        </w:rPr>
        <w:t xml:space="preserve"> </w:t>
      </w:r>
      <w:r w:rsidRPr="00B4661A">
        <w:rPr>
          <w:rFonts w:hint="eastAsia"/>
          <w:b/>
          <w:bCs/>
          <w:rtl/>
        </w:rPr>
        <w:t>נבחרות</w:t>
      </w:r>
      <w:r w:rsidRPr="00B4661A">
        <w:rPr>
          <w:b/>
          <w:bCs/>
          <w:rtl/>
        </w:rPr>
        <w:t xml:space="preserve">: </w:t>
      </w:r>
      <w:r w:rsidRPr="00B4661A">
        <w:rPr>
          <w:rFonts w:hint="eastAsia"/>
          <w:b/>
          <w:bCs/>
          <w:rtl/>
        </w:rPr>
        <w:t>מאפיינים</w:t>
      </w:r>
      <w:r w:rsidRPr="00B4661A">
        <w:rPr>
          <w:b/>
          <w:bCs/>
          <w:rtl/>
        </w:rPr>
        <w:t xml:space="preserve">, </w:t>
      </w:r>
      <w:r w:rsidRPr="00B4661A">
        <w:rPr>
          <w:rFonts w:hint="eastAsia"/>
          <w:b/>
          <w:bCs/>
          <w:rtl/>
        </w:rPr>
        <w:t>סוגים</w:t>
      </w:r>
      <w:r w:rsidRPr="00B4661A">
        <w:rPr>
          <w:b/>
          <w:bCs/>
          <w:rtl/>
        </w:rPr>
        <w:t xml:space="preserve"> </w:t>
      </w:r>
      <w:r w:rsidRPr="00B4661A">
        <w:rPr>
          <w:rFonts w:hint="eastAsia"/>
          <w:b/>
          <w:bCs/>
          <w:rtl/>
        </w:rPr>
        <w:t>ומסלולים</w:t>
      </w:r>
      <w:r>
        <w:rPr>
          <w:rFonts w:hint="cs"/>
          <w:rtl/>
        </w:rPr>
        <w:t xml:space="preserve"> (מרץ 2008), עמ' 2 -3.</w:t>
      </w:r>
    </w:p>
  </w:footnote>
  <w:footnote w:id="132">
    <w:p w:rsidR="00F74793" w:rsidP="00FF56A9">
      <w:pPr>
        <w:pStyle w:val="FootnoteText"/>
        <w:rPr>
          <w:rtl/>
        </w:rPr>
      </w:pPr>
      <w:r>
        <w:rPr>
          <w:rStyle w:val="FootnoteReference1"/>
        </w:rPr>
        <w:footnoteRef/>
      </w:r>
      <w:r>
        <w:rPr>
          <w:rtl/>
        </w:rPr>
        <w:t xml:space="preserve"> </w:t>
      </w:r>
      <w:r>
        <w:rPr>
          <w:rtl/>
        </w:rPr>
        <w:tab/>
      </w:r>
      <w:r>
        <w:rPr>
          <w:rFonts w:hint="cs"/>
          <w:rtl/>
        </w:rPr>
        <w:t>הון עצמי רובד 1 מ</w:t>
      </w:r>
      <w:r w:rsidRPr="00095C3D">
        <w:rPr>
          <w:rtl/>
        </w:rPr>
        <w:t xml:space="preserve">תייחס להון הליבה של הבנק </w:t>
      </w:r>
      <w:r>
        <w:rPr>
          <w:rFonts w:hint="cs"/>
          <w:rtl/>
        </w:rPr>
        <w:t>ה</w:t>
      </w:r>
      <w:r w:rsidRPr="00095C3D">
        <w:rPr>
          <w:rtl/>
        </w:rPr>
        <w:t>משמש למימון פעילות עסקית</w:t>
      </w:r>
      <w:r>
        <w:rPr>
          <w:rFonts w:hint="cs"/>
          <w:rtl/>
        </w:rPr>
        <w:t>.</w:t>
      </w:r>
      <w:r w:rsidRPr="00095C3D">
        <w:rPr>
          <w:rtl/>
        </w:rPr>
        <w:t xml:space="preserve"> </w:t>
      </w:r>
      <w:r>
        <w:rPr>
          <w:rFonts w:hint="cs"/>
          <w:rtl/>
        </w:rPr>
        <w:t>הוא מייצג את</w:t>
      </w:r>
      <w:r w:rsidRPr="00095C3D">
        <w:rPr>
          <w:rtl/>
        </w:rPr>
        <w:t xml:space="preserve"> ההון הפיקוחי </w:t>
      </w:r>
      <w:r>
        <w:rPr>
          <w:rFonts w:hint="cs"/>
          <w:rtl/>
        </w:rPr>
        <w:t>של ה</w:t>
      </w:r>
      <w:r w:rsidRPr="00095C3D">
        <w:rPr>
          <w:rtl/>
        </w:rPr>
        <w:t>בנקים, המורכב בעיקרו ממניות רגילות ורווחים שנצברו, ונועד לספוג הפסדים</w:t>
      </w:r>
      <w:r>
        <w:rPr>
          <w:rFonts w:hint="cs"/>
          <w:rtl/>
        </w:rPr>
        <w:t>.</w:t>
      </w:r>
    </w:p>
  </w:footnote>
  <w:footnote w:id="133">
    <w:p w:rsidR="00F74793" w:rsidP="00FF56A9">
      <w:pPr>
        <w:pStyle w:val="FootnoteText"/>
        <w:rPr>
          <w:rtl/>
        </w:rPr>
      </w:pPr>
      <w:r>
        <w:rPr>
          <w:rStyle w:val="FootnoteReference1"/>
        </w:rPr>
        <w:footnoteRef/>
      </w:r>
      <w:r>
        <w:rPr>
          <w:rtl/>
        </w:rPr>
        <w:t xml:space="preserve"> </w:t>
      </w:r>
      <w:r>
        <w:rPr>
          <w:rtl/>
        </w:rPr>
        <w:tab/>
      </w:r>
      <w:r>
        <w:rPr>
          <w:rFonts w:hint="cs"/>
          <w:rtl/>
        </w:rPr>
        <w:t xml:space="preserve">בנק ישראל, </w:t>
      </w:r>
      <w:r w:rsidRPr="0012171C">
        <w:rPr>
          <w:rFonts w:hint="eastAsia"/>
          <w:b/>
          <w:bCs/>
          <w:rtl/>
        </w:rPr>
        <w:t>מערכת</w:t>
      </w:r>
      <w:r w:rsidRPr="0012171C">
        <w:rPr>
          <w:b/>
          <w:bCs/>
          <w:rtl/>
        </w:rPr>
        <w:t xml:space="preserve"> </w:t>
      </w:r>
      <w:r w:rsidRPr="0012171C">
        <w:rPr>
          <w:rFonts w:hint="eastAsia"/>
          <w:b/>
          <w:bCs/>
          <w:rtl/>
        </w:rPr>
        <w:t>הבנקאות</w:t>
      </w:r>
      <w:r w:rsidRPr="0012171C">
        <w:rPr>
          <w:b/>
          <w:bCs/>
          <w:rtl/>
        </w:rPr>
        <w:t xml:space="preserve"> </w:t>
      </w:r>
      <w:r w:rsidRPr="0012171C">
        <w:rPr>
          <w:rFonts w:hint="eastAsia"/>
          <w:b/>
          <w:bCs/>
          <w:rtl/>
        </w:rPr>
        <w:t>בישראל</w:t>
      </w:r>
      <w:r w:rsidRPr="0012171C">
        <w:rPr>
          <w:b/>
          <w:bCs/>
          <w:rtl/>
        </w:rPr>
        <w:t>-</w:t>
      </w:r>
      <w:r w:rsidRPr="0012171C">
        <w:rPr>
          <w:rFonts w:hint="cs"/>
          <w:b/>
          <w:bCs/>
          <w:rtl/>
        </w:rPr>
        <w:t xml:space="preserve"> </w:t>
      </w:r>
      <w:r w:rsidRPr="0012171C">
        <w:rPr>
          <w:rFonts w:hint="eastAsia"/>
          <w:b/>
          <w:bCs/>
          <w:rtl/>
        </w:rPr>
        <w:t>סקירה</w:t>
      </w:r>
      <w:r w:rsidRPr="0012171C">
        <w:rPr>
          <w:b/>
          <w:bCs/>
          <w:rtl/>
        </w:rPr>
        <w:t xml:space="preserve"> </w:t>
      </w:r>
      <w:r w:rsidRPr="0012171C">
        <w:rPr>
          <w:rFonts w:hint="eastAsia"/>
          <w:b/>
          <w:bCs/>
          <w:rtl/>
        </w:rPr>
        <w:t>שנתית</w:t>
      </w:r>
      <w:r w:rsidRPr="0012171C">
        <w:rPr>
          <w:b/>
          <w:bCs/>
          <w:rtl/>
        </w:rPr>
        <w:t xml:space="preserve"> 2020</w:t>
      </w:r>
      <w:r w:rsidRPr="004C2D8F">
        <w:rPr>
          <w:b/>
          <w:bCs/>
          <w:rtl/>
        </w:rPr>
        <w:t xml:space="preserve"> </w:t>
      </w:r>
      <w:r>
        <w:rPr>
          <w:rFonts w:hint="cs"/>
          <w:rtl/>
        </w:rPr>
        <w:t>(מאי 2021), עמ' 197- 198.</w:t>
      </w:r>
      <w:r>
        <w:rPr>
          <w:rFonts w:hint="cs"/>
        </w:rPr>
        <w:t xml:space="preserve"> </w:t>
      </w:r>
    </w:p>
  </w:footnote>
  <w:footnote w:id="134">
    <w:p w:rsidR="00F74793" w:rsidRPr="001F2586" w:rsidP="001F2586">
      <w:pPr>
        <w:pStyle w:val="FootnoteText"/>
        <w:rPr>
          <w:rFonts w:ascii="Calibri" w:hAnsi="Calibri" w:cs="Arial"/>
          <w:rtl/>
        </w:rPr>
      </w:pPr>
      <w:r>
        <w:rPr>
          <w:rStyle w:val="FootnoteReference1"/>
        </w:rPr>
        <w:footnoteRef/>
      </w:r>
      <w:r>
        <w:rPr>
          <w:rtl/>
        </w:rPr>
        <w:t xml:space="preserve"> </w:t>
      </w:r>
      <w:r>
        <w:rPr>
          <w:rtl/>
        </w:rPr>
        <w:tab/>
      </w:r>
      <w:r>
        <w:rPr>
          <w:rFonts w:hint="cs"/>
          <w:rtl/>
        </w:rPr>
        <w:t>יצוין כי הוראה זו נקבעה במכתב של המפקח על הבנקים לתאגידים הבנקאיים "</w:t>
      </w:r>
      <w:r w:rsidRPr="00B4661A">
        <w:rPr>
          <w:rFonts w:hint="cs"/>
          <w:rtl/>
        </w:rPr>
        <w:t>הלוואות ממונפות לדיור בריבית משתנה</w:t>
      </w:r>
      <w:r>
        <w:rPr>
          <w:rFonts w:hint="cs"/>
          <w:rtl/>
        </w:rPr>
        <w:t>" מיום 28.10.2010. יצוין כי הוראה זו חלה בפועל על הלוואות שניתנו מיום 26.10.10 עד ליום 31.12.12.</w:t>
      </w:r>
    </w:p>
  </w:footnote>
  <w:footnote w:id="135">
    <w:p w:rsidR="00F74793" w:rsidP="001F2586">
      <w:pPr>
        <w:pStyle w:val="FootnoteText"/>
      </w:pPr>
      <w:r>
        <w:rPr>
          <w:rStyle w:val="FootnoteReference1"/>
        </w:rPr>
        <w:footnoteRef/>
      </w:r>
      <w:r>
        <w:rPr>
          <w:rtl/>
        </w:rPr>
        <w:t xml:space="preserve"> </w:t>
      </w:r>
      <w:r>
        <w:rPr>
          <w:rtl/>
        </w:rPr>
        <w:tab/>
      </w:r>
      <w:r w:rsidRPr="00DC674E">
        <w:rPr>
          <w:rtl/>
        </w:rPr>
        <w:t xml:space="preserve">בנק ישראל, </w:t>
      </w:r>
      <w:r w:rsidRPr="00B4661A">
        <w:rPr>
          <w:rtl/>
        </w:rPr>
        <w:t>דוח היציבות הפיננסית למחצית השנייה של</w:t>
      </w:r>
      <w:r w:rsidRPr="00B4661A">
        <w:rPr>
          <w:rFonts w:hint="cs"/>
          <w:rtl/>
        </w:rPr>
        <w:t xml:space="preserve"> שנת 2024</w:t>
      </w:r>
      <w:r>
        <w:rPr>
          <w:rFonts w:hint="cs"/>
          <w:rtl/>
        </w:rPr>
        <w:t xml:space="preserve">, </w:t>
      </w:r>
      <w:r w:rsidRPr="00DC674E">
        <w:rPr>
          <w:rtl/>
        </w:rPr>
        <w:t xml:space="preserve">פברואר </w:t>
      </w:r>
      <w:r>
        <w:rPr>
          <w:rFonts w:hint="cs"/>
          <w:rtl/>
        </w:rPr>
        <w:t xml:space="preserve">2025, </w:t>
      </w:r>
      <w:r w:rsidRPr="00DC674E">
        <w:rPr>
          <w:rtl/>
        </w:rPr>
        <w:t xml:space="preserve">עמ' </w:t>
      </w:r>
      <w:r>
        <w:rPr>
          <w:rFonts w:hint="cs"/>
          <w:rtl/>
        </w:rPr>
        <w:t>24.</w:t>
      </w:r>
    </w:p>
  </w:footnote>
  <w:footnote w:id="136">
    <w:p w:rsidR="00F74793" w:rsidP="001F2586">
      <w:pPr>
        <w:pStyle w:val="FootnoteText"/>
      </w:pPr>
      <w:r>
        <w:rPr>
          <w:rStyle w:val="FootnoteReference1"/>
        </w:rPr>
        <w:footnoteRef/>
      </w:r>
      <w:r>
        <w:rPr>
          <w:rtl/>
        </w:rPr>
        <w:t xml:space="preserve"> </w:t>
      </w:r>
      <w:r>
        <w:rPr>
          <w:rtl/>
        </w:rPr>
        <w:tab/>
      </w:r>
      <w:r>
        <w:rPr>
          <w:rFonts w:hint="cs"/>
          <w:rtl/>
        </w:rPr>
        <w:t xml:space="preserve">משכנתאות ממונפות הוגדרו אז כמשכנתאות </w:t>
      </w:r>
      <w:r w:rsidRPr="00435035">
        <w:rPr>
          <w:rtl/>
        </w:rPr>
        <w:t>בסכום שמעל 800 אלף ש"ח בשיעור מימון גבוה (מעל 60%), ושחלק ההלוואה שלהן בריבית משתנה הוא 25% או יותר</w:t>
      </w:r>
      <w:r>
        <w:rPr>
          <w:rFonts w:hint="cs"/>
          <w:rtl/>
        </w:rPr>
        <w:t>.</w:t>
      </w:r>
    </w:p>
  </w:footnote>
  <w:footnote w:id="137">
    <w:p w:rsidR="00F74793" w:rsidP="001F2586">
      <w:pPr>
        <w:pStyle w:val="FootnoteText"/>
      </w:pPr>
      <w:r>
        <w:rPr>
          <w:rStyle w:val="FootnoteReference1"/>
        </w:rPr>
        <w:footnoteRef/>
      </w:r>
      <w:r>
        <w:rPr>
          <w:rtl/>
        </w:rPr>
        <w:t xml:space="preserve"> </w:t>
      </w:r>
      <w:r>
        <w:rPr>
          <w:rtl/>
        </w:rPr>
        <w:tab/>
      </w:r>
      <w:r>
        <w:rPr>
          <w:rFonts w:hint="cs"/>
          <w:rtl/>
        </w:rPr>
        <w:t xml:space="preserve">יצוין כי בסעיף 10 </w:t>
      </w:r>
      <w:r w:rsidRPr="00B4661A">
        <w:rPr>
          <w:rFonts w:hint="cs"/>
          <w:rtl/>
        </w:rPr>
        <w:t xml:space="preserve">להוראת </w:t>
      </w:r>
      <w:r w:rsidRPr="00B4661A">
        <w:rPr>
          <w:rFonts w:hint="cs"/>
          <w:rtl/>
        </w:rPr>
        <w:t>נב"ת</w:t>
      </w:r>
      <w:r w:rsidRPr="00B4661A">
        <w:rPr>
          <w:rFonts w:hint="cs"/>
          <w:rtl/>
        </w:rPr>
        <w:t xml:space="preserve"> 203</w:t>
      </w:r>
      <w:r>
        <w:rPr>
          <w:rFonts w:hint="cs"/>
          <w:rtl/>
        </w:rPr>
        <w:t xml:space="preserve"> יש הפניה להגדרה של פיגור להוראות הדיווח לציבור.</w:t>
      </w:r>
    </w:p>
  </w:footnote>
  <w:footnote w:id="138">
    <w:p w:rsidR="00F74793" w:rsidP="001F2586">
      <w:pPr>
        <w:pStyle w:val="FootnoteText"/>
      </w:pPr>
      <w:r>
        <w:rPr>
          <w:rStyle w:val="FootnoteReference1"/>
        </w:rPr>
        <w:footnoteRef/>
      </w:r>
      <w:r>
        <w:rPr>
          <w:rtl/>
        </w:rPr>
        <w:t xml:space="preserve"> </w:t>
      </w:r>
      <w:r>
        <w:rPr>
          <w:rtl/>
        </w:rPr>
        <w:tab/>
      </w:r>
      <w:r>
        <w:rPr>
          <w:rFonts w:hint="cs"/>
          <w:rtl/>
        </w:rPr>
        <w:t xml:space="preserve">הפיקוח על הבנקים, </w:t>
      </w:r>
      <w:r w:rsidRPr="00B4661A">
        <w:rPr>
          <w:rFonts w:hint="cs"/>
          <w:rtl/>
        </w:rPr>
        <w:t>הוראת דיווח לציבור "דוח כספי שנתי-חלק א'-כללי" מס' 631-1-164</w:t>
      </w:r>
      <w:r>
        <w:rPr>
          <w:rFonts w:hint="cs"/>
          <w:rtl/>
        </w:rPr>
        <w:t>, עמ' 4 - 5.</w:t>
      </w:r>
    </w:p>
  </w:footnote>
  <w:footnote w:id="139">
    <w:p w:rsidR="00F74793" w:rsidP="001F2586">
      <w:pPr>
        <w:pStyle w:val="FootnoteText"/>
      </w:pPr>
      <w:r>
        <w:rPr>
          <w:rStyle w:val="FootnoteReference1"/>
        </w:rPr>
        <w:footnoteRef/>
      </w:r>
      <w:r>
        <w:rPr>
          <w:rtl/>
        </w:rPr>
        <w:t xml:space="preserve"> </w:t>
      </w:r>
      <w:r>
        <w:rPr>
          <w:rtl/>
        </w:rPr>
        <w:tab/>
      </w:r>
      <w:r>
        <w:rPr>
          <w:rFonts w:hint="cs"/>
          <w:rtl/>
        </w:rPr>
        <w:t xml:space="preserve">מרכז המחקר והמידע של הכנסת, </w:t>
      </w:r>
      <w:r w:rsidRPr="00B4661A">
        <w:rPr>
          <w:rFonts w:hint="eastAsia"/>
          <w:b/>
          <w:bCs/>
          <w:rtl/>
        </w:rPr>
        <w:t>ניתוח</w:t>
      </w:r>
      <w:r w:rsidRPr="00B4661A">
        <w:rPr>
          <w:b/>
          <w:bCs/>
          <w:rtl/>
        </w:rPr>
        <w:t xml:space="preserve"> </w:t>
      </w:r>
      <w:r w:rsidRPr="00B4661A">
        <w:rPr>
          <w:rFonts w:hint="eastAsia"/>
          <w:b/>
          <w:bCs/>
          <w:rtl/>
        </w:rPr>
        <w:t>סיכונים</w:t>
      </w:r>
      <w:r w:rsidRPr="00B4661A">
        <w:rPr>
          <w:b/>
          <w:bCs/>
          <w:rtl/>
        </w:rPr>
        <w:t xml:space="preserve"> </w:t>
      </w:r>
      <w:r w:rsidRPr="00B4661A">
        <w:rPr>
          <w:rFonts w:hint="eastAsia"/>
          <w:b/>
          <w:bCs/>
          <w:rtl/>
        </w:rPr>
        <w:t>מקרו</w:t>
      </w:r>
      <w:r w:rsidRPr="00B4661A">
        <w:rPr>
          <w:b/>
          <w:bCs/>
          <w:rtl/>
        </w:rPr>
        <w:t xml:space="preserve"> </w:t>
      </w:r>
      <w:r w:rsidRPr="00B4661A">
        <w:rPr>
          <w:rFonts w:hint="eastAsia"/>
          <w:b/>
          <w:bCs/>
          <w:rtl/>
        </w:rPr>
        <w:t>יציבותיים</w:t>
      </w:r>
      <w:r w:rsidRPr="00B4661A">
        <w:rPr>
          <w:b/>
          <w:bCs/>
          <w:rtl/>
        </w:rPr>
        <w:t xml:space="preserve"> </w:t>
      </w:r>
      <w:r w:rsidRPr="00B4661A">
        <w:rPr>
          <w:rFonts w:hint="eastAsia"/>
          <w:b/>
          <w:bCs/>
          <w:rtl/>
        </w:rPr>
        <w:t>הנובעים</w:t>
      </w:r>
      <w:r w:rsidRPr="00B4661A">
        <w:rPr>
          <w:b/>
          <w:bCs/>
          <w:rtl/>
        </w:rPr>
        <w:t xml:space="preserve"> </w:t>
      </w:r>
      <w:r w:rsidRPr="00B4661A">
        <w:rPr>
          <w:rFonts w:hint="eastAsia"/>
          <w:b/>
          <w:bCs/>
          <w:rtl/>
        </w:rPr>
        <w:t>מאשראי</w:t>
      </w:r>
      <w:r w:rsidRPr="00B4661A">
        <w:rPr>
          <w:b/>
          <w:bCs/>
          <w:rtl/>
        </w:rPr>
        <w:t xml:space="preserve"> </w:t>
      </w:r>
      <w:r w:rsidRPr="00B4661A">
        <w:rPr>
          <w:rFonts w:hint="eastAsia"/>
          <w:b/>
          <w:bCs/>
          <w:rtl/>
        </w:rPr>
        <w:t>לדיור</w:t>
      </w:r>
      <w:r w:rsidRPr="00B4661A">
        <w:rPr>
          <w:b/>
          <w:bCs/>
          <w:rtl/>
        </w:rPr>
        <w:t xml:space="preserve"> </w:t>
      </w:r>
      <w:r w:rsidRPr="00B4661A">
        <w:rPr>
          <w:rFonts w:hint="eastAsia"/>
          <w:b/>
          <w:bCs/>
          <w:rtl/>
        </w:rPr>
        <w:t>ומאשראי</w:t>
      </w:r>
      <w:r w:rsidRPr="00B4661A">
        <w:rPr>
          <w:b/>
          <w:bCs/>
          <w:rtl/>
        </w:rPr>
        <w:t xml:space="preserve"> </w:t>
      </w:r>
      <w:r w:rsidRPr="00B4661A">
        <w:rPr>
          <w:rFonts w:hint="eastAsia"/>
          <w:b/>
          <w:bCs/>
          <w:rtl/>
        </w:rPr>
        <w:t>לענף</w:t>
      </w:r>
      <w:r w:rsidRPr="00B4661A">
        <w:rPr>
          <w:b/>
          <w:bCs/>
          <w:rtl/>
        </w:rPr>
        <w:t xml:space="preserve"> </w:t>
      </w:r>
      <w:r w:rsidRPr="00B4661A">
        <w:rPr>
          <w:rFonts w:hint="eastAsia"/>
          <w:b/>
          <w:bCs/>
          <w:rtl/>
        </w:rPr>
        <w:t>הבניה</w:t>
      </w:r>
      <w:r>
        <w:rPr>
          <w:rFonts w:hint="cs"/>
          <w:rtl/>
        </w:rPr>
        <w:t xml:space="preserve"> (מרץ 2025), עמ' 19 - 22.</w:t>
      </w:r>
    </w:p>
  </w:footnote>
  <w:footnote w:id="140">
    <w:p w:rsidR="00F74793" w:rsidP="001F2586">
      <w:pPr>
        <w:pStyle w:val="FootnoteText"/>
        <w:rPr>
          <w:rtl/>
        </w:rPr>
      </w:pPr>
      <w:r>
        <w:rPr>
          <w:rStyle w:val="FootnoteReference1"/>
        </w:rPr>
        <w:footnoteRef/>
      </w:r>
      <w:r>
        <w:rPr>
          <w:rtl/>
        </w:rPr>
        <w:t xml:space="preserve"> </w:t>
      </w:r>
      <w:r>
        <w:rPr>
          <w:rtl/>
        </w:rPr>
        <w:tab/>
      </w:r>
      <w:r>
        <w:rPr>
          <w:rFonts w:hint="cs"/>
          <w:rtl/>
        </w:rPr>
        <w:t xml:space="preserve">המפקח על הבנקים, </w:t>
      </w:r>
      <w:r w:rsidRPr="00B4661A">
        <w:rPr>
          <w:rFonts w:hint="cs"/>
          <w:rtl/>
        </w:rPr>
        <w:t>נב"ת</w:t>
      </w:r>
      <w:r w:rsidRPr="00B4661A">
        <w:rPr>
          <w:rFonts w:hint="cs"/>
          <w:rtl/>
        </w:rPr>
        <w:t xml:space="preserve"> 204- מדידה והלימות הון- גישת הדירוגים הפנימיים לסיכון אשראי (</w:t>
      </w:r>
      <w:r w:rsidRPr="00B4661A">
        <w:rPr>
          <w:rFonts w:hint="cs"/>
        </w:rPr>
        <w:t>IRB</w:t>
      </w:r>
      <w:r>
        <w:rPr>
          <w:rFonts w:hint="cs"/>
          <w:rtl/>
        </w:rPr>
        <w:t>), עמ' 62.</w:t>
      </w:r>
    </w:p>
  </w:footnote>
  <w:footnote w:id="141">
    <w:p w:rsidR="00F74793" w:rsidP="001F2586">
      <w:pPr>
        <w:pStyle w:val="FootnoteText"/>
        <w:rPr>
          <w:rtl/>
        </w:rPr>
      </w:pPr>
      <w:r>
        <w:rPr>
          <w:rStyle w:val="FootnoteReference1"/>
        </w:rPr>
        <w:footnoteRef/>
      </w:r>
      <w:r>
        <w:rPr>
          <w:rtl/>
        </w:rPr>
        <w:t xml:space="preserve"> </w:t>
      </w:r>
      <w:r>
        <w:rPr>
          <w:rtl/>
        </w:rPr>
        <w:tab/>
      </w:r>
      <w:r w:rsidRPr="00B4661A">
        <w:rPr>
          <w:rFonts w:hint="cs"/>
          <w:rtl/>
        </w:rPr>
        <w:t>שם</w:t>
      </w:r>
      <w:r>
        <w:rPr>
          <w:rFonts w:hint="cs"/>
          <w:rtl/>
        </w:rPr>
        <w:t>.</w:t>
      </w:r>
    </w:p>
  </w:footnote>
  <w:footnote w:id="142">
    <w:p w:rsidR="00F74793" w:rsidP="001F2586">
      <w:pPr>
        <w:pStyle w:val="FootnoteText"/>
      </w:pPr>
      <w:r>
        <w:rPr>
          <w:rStyle w:val="FootnoteReference1"/>
        </w:rPr>
        <w:footnoteRef/>
      </w:r>
      <w:r>
        <w:rPr>
          <w:rtl/>
        </w:rPr>
        <w:t xml:space="preserve"> </w:t>
      </w:r>
      <w:r>
        <w:rPr>
          <w:rtl/>
        </w:rPr>
        <w:tab/>
      </w:r>
      <w:r>
        <w:rPr>
          <w:rFonts w:hint="cs"/>
          <w:rtl/>
        </w:rPr>
        <w:t>יצוין כי החל משנת 2022 מיושמים כללים חדשים (</w:t>
      </w:r>
      <w:r>
        <w:rPr>
          <w:rFonts w:hint="cs"/>
        </w:rPr>
        <w:t>CECL</w:t>
      </w:r>
      <w:r>
        <w:rPr>
          <w:rFonts w:hint="cs"/>
          <w:rtl/>
        </w:rPr>
        <w:t>) בנושא הפרשות להפסדי אשראי, במסגרתם שונתה ההגדרה מאשראי פגום לאשראי לא צובר.</w:t>
      </w:r>
    </w:p>
  </w:footnote>
  <w:footnote w:id="143">
    <w:p w:rsidR="00F74793" w:rsidP="001F2586">
      <w:pPr>
        <w:pStyle w:val="FootnoteText"/>
      </w:pPr>
      <w:r>
        <w:rPr>
          <w:rStyle w:val="FootnoteReference1"/>
        </w:rPr>
        <w:footnoteRef/>
      </w:r>
      <w:r>
        <w:rPr>
          <w:rtl/>
        </w:rPr>
        <w:t xml:space="preserve"> </w:t>
      </w:r>
      <w:r>
        <w:rPr>
          <w:rtl/>
        </w:rPr>
        <w:tab/>
      </w:r>
      <w:r>
        <w:rPr>
          <w:rFonts w:hint="cs"/>
          <w:rtl/>
        </w:rPr>
        <w:t xml:space="preserve">מרכז המחקר והמידע של הכנסת, </w:t>
      </w:r>
      <w:r w:rsidRPr="00B4661A">
        <w:rPr>
          <w:rFonts w:hint="eastAsia"/>
          <w:b/>
          <w:bCs/>
          <w:rtl/>
        </w:rPr>
        <w:t>ניתוח</w:t>
      </w:r>
      <w:r w:rsidRPr="00B4661A">
        <w:rPr>
          <w:b/>
          <w:bCs/>
          <w:rtl/>
        </w:rPr>
        <w:t xml:space="preserve"> </w:t>
      </w:r>
      <w:r w:rsidRPr="00B4661A">
        <w:rPr>
          <w:rFonts w:hint="eastAsia"/>
          <w:b/>
          <w:bCs/>
          <w:rtl/>
        </w:rPr>
        <w:t>סיכונים</w:t>
      </w:r>
      <w:r w:rsidRPr="00B4661A">
        <w:rPr>
          <w:b/>
          <w:bCs/>
          <w:rtl/>
        </w:rPr>
        <w:t xml:space="preserve"> </w:t>
      </w:r>
      <w:r w:rsidRPr="00B4661A">
        <w:rPr>
          <w:rFonts w:hint="eastAsia"/>
          <w:b/>
          <w:bCs/>
          <w:rtl/>
        </w:rPr>
        <w:t>מקרו</w:t>
      </w:r>
      <w:r w:rsidRPr="00B4661A">
        <w:rPr>
          <w:b/>
          <w:bCs/>
          <w:rtl/>
        </w:rPr>
        <w:t xml:space="preserve"> </w:t>
      </w:r>
      <w:r w:rsidRPr="00B4661A">
        <w:rPr>
          <w:rFonts w:hint="eastAsia"/>
          <w:b/>
          <w:bCs/>
          <w:rtl/>
        </w:rPr>
        <w:t>יציבותיים</w:t>
      </w:r>
      <w:r w:rsidRPr="00B4661A">
        <w:rPr>
          <w:b/>
          <w:bCs/>
          <w:rtl/>
        </w:rPr>
        <w:t xml:space="preserve"> </w:t>
      </w:r>
      <w:r w:rsidRPr="00B4661A">
        <w:rPr>
          <w:rFonts w:hint="eastAsia"/>
          <w:b/>
          <w:bCs/>
          <w:rtl/>
        </w:rPr>
        <w:t>הנובעים</w:t>
      </w:r>
      <w:r w:rsidRPr="00B4661A">
        <w:rPr>
          <w:b/>
          <w:bCs/>
          <w:rtl/>
        </w:rPr>
        <w:t xml:space="preserve"> </w:t>
      </w:r>
      <w:r w:rsidRPr="00B4661A">
        <w:rPr>
          <w:rFonts w:hint="eastAsia"/>
          <w:b/>
          <w:bCs/>
          <w:rtl/>
        </w:rPr>
        <w:t>מאשראי</w:t>
      </w:r>
      <w:r w:rsidRPr="00B4661A">
        <w:rPr>
          <w:b/>
          <w:bCs/>
          <w:rtl/>
        </w:rPr>
        <w:t xml:space="preserve"> </w:t>
      </w:r>
      <w:r w:rsidRPr="00B4661A">
        <w:rPr>
          <w:rFonts w:hint="eastAsia"/>
          <w:b/>
          <w:bCs/>
          <w:rtl/>
        </w:rPr>
        <w:t>לדיור</w:t>
      </w:r>
      <w:r w:rsidRPr="00B4661A">
        <w:rPr>
          <w:b/>
          <w:bCs/>
          <w:rtl/>
        </w:rPr>
        <w:t xml:space="preserve"> </w:t>
      </w:r>
      <w:r w:rsidRPr="00B4661A">
        <w:rPr>
          <w:rFonts w:hint="eastAsia"/>
          <w:b/>
          <w:bCs/>
          <w:rtl/>
        </w:rPr>
        <w:t>ומאשראי</w:t>
      </w:r>
      <w:r w:rsidRPr="00B4661A">
        <w:rPr>
          <w:b/>
          <w:bCs/>
          <w:rtl/>
        </w:rPr>
        <w:t xml:space="preserve"> </w:t>
      </w:r>
      <w:r w:rsidRPr="00B4661A">
        <w:rPr>
          <w:rFonts w:hint="eastAsia"/>
          <w:b/>
          <w:bCs/>
          <w:rtl/>
        </w:rPr>
        <w:t>לענף</w:t>
      </w:r>
      <w:r w:rsidRPr="00B4661A">
        <w:rPr>
          <w:b/>
          <w:bCs/>
          <w:rtl/>
        </w:rPr>
        <w:t xml:space="preserve"> </w:t>
      </w:r>
      <w:r w:rsidRPr="00B4661A">
        <w:rPr>
          <w:rFonts w:hint="eastAsia"/>
          <w:b/>
          <w:bCs/>
          <w:rtl/>
        </w:rPr>
        <w:t>הבניה</w:t>
      </w:r>
      <w:r>
        <w:rPr>
          <w:rFonts w:hint="cs"/>
          <w:rtl/>
        </w:rPr>
        <w:t xml:space="preserve"> (מרץ 2025), עמ' 19 - 22. בסעיף 5 ב</w:t>
      </w:r>
      <w:r w:rsidRPr="00B4661A">
        <w:rPr>
          <w:rFonts w:hint="cs"/>
          <w:rtl/>
        </w:rPr>
        <w:t>חוזר 2651-06</w:t>
      </w:r>
      <w:r>
        <w:rPr>
          <w:rFonts w:hint="cs"/>
          <w:rtl/>
        </w:rPr>
        <w:t xml:space="preserve"> מיום 31.1.21 צוין כי הדרישה לסווג הלוואות לדיור שנמצאות בפיגור של 90 ימים או יותר כהלוואות שאינן צוברות ריבית היא בהתאם לאופן הטיפול החשבונאי המקובל בהלוואות לדיור בארה"ב.</w:t>
      </w:r>
    </w:p>
  </w:footnote>
  <w:footnote w:id="144">
    <w:p w:rsidR="00F74793" w:rsidP="001F2586">
      <w:pPr>
        <w:pStyle w:val="FootnoteText"/>
        <w:rPr>
          <w:rtl/>
        </w:rPr>
      </w:pPr>
      <w:r>
        <w:rPr>
          <w:rStyle w:val="FootnoteReference1"/>
        </w:rPr>
        <w:footnoteRef/>
      </w:r>
      <w:r>
        <w:rPr>
          <w:rtl/>
        </w:rPr>
        <w:t xml:space="preserve"> </w:t>
      </w:r>
      <w:r>
        <w:rPr>
          <w:rtl/>
        </w:rPr>
        <w:tab/>
      </w:r>
      <w:r>
        <w:rPr>
          <w:rFonts w:hint="cs"/>
        </w:rPr>
        <w:t>NP</w:t>
      </w:r>
      <w:r>
        <w:t>L</w:t>
      </w:r>
      <w:r>
        <w:rPr>
          <w:rtl/>
        </w:rPr>
        <w:t xml:space="preserve"> </w:t>
      </w:r>
      <w:r>
        <w:rPr>
          <w:rFonts w:hint="cs"/>
          <w:rtl/>
        </w:rPr>
        <w:t>=</w:t>
      </w:r>
      <w:r>
        <w:rPr>
          <w:rFonts w:hint="cs"/>
        </w:rPr>
        <w:t xml:space="preserve"> </w:t>
      </w:r>
      <w:r>
        <w:rPr>
          <w:rtl/>
        </w:rPr>
        <w:t>סך האשראי שאינו צובר ריבית + אשראי צובר ריבית שנמצא בפיגור של 90 יום ומעלה.</w:t>
      </w:r>
    </w:p>
  </w:footnote>
  <w:footnote w:id="145">
    <w:p w:rsidR="00F74793" w:rsidP="001F2586">
      <w:pPr>
        <w:pStyle w:val="FootnoteText"/>
      </w:pPr>
      <w:r>
        <w:rPr>
          <w:rStyle w:val="FootnoteReference1"/>
        </w:rPr>
        <w:footnoteRef/>
      </w:r>
      <w:r>
        <w:rPr>
          <w:rtl/>
        </w:rPr>
        <w:t xml:space="preserve"> </w:t>
      </w:r>
      <w:r>
        <w:rPr>
          <w:rtl/>
        </w:rPr>
        <w:tab/>
      </w:r>
      <w:r>
        <w:rPr>
          <w:rFonts w:hint="cs"/>
          <w:rtl/>
        </w:rPr>
        <w:t>עוד בנושא זה ראו פרק "הקלות בתחום המשכנתאות בזמן מלחמת חרבות ברזל ומבצע עם כלביא".</w:t>
      </w:r>
    </w:p>
  </w:footnote>
  <w:footnote w:id="146">
    <w:p w:rsidR="00F74793" w:rsidP="001F2586">
      <w:pPr>
        <w:pStyle w:val="FootnoteText"/>
      </w:pPr>
      <w:r>
        <w:rPr>
          <w:rStyle w:val="FootnoteReference1"/>
        </w:rPr>
        <w:footnoteRef/>
      </w:r>
      <w:r>
        <w:rPr>
          <w:rtl/>
        </w:rPr>
        <w:t xml:space="preserve"> </w:t>
      </w:r>
      <w:r>
        <w:rPr>
          <w:rtl/>
        </w:rPr>
        <w:tab/>
      </w:r>
      <w:r>
        <w:rPr>
          <w:rFonts w:hint="cs"/>
          <w:rtl/>
        </w:rPr>
        <w:t xml:space="preserve">מרכז המחקר והמידע של הכנסת, </w:t>
      </w:r>
      <w:r w:rsidRPr="00B4661A">
        <w:rPr>
          <w:rFonts w:hint="eastAsia"/>
          <w:b/>
          <w:bCs/>
          <w:rtl/>
        </w:rPr>
        <w:t>ניתוח</w:t>
      </w:r>
      <w:r w:rsidRPr="00B4661A">
        <w:rPr>
          <w:b/>
          <w:bCs/>
          <w:rtl/>
        </w:rPr>
        <w:t xml:space="preserve"> </w:t>
      </w:r>
      <w:r w:rsidRPr="00B4661A">
        <w:rPr>
          <w:rFonts w:hint="eastAsia"/>
          <w:b/>
          <w:bCs/>
          <w:rtl/>
        </w:rPr>
        <w:t>סיכונים</w:t>
      </w:r>
      <w:r w:rsidRPr="00B4661A">
        <w:rPr>
          <w:b/>
          <w:bCs/>
          <w:rtl/>
        </w:rPr>
        <w:t xml:space="preserve"> </w:t>
      </w:r>
      <w:r w:rsidRPr="00B4661A">
        <w:rPr>
          <w:rFonts w:hint="eastAsia"/>
          <w:b/>
          <w:bCs/>
          <w:rtl/>
        </w:rPr>
        <w:t>מקרו</w:t>
      </w:r>
      <w:r w:rsidRPr="00B4661A">
        <w:rPr>
          <w:b/>
          <w:bCs/>
          <w:rtl/>
        </w:rPr>
        <w:t xml:space="preserve"> </w:t>
      </w:r>
      <w:r w:rsidRPr="00B4661A">
        <w:rPr>
          <w:rFonts w:hint="eastAsia"/>
          <w:b/>
          <w:bCs/>
          <w:rtl/>
        </w:rPr>
        <w:t>יציבותיים</w:t>
      </w:r>
      <w:r w:rsidRPr="00B4661A">
        <w:rPr>
          <w:b/>
          <w:bCs/>
          <w:rtl/>
        </w:rPr>
        <w:t xml:space="preserve"> </w:t>
      </w:r>
      <w:r w:rsidRPr="00B4661A">
        <w:rPr>
          <w:rFonts w:hint="eastAsia"/>
          <w:b/>
          <w:bCs/>
          <w:rtl/>
        </w:rPr>
        <w:t>הנובעים</w:t>
      </w:r>
      <w:r w:rsidRPr="00B4661A">
        <w:rPr>
          <w:b/>
          <w:bCs/>
          <w:rtl/>
        </w:rPr>
        <w:t xml:space="preserve"> </w:t>
      </w:r>
      <w:r w:rsidRPr="00B4661A">
        <w:rPr>
          <w:rFonts w:hint="eastAsia"/>
          <w:b/>
          <w:bCs/>
          <w:rtl/>
        </w:rPr>
        <w:t>מאשראי</w:t>
      </w:r>
      <w:r w:rsidRPr="00B4661A">
        <w:rPr>
          <w:b/>
          <w:bCs/>
          <w:rtl/>
        </w:rPr>
        <w:t xml:space="preserve"> </w:t>
      </w:r>
      <w:r w:rsidRPr="00B4661A">
        <w:rPr>
          <w:rFonts w:hint="eastAsia"/>
          <w:b/>
          <w:bCs/>
          <w:rtl/>
        </w:rPr>
        <w:t>לדיור</w:t>
      </w:r>
      <w:r w:rsidRPr="00B4661A">
        <w:rPr>
          <w:b/>
          <w:bCs/>
          <w:rtl/>
        </w:rPr>
        <w:t xml:space="preserve"> </w:t>
      </w:r>
      <w:r w:rsidRPr="00B4661A">
        <w:rPr>
          <w:rFonts w:hint="eastAsia"/>
          <w:b/>
          <w:bCs/>
          <w:rtl/>
        </w:rPr>
        <w:t>ומאשראי</w:t>
      </w:r>
      <w:r w:rsidRPr="00B4661A">
        <w:rPr>
          <w:b/>
          <w:bCs/>
          <w:rtl/>
        </w:rPr>
        <w:t xml:space="preserve"> </w:t>
      </w:r>
      <w:r w:rsidRPr="00B4661A">
        <w:rPr>
          <w:rFonts w:hint="eastAsia"/>
          <w:b/>
          <w:bCs/>
          <w:rtl/>
        </w:rPr>
        <w:t>לענף</w:t>
      </w:r>
      <w:r w:rsidRPr="00B4661A">
        <w:rPr>
          <w:b/>
          <w:bCs/>
          <w:rtl/>
        </w:rPr>
        <w:t xml:space="preserve"> </w:t>
      </w:r>
      <w:r w:rsidRPr="00B4661A">
        <w:rPr>
          <w:rFonts w:hint="eastAsia"/>
          <w:b/>
          <w:bCs/>
          <w:rtl/>
        </w:rPr>
        <w:t>הבניה</w:t>
      </w:r>
      <w:r w:rsidRPr="004151A4">
        <w:rPr>
          <w:b/>
          <w:bCs/>
          <w:rtl/>
        </w:rPr>
        <w:t xml:space="preserve"> </w:t>
      </w:r>
      <w:r>
        <w:rPr>
          <w:rFonts w:hint="cs"/>
          <w:rtl/>
        </w:rPr>
        <w:t>(מרץ 2025), עמ' 19 - 21.</w:t>
      </w:r>
    </w:p>
  </w:footnote>
  <w:footnote w:id="147">
    <w:p w:rsidR="00F74793" w:rsidP="001F2586">
      <w:pPr>
        <w:pStyle w:val="FootnoteText"/>
        <w:rPr>
          <w:rtl/>
        </w:rPr>
      </w:pPr>
      <w:r>
        <w:rPr>
          <w:rStyle w:val="FootnoteReference1"/>
        </w:rPr>
        <w:footnoteRef/>
      </w:r>
      <w:r>
        <w:rPr>
          <w:rtl/>
        </w:rPr>
        <w:t xml:space="preserve"> </w:t>
      </w:r>
      <w:r>
        <w:rPr>
          <w:rtl/>
        </w:rPr>
        <w:tab/>
      </w:r>
      <w:r>
        <w:rPr>
          <w:rFonts w:hint="cs"/>
          <w:rtl/>
        </w:rPr>
        <w:t>המפקח על הבנקים,</w:t>
      </w:r>
      <w:r>
        <w:t xml:space="preserve"> </w:t>
      </w:r>
      <w:r w:rsidRPr="00B4661A">
        <w:rPr>
          <w:rFonts w:hint="cs"/>
          <w:rtl/>
        </w:rPr>
        <w:t>נב"ת</w:t>
      </w:r>
      <w:r w:rsidRPr="00B4661A">
        <w:rPr>
          <w:rFonts w:hint="cs"/>
          <w:rtl/>
        </w:rPr>
        <w:t xml:space="preserve"> 450</w:t>
      </w:r>
      <w:r>
        <w:rPr>
          <w:rFonts w:hint="cs"/>
          <w:rtl/>
        </w:rPr>
        <w:t xml:space="preserve"> - הליכי גביית חובות (9/21).</w:t>
      </w:r>
    </w:p>
  </w:footnote>
  <w:footnote w:id="148">
    <w:p w:rsidR="00F74793" w:rsidP="001F2586">
      <w:pPr>
        <w:pStyle w:val="FootnoteText"/>
        <w:rPr>
          <w:rtl/>
        </w:rPr>
      </w:pPr>
      <w:r>
        <w:rPr>
          <w:rStyle w:val="FootnoteReference1"/>
        </w:rPr>
        <w:footnoteRef/>
      </w:r>
      <w:r>
        <w:rPr>
          <w:rtl/>
        </w:rPr>
        <w:t xml:space="preserve"> </w:t>
      </w:r>
      <w:r>
        <w:rPr>
          <w:rtl/>
        </w:rPr>
        <w:tab/>
      </w:r>
      <w:r>
        <w:rPr>
          <w:rFonts w:hint="cs"/>
          <w:rtl/>
        </w:rPr>
        <w:t xml:space="preserve">המפקח על הבנקים, </w:t>
      </w:r>
      <w:r w:rsidRPr="00B4661A">
        <w:rPr>
          <w:rFonts w:hint="cs"/>
          <w:rtl/>
        </w:rPr>
        <w:t>נב"ת</w:t>
      </w:r>
      <w:r w:rsidRPr="00B4661A">
        <w:rPr>
          <w:rFonts w:hint="cs"/>
          <w:rtl/>
        </w:rPr>
        <w:t xml:space="preserve"> </w:t>
      </w:r>
      <w:r w:rsidRPr="00B4661A">
        <w:rPr>
          <w:rFonts w:hint="cs"/>
        </w:rPr>
        <w:t>A</w:t>
      </w:r>
      <w:r w:rsidRPr="00B4661A">
        <w:rPr>
          <w:rFonts w:hint="cs"/>
          <w:rtl/>
        </w:rPr>
        <w:t>314</w:t>
      </w:r>
      <w:r>
        <w:rPr>
          <w:rFonts w:hint="cs"/>
          <w:rtl/>
        </w:rPr>
        <w:t xml:space="preserve"> - ניהול הסדרי חוב ותהליכי גבייה של חובות מהותיים בקשיים (9/21).</w:t>
      </w:r>
    </w:p>
  </w:footnote>
  <w:footnote w:id="149">
    <w:p w:rsidR="00F74793" w:rsidP="001F2586">
      <w:pPr>
        <w:pStyle w:val="FootnoteText"/>
      </w:pPr>
      <w:r>
        <w:rPr>
          <w:rStyle w:val="FootnoteReference1"/>
        </w:rPr>
        <w:footnoteRef/>
      </w:r>
      <w:r>
        <w:rPr>
          <w:rtl/>
        </w:rPr>
        <w:t xml:space="preserve"> </w:t>
      </w:r>
      <w:r>
        <w:rPr>
          <w:rtl/>
        </w:rPr>
        <w:tab/>
      </w:r>
      <w:r w:rsidRPr="00B4661A">
        <w:rPr>
          <w:rFonts w:hint="cs"/>
          <w:rtl/>
        </w:rPr>
        <w:t xml:space="preserve">בנק ישראל, </w:t>
      </w:r>
      <w:r w:rsidRPr="00B4661A">
        <w:rPr>
          <w:rFonts w:hint="eastAsia"/>
          <w:b/>
          <w:bCs/>
          <w:rtl/>
        </w:rPr>
        <w:t>דוח</w:t>
      </w:r>
      <w:r w:rsidRPr="00B4661A">
        <w:rPr>
          <w:b/>
          <w:bCs/>
          <w:rtl/>
        </w:rPr>
        <w:t xml:space="preserve"> היציבות הפיננסית </w:t>
      </w:r>
      <w:r w:rsidRPr="00B4661A">
        <w:rPr>
          <w:rFonts w:hint="cs"/>
          <w:b/>
          <w:bCs/>
          <w:rtl/>
        </w:rPr>
        <w:t>ל</w:t>
      </w:r>
      <w:r w:rsidRPr="00B4661A">
        <w:rPr>
          <w:rFonts w:hint="eastAsia"/>
          <w:b/>
          <w:bCs/>
          <w:rtl/>
        </w:rPr>
        <w:t>מחצי</w:t>
      </w:r>
      <w:r w:rsidRPr="00B4661A">
        <w:rPr>
          <w:rFonts w:hint="cs"/>
          <w:b/>
          <w:bCs/>
          <w:rtl/>
        </w:rPr>
        <w:t>ת</w:t>
      </w:r>
      <w:r w:rsidRPr="00B4661A">
        <w:rPr>
          <w:b/>
          <w:bCs/>
          <w:rtl/>
        </w:rPr>
        <w:t xml:space="preserve"> השנייה של שנת 2024, יולי-דצמבר</w:t>
      </w:r>
      <w:r w:rsidRPr="00B4661A">
        <w:rPr>
          <w:rFonts w:hint="cs"/>
          <w:rtl/>
        </w:rPr>
        <w:t xml:space="preserve"> (11.2.25), עמ' 6.</w:t>
      </w:r>
    </w:p>
  </w:footnote>
  <w:footnote w:id="150">
    <w:p w:rsidR="00F74793" w:rsidP="001F2586">
      <w:pPr>
        <w:pStyle w:val="FootnoteText"/>
        <w:rPr>
          <w:rtl/>
        </w:rPr>
      </w:pPr>
      <w:r>
        <w:rPr>
          <w:rStyle w:val="FootnoteReference1"/>
        </w:rPr>
        <w:footnoteRef/>
      </w:r>
      <w:r>
        <w:rPr>
          <w:rtl/>
        </w:rPr>
        <w:t xml:space="preserve"> </w:t>
      </w:r>
      <w:r>
        <w:rPr>
          <w:rtl/>
        </w:rPr>
        <w:tab/>
      </w:r>
      <w:r w:rsidRPr="00B4661A">
        <w:rPr>
          <w:rFonts w:hint="cs"/>
          <w:rtl/>
        </w:rPr>
        <w:t>בנק ישראל,</w:t>
      </w:r>
      <w:r w:rsidRPr="00B4661A">
        <w:rPr>
          <w:b/>
          <w:bCs/>
          <w:rtl/>
        </w:rPr>
        <w:t xml:space="preserve"> מבט סטטיסטי 2019, פילוח יתרת החוב של המגזר העסקי הלא-פיננסי לפי ענפי הכלכלה</w:t>
      </w:r>
      <w:r w:rsidRPr="00B4661A">
        <w:rPr>
          <w:rFonts w:hint="cs"/>
          <w:rtl/>
        </w:rPr>
        <w:t>.</w:t>
      </w:r>
    </w:p>
  </w:footnote>
  <w:footnote w:id="151">
    <w:p w:rsidR="00F74793" w:rsidP="001F2586">
      <w:pPr>
        <w:pStyle w:val="FootnoteText"/>
        <w:rPr>
          <w:rtl/>
        </w:rPr>
      </w:pPr>
      <w:r>
        <w:rPr>
          <w:rStyle w:val="FootnoteReference1"/>
        </w:rPr>
        <w:footnoteRef/>
      </w:r>
      <w:r>
        <w:rPr>
          <w:rtl/>
        </w:rPr>
        <w:t xml:space="preserve"> </w:t>
      </w:r>
      <w:r>
        <w:rPr>
          <w:rtl/>
        </w:rPr>
        <w:tab/>
      </w:r>
      <w:r w:rsidRPr="00B4661A">
        <w:rPr>
          <w:rFonts w:hint="cs"/>
          <w:rtl/>
        </w:rPr>
        <w:t xml:space="preserve">בנק ישראל, </w:t>
      </w:r>
      <w:r w:rsidRPr="00B4661A">
        <w:rPr>
          <w:rFonts w:hint="eastAsia"/>
          <w:b/>
          <w:bCs/>
          <w:rtl/>
        </w:rPr>
        <w:t>לוח</w:t>
      </w:r>
      <w:r w:rsidRPr="00B4661A">
        <w:rPr>
          <w:b/>
          <w:bCs/>
          <w:rtl/>
        </w:rPr>
        <w:t xml:space="preserve"> </w:t>
      </w:r>
      <w:r w:rsidRPr="00B4661A">
        <w:rPr>
          <w:rFonts w:hint="eastAsia"/>
          <w:b/>
          <w:bCs/>
          <w:rtl/>
        </w:rPr>
        <w:t>יתרת</w:t>
      </w:r>
      <w:r w:rsidRPr="00B4661A">
        <w:rPr>
          <w:b/>
          <w:bCs/>
          <w:rtl/>
        </w:rPr>
        <w:t xml:space="preserve"> </w:t>
      </w:r>
      <w:r w:rsidRPr="00B4661A">
        <w:rPr>
          <w:rFonts w:hint="eastAsia"/>
          <w:b/>
          <w:bCs/>
          <w:rtl/>
        </w:rPr>
        <w:t>החוב</w:t>
      </w:r>
      <w:r w:rsidRPr="00B4661A">
        <w:rPr>
          <w:b/>
          <w:bCs/>
          <w:rtl/>
        </w:rPr>
        <w:t xml:space="preserve"> </w:t>
      </w:r>
      <w:r w:rsidRPr="00B4661A">
        <w:rPr>
          <w:rFonts w:hint="eastAsia"/>
          <w:b/>
          <w:bCs/>
          <w:rtl/>
        </w:rPr>
        <w:t>של</w:t>
      </w:r>
      <w:r w:rsidRPr="00B4661A">
        <w:rPr>
          <w:b/>
          <w:bCs/>
          <w:rtl/>
        </w:rPr>
        <w:t xml:space="preserve"> </w:t>
      </w:r>
      <w:r w:rsidRPr="00B4661A">
        <w:rPr>
          <w:rFonts w:hint="eastAsia"/>
          <w:b/>
          <w:bCs/>
          <w:rtl/>
        </w:rPr>
        <w:t>המגזר</w:t>
      </w:r>
      <w:r w:rsidRPr="00B4661A">
        <w:rPr>
          <w:b/>
          <w:bCs/>
          <w:rtl/>
        </w:rPr>
        <w:t xml:space="preserve"> </w:t>
      </w:r>
      <w:r w:rsidRPr="00B4661A">
        <w:rPr>
          <w:rFonts w:hint="eastAsia"/>
          <w:b/>
          <w:bCs/>
          <w:rtl/>
        </w:rPr>
        <w:t>העסקי</w:t>
      </w:r>
      <w:r w:rsidRPr="00B4661A">
        <w:rPr>
          <w:b/>
          <w:bCs/>
          <w:rtl/>
        </w:rPr>
        <w:t xml:space="preserve"> </w:t>
      </w:r>
      <w:r w:rsidRPr="00B4661A">
        <w:rPr>
          <w:rFonts w:hint="eastAsia"/>
          <w:b/>
          <w:bCs/>
          <w:rtl/>
        </w:rPr>
        <w:t>הלא</w:t>
      </w:r>
      <w:r w:rsidRPr="00B4661A">
        <w:rPr>
          <w:b/>
          <w:bCs/>
          <w:rtl/>
        </w:rPr>
        <w:t xml:space="preserve">-פיננסי </w:t>
      </w:r>
      <w:r w:rsidRPr="00B4661A">
        <w:rPr>
          <w:rFonts w:hint="eastAsia"/>
          <w:b/>
          <w:bCs/>
          <w:rtl/>
        </w:rPr>
        <w:t>לפי</w:t>
      </w:r>
      <w:r w:rsidRPr="00B4661A">
        <w:rPr>
          <w:b/>
          <w:bCs/>
          <w:rtl/>
        </w:rPr>
        <w:t xml:space="preserve"> </w:t>
      </w:r>
      <w:r w:rsidRPr="00B4661A">
        <w:rPr>
          <w:rFonts w:hint="eastAsia"/>
          <w:b/>
          <w:bCs/>
          <w:rtl/>
        </w:rPr>
        <w:t>ענפי</w:t>
      </w:r>
      <w:r w:rsidRPr="00B4661A">
        <w:rPr>
          <w:b/>
          <w:bCs/>
          <w:rtl/>
        </w:rPr>
        <w:t xml:space="preserve"> </w:t>
      </w:r>
      <w:r w:rsidRPr="00B4661A">
        <w:rPr>
          <w:rFonts w:hint="eastAsia"/>
          <w:b/>
          <w:bCs/>
          <w:rtl/>
        </w:rPr>
        <w:t>כלכלה</w:t>
      </w:r>
      <w:r w:rsidRPr="00B4661A">
        <w:rPr>
          <w:b/>
          <w:bCs/>
          <w:rtl/>
        </w:rPr>
        <w:t>,</w:t>
      </w:r>
      <w:r w:rsidRPr="00B4661A">
        <w:rPr>
          <w:rFonts w:hint="cs"/>
          <w:rtl/>
        </w:rPr>
        <w:t xml:space="preserve"> (22.9.25).</w:t>
      </w:r>
    </w:p>
  </w:footnote>
  <w:footnote w:id="152">
    <w:p w:rsidR="00F74793" w:rsidP="001F2586">
      <w:pPr>
        <w:pStyle w:val="FootnoteText"/>
        <w:rPr>
          <w:rtl/>
        </w:rPr>
      </w:pPr>
      <w:r>
        <w:rPr>
          <w:rStyle w:val="FootnoteReference1"/>
        </w:rPr>
        <w:footnoteRef/>
      </w:r>
      <w:r>
        <w:rPr>
          <w:rtl/>
        </w:rPr>
        <w:t xml:space="preserve"> </w:t>
      </w:r>
      <w:r>
        <w:rPr>
          <w:rtl/>
        </w:rPr>
        <w:tab/>
      </w:r>
      <w:r>
        <w:rPr>
          <w:rFonts w:hint="cs"/>
          <w:rtl/>
        </w:rPr>
        <w:t>אשראי מאזני כולל התחייבויות פיננסיות שונות שהעמידו הבנקים ונרשמו בדוחות הכספיים. אשראי חוץ-מאזני אינו נרשם בדוחות הכספיים וכולל התחייבויות אפשריות, אירועים עתידיים והתחייבויות אחרות כגון ערבויות והתחייבויות חוזיות שטרם התגבשו. אף שאשראי חוץ-מאזני אינו מופיע במאזן הבנק בדוחות הכספיים הוא יוזכר בביאור לדוחות הכספיים.</w:t>
      </w:r>
    </w:p>
  </w:footnote>
  <w:footnote w:id="153">
    <w:p w:rsidR="00F74793" w:rsidP="001F2586">
      <w:pPr>
        <w:pStyle w:val="FootnoteText"/>
      </w:pPr>
      <w:r>
        <w:rPr>
          <w:rStyle w:val="FootnoteReference1"/>
        </w:rPr>
        <w:footnoteRef/>
      </w:r>
      <w:r>
        <w:rPr>
          <w:rtl/>
        </w:rPr>
        <w:t xml:space="preserve"> </w:t>
      </w:r>
      <w:r>
        <w:rPr>
          <w:rtl/>
        </w:rPr>
        <w:tab/>
      </w:r>
      <w:r>
        <w:rPr>
          <w:rFonts w:hint="cs"/>
          <w:rtl/>
        </w:rPr>
        <w:t xml:space="preserve">ערבויות חוק מכר נדרשות לפי חוק המכר (דירות) (הבטחת השקעות של </w:t>
      </w:r>
      <w:r>
        <w:rPr>
          <w:rFonts w:hint="cs"/>
          <w:rtl/>
        </w:rPr>
        <w:t>רוכשי</w:t>
      </w:r>
      <w:r>
        <w:rPr>
          <w:rFonts w:hint="cs"/>
          <w:rtl/>
        </w:rPr>
        <w:t xml:space="preserve"> דירות), התשל"ה-1974, בגין כל תשלום של הרוכש העולה על 7%ממחיר הנכס ונועדו להבטיח את השלמת הבנייה או את החזר התשלום במקרה של כשל בפרויקט. </w:t>
      </w:r>
    </w:p>
  </w:footnote>
  <w:footnote w:id="154">
    <w:p w:rsidR="00F74793" w:rsidP="001F2586">
      <w:pPr>
        <w:pStyle w:val="FootnoteText"/>
      </w:pPr>
      <w:r>
        <w:rPr>
          <w:rStyle w:val="FootnoteReference1"/>
        </w:rPr>
        <w:footnoteRef/>
      </w:r>
      <w:r>
        <w:rPr>
          <w:rtl/>
        </w:rPr>
        <w:t xml:space="preserve"> </w:t>
      </w:r>
      <w:r>
        <w:rPr>
          <w:rtl/>
        </w:rPr>
        <w:tab/>
      </w:r>
      <w:r w:rsidRPr="00B4661A">
        <w:rPr>
          <w:rFonts w:hint="cs"/>
          <w:rtl/>
        </w:rPr>
        <w:t xml:space="preserve">בנק ישראל, </w:t>
      </w:r>
      <w:r w:rsidRPr="00B4661A">
        <w:rPr>
          <w:rFonts w:hint="eastAsia"/>
          <w:b/>
          <w:bCs/>
          <w:rtl/>
        </w:rPr>
        <w:t>דוח</w:t>
      </w:r>
      <w:r w:rsidRPr="00B4661A">
        <w:rPr>
          <w:b/>
          <w:bCs/>
          <w:rtl/>
        </w:rPr>
        <w:t xml:space="preserve"> בנק ישראל 2024, </w:t>
      </w:r>
      <w:r w:rsidRPr="00B4661A">
        <w:rPr>
          <w:rFonts w:hint="eastAsia"/>
          <w:b/>
          <w:bCs/>
          <w:rtl/>
        </w:rPr>
        <w:t>פרק</w:t>
      </w:r>
      <w:r w:rsidRPr="00B4661A">
        <w:rPr>
          <w:b/>
          <w:bCs/>
          <w:rtl/>
        </w:rPr>
        <w:t xml:space="preserve"> </w:t>
      </w:r>
      <w:r w:rsidRPr="00B4661A">
        <w:rPr>
          <w:rFonts w:hint="eastAsia"/>
          <w:b/>
          <w:bCs/>
          <w:rtl/>
        </w:rPr>
        <w:t>ד</w:t>
      </w:r>
      <w:r w:rsidRPr="00B4661A">
        <w:rPr>
          <w:b/>
          <w:bCs/>
          <w:rtl/>
        </w:rPr>
        <w:t xml:space="preserve">' - </w:t>
      </w:r>
      <w:r w:rsidRPr="00B4661A">
        <w:rPr>
          <w:rFonts w:hint="eastAsia"/>
          <w:b/>
          <w:bCs/>
          <w:rtl/>
        </w:rPr>
        <w:t>התפתחויות</w:t>
      </w:r>
      <w:r w:rsidRPr="00B4661A">
        <w:rPr>
          <w:b/>
          <w:bCs/>
          <w:rtl/>
        </w:rPr>
        <w:t xml:space="preserve"> </w:t>
      </w:r>
      <w:r w:rsidRPr="00B4661A">
        <w:rPr>
          <w:rFonts w:hint="eastAsia"/>
          <w:b/>
          <w:bCs/>
          <w:rtl/>
        </w:rPr>
        <w:t>במקורות</w:t>
      </w:r>
      <w:r w:rsidRPr="00B4661A">
        <w:rPr>
          <w:b/>
          <w:bCs/>
          <w:rtl/>
        </w:rPr>
        <w:t xml:space="preserve"> </w:t>
      </w:r>
      <w:r w:rsidRPr="00B4661A">
        <w:rPr>
          <w:rFonts w:hint="eastAsia"/>
          <w:b/>
          <w:bCs/>
          <w:rtl/>
        </w:rPr>
        <w:t>המימון</w:t>
      </w:r>
      <w:r w:rsidRPr="00B4661A">
        <w:rPr>
          <w:b/>
          <w:bCs/>
          <w:rtl/>
        </w:rPr>
        <w:t xml:space="preserve"> </w:t>
      </w:r>
      <w:r w:rsidRPr="00B4661A">
        <w:rPr>
          <w:rFonts w:hint="eastAsia"/>
          <w:b/>
          <w:bCs/>
          <w:rtl/>
        </w:rPr>
        <w:t>של</w:t>
      </w:r>
      <w:r w:rsidRPr="00B4661A">
        <w:rPr>
          <w:b/>
          <w:bCs/>
          <w:rtl/>
        </w:rPr>
        <w:t xml:space="preserve"> </w:t>
      </w:r>
      <w:r w:rsidRPr="00B4661A">
        <w:rPr>
          <w:rFonts w:hint="eastAsia"/>
          <w:b/>
          <w:bCs/>
          <w:rtl/>
        </w:rPr>
        <w:t>המגזר</w:t>
      </w:r>
      <w:r w:rsidRPr="00B4661A">
        <w:rPr>
          <w:b/>
          <w:bCs/>
          <w:rtl/>
        </w:rPr>
        <w:t xml:space="preserve"> </w:t>
      </w:r>
      <w:r w:rsidRPr="00B4661A">
        <w:rPr>
          <w:rFonts w:hint="eastAsia"/>
          <w:b/>
          <w:bCs/>
          <w:rtl/>
        </w:rPr>
        <w:t>הפרטי</w:t>
      </w:r>
      <w:r w:rsidRPr="00B4661A">
        <w:rPr>
          <w:b/>
          <w:bCs/>
          <w:rtl/>
        </w:rPr>
        <w:t xml:space="preserve"> </w:t>
      </w:r>
      <w:r w:rsidRPr="00B4661A">
        <w:rPr>
          <w:rFonts w:hint="eastAsia"/>
          <w:b/>
          <w:bCs/>
          <w:rtl/>
        </w:rPr>
        <w:t>הלא</w:t>
      </w:r>
      <w:r w:rsidRPr="00B4661A">
        <w:rPr>
          <w:b/>
          <w:bCs/>
          <w:rtl/>
        </w:rPr>
        <w:t>-פיננסי</w:t>
      </w:r>
      <w:r w:rsidRPr="00B4661A">
        <w:rPr>
          <w:rFonts w:hint="cs"/>
          <w:rtl/>
        </w:rPr>
        <w:t>(26.3.25), עמ</w:t>
      </w:r>
      <w:r>
        <w:rPr>
          <w:rFonts w:hint="cs"/>
          <w:rtl/>
        </w:rPr>
        <w:t>'</w:t>
      </w:r>
      <w:r w:rsidRPr="00B4661A">
        <w:rPr>
          <w:rFonts w:hint="cs"/>
          <w:rtl/>
        </w:rPr>
        <w:t xml:space="preserve"> 88.</w:t>
      </w:r>
    </w:p>
  </w:footnote>
  <w:footnote w:id="155">
    <w:p w:rsidR="00F74793" w:rsidP="001F2586">
      <w:pPr>
        <w:pStyle w:val="FootnoteText"/>
      </w:pPr>
      <w:r>
        <w:rPr>
          <w:rStyle w:val="FootnoteReference1"/>
        </w:rPr>
        <w:footnoteRef/>
      </w:r>
      <w:r>
        <w:rPr>
          <w:rtl/>
        </w:rPr>
        <w:t xml:space="preserve"> </w:t>
      </w:r>
      <w:r>
        <w:rPr>
          <w:rtl/>
        </w:rPr>
        <w:tab/>
      </w:r>
      <w:r>
        <w:rPr>
          <w:rFonts w:hint="cs"/>
          <w:rtl/>
        </w:rPr>
        <w:t>יציבות זו משקפת שתי מגמות מקזזות - העברת אשראי מסעיף קרקע גולמית לסעיף קרקע בתהליך בנייה בפרויקטים שהתקדמו וכניסת קרקעות חדשות לסעיף קרקע גולמית בעקבות רכישות של קבלנים לפיתוח עתידי.</w:t>
      </w:r>
    </w:p>
  </w:footnote>
  <w:footnote w:id="156">
    <w:p w:rsidR="00F74793" w:rsidP="001F2586">
      <w:pPr>
        <w:pStyle w:val="FootnoteText"/>
        <w:rPr>
          <w:rtl/>
        </w:rPr>
      </w:pPr>
      <w:r>
        <w:rPr>
          <w:rStyle w:val="FootnoteReference1"/>
        </w:rPr>
        <w:footnoteRef/>
      </w:r>
      <w:r>
        <w:rPr>
          <w:rtl/>
        </w:rPr>
        <w:t xml:space="preserve"> </w:t>
      </w:r>
      <w:r>
        <w:rPr>
          <w:rtl/>
        </w:rPr>
        <w:tab/>
      </w:r>
      <w:r w:rsidRPr="00B4661A">
        <w:rPr>
          <w:rFonts w:hint="cs"/>
          <w:rtl/>
        </w:rPr>
        <w:t xml:space="preserve">בנק ישראל, </w:t>
      </w:r>
      <w:r w:rsidRPr="00B4661A">
        <w:rPr>
          <w:rFonts w:hint="eastAsia"/>
          <w:b/>
          <w:bCs/>
          <w:rtl/>
        </w:rPr>
        <w:t>דוח</w:t>
      </w:r>
      <w:r w:rsidRPr="00B4661A">
        <w:rPr>
          <w:b/>
          <w:bCs/>
          <w:rtl/>
        </w:rPr>
        <w:t xml:space="preserve"> היציבות הפיננסית </w:t>
      </w:r>
      <w:r w:rsidRPr="00B4661A">
        <w:rPr>
          <w:rFonts w:hint="cs"/>
          <w:b/>
          <w:bCs/>
          <w:rtl/>
        </w:rPr>
        <w:t>ל</w:t>
      </w:r>
      <w:r w:rsidRPr="00B4661A">
        <w:rPr>
          <w:rFonts w:hint="eastAsia"/>
          <w:b/>
          <w:bCs/>
          <w:rtl/>
        </w:rPr>
        <w:t>מחצי</w:t>
      </w:r>
      <w:r w:rsidRPr="00B4661A">
        <w:rPr>
          <w:rFonts w:hint="cs"/>
          <w:b/>
          <w:bCs/>
          <w:rtl/>
        </w:rPr>
        <w:t xml:space="preserve">ת </w:t>
      </w:r>
      <w:r w:rsidRPr="00B4661A">
        <w:rPr>
          <w:b/>
          <w:bCs/>
          <w:rtl/>
        </w:rPr>
        <w:t xml:space="preserve">השנייה של שנת 2024, יולי </w:t>
      </w:r>
      <w:r w:rsidRPr="00B4661A">
        <w:rPr>
          <w:rFonts w:hint="cs"/>
          <w:b/>
          <w:bCs/>
          <w:rtl/>
        </w:rPr>
        <w:t>-</w:t>
      </w:r>
      <w:r w:rsidRPr="00B4661A">
        <w:rPr>
          <w:b/>
          <w:bCs/>
          <w:rtl/>
        </w:rPr>
        <w:t xml:space="preserve"> דצמבר</w:t>
      </w:r>
      <w:r w:rsidRPr="00B4661A">
        <w:rPr>
          <w:rFonts w:hint="cs"/>
          <w:rtl/>
        </w:rPr>
        <w:t xml:space="preserve"> (11.2.25).</w:t>
      </w:r>
    </w:p>
  </w:footnote>
  <w:footnote w:id="157">
    <w:p w:rsidR="00F74793" w:rsidP="001F2586">
      <w:pPr>
        <w:pStyle w:val="FootnoteText"/>
      </w:pPr>
      <w:r>
        <w:rPr>
          <w:rStyle w:val="FootnoteReference1"/>
        </w:rPr>
        <w:footnoteRef/>
      </w:r>
      <w:r>
        <w:rPr>
          <w:rtl/>
        </w:rPr>
        <w:t xml:space="preserve"> </w:t>
      </w:r>
      <w:r>
        <w:rPr>
          <w:rtl/>
        </w:rPr>
        <w:tab/>
      </w:r>
      <w:r>
        <w:rPr>
          <w:rFonts w:hint="cs"/>
          <w:rtl/>
        </w:rPr>
        <w:t xml:space="preserve">התנאים הכלכליים המשפיעים על המשק, ובכלל זה הצמיחה הכלכלית, האינפלציה, האבטלה, שיעור הריבית ועוד. </w:t>
      </w:r>
    </w:p>
  </w:footnote>
  <w:footnote w:id="158">
    <w:p w:rsidR="00F74793" w:rsidP="001F2586">
      <w:pPr>
        <w:pStyle w:val="FootnoteText"/>
      </w:pPr>
      <w:r>
        <w:rPr>
          <w:rStyle w:val="FootnoteReference1"/>
        </w:rPr>
        <w:footnoteRef/>
      </w:r>
      <w:r>
        <w:rPr>
          <w:rtl/>
        </w:rPr>
        <w:t xml:space="preserve"> </w:t>
      </w:r>
      <w:r>
        <w:rPr>
          <w:rtl/>
        </w:rPr>
        <w:tab/>
      </w:r>
      <w:r>
        <w:rPr>
          <w:rFonts w:hint="cs"/>
          <w:rtl/>
        </w:rPr>
        <w:t xml:space="preserve">ראו: </w:t>
      </w:r>
      <w:r w:rsidRPr="004E41BA">
        <w:rPr>
          <w:rFonts w:hint="cs"/>
          <w:rtl/>
        </w:rPr>
        <w:t>הפיקוח על הבנקים</w:t>
      </w:r>
      <w:r w:rsidRPr="004E41BA">
        <w:rPr>
          <w:rtl/>
        </w:rPr>
        <w:t xml:space="preserve"> </w:t>
      </w:r>
      <w:r w:rsidRPr="00B4661A">
        <w:rPr>
          <w:rFonts w:hint="cs"/>
          <w:rtl/>
        </w:rPr>
        <w:t xml:space="preserve">בבנק ישראל, </w:t>
      </w:r>
      <w:r w:rsidRPr="00B4661A">
        <w:rPr>
          <w:rFonts w:hint="eastAsia"/>
          <w:b/>
          <w:bCs/>
          <w:rtl/>
        </w:rPr>
        <w:t>מערכת</w:t>
      </w:r>
      <w:r w:rsidRPr="00B4661A">
        <w:rPr>
          <w:b/>
          <w:bCs/>
          <w:rtl/>
        </w:rPr>
        <w:t xml:space="preserve"> </w:t>
      </w:r>
      <w:r w:rsidRPr="00B4661A">
        <w:rPr>
          <w:rFonts w:hint="eastAsia"/>
          <w:b/>
          <w:bCs/>
          <w:rtl/>
        </w:rPr>
        <w:t>הבנקאות</w:t>
      </w:r>
      <w:r w:rsidRPr="00B4661A">
        <w:rPr>
          <w:rFonts w:hint="cs"/>
          <w:b/>
          <w:bCs/>
          <w:rtl/>
        </w:rPr>
        <w:t>:</w:t>
      </w:r>
      <w:r w:rsidRPr="00B4661A">
        <w:rPr>
          <w:b/>
          <w:bCs/>
          <w:rtl/>
        </w:rPr>
        <w:t xml:space="preserve"> סק</w:t>
      </w:r>
      <w:r w:rsidRPr="00B4661A">
        <w:rPr>
          <w:rFonts w:hint="cs"/>
          <w:b/>
          <w:bCs/>
          <w:rtl/>
        </w:rPr>
        <w:t>י</w:t>
      </w:r>
      <w:r w:rsidRPr="00B4661A">
        <w:rPr>
          <w:rFonts w:hint="eastAsia"/>
          <w:b/>
          <w:bCs/>
          <w:rtl/>
        </w:rPr>
        <w:t>רה</w:t>
      </w:r>
      <w:r w:rsidRPr="00B4661A">
        <w:rPr>
          <w:rFonts w:hint="cs"/>
          <w:i/>
          <w:iCs/>
          <w:rtl/>
        </w:rPr>
        <w:t xml:space="preserve"> - </w:t>
      </w:r>
      <w:r w:rsidRPr="00B4661A">
        <w:rPr>
          <w:rFonts w:hint="cs"/>
          <w:b/>
          <w:bCs/>
          <w:rtl/>
        </w:rPr>
        <w:t>סקירה</w:t>
      </w:r>
      <w:r w:rsidRPr="00B4661A">
        <w:rPr>
          <w:b/>
          <w:bCs/>
          <w:rtl/>
        </w:rPr>
        <w:t xml:space="preserve"> שנתית לשנת 2024</w:t>
      </w:r>
      <w:r w:rsidRPr="00B4661A">
        <w:rPr>
          <w:rFonts w:hint="cs"/>
          <w:rtl/>
        </w:rPr>
        <w:t xml:space="preserve"> (19.5.25), עמ' 103 - 104.</w:t>
      </w:r>
    </w:p>
  </w:footnote>
  <w:footnote w:id="159">
    <w:p w:rsidR="00F74793" w:rsidP="001F2586">
      <w:pPr>
        <w:pStyle w:val="FootnoteText"/>
      </w:pPr>
      <w:r>
        <w:rPr>
          <w:rStyle w:val="FootnoteReference1"/>
        </w:rPr>
        <w:footnoteRef/>
      </w:r>
      <w:r>
        <w:rPr>
          <w:rtl/>
        </w:rPr>
        <w:t xml:space="preserve"> </w:t>
      </w:r>
      <w:r>
        <w:rPr>
          <w:rtl/>
        </w:rPr>
        <w:tab/>
      </w:r>
      <w:r>
        <w:rPr>
          <w:rFonts w:hint="cs"/>
          <w:rtl/>
        </w:rPr>
        <w:t>ראו הרחבה בפרק מבצעי עידוד.</w:t>
      </w:r>
    </w:p>
  </w:footnote>
  <w:footnote w:id="160">
    <w:p w:rsidR="00F74793" w:rsidP="001F2586">
      <w:pPr>
        <w:pStyle w:val="FootnoteText"/>
        <w:rPr>
          <w:rtl/>
        </w:rPr>
      </w:pPr>
      <w:r>
        <w:rPr>
          <w:rStyle w:val="FootnoteReference1"/>
        </w:rPr>
        <w:footnoteRef/>
      </w:r>
      <w:r>
        <w:rPr>
          <w:rtl/>
        </w:rPr>
        <w:t xml:space="preserve"> </w:t>
      </w:r>
      <w:r>
        <w:rPr>
          <w:rtl/>
        </w:rPr>
        <w:tab/>
      </w:r>
      <w:r>
        <w:rPr>
          <w:rFonts w:hint="cs"/>
          <w:rtl/>
        </w:rPr>
        <w:t xml:space="preserve">ראו הרחבה בתת-פרק: </w:t>
      </w:r>
      <w:r w:rsidRPr="00BB1610">
        <w:rPr>
          <w:rtl/>
        </w:rPr>
        <w:t>הסכמי מימון לבניית יחידות דיור למגורים</w:t>
      </w:r>
      <w:r>
        <w:rPr>
          <w:rFonts w:hint="cs"/>
          <w:rtl/>
        </w:rPr>
        <w:t>.</w:t>
      </w:r>
    </w:p>
  </w:footnote>
  <w:footnote w:id="161">
    <w:p w:rsidR="00F74793" w:rsidP="001F2586">
      <w:pPr>
        <w:pStyle w:val="FootnoteText"/>
        <w:rPr>
          <w:rtl/>
        </w:rPr>
      </w:pPr>
      <w:r>
        <w:rPr>
          <w:rStyle w:val="FootnoteReference1"/>
        </w:rPr>
        <w:footnoteRef/>
      </w:r>
      <w:r>
        <w:rPr>
          <w:rtl/>
        </w:rPr>
        <w:t xml:space="preserve"> </w:t>
      </w:r>
      <w:r>
        <w:rPr>
          <w:rtl/>
        </w:rPr>
        <w:tab/>
      </w:r>
      <w:r>
        <w:rPr>
          <w:rFonts w:hint="cs"/>
          <w:rtl/>
        </w:rPr>
        <w:t>בהתאם להוראת ניהול בנקאי תקין 329 - מגבלות למתן הלוואות לדיור, שיעור המימון המרבי האפשרי הוא 75%, למעט בהלוואות לדירה במחיר מופחת. כלומר, על רוכשים להעמיד הון עצמי מינימאלי של 25%, למעט בהלוואות לדירה במחיר מופחת.</w:t>
      </w:r>
    </w:p>
  </w:footnote>
  <w:footnote w:id="162">
    <w:p w:rsidR="00F74793" w:rsidP="001F2586">
      <w:pPr>
        <w:pStyle w:val="FootnoteText"/>
      </w:pPr>
      <w:r>
        <w:rPr>
          <w:rStyle w:val="FootnoteReference1"/>
        </w:rPr>
        <w:footnoteRef/>
      </w:r>
      <w:r>
        <w:rPr>
          <w:rtl/>
        </w:rPr>
        <w:t xml:space="preserve"> </w:t>
      </w:r>
      <w:r>
        <w:rPr>
          <w:rtl/>
        </w:rPr>
        <w:tab/>
      </w:r>
      <w:r>
        <w:rPr>
          <w:rFonts w:hint="cs"/>
          <w:rtl/>
        </w:rPr>
        <w:t xml:space="preserve">הבנק המעמיד את ההלוואה אינו בהכרח הבנק המלווה את הפרויקט, אלא בנק </w:t>
      </w:r>
      <w:r>
        <w:rPr>
          <w:rFonts w:hint="cs"/>
          <w:rtl/>
        </w:rPr>
        <w:t>שאיתו</w:t>
      </w:r>
      <w:r>
        <w:rPr>
          <w:rFonts w:hint="cs"/>
          <w:rtl/>
        </w:rPr>
        <w:t xml:space="preserve"> יש לקבלן הסכם.</w:t>
      </w:r>
    </w:p>
  </w:footnote>
  <w:footnote w:id="163">
    <w:p w:rsidR="00F74793" w:rsidP="001F2586">
      <w:pPr>
        <w:pStyle w:val="FootnoteText"/>
      </w:pPr>
      <w:r>
        <w:rPr>
          <w:rStyle w:val="FootnoteReference1"/>
        </w:rPr>
        <w:footnoteRef/>
      </w:r>
      <w:r>
        <w:rPr>
          <w:rtl/>
        </w:rPr>
        <w:t xml:space="preserve"> </w:t>
      </w:r>
      <w:r>
        <w:rPr>
          <w:rtl/>
        </w:rPr>
        <w:tab/>
      </w:r>
      <w:r>
        <w:rPr>
          <w:rFonts w:hint="cs"/>
          <w:rtl/>
        </w:rPr>
        <w:t>יתרת ההלוואה מוחזרת במלואה בתום תקופת ההלוואה, בין אם הריבית משולמת לאורך חיי ההלוואה (בולט או בלון חלקי) ובין אם לאו (בולט או בלון מלא).</w:t>
      </w:r>
    </w:p>
  </w:footnote>
  <w:footnote w:id="164">
    <w:p w:rsidR="00F74793" w:rsidP="001F2586">
      <w:pPr>
        <w:pStyle w:val="FootnoteText"/>
      </w:pPr>
      <w:r>
        <w:rPr>
          <w:rStyle w:val="FootnoteReference1"/>
        </w:rPr>
        <w:footnoteRef/>
      </w:r>
      <w:r>
        <w:rPr>
          <w:rtl/>
        </w:rPr>
        <w:t xml:space="preserve"> </w:t>
      </w:r>
      <w:r>
        <w:rPr>
          <w:rtl/>
        </w:rPr>
        <w:tab/>
      </w:r>
      <w:r>
        <w:rPr>
          <w:rFonts w:hint="cs"/>
          <w:rtl/>
        </w:rPr>
        <w:t>ההלוואה לדיור מועמדת לרוכש, אך התשלום בגין הריבית מהוונת ומשולמת בידי הקבלן במועד נטילת ההלוואה או משולמת בהמשך.</w:t>
      </w:r>
    </w:p>
  </w:footnote>
  <w:footnote w:id="165">
    <w:p w:rsidR="00F74793" w:rsidP="001F2586">
      <w:pPr>
        <w:pStyle w:val="FootnoteText"/>
      </w:pPr>
      <w:r>
        <w:rPr>
          <w:rStyle w:val="FootnoteReference1"/>
        </w:rPr>
        <w:footnoteRef/>
      </w:r>
      <w:r>
        <w:rPr>
          <w:rtl/>
        </w:rPr>
        <w:t xml:space="preserve"> </w:t>
      </w:r>
      <w:r>
        <w:rPr>
          <w:rtl/>
        </w:rPr>
        <w:tab/>
      </w:r>
      <w:r>
        <w:rPr>
          <w:rFonts w:hint="cs"/>
          <w:rtl/>
        </w:rPr>
        <w:t xml:space="preserve">מדד המשקלל את השינויים במחירי הבניה של דירות למגורים בעקבות שינויים בעלויות חומרי הגלם השונים מדי חודש. בניית דירה אורכת כמה שנים ומטרת ההצמדה למדד נועדה לבטח את הקבלן מפני השינויים בעלויות על פני זמן ולהעביר חלק מהסיכונים לרוכשים. ההצמדה היא על יתרת התשלומים שרוכש טרם שילם לקבלן. </w:t>
      </w:r>
    </w:p>
  </w:footnote>
  <w:footnote w:id="166">
    <w:p w:rsidR="00F74793" w:rsidP="001F2586">
      <w:pPr>
        <w:pStyle w:val="FootnoteText"/>
        <w:rPr>
          <w:rtl/>
        </w:rPr>
      </w:pPr>
      <w:r>
        <w:rPr>
          <w:rStyle w:val="FootnoteReference1"/>
        </w:rPr>
        <w:footnoteRef/>
      </w:r>
      <w:r>
        <w:rPr>
          <w:rtl/>
        </w:rPr>
        <w:t xml:space="preserve"> </w:t>
      </w:r>
      <w:r>
        <w:rPr>
          <w:rtl/>
        </w:rPr>
        <w:tab/>
      </w:r>
      <w:r w:rsidRPr="00162EFE">
        <w:rPr>
          <w:rFonts w:hint="cs"/>
          <w:rtl/>
        </w:rPr>
        <w:t xml:space="preserve">הצוות לבחינת מעורבות הבנקים בקביעת מחירי הדיור, </w:t>
      </w:r>
      <w:r w:rsidRPr="00B4661A">
        <w:rPr>
          <w:rFonts w:hint="cs"/>
          <w:rtl/>
        </w:rPr>
        <w:t>דו"ח סופי</w:t>
      </w:r>
      <w:r w:rsidRPr="00162EFE">
        <w:rPr>
          <w:rFonts w:hint="cs"/>
          <w:rtl/>
        </w:rPr>
        <w:t>, יולי 2025</w:t>
      </w:r>
      <w:r>
        <w:rPr>
          <w:rFonts w:hint="cs"/>
          <w:rtl/>
        </w:rPr>
        <w:t>.</w:t>
      </w:r>
    </w:p>
  </w:footnote>
  <w:footnote w:id="167">
    <w:p w:rsidR="00F74793" w:rsidP="001F2586">
      <w:pPr>
        <w:pStyle w:val="FootnoteText"/>
      </w:pPr>
      <w:r>
        <w:rPr>
          <w:rStyle w:val="FootnoteReference1"/>
        </w:rPr>
        <w:footnoteRef/>
      </w:r>
      <w:r>
        <w:rPr>
          <w:rtl/>
        </w:rPr>
        <w:t xml:space="preserve"> </w:t>
      </w:r>
      <w:r>
        <w:rPr>
          <w:rtl/>
        </w:rPr>
        <w:tab/>
      </w:r>
      <w:r w:rsidRPr="004E41BA">
        <w:rPr>
          <w:rFonts w:hint="cs"/>
          <w:rtl/>
        </w:rPr>
        <w:t>הפיקוח על הבנקים</w:t>
      </w:r>
      <w:r w:rsidRPr="004E41BA">
        <w:rPr>
          <w:rtl/>
        </w:rPr>
        <w:t xml:space="preserve"> </w:t>
      </w:r>
      <w:r>
        <w:rPr>
          <w:rFonts w:hint="cs"/>
          <w:rtl/>
        </w:rPr>
        <w:t>ב</w:t>
      </w:r>
      <w:r w:rsidRPr="00B4661A">
        <w:rPr>
          <w:rFonts w:hint="cs"/>
          <w:rtl/>
        </w:rPr>
        <w:t xml:space="preserve">בנק ישראל, </w:t>
      </w:r>
      <w:r w:rsidRPr="00B4661A">
        <w:rPr>
          <w:rFonts w:hint="eastAsia"/>
          <w:b/>
          <w:bCs/>
          <w:rtl/>
        </w:rPr>
        <w:t>מערכת</w:t>
      </w:r>
      <w:r w:rsidRPr="00B4661A">
        <w:rPr>
          <w:b/>
          <w:bCs/>
          <w:rtl/>
        </w:rPr>
        <w:t xml:space="preserve"> </w:t>
      </w:r>
      <w:r w:rsidRPr="00B4661A">
        <w:rPr>
          <w:rFonts w:hint="eastAsia"/>
          <w:b/>
          <w:bCs/>
          <w:rtl/>
        </w:rPr>
        <w:t>הבנקאות</w:t>
      </w:r>
      <w:r w:rsidRPr="00B4661A">
        <w:rPr>
          <w:b/>
          <w:bCs/>
          <w:rtl/>
        </w:rPr>
        <w:t>: סק</w:t>
      </w:r>
      <w:r w:rsidRPr="00B4661A">
        <w:rPr>
          <w:rFonts w:hint="eastAsia"/>
          <w:b/>
          <w:bCs/>
          <w:rtl/>
        </w:rPr>
        <w:t>ירה</w:t>
      </w:r>
      <w:r w:rsidRPr="00B4661A">
        <w:rPr>
          <w:rFonts w:hint="cs"/>
          <w:i/>
          <w:iCs/>
          <w:rtl/>
        </w:rPr>
        <w:t xml:space="preserve"> </w:t>
      </w:r>
      <w:r w:rsidRPr="00B4661A">
        <w:rPr>
          <w:b/>
          <w:bCs/>
          <w:rtl/>
        </w:rPr>
        <w:t>שנתית לשנת 2024</w:t>
      </w:r>
      <w:r w:rsidRPr="00B4661A">
        <w:rPr>
          <w:rFonts w:hint="cs"/>
          <w:rtl/>
        </w:rPr>
        <w:t xml:space="preserve"> (19.5.25), עמ' 142, 148 - 149.</w:t>
      </w:r>
    </w:p>
  </w:footnote>
  <w:footnote w:id="168">
    <w:p w:rsidR="00F74793" w:rsidP="001F2586">
      <w:pPr>
        <w:pStyle w:val="FootnoteText"/>
      </w:pPr>
      <w:r>
        <w:rPr>
          <w:rStyle w:val="FootnoteReference1"/>
        </w:rPr>
        <w:footnoteRef/>
      </w:r>
      <w:r>
        <w:rPr>
          <w:rtl/>
        </w:rPr>
        <w:t xml:space="preserve"> </w:t>
      </w:r>
      <w:r>
        <w:rPr>
          <w:rtl/>
        </w:rPr>
        <w:tab/>
      </w:r>
      <w:r>
        <w:rPr>
          <w:rFonts w:hint="cs"/>
          <w:rtl/>
        </w:rPr>
        <w:t>תהליך של הערכת ניהול סיכונים המתבצע בידי גוף פיננסי שנועד להחליט האם לאשר עסקה ובאילו תנאים.</w:t>
      </w:r>
    </w:p>
  </w:footnote>
  <w:footnote w:id="169">
    <w:p w:rsidR="00F74793" w:rsidP="001F2586">
      <w:pPr>
        <w:pStyle w:val="FootnoteText"/>
        <w:rPr>
          <w:rtl/>
        </w:rPr>
      </w:pPr>
      <w:r>
        <w:rPr>
          <w:rStyle w:val="FootnoteReference1"/>
        </w:rPr>
        <w:footnoteRef/>
      </w:r>
      <w:r>
        <w:rPr>
          <w:rtl/>
        </w:rPr>
        <w:t xml:space="preserve"> </w:t>
      </w:r>
      <w:r>
        <w:rPr>
          <w:rtl/>
        </w:rPr>
        <w:tab/>
      </w:r>
      <w:r>
        <w:rPr>
          <w:rFonts w:hint="cs"/>
          <w:rtl/>
        </w:rPr>
        <w:t>פורום שווי הוגן (</w:t>
      </w:r>
      <w:r>
        <w:rPr>
          <w:rFonts w:hint="cs"/>
        </w:rPr>
        <w:t>F</w:t>
      </w:r>
      <w:r>
        <w:t>air Value Forum</w:t>
      </w:r>
      <w:r>
        <w:rPr>
          <w:rFonts w:hint="cs"/>
          <w:rtl/>
        </w:rPr>
        <w:t>)</w:t>
      </w:r>
      <w:r>
        <w:rPr>
          <w:rFonts w:hint="cs"/>
        </w:rPr>
        <w:t xml:space="preserve"> </w:t>
      </w:r>
      <w:r>
        <w:rPr>
          <w:rFonts w:hint="cs"/>
          <w:rtl/>
        </w:rPr>
        <w:t>כולל מומחים מהאקדמיה ומהפרקטיקה בתחומי החשבונאות הפיננסית והמימון בייסודו של בית ספר אריסון למנהל עסקים באוניברסיטת רייכמן.</w:t>
      </w:r>
    </w:p>
  </w:footnote>
  <w:footnote w:id="170">
    <w:p w:rsidR="00F74793" w:rsidP="001F2586">
      <w:pPr>
        <w:pStyle w:val="FootnoteText"/>
      </w:pPr>
      <w:r>
        <w:rPr>
          <w:rStyle w:val="FootnoteReference1"/>
        </w:rPr>
        <w:footnoteRef/>
      </w:r>
      <w:r>
        <w:rPr>
          <w:rtl/>
        </w:rPr>
        <w:t xml:space="preserve"> </w:t>
      </w:r>
      <w:r>
        <w:rPr>
          <w:rtl/>
        </w:rPr>
        <w:tab/>
      </w:r>
      <w:r w:rsidRPr="00B4661A">
        <w:rPr>
          <w:rFonts w:hint="cs"/>
          <w:rtl/>
        </w:rPr>
        <w:t>אוניברסיטת רייכמן, פורום שווי הוגן, סיכום דיון בנושא המעבר של יזמי הבניה לעסקאות 20 80 (יותר): החל מהשלכות על הנזילות, דרך שאלת קיומה של אופציה במהות (לרבות בהקשר זכות האכיפה) וכלה בהשפעה על מחירי הדירות (9.2.24</w:t>
      </w:r>
      <w:r>
        <w:rPr>
          <w:rFonts w:hint="cs"/>
          <w:rtl/>
        </w:rPr>
        <w:t>).</w:t>
      </w:r>
    </w:p>
  </w:footnote>
  <w:footnote w:id="171">
    <w:p w:rsidR="00F74793" w:rsidP="001F2586">
      <w:pPr>
        <w:pStyle w:val="FootnoteText"/>
      </w:pPr>
      <w:r>
        <w:rPr>
          <w:rStyle w:val="FootnoteReference1"/>
        </w:rPr>
        <w:footnoteRef/>
      </w:r>
      <w:r>
        <w:rPr>
          <w:rtl/>
        </w:rPr>
        <w:t xml:space="preserve"> </w:t>
      </w:r>
      <w:r>
        <w:rPr>
          <w:rtl/>
        </w:rPr>
        <w:tab/>
      </w:r>
      <w:r w:rsidRPr="00B4661A">
        <w:rPr>
          <w:rFonts w:hint="cs"/>
          <w:rtl/>
        </w:rPr>
        <w:t xml:space="preserve">החישוב התבסס על פרסומי </w:t>
      </w:r>
      <w:r w:rsidRPr="00B4661A">
        <w:rPr>
          <w:rFonts w:hint="cs"/>
          <w:rtl/>
        </w:rPr>
        <w:t>הלמ"ס</w:t>
      </w:r>
      <w:r w:rsidRPr="00B4661A">
        <w:rPr>
          <w:rFonts w:hint="cs"/>
          <w:rtl/>
        </w:rPr>
        <w:t xml:space="preserve"> מיולי 2025 ולפי מחיר ממוצע משוקלל של המחירים הממוצעים של דירות לתקופה שבין הרבעון האחרון של 2024 לרבעון השני של 2025.</w:t>
      </w:r>
      <w:r>
        <w:rPr>
          <w:rFonts w:hint="cs"/>
          <w:rtl/>
        </w:rPr>
        <w:t xml:space="preserve"> המחיר הממוצע לתקופה זו עמד על 2,330.65 אלף ש"ח.</w:t>
      </w:r>
    </w:p>
  </w:footnote>
  <w:footnote w:id="172">
    <w:p w:rsidR="00F74793" w:rsidP="001F2586">
      <w:pPr>
        <w:pStyle w:val="FootnoteText"/>
        <w:rPr>
          <w:rtl/>
        </w:rPr>
      </w:pPr>
      <w:r>
        <w:rPr>
          <w:rStyle w:val="FootnoteReference1"/>
        </w:rPr>
        <w:footnoteRef/>
      </w:r>
      <w:r>
        <w:rPr>
          <w:rtl/>
        </w:rPr>
        <w:t xml:space="preserve"> </w:t>
      </w:r>
      <w:r>
        <w:rPr>
          <w:rtl/>
        </w:rPr>
        <w:tab/>
      </w:r>
      <w:r w:rsidRPr="00833741">
        <w:rPr>
          <w:rtl/>
        </w:rPr>
        <w:t>בדירות שנמכרו מעל לממוצע המחירים גובה ההנחה יהיה גבוה יותר ולחלופין בדירות שנמכרו מתחת לממוצע המחירים גובה ההנחה יהיה נמוך מכך.</w:t>
      </w:r>
    </w:p>
  </w:footnote>
  <w:footnote w:id="173">
    <w:p w:rsidR="00F74793" w:rsidP="001F2586">
      <w:pPr>
        <w:pStyle w:val="FootnoteText"/>
        <w:rPr>
          <w:rtl/>
        </w:rPr>
      </w:pPr>
      <w:r>
        <w:rPr>
          <w:rStyle w:val="FootnoteReference1"/>
        </w:rPr>
        <w:footnoteRef/>
      </w:r>
      <w:r>
        <w:rPr>
          <w:rtl/>
        </w:rPr>
        <w:t xml:space="preserve"> </w:t>
      </w:r>
      <w:r>
        <w:rPr>
          <w:rtl/>
        </w:rPr>
        <w:tab/>
      </w:r>
      <w:r>
        <w:rPr>
          <w:rFonts w:hint="cs"/>
          <w:rtl/>
        </w:rPr>
        <w:t>ראו הרחבה בתת פרק הסכמי מימון לבניית יחידות דיור למגורים.</w:t>
      </w:r>
    </w:p>
  </w:footnote>
  <w:footnote w:id="174">
    <w:p w:rsidR="00F74793" w:rsidP="001F2586">
      <w:pPr>
        <w:pStyle w:val="FootnoteText"/>
        <w:rPr>
          <w:rtl/>
        </w:rPr>
      </w:pPr>
      <w:r>
        <w:rPr>
          <w:rStyle w:val="FootnoteReference1"/>
        </w:rPr>
        <w:footnoteRef/>
      </w:r>
      <w:r>
        <w:rPr>
          <w:rtl/>
        </w:rPr>
        <w:t xml:space="preserve"> </w:t>
      </w:r>
      <w:r>
        <w:rPr>
          <w:rtl/>
        </w:rPr>
        <w:tab/>
      </w:r>
      <w:r w:rsidRPr="00B4661A">
        <w:rPr>
          <w:rFonts w:hint="cs"/>
          <w:rtl/>
        </w:rPr>
        <w:t>הצוות לבחינת מעורבות הבנקים בקביעת מחירי הדיור, דו"ח סופי, יולי 2025, עמ</w:t>
      </w:r>
      <w:r>
        <w:rPr>
          <w:rFonts w:hint="cs"/>
          <w:rtl/>
        </w:rPr>
        <w:t>'</w:t>
      </w:r>
      <w:r w:rsidRPr="00B4661A">
        <w:rPr>
          <w:rFonts w:hint="cs"/>
          <w:rtl/>
        </w:rPr>
        <w:t xml:space="preserve"> 16.</w:t>
      </w:r>
    </w:p>
  </w:footnote>
  <w:footnote w:id="175">
    <w:p w:rsidR="00F74793" w:rsidP="001F2586">
      <w:pPr>
        <w:pStyle w:val="FootnoteText"/>
      </w:pPr>
      <w:r>
        <w:rPr>
          <w:rStyle w:val="FootnoteReference1"/>
        </w:rPr>
        <w:footnoteRef/>
      </w:r>
      <w:r>
        <w:rPr>
          <w:rtl/>
        </w:rPr>
        <w:t xml:space="preserve"> </w:t>
      </w:r>
      <w:r>
        <w:rPr>
          <w:rtl/>
        </w:rPr>
        <w:tab/>
      </w:r>
      <w:r w:rsidRPr="00B4661A">
        <w:rPr>
          <w:rFonts w:hint="cs"/>
          <w:rtl/>
        </w:rPr>
        <w:t xml:space="preserve">בנק ישראל, חטיבת המחקר, דוח היציבות הפיננסית </w:t>
      </w:r>
      <w:r>
        <w:rPr>
          <w:rFonts w:hint="cs"/>
          <w:rtl/>
        </w:rPr>
        <w:t>-</w:t>
      </w:r>
      <w:r w:rsidRPr="00B4661A">
        <w:rPr>
          <w:rFonts w:hint="cs"/>
          <w:rtl/>
        </w:rPr>
        <w:t xml:space="preserve"> המחצית השנייה של שנת 2024, יולי </w:t>
      </w:r>
      <w:r>
        <w:rPr>
          <w:rFonts w:hint="cs"/>
          <w:rtl/>
        </w:rPr>
        <w:t>-</w:t>
      </w:r>
      <w:r w:rsidRPr="00B4661A">
        <w:rPr>
          <w:rFonts w:hint="cs"/>
          <w:rtl/>
        </w:rPr>
        <w:t xml:space="preserve"> דצמבר, 11.2.25, עמ</w:t>
      </w:r>
      <w:r>
        <w:rPr>
          <w:rFonts w:hint="cs"/>
          <w:rtl/>
        </w:rPr>
        <w:t>'</w:t>
      </w:r>
      <w:r w:rsidRPr="00B4661A">
        <w:rPr>
          <w:rFonts w:hint="cs"/>
          <w:rtl/>
        </w:rPr>
        <w:t xml:space="preserve"> 5.</w:t>
      </w:r>
    </w:p>
  </w:footnote>
  <w:footnote w:id="176">
    <w:p w:rsidR="00F74793" w:rsidP="001F2586">
      <w:pPr>
        <w:pStyle w:val="FootnoteText"/>
      </w:pPr>
      <w:r>
        <w:rPr>
          <w:rStyle w:val="FootnoteReference1"/>
        </w:rPr>
        <w:footnoteRef/>
      </w:r>
      <w:r>
        <w:rPr>
          <w:rtl/>
        </w:rPr>
        <w:t xml:space="preserve"> </w:t>
      </w:r>
      <w:r>
        <w:rPr>
          <w:rtl/>
        </w:rPr>
        <w:tab/>
      </w:r>
      <w:r>
        <w:rPr>
          <w:rFonts w:hint="cs"/>
          <w:rtl/>
        </w:rPr>
        <w:t>האשראי הניתן לרוכשים הוא אשראי לדיור המגובה בנכס ולכן יהיה לרוב זול מאשראי עסקי הנושא סיכון גבוה יותר עבור המלווה.</w:t>
      </w:r>
    </w:p>
  </w:footnote>
  <w:footnote w:id="177">
    <w:p w:rsidR="00F74793" w:rsidP="001F2586">
      <w:pPr>
        <w:pStyle w:val="FootnoteText"/>
        <w:rPr>
          <w:rtl/>
        </w:rPr>
      </w:pPr>
      <w:r>
        <w:rPr>
          <w:rStyle w:val="FootnoteReference1"/>
        </w:rPr>
        <w:footnoteRef/>
      </w:r>
      <w:r>
        <w:rPr>
          <w:rtl/>
        </w:rPr>
        <w:t xml:space="preserve"> </w:t>
      </w:r>
      <w:r>
        <w:rPr>
          <w:rtl/>
        </w:rPr>
        <w:tab/>
      </w:r>
      <w:r>
        <w:rPr>
          <w:rFonts w:hint="cs"/>
          <w:rtl/>
        </w:rPr>
        <w:t>שיעור הריבית הממוצעת לתקופה שבין דצמבר 2023 לאוקטובר 2024 היא בהתאם לדיווח הפיקוח על הבנקים, ובתקופה שבין נובמבר 2024 לאוגוסט 2025 שיעור הריבית המוצגת מבוססת על ממוצע הדיווח של הפיקוח על הבנקים לביצועי הלוואות בסבסוד קבלנים שהועמדו במגזר הצמוד ובמגזר שאינו צמוד.</w:t>
      </w:r>
    </w:p>
  </w:footnote>
  <w:footnote w:id="178">
    <w:p w:rsidR="00F74793" w:rsidP="001F2586">
      <w:pPr>
        <w:pStyle w:val="FootnoteText"/>
      </w:pPr>
      <w:r>
        <w:rPr>
          <w:rStyle w:val="FootnoteReference1"/>
        </w:rPr>
        <w:footnoteRef/>
      </w:r>
      <w:r>
        <w:rPr>
          <w:rtl/>
        </w:rPr>
        <w:t xml:space="preserve"> </w:t>
      </w:r>
      <w:r>
        <w:rPr>
          <w:rtl/>
        </w:rPr>
        <w:tab/>
      </w:r>
      <w:r>
        <w:rPr>
          <w:rFonts w:hint="cs"/>
          <w:rtl/>
        </w:rPr>
        <w:t>עסק זעיר - עד 4 עובדים ומחזור מכירות של עד 1 מיליון ש"ח; עסק קטן - 5 עד 20 עובדים ומחזור מכירות של עד 20 מיליון ש"ח; עסק בינוני - 11 עד 100 עובדים ומחזור מכירות של עד 100 מיליון ש"ח; עסק גדול - מעל 100 עובדים ומחזור מכירות הגדול מ-100 מיליון ש"ח.</w:t>
      </w:r>
    </w:p>
  </w:footnote>
  <w:footnote w:id="179">
    <w:p w:rsidR="00F74793" w:rsidP="001F2586">
      <w:pPr>
        <w:pStyle w:val="FootnoteText"/>
      </w:pPr>
      <w:r>
        <w:rPr>
          <w:rStyle w:val="FootnoteReference1"/>
        </w:rPr>
        <w:footnoteRef/>
      </w:r>
      <w:r>
        <w:rPr>
          <w:rtl/>
        </w:rPr>
        <w:t xml:space="preserve"> </w:t>
      </w:r>
      <w:r>
        <w:rPr>
          <w:rtl/>
        </w:rPr>
        <w:tab/>
      </w:r>
      <w:r w:rsidRPr="000471C8">
        <w:rPr>
          <w:rtl/>
        </w:rPr>
        <w:t>בחודשים נובמבר 2024 עד פברואר 2025 לא התקבלו נתונים פרטניים על ביצועי בלון בסבסוד קבל</w:t>
      </w:r>
      <w:r>
        <w:rPr>
          <w:rFonts w:hint="cs"/>
          <w:rtl/>
        </w:rPr>
        <w:t>נים</w:t>
      </w:r>
      <w:r w:rsidRPr="000471C8">
        <w:rPr>
          <w:rtl/>
        </w:rPr>
        <w:t xml:space="preserve"> לעומת ביצועי בלון "רגילים" בשל מעבר מדיווח אד-הוק לדיווח חודשי ומוסדר. מהפיקוח על הבנקים נמסר כי בשיחות שקיים עם המערכת הבנקאית עלה כי התופעה המשיכה גם בתקופה זו.</w:t>
      </w:r>
    </w:p>
  </w:footnote>
  <w:footnote w:id="180">
    <w:p w:rsidR="00F74793" w:rsidP="001F2586">
      <w:pPr>
        <w:pStyle w:val="FootnoteText"/>
        <w:rPr>
          <w:rtl/>
        </w:rPr>
      </w:pPr>
      <w:r>
        <w:rPr>
          <w:rStyle w:val="FootnoteReference1"/>
        </w:rPr>
        <w:footnoteRef/>
      </w:r>
      <w:r>
        <w:rPr>
          <w:rtl/>
        </w:rPr>
        <w:t xml:space="preserve"> </w:t>
      </w:r>
      <w:r>
        <w:rPr>
          <w:rtl/>
        </w:rPr>
        <w:tab/>
      </w:r>
      <w:r w:rsidRPr="00B4661A">
        <w:rPr>
          <w:rFonts w:hint="cs"/>
          <w:rtl/>
        </w:rPr>
        <w:t xml:space="preserve">בנק ישראל, </w:t>
      </w:r>
      <w:r w:rsidRPr="00B4661A">
        <w:rPr>
          <w:rFonts w:hint="eastAsia"/>
          <w:b/>
          <w:bCs/>
          <w:rtl/>
        </w:rPr>
        <w:t>דוח</w:t>
      </w:r>
      <w:r w:rsidRPr="00B4661A">
        <w:rPr>
          <w:b/>
          <w:bCs/>
          <w:rtl/>
        </w:rPr>
        <w:t xml:space="preserve"> היציבות הפיננסית </w:t>
      </w:r>
      <w:r w:rsidRPr="00B4661A">
        <w:rPr>
          <w:rFonts w:hint="cs"/>
          <w:b/>
          <w:bCs/>
          <w:rtl/>
        </w:rPr>
        <w:t>ל</w:t>
      </w:r>
      <w:r w:rsidRPr="00B4661A">
        <w:rPr>
          <w:rFonts w:hint="eastAsia"/>
          <w:b/>
          <w:bCs/>
          <w:rtl/>
        </w:rPr>
        <w:t>מחצית</w:t>
      </w:r>
      <w:r w:rsidRPr="00B4661A">
        <w:rPr>
          <w:rFonts w:hint="cs"/>
          <w:b/>
          <w:bCs/>
          <w:rtl/>
        </w:rPr>
        <w:t xml:space="preserve"> </w:t>
      </w:r>
      <w:r w:rsidRPr="00B4661A">
        <w:rPr>
          <w:b/>
          <w:bCs/>
          <w:rtl/>
        </w:rPr>
        <w:t>השנייה של שנת 2024, יולי - דצמבר</w:t>
      </w:r>
      <w:r w:rsidRPr="00B4661A">
        <w:rPr>
          <w:rFonts w:hint="cs"/>
          <w:rtl/>
        </w:rPr>
        <w:t xml:space="preserve"> (11.2.25), עמ' 25.</w:t>
      </w:r>
    </w:p>
  </w:footnote>
  <w:footnote w:id="181">
    <w:p w:rsidR="00F74793" w:rsidP="001F2586">
      <w:pPr>
        <w:pStyle w:val="FootnoteText"/>
      </w:pPr>
      <w:r>
        <w:rPr>
          <w:rStyle w:val="FootnoteReference1"/>
        </w:rPr>
        <w:footnoteRef/>
      </w:r>
      <w:r>
        <w:rPr>
          <w:rtl/>
        </w:rPr>
        <w:t xml:space="preserve"> </w:t>
      </w:r>
      <w:r>
        <w:rPr>
          <w:rtl/>
        </w:rPr>
        <w:tab/>
      </w:r>
      <w:r>
        <w:rPr>
          <w:rFonts w:hint="cs"/>
          <w:rtl/>
        </w:rPr>
        <w:t>מונח בנקאי המתייחס לסך ההתחייבויות של לקוח כלפי בנק, ובכלל זה הלוואות, מסגרות אשראי מנוצלות, שעבודים, ערבויות וכל התחייבות כספית עתידי אחרת. גובהו משמש את הבנק להערכת יכולת התשלום של הלקוח ולקבל החלטות לגבי העמדת אשראי נוסף עבורו.</w:t>
      </w:r>
    </w:p>
  </w:footnote>
  <w:footnote w:id="182">
    <w:p w:rsidR="00F74793" w:rsidP="001F2586">
      <w:pPr>
        <w:pStyle w:val="FootnoteText"/>
        <w:rPr>
          <w:rtl/>
        </w:rPr>
      </w:pPr>
      <w:r>
        <w:rPr>
          <w:rStyle w:val="FootnoteReference1"/>
        </w:rPr>
        <w:footnoteRef/>
      </w:r>
      <w:r>
        <w:rPr>
          <w:rtl/>
        </w:rPr>
        <w:t xml:space="preserve"> </w:t>
      </w:r>
      <w:r>
        <w:rPr>
          <w:rtl/>
        </w:rPr>
        <w:tab/>
      </w:r>
      <w:r>
        <w:rPr>
          <w:rFonts w:hint="cs"/>
          <w:rtl/>
        </w:rPr>
        <w:t>במסגרת ההוראה נקבע כי סך כל החבויות של ענף מסוים לא יעלה על 20% מסך כל חבויות הציבור לתאגיד הבנקאי. עם זאת, בענף בינוי ונדל"ן נקבעו כמה שינויים בהוראה: 1) סך חבויות ענף "בינוי נדל"ן ותעשייה ומסחר של מוצרי בנייה" בניכוי חבויות למימון פרויקטים בשותפות המגזר הציבורי עם המגזר הפרטי לא יעלה על 20% מסך כל חבויות הציבור לתאגיד בנקאי; 2) סך חבויות ענף "בינוי נדל"ן ותעשייה ומסחר של מוצרי בנייה" לא יעלה על 24% מסך כל חבויות הציבור לתאגיד בנקאי; 3)</w:t>
      </w:r>
      <w:r>
        <w:rPr>
          <w:rFonts w:hint="cs"/>
        </w:rPr>
        <w:t xml:space="preserve"> </w:t>
      </w:r>
      <w:r>
        <w:rPr>
          <w:rFonts w:hint="cs"/>
          <w:rtl/>
        </w:rPr>
        <w:t>בהוראת שעה שתוקפה הוא עד 31.12.27 הורחבו המגבלות שנקבעו בהוראה ומופיעות בסעיפים 1 ו-2 לעיל, ל-22% ול-26% בהתאמה ובתנאי ששיעור החבות לא יעלה על השיעורים שנקבעו בסעיפים אלה עד ליום 31.12.25.</w:t>
      </w:r>
    </w:p>
  </w:footnote>
  <w:footnote w:id="183">
    <w:p w:rsidR="00F74793" w:rsidP="001F2586">
      <w:pPr>
        <w:pStyle w:val="FootnoteText"/>
      </w:pPr>
      <w:r>
        <w:rPr>
          <w:rStyle w:val="FootnoteReference1"/>
        </w:rPr>
        <w:footnoteRef/>
      </w:r>
      <w:r>
        <w:rPr>
          <w:rtl/>
        </w:rPr>
        <w:t xml:space="preserve"> </w:t>
      </w:r>
      <w:r>
        <w:rPr>
          <w:rtl/>
        </w:rPr>
        <w:tab/>
      </w:r>
      <w:r>
        <w:rPr>
          <w:rFonts w:hint="cs"/>
          <w:rtl/>
        </w:rPr>
        <w:t xml:space="preserve">המחיר הממוצע לדירה לפי </w:t>
      </w:r>
      <w:r w:rsidRPr="00B4661A">
        <w:rPr>
          <w:rFonts w:hint="cs"/>
          <w:rtl/>
        </w:rPr>
        <w:t xml:space="preserve">פרסומי </w:t>
      </w:r>
      <w:r w:rsidRPr="00B4661A">
        <w:rPr>
          <w:rFonts w:hint="cs"/>
          <w:rtl/>
        </w:rPr>
        <w:t>הלמ"ס</w:t>
      </w:r>
      <w:r w:rsidRPr="00B4661A">
        <w:rPr>
          <w:rFonts w:hint="cs"/>
          <w:rtl/>
        </w:rPr>
        <w:t xml:space="preserve"> מיולי 2025</w:t>
      </w:r>
      <w:r>
        <w:rPr>
          <w:rFonts w:hint="cs"/>
          <w:rtl/>
        </w:rPr>
        <w:t xml:space="preserve"> עומד על כ-2.3 מיליון ש"ח.</w:t>
      </w:r>
    </w:p>
  </w:footnote>
  <w:footnote w:id="184">
    <w:p w:rsidR="00F74793" w:rsidP="001F2586">
      <w:pPr>
        <w:pStyle w:val="FootnoteText"/>
        <w:rPr>
          <w:rtl/>
        </w:rPr>
      </w:pPr>
      <w:r>
        <w:rPr>
          <w:rStyle w:val="FootnoteReference1"/>
        </w:rPr>
        <w:footnoteRef/>
      </w:r>
      <w:r>
        <w:rPr>
          <w:rtl/>
        </w:rPr>
        <w:t xml:space="preserve"> </w:t>
      </w:r>
      <w:r>
        <w:rPr>
          <w:rtl/>
        </w:rPr>
        <w:tab/>
      </w:r>
      <w:r>
        <w:rPr>
          <w:rFonts w:hint="cs"/>
          <w:rtl/>
        </w:rPr>
        <w:t>המותקנים בחדרי רחצה ומטבחים ומיועדים להיגיינה, ניקיון ושימושי מים.</w:t>
      </w:r>
    </w:p>
  </w:footnote>
  <w:footnote w:id="185">
    <w:p w:rsidR="00F74793" w:rsidP="001F2586">
      <w:pPr>
        <w:pStyle w:val="FootnoteText"/>
        <w:rPr>
          <w:rtl/>
        </w:rPr>
      </w:pPr>
      <w:r>
        <w:rPr>
          <w:rStyle w:val="FootnoteReference1"/>
        </w:rPr>
        <w:footnoteRef/>
      </w:r>
      <w:r>
        <w:rPr>
          <w:rtl/>
        </w:rPr>
        <w:t xml:space="preserve"> </w:t>
      </w:r>
      <w:r>
        <w:rPr>
          <w:rtl/>
        </w:rPr>
        <w:tab/>
      </w:r>
      <w:r>
        <w:rPr>
          <w:rFonts w:hint="cs"/>
          <w:rtl/>
        </w:rPr>
        <w:t>בתיקון מספר 9 ל</w:t>
      </w:r>
      <w:r w:rsidRPr="00B4661A">
        <w:rPr>
          <w:rFonts w:hint="cs"/>
          <w:rtl/>
        </w:rPr>
        <w:t>חוק המכר (דירות), התשל"ג-1973</w:t>
      </w:r>
      <w:r>
        <w:rPr>
          <w:rFonts w:hint="cs"/>
          <w:rtl/>
        </w:rPr>
        <w:t xml:space="preserve"> מיום 7.7.22 נקבע כי בחוזה מכר ניתן לקבוע הצמדה של מחיר דירה למדד תשומות הבנייה כך שלכל היותר חצי מכל תשלום יוצמד למדד, למעט תשלום של 20% הראשונים ממחיר הדירה שכלל לא יוצמדו למדד.</w:t>
      </w:r>
    </w:p>
  </w:footnote>
  <w:footnote w:id="186">
    <w:p w:rsidR="00F74793" w:rsidP="001F2586">
      <w:pPr>
        <w:pStyle w:val="FootnoteText"/>
        <w:rPr>
          <w:rtl/>
        </w:rPr>
      </w:pPr>
      <w:r>
        <w:rPr>
          <w:rStyle w:val="FootnoteReference1"/>
        </w:rPr>
        <w:footnoteRef/>
      </w:r>
      <w:r>
        <w:rPr>
          <w:rtl/>
        </w:rPr>
        <w:t xml:space="preserve"> </w:t>
      </w:r>
      <w:r>
        <w:rPr>
          <w:rtl/>
        </w:rPr>
        <w:tab/>
      </w:r>
      <w:r>
        <w:rPr>
          <w:rFonts w:hint="cs"/>
          <w:rtl/>
        </w:rPr>
        <w:t xml:space="preserve">החישוב התבסס על תקופת בנייה של שלוש שנים, תשלום של 20% במועד הרכישה ויתרת התשלום במועד המסירה ומחיר ממוצע הדירות, כפי שפרסמה </w:t>
      </w:r>
      <w:r>
        <w:rPr>
          <w:rFonts w:hint="cs"/>
          <w:rtl/>
        </w:rPr>
        <w:t>הלמ"ס</w:t>
      </w:r>
      <w:r>
        <w:rPr>
          <w:rFonts w:hint="cs"/>
          <w:rtl/>
        </w:rPr>
        <w:t>, לשנים 2020 ו-2021, עבורן קיימים נתונים מלאים של מדד תשומות הבנייה.</w:t>
      </w:r>
    </w:p>
  </w:footnote>
  <w:footnote w:id="187">
    <w:p w:rsidR="00F74793" w:rsidP="001F2586">
      <w:pPr>
        <w:pStyle w:val="FootnoteText"/>
      </w:pPr>
      <w:r>
        <w:rPr>
          <w:rStyle w:val="FootnoteReference1"/>
        </w:rPr>
        <w:footnoteRef/>
      </w:r>
      <w:r>
        <w:rPr>
          <w:rtl/>
        </w:rPr>
        <w:t xml:space="preserve"> </w:t>
      </w:r>
      <w:r>
        <w:rPr>
          <w:rtl/>
        </w:rPr>
        <w:tab/>
      </w:r>
      <w:r>
        <w:rPr>
          <w:rFonts w:hint="cs"/>
          <w:rtl/>
        </w:rPr>
        <w:t>ממוצע בין הפרשי הצמדה של דירה שנקנתה בתחילת שנת 2021 במחיר ממוצע של כ-1.6 מיליון ש"ח לאלו של דירה שנקנתה בתחילת שנת 2022 במחיר ממוצע של 1.73 מיליון ש"ח.</w:t>
      </w:r>
    </w:p>
  </w:footnote>
  <w:footnote w:id="188">
    <w:p w:rsidR="00F74793" w:rsidP="001F2586">
      <w:pPr>
        <w:pStyle w:val="FootnoteText"/>
      </w:pPr>
      <w:r>
        <w:rPr>
          <w:rStyle w:val="FootnoteReference1"/>
        </w:rPr>
        <w:footnoteRef/>
      </w:r>
      <w:r>
        <w:rPr>
          <w:rtl/>
        </w:rPr>
        <w:t xml:space="preserve"> </w:t>
      </w:r>
      <w:r>
        <w:rPr>
          <w:rtl/>
        </w:rPr>
        <w:tab/>
      </w:r>
      <w:r w:rsidRPr="00B4661A">
        <w:rPr>
          <w:rFonts w:hint="cs"/>
          <w:rtl/>
        </w:rPr>
        <w:t>בנק ישראל, הפיקוח על הבנקים, אשראי לענף הבינוי והנדל"ן עדכון בנושא הלוואות קבלן, יוני 2024</w:t>
      </w:r>
      <w:r>
        <w:rPr>
          <w:rFonts w:hint="cs"/>
          <w:rtl/>
        </w:rPr>
        <w:t>.</w:t>
      </w:r>
    </w:p>
  </w:footnote>
  <w:footnote w:id="189">
    <w:p w:rsidR="00F74793" w:rsidP="001F2586">
      <w:pPr>
        <w:pStyle w:val="FootnoteText"/>
        <w:rPr>
          <w:rtl/>
        </w:rPr>
      </w:pPr>
      <w:r>
        <w:rPr>
          <w:rStyle w:val="FootnoteReference1"/>
        </w:rPr>
        <w:footnoteRef/>
      </w:r>
      <w:r>
        <w:rPr>
          <w:rtl/>
        </w:rPr>
        <w:t xml:space="preserve"> </w:t>
      </w:r>
      <w:r>
        <w:rPr>
          <w:rtl/>
        </w:rPr>
        <w:tab/>
      </w:r>
      <w:r w:rsidRPr="00B4661A">
        <w:rPr>
          <w:rFonts w:hint="cs"/>
          <w:rtl/>
        </w:rPr>
        <w:t>הלשכה המרכזית לסטטיסטיקה, הודעה לתקשורת, נספח - בדיקות שנערכו על נתוני הטבות מימון וממ"ד, 14.3.25</w:t>
      </w:r>
      <w:r>
        <w:rPr>
          <w:rFonts w:hint="cs"/>
          <w:rtl/>
        </w:rPr>
        <w:t>.</w:t>
      </w:r>
    </w:p>
  </w:footnote>
  <w:footnote w:id="190">
    <w:p w:rsidR="00F74793" w:rsidP="001F2586">
      <w:pPr>
        <w:pStyle w:val="FootnoteText"/>
        <w:rPr>
          <w:rtl/>
        </w:rPr>
      </w:pPr>
      <w:r>
        <w:rPr>
          <w:rStyle w:val="FootnoteReference1"/>
        </w:rPr>
        <w:footnoteRef/>
      </w:r>
      <w:r>
        <w:rPr>
          <w:rtl/>
        </w:rPr>
        <w:t xml:space="preserve"> </w:t>
      </w:r>
      <w:r>
        <w:rPr>
          <w:rtl/>
        </w:rPr>
        <w:tab/>
      </w:r>
      <w:r w:rsidRPr="00B4661A">
        <w:rPr>
          <w:rFonts w:hint="cs"/>
          <w:rtl/>
        </w:rPr>
        <w:t>משרד האוצר, אגף הכלכלן הראשי - צוות מחקר נדל"ן, סקירת ענף הנדל"ן למגורים ינואר 2025, מרץ 2025</w:t>
      </w:r>
      <w:r>
        <w:rPr>
          <w:rFonts w:hint="cs"/>
          <w:rtl/>
        </w:rPr>
        <w:t>.</w:t>
      </w:r>
    </w:p>
  </w:footnote>
  <w:footnote w:id="191">
    <w:p w:rsidR="00F74793" w:rsidP="001F2586">
      <w:pPr>
        <w:pStyle w:val="FootnoteText"/>
        <w:rPr>
          <w:rtl/>
        </w:rPr>
      </w:pPr>
      <w:r>
        <w:rPr>
          <w:rStyle w:val="FootnoteReference1"/>
        </w:rPr>
        <w:footnoteRef/>
      </w:r>
      <w:r>
        <w:rPr>
          <w:rtl/>
        </w:rPr>
        <w:t xml:space="preserve"> </w:t>
      </w:r>
      <w:r>
        <w:rPr>
          <w:rtl/>
        </w:rPr>
        <w:tab/>
      </w:r>
      <w:r>
        <w:rPr>
          <w:rFonts w:hint="cs"/>
          <w:rtl/>
        </w:rPr>
        <w:t>הושמטו מהניתוח כמאה דירות שנרכשו במסגרת מבצע מכירות למועדון צרכנות גדול.</w:t>
      </w:r>
    </w:p>
  </w:footnote>
  <w:footnote w:id="192">
    <w:p w:rsidR="00F74793" w:rsidP="001F2586">
      <w:pPr>
        <w:pStyle w:val="FootnoteText"/>
      </w:pPr>
      <w:r>
        <w:rPr>
          <w:rStyle w:val="FootnoteReference1"/>
        </w:rPr>
        <w:footnoteRef/>
      </w:r>
      <w:r>
        <w:rPr>
          <w:rtl/>
        </w:rPr>
        <w:t xml:space="preserve"> </w:t>
      </w:r>
      <w:r>
        <w:rPr>
          <w:rtl/>
        </w:rPr>
        <w:tab/>
      </w:r>
      <w:r>
        <w:rPr>
          <w:rFonts w:hint="cs"/>
          <w:rtl/>
        </w:rPr>
        <w:t xml:space="preserve">ראו: </w:t>
      </w:r>
      <w:r w:rsidRPr="00B4661A">
        <w:rPr>
          <w:rFonts w:hint="cs"/>
          <w:rtl/>
        </w:rPr>
        <w:t xml:space="preserve">דוח מבקר המדינה, </w:t>
      </w:r>
      <w:r w:rsidRPr="00B4661A">
        <w:rPr>
          <w:rFonts w:hint="eastAsia"/>
          <w:b/>
          <w:bCs/>
          <w:rtl/>
        </w:rPr>
        <w:t>מיסוי</w:t>
      </w:r>
      <w:r w:rsidRPr="00B4661A">
        <w:rPr>
          <w:b/>
          <w:bCs/>
          <w:rtl/>
        </w:rPr>
        <w:t xml:space="preserve"> </w:t>
      </w:r>
      <w:r w:rsidRPr="00B4661A">
        <w:rPr>
          <w:rFonts w:hint="eastAsia"/>
          <w:b/>
          <w:bCs/>
          <w:rtl/>
        </w:rPr>
        <w:t>מקרקעין</w:t>
      </w:r>
      <w:r w:rsidRPr="00B4661A">
        <w:rPr>
          <w:b/>
          <w:bCs/>
          <w:rtl/>
        </w:rPr>
        <w:t xml:space="preserve"> </w:t>
      </w:r>
      <w:r w:rsidRPr="00B4661A">
        <w:rPr>
          <w:rFonts w:hint="eastAsia"/>
          <w:b/>
          <w:bCs/>
          <w:rtl/>
        </w:rPr>
        <w:t>ותשתית</w:t>
      </w:r>
      <w:r w:rsidRPr="00B4661A">
        <w:rPr>
          <w:b/>
          <w:bCs/>
          <w:rtl/>
        </w:rPr>
        <w:t xml:space="preserve"> </w:t>
      </w:r>
      <w:r w:rsidRPr="00B4661A">
        <w:rPr>
          <w:rFonts w:hint="eastAsia"/>
          <w:b/>
          <w:bCs/>
          <w:rtl/>
        </w:rPr>
        <w:t>המידע</w:t>
      </w:r>
      <w:r w:rsidRPr="00B4661A">
        <w:rPr>
          <w:b/>
          <w:bCs/>
          <w:rtl/>
        </w:rPr>
        <w:t xml:space="preserve"> </w:t>
      </w:r>
      <w:r w:rsidRPr="00B4661A">
        <w:rPr>
          <w:rFonts w:hint="eastAsia"/>
          <w:b/>
          <w:bCs/>
          <w:rtl/>
        </w:rPr>
        <w:t>על</w:t>
      </w:r>
      <w:r w:rsidRPr="00B4661A">
        <w:rPr>
          <w:b/>
          <w:bCs/>
          <w:rtl/>
        </w:rPr>
        <w:t xml:space="preserve"> </w:t>
      </w:r>
      <w:r w:rsidRPr="00B4661A">
        <w:rPr>
          <w:rFonts w:hint="eastAsia"/>
          <w:b/>
          <w:bCs/>
          <w:rtl/>
        </w:rPr>
        <w:t>נדל</w:t>
      </w:r>
      <w:r w:rsidRPr="00B4661A">
        <w:rPr>
          <w:b/>
          <w:bCs/>
          <w:rtl/>
        </w:rPr>
        <w:t xml:space="preserve">"ן </w:t>
      </w:r>
      <w:r w:rsidRPr="00B4661A">
        <w:rPr>
          <w:rFonts w:hint="eastAsia"/>
          <w:b/>
          <w:bCs/>
          <w:rtl/>
        </w:rPr>
        <w:t>בישראל</w:t>
      </w:r>
      <w:r w:rsidRPr="00B4661A">
        <w:rPr>
          <w:rFonts w:hint="cs"/>
          <w:rtl/>
        </w:rPr>
        <w:t xml:space="preserve"> (אוקטובר 2025</w:t>
      </w:r>
      <w:r>
        <w:rPr>
          <w:rFonts w:hint="cs"/>
          <w:rtl/>
        </w:rPr>
        <w:t xml:space="preserve">); </w:t>
      </w:r>
      <w:r w:rsidRPr="00B4661A">
        <w:rPr>
          <w:rFonts w:hint="cs"/>
          <w:rtl/>
        </w:rPr>
        <w:t xml:space="preserve">דוח מבקר המדינה, </w:t>
      </w:r>
      <w:r w:rsidRPr="00B4661A">
        <w:rPr>
          <w:rFonts w:hint="eastAsia"/>
          <w:b/>
          <w:bCs/>
          <w:rtl/>
        </w:rPr>
        <w:t>טיפול</w:t>
      </w:r>
      <w:r w:rsidRPr="00B4661A">
        <w:rPr>
          <w:b/>
          <w:bCs/>
          <w:rtl/>
        </w:rPr>
        <w:t xml:space="preserve"> </w:t>
      </w:r>
      <w:r w:rsidRPr="00B4661A">
        <w:rPr>
          <w:rFonts w:hint="eastAsia"/>
          <w:b/>
          <w:bCs/>
          <w:rtl/>
        </w:rPr>
        <w:t>רשות</w:t>
      </w:r>
      <w:r w:rsidRPr="00B4661A">
        <w:rPr>
          <w:b/>
          <w:bCs/>
          <w:rtl/>
        </w:rPr>
        <w:t xml:space="preserve"> </w:t>
      </w:r>
      <w:r w:rsidRPr="00B4661A">
        <w:rPr>
          <w:rFonts w:hint="eastAsia"/>
          <w:b/>
          <w:bCs/>
          <w:rtl/>
        </w:rPr>
        <w:t>המיסים</w:t>
      </w:r>
      <w:r w:rsidRPr="00B4661A">
        <w:rPr>
          <w:b/>
          <w:bCs/>
          <w:rtl/>
        </w:rPr>
        <w:t xml:space="preserve"> </w:t>
      </w:r>
      <w:r w:rsidRPr="00B4661A">
        <w:rPr>
          <w:rFonts w:hint="eastAsia"/>
          <w:b/>
          <w:bCs/>
          <w:rtl/>
        </w:rPr>
        <w:t>בתופעת</w:t>
      </w:r>
      <w:r w:rsidRPr="00B4661A">
        <w:rPr>
          <w:b/>
          <w:bCs/>
          <w:rtl/>
        </w:rPr>
        <w:t xml:space="preserve"> </w:t>
      </w:r>
      <w:r w:rsidRPr="00B4661A">
        <w:rPr>
          <w:rFonts w:hint="eastAsia"/>
          <w:b/>
          <w:bCs/>
          <w:rtl/>
        </w:rPr>
        <w:t>החשבוניות</w:t>
      </w:r>
      <w:r w:rsidRPr="00B4661A">
        <w:rPr>
          <w:b/>
          <w:bCs/>
          <w:rtl/>
        </w:rPr>
        <w:t xml:space="preserve"> </w:t>
      </w:r>
      <w:r w:rsidRPr="00B4661A">
        <w:rPr>
          <w:rFonts w:hint="eastAsia"/>
          <w:b/>
          <w:bCs/>
          <w:rtl/>
        </w:rPr>
        <w:t>הפיקטיביות</w:t>
      </w:r>
      <w:r w:rsidRPr="00B4661A">
        <w:rPr>
          <w:rFonts w:hint="cs"/>
          <w:rtl/>
        </w:rPr>
        <w:t xml:space="preserve"> (ינואר 2024</w:t>
      </w:r>
      <w:r>
        <w:rPr>
          <w:rFonts w:hint="cs"/>
          <w:rtl/>
        </w:rPr>
        <w:t>).</w:t>
      </w:r>
    </w:p>
  </w:footnote>
  <w:footnote w:id="193">
    <w:p w:rsidR="00F74793" w:rsidP="001F2586">
      <w:pPr>
        <w:pStyle w:val="FootnoteText"/>
      </w:pPr>
      <w:r>
        <w:rPr>
          <w:rStyle w:val="FootnoteReference1"/>
        </w:rPr>
        <w:footnoteRef/>
      </w:r>
      <w:r>
        <w:rPr>
          <w:rtl/>
        </w:rPr>
        <w:t xml:space="preserve"> </w:t>
      </w:r>
      <w:r>
        <w:rPr>
          <w:rtl/>
        </w:rPr>
        <w:tab/>
      </w:r>
      <w:r>
        <w:rPr>
          <w:rFonts w:hint="cs"/>
          <w:rtl/>
        </w:rPr>
        <w:t>א) פקודת הבנקאות, 1941; ב) חוק הבנקאות (רישוי), התשמ"א-1981; ג) חוק הבנקאות (שירות ללקוח), התשמ"א-1981; ד) חוק שקים ללא כיסוי, התשמ"א-1981.</w:t>
      </w:r>
    </w:p>
  </w:footnote>
  <w:footnote w:id="194">
    <w:p w:rsidR="00F74793" w:rsidRPr="004E732F" w:rsidP="001F2586">
      <w:pPr>
        <w:pStyle w:val="FootnoteText"/>
        <w:rPr>
          <w:rtl/>
        </w:rPr>
      </w:pPr>
      <w:r>
        <w:rPr>
          <w:rStyle w:val="FootnoteReference1"/>
        </w:rPr>
        <w:footnoteRef/>
      </w:r>
      <w:r>
        <w:rPr>
          <w:rtl/>
        </w:rPr>
        <w:t xml:space="preserve"> </w:t>
      </w:r>
      <w:r>
        <w:rPr>
          <w:rtl/>
        </w:rPr>
        <w:tab/>
      </w:r>
      <w:r w:rsidRPr="00BE1C68">
        <w:rPr>
          <w:rFonts w:hint="cs"/>
          <w:rtl/>
        </w:rPr>
        <w:t>הפיקוח על הבנקים</w:t>
      </w:r>
      <w:r w:rsidRPr="00BE1C68">
        <w:rPr>
          <w:rtl/>
        </w:rPr>
        <w:t xml:space="preserve"> </w:t>
      </w:r>
      <w:r>
        <w:rPr>
          <w:rFonts w:hint="cs"/>
          <w:rtl/>
        </w:rPr>
        <w:t>ב</w:t>
      </w:r>
      <w:r w:rsidRPr="00B4661A">
        <w:rPr>
          <w:rFonts w:hint="cs"/>
          <w:rtl/>
        </w:rPr>
        <w:t xml:space="preserve">בנק ישראל, </w:t>
      </w:r>
      <w:r w:rsidRPr="00B4661A">
        <w:rPr>
          <w:rFonts w:hint="eastAsia"/>
          <w:b/>
          <w:bCs/>
          <w:rtl/>
        </w:rPr>
        <w:t>מערכת</w:t>
      </w:r>
      <w:r w:rsidRPr="00B4661A">
        <w:rPr>
          <w:b/>
          <w:bCs/>
          <w:rtl/>
        </w:rPr>
        <w:t xml:space="preserve"> </w:t>
      </w:r>
      <w:r w:rsidRPr="00B4661A">
        <w:rPr>
          <w:rFonts w:hint="eastAsia"/>
          <w:b/>
          <w:bCs/>
          <w:rtl/>
        </w:rPr>
        <w:t>הבנקאות</w:t>
      </w:r>
      <w:r w:rsidRPr="00B4661A">
        <w:rPr>
          <w:rFonts w:hint="cs"/>
          <w:b/>
          <w:bCs/>
          <w:rtl/>
        </w:rPr>
        <w:t>:</w:t>
      </w:r>
      <w:r w:rsidRPr="00B4661A">
        <w:rPr>
          <w:b/>
          <w:bCs/>
          <w:rtl/>
        </w:rPr>
        <w:t xml:space="preserve"> סקירה שנתית לשנת 2024</w:t>
      </w:r>
      <w:r w:rsidRPr="00B4661A">
        <w:rPr>
          <w:rFonts w:hint="cs"/>
          <w:rtl/>
        </w:rPr>
        <w:t xml:space="preserve"> (19.5.25), עמ' 149.</w:t>
      </w:r>
    </w:p>
  </w:footnote>
  <w:footnote w:id="195">
    <w:p w:rsidR="00F74793" w:rsidP="001F2586">
      <w:pPr>
        <w:pStyle w:val="FootnoteText"/>
      </w:pPr>
      <w:r>
        <w:rPr>
          <w:rStyle w:val="FootnoteReference1"/>
        </w:rPr>
        <w:footnoteRef/>
      </w:r>
      <w:r>
        <w:rPr>
          <w:rtl/>
        </w:rPr>
        <w:t xml:space="preserve"> </w:t>
      </w:r>
      <w:r>
        <w:rPr>
          <w:rtl/>
        </w:rPr>
        <w:tab/>
      </w:r>
      <w:r>
        <w:rPr>
          <w:rFonts w:hint="cs"/>
          <w:rtl/>
        </w:rPr>
        <w:t>השיח התקיים באמצעות אגפי הפיקוח השונים ועם גורמים שונים בבנקים. השיח כלל התייחסות לאופי המוצר, התנהגות השוק והתפתחויות בו, וכן אופן החיתום, סוגיות דיווח ואיסוף נתונים.</w:t>
      </w:r>
    </w:p>
  </w:footnote>
  <w:footnote w:id="196">
    <w:p w:rsidR="00F74793" w:rsidP="001F2586">
      <w:pPr>
        <w:pStyle w:val="FootnoteText"/>
      </w:pPr>
      <w:r>
        <w:rPr>
          <w:rStyle w:val="FootnoteReference1"/>
        </w:rPr>
        <w:footnoteRef/>
      </w:r>
      <w:r>
        <w:rPr>
          <w:rtl/>
        </w:rPr>
        <w:t xml:space="preserve"> </w:t>
      </w:r>
      <w:r>
        <w:rPr>
          <w:rtl/>
        </w:rPr>
        <w:tab/>
      </w:r>
      <w:r>
        <w:rPr>
          <w:rFonts w:hint="cs"/>
          <w:rtl/>
        </w:rPr>
        <w:t>באמצעות אסדרה או בקביעת מגבלות פנימיות וריענון מדיניות ניהול הסיכונים הקיימת בבנקים.</w:t>
      </w:r>
    </w:p>
  </w:footnote>
  <w:footnote w:id="197">
    <w:p w:rsidR="00F74793" w:rsidP="001F2586">
      <w:pPr>
        <w:pStyle w:val="FootnoteText"/>
      </w:pPr>
      <w:r>
        <w:rPr>
          <w:rStyle w:val="FootnoteReference1"/>
        </w:rPr>
        <w:footnoteRef/>
      </w:r>
      <w:r>
        <w:rPr>
          <w:rtl/>
        </w:rPr>
        <w:t xml:space="preserve"> </w:t>
      </w:r>
      <w:r>
        <w:rPr>
          <w:rtl/>
        </w:rPr>
        <w:tab/>
      </w:r>
      <w:r>
        <w:rPr>
          <w:rFonts w:hint="cs"/>
          <w:rtl/>
        </w:rPr>
        <w:t>שחרור העודפים הוא מתן אישור לקבלנים למשוך עודפי כספים מהפרויקט שנוצרים במקרה שההכנסות ממכירת הדירות גדולות מעלויות הפרויקט.</w:t>
      </w:r>
    </w:p>
  </w:footnote>
  <w:footnote w:id="198">
    <w:p w:rsidR="00F74793" w:rsidP="001F2586">
      <w:pPr>
        <w:pStyle w:val="FootnoteText"/>
        <w:rPr>
          <w:rtl/>
        </w:rPr>
      </w:pPr>
      <w:r>
        <w:rPr>
          <w:rStyle w:val="FootnoteReference1"/>
        </w:rPr>
        <w:footnoteRef/>
      </w:r>
      <w:r>
        <w:rPr>
          <w:rtl/>
        </w:rPr>
        <w:t xml:space="preserve"> </w:t>
      </w:r>
      <w:r>
        <w:rPr>
          <w:rtl/>
        </w:rPr>
        <w:tab/>
      </w:r>
      <w:r>
        <w:rPr>
          <w:rFonts w:hint="cs"/>
          <w:rtl/>
        </w:rPr>
        <w:t>כושר ספיגה היא יכולתו של הפרויקט לספוג ירידה במחירי הדיור או עלייה בתשומות הבניה.</w:t>
      </w:r>
    </w:p>
  </w:footnote>
  <w:footnote w:id="199">
    <w:p w:rsidR="00F74793" w:rsidP="001F2586">
      <w:pPr>
        <w:pStyle w:val="FootnoteText"/>
        <w:rPr>
          <w:rtl/>
        </w:rPr>
      </w:pPr>
      <w:r>
        <w:rPr>
          <w:rStyle w:val="FootnoteReference1"/>
        </w:rPr>
        <w:footnoteRef/>
      </w:r>
      <w:r>
        <w:rPr>
          <w:rtl/>
        </w:rPr>
        <w:t xml:space="preserve"> </w:t>
      </w:r>
      <w:r>
        <w:rPr>
          <w:rtl/>
        </w:rPr>
        <w:tab/>
      </w:r>
      <w:r>
        <w:rPr>
          <w:rFonts w:hint="cs"/>
          <w:rtl/>
        </w:rPr>
        <w:t>הוגדרו מגבלות שונות שנקבעו להעמדת הלוואות בסבסוד קבלנים, כגון מגבלות על התיק מתוך האשראי לדיור, מגבלות על ביצועי האשראי ומגבלות כאשר התשלום בעת הרכישה נמוך משיעור מסוים או בשיעורי מימון גבוהים.</w:t>
      </w:r>
    </w:p>
  </w:footnote>
  <w:footnote w:id="200">
    <w:p w:rsidR="00F74793" w:rsidP="001F2586">
      <w:pPr>
        <w:pStyle w:val="FootnoteText"/>
      </w:pPr>
      <w:r>
        <w:rPr>
          <w:rStyle w:val="FootnoteReference1"/>
        </w:rPr>
        <w:footnoteRef/>
      </w:r>
      <w:r>
        <w:rPr>
          <w:rtl/>
        </w:rPr>
        <w:t xml:space="preserve"> </w:t>
      </w:r>
      <w:r>
        <w:rPr>
          <w:rtl/>
        </w:rPr>
        <w:tab/>
      </w:r>
      <w:r>
        <w:rPr>
          <w:rFonts w:hint="cs"/>
          <w:rtl/>
        </w:rPr>
        <w:t>בין הצעדים שנבחנו היו הגדלת דרישת הון, קביעת מינימום לתשלום רוכשים, הגבלת החלק מהעסקה שיכול להידחות למועד מסירה והגבלת השיעור המרבי בפרויקט שקבלן יכול למכור בעסקאות לא לינאריות.</w:t>
      </w:r>
    </w:p>
  </w:footnote>
  <w:footnote w:id="201">
    <w:p w:rsidR="00F74793" w:rsidP="001F2586">
      <w:pPr>
        <w:pStyle w:val="FootnoteText"/>
      </w:pPr>
      <w:r>
        <w:rPr>
          <w:rStyle w:val="FootnoteReference1"/>
        </w:rPr>
        <w:footnoteRef/>
      </w:r>
      <w:r>
        <w:rPr>
          <w:rtl/>
        </w:rPr>
        <w:t xml:space="preserve"> </w:t>
      </w:r>
      <w:r>
        <w:rPr>
          <w:rtl/>
        </w:rPr>
        <w:tab/>
      </w:r>
      <w:r>
        <w:rPr>
          <w:rFonts w:hint="cs"/>
          <w:rtl/>
        </w:rPr>
        <w:t>הפיקוח על הבנקים ביצע סימולציות על הקצאת ההון ויחס הון עצמי רובד 1 על בסיס נתונים שאסף בדיווחי אד-הוק למבצעי 20/80 בתרחישים מקלים ומחמירים ובחן את השפעתם על כל אחד מהבנקים, על הקבלנים ועל הרוכשים.</w:t>
      </w:r>
    </w:p>
  </w:footnote>
  <w:footnote w:id="202">
    <w:p w:rsidR="00F74793" w:rsidP="001F2586">
      <w:pPr>
        <w:pStyle w:val="FootnoteText"/>
      </w:pPr>
      <w:r>
        <w:rPr>
          <w:rStyle w:val="FootnoteReference1"/>
        </w:rPr>
        <w:footnoteRef/>
      </w:r>
      <w:r>
        <w:rPr>
          <w:rtl/>
        </w:rPr>
        <w:t xml:space="preserve"> </w:t>
      </w:r>
      <w:r>
        <w:rPr>
          <w:rtl/>
        </w:rPr>
        <w:tab/>
      </w:r>
      <w:r>
        <w:rPr>
          <w:rFonts w:hint="cs"/>
          <w:rtl/>
        </w:rPr>
        <w:t>הערות</w:t>
      </w:r>
      <w:r w:rsidRPr="00874DF5">
        <w:rPr>
          <w:rtl/>
        </w:rPr>
        <w:t xml:space="preserve"> התקבלו עד ליום 30.3.25 </w:t>
      </w:r>
      <w:r>
        <w:rPr>
          <w:rFonts w:hint="cs"/>
          <w:rtl/>
        </w:rPr>
        <w:t>ש</w:t>
      </w:r>
      <w:r w:rsidRPr="00874DF5">
        <w:rPr>
          <w:rtl/>
        </w:rPr>
        <w:t>נדונו בראשות המפקח ב-2.4.25.</w:t>
      </w:r>
    </w:p>
  </w:footnote>
  <w:footnote w:id="203">
    <w:p w:rsidR="00F74793" w:rsidP="001F2586">
      <w:pPr>
        <w:pStyle w:val="FootnoteText"/>
        <w:rPr>
          <w:rtl/>
        </w:rPr>
      </w:pPr>
      <w:r>
        <w:rPr>
          <w:rStyle w:val="FootnoteReference1"/>
        </w:rPr>
        <w:footnoteRef/>
      </w:r>
      <w:r>
        <w:rPr>
          <w:rtl/>
        </w:rPr>
        <w:t xml:space="preserve"> </w:t>
      </w:r>
      <w:r>
        <w:rPr>
          <w:rtl/>
        </w:rPr>
        <w:tab/>
      </w:r>
      <w:r>
        <w:rPr>
          <w:rFonts w:hint="cs"/>
          <w:rtl/>
        </w:rPr>
        <w:t>הוגדר תשלום לא לינארי כעסקה שבה סך התשלומים בסמוך למועד המסירה עולה על 40% ממחיר המכירה.</w:t>
      </w:r>
    </w:p>
  </w:footnote>
  <w:footnote w:id="204">
    <w:p w:rsidR="00F74793" w:rsidP="001F2586">
      <w:pPr>
        <w:pStyle w:val="FootnoteText"/>
      </w:pPr>
      <w:r>
        <w:rPr>
          <w:rStyle w:val="FootnoteReference1"/>
        </w:rPr>
        <w:footnoteRef/>
      </w:r>
      <w:r>
        <w:rPr>
          <w:rtl/>
        </w:rPr>
        <w:t xml:space="preserve"> </w:t>
      </w:r>
      <w:r>
        <w:rPr>
          <w:rtl/>
        </w:rPr>
        <w:tab/>
      </w:r>
      <w:r>
        <w:rPr>
          <w:rFonts w:hint="cs"/>
          <w:rtl/>
        </w:rPr>
        <w:t>המדד כולל רק דירות שנמכרו על ידי חברה קבלנית ומועד העסקה קדם לשנת הבנייה (רכישה "על הנייר") או התרחש עד שלוש שנים לאחר שנת הבנייה.</w:t>
      </w:r>
    </w:p>
  </w:footnote>
  <w:footnote w:id="205">
    <w:p w:rsidR="00F74793" w:rsidP="001F2586">
      <w:pPr>
        <w:pStyle w:val="FootnoteText"/>
        <w:rPr>
          <w:rtl/>
        </w:rPr>
      </w:pPr>
      <w:r>
        <w:rPr>
          <w:rStyle w:val="FootnoteReference1"/>
        </w:rPr>
        <w:footnoteRef/>
      </w:r>
      <w:r>
        <w:rPr>
          <w:rtl/>
        </w:rPr>
        <w:t xml:space="preserve"> </w:t>
      </w:r>
      <w:r>
        <w:rPr>
          <w:rtl/>
        </w:rPr>
        <w:tab/>
      </w:r>
      <w:r>
        <w:rPr>
          <w:rFonts w:hint="cs"/>
          <w:rtl/>
        </w:rPr>
        <w:t>סך התשלומים בסמוך למועד המסירה מתקרב ל-40% ממחיר המכירה.</w:t>
      </w:r>
    </w:p>
  </w:footnote>
  <w:footnote w:id="206">
    <w:p w:rsidR="00F74793" w:rsidP="001F2586">
      <w:pPr>
        <w:pStyle w:val="FootnoteText"/>
        <w:rPr>
          <w:rtl/>
        </w:rPr>
      </w:pPr>
      <w:r>
        <w:rPr>
          <w:rStyle w:val="FootnoteReference1"/>
        </w:rPr>
        <w:footnoteRef/>
      </w:r>
      <w:r>
        <w:rPr>
          <w:rtl/>
        </w:rPr>
        <w:t xml:space="preserve"> </w:t>
      </w:r>
      <w:r>
        <w:rPr>
          <w:rtl/>
        </w:rPr>
        <w:tab/>
      </w:r>
      <w:r w:rsidRPr="00B4661A">
        <w:rPr>
          <w:rFonts w:hint="cs"/>
          <w:rtl/>
        </w:rPr>
        <w:t>מילון מונחים מקצועי בענף שמאות המקרקעין</w:t>
      </w:r>
      <w:r>
        <w:rPr>
          <w:rFonts w:hint="cs"/>
          <w:rtl/>
        </w:rPr>
        <w:t>, הוועדה לתקינה שמאית, 1.9.25.</w:t>
      </w:r>
      <w:r>
        <w:rPr>
          <w:rtl/>
        </w:rPr>
        <w:t xml:space="preserve"> </w:t>
      </w:r>
    </w:p>
  </w:footnote>
  <w:footnote w:id="207">
    <w:p w:rsidR="00F74793" w:rsidP="001F2586">
      <w:pPr>
        <w:pStyle w:val="FootnoteText"/>
      </w:pPr>
      <w:r>
        <w:rPr>
          <w:rStyle w:val="FootnoteReference1"/>
        </w:rPr>
        <w:footnoteRef/>
      </w:r>
      <w:r>
        <w:rPr>
          <w:rtl/>
        </w:rPr>
        <w:t xml:space="preserve"> </w:t>
      </w:r>
      <w:r>
        <w:rPr>
          <w:rtl/>
        </w:rPr>
        <w:tab/>
      </w:r>
      <w:r>
        <w:rPr>
          <w:rFonts w:hint="cs"/>
          <w:rtl/>
        </w:rPr>
        <w:t>מודל כלכלי-סטטיסטי המשמש להערכת מחיר של מוצר לפי מאפייניו באמצעות הערכת השפעתו של כל מרכיב על המוצר הסופי.</w:t>
      </w:r>
    </w:p>
  </w:footnote>
  <w:footnote w:id="208">
    <w:p w:rsidR="00F74793" w:rsidP="001F2586">
      <w:pPr>
        <w:pStyle w:val="FootnoteText"/>
        <w:rPr>
          <w:rtl/>
        </w:rPr>
      </w:pPr>
      <w:r>
        <w:rPr>
          <w:rStyle w:val="FootnoteReference1"/>
        </w:rPr>
        <w:footnoteRef/>
      </w:r>
      <w:r>
        <w:rPr>
          <w:rtl/>
        </w:rPr>
        <w:t xml:space="preserve"> </w:t>
      </w:r>
      <w:r>
        <w:rPr>
          <w:rtl/>
        </w:rPr>
        <w:tab/>
      </w:r>
      <w:r>
        <w:rPr>
          <w:rFonts w:hint="cs"/>
          <w:rtl/>
        </w:rPr>
        <w:t xml:space="preserve">ראו: </w:t>
      </w:r>
      <w:r w:rsidRPr="00B4661A">
        <w:rPr>
          <w:rFonts w:hint="cs"/>
          <w:rtl/>
        </w:rPr>
        <w:t>הלמ"ס</w:t>
      </w:r>
      <w:r w:rsidRPr="00B4661A">
        <w:rPr>
          <w:rFonts w:hint="cs"/>
          <w:rtl/>
        </w:rPr>
        <w:t xml:space="preserve">, </w:t>
      </w:r>
      <w:r w:rsidRPr="00B4661A">
        <w:rPr>
          <w:rFonts w:hint="eastAsia"/>
          <w:b/>
          <w:bCs/>
          <w:rtl/>
        </w:rPr>
        <w:t>מתודולוגיה</w:t>
      </w:r>
      <w:r w:rsidRPr="00B4661A">
        <w:rPr>
          <w:b/>
          <w:bCs/>
          <w:rtl/>
        </w:rPr>
        <w:t xml:space="preserve"> </w:t>
      </w:r>
      <w:r w:rsidRPr="00B4661A">
        <w:rPr>
          <w:rFonts w:hint="eastAsia"/>
          <w:b/>
          <w:bCs/>
          <w:rtl/>
        </w:rPr>
        <w:t>לחישוב</w:t>
      </w:r>
      <w:r w:rsidRPr="00B4661A">
        <w:rPr>
          <w:b/>
          <w:bCs/>
          <w:rtl/>
        </w:rPr>
        <w:t xml:space="preserve"> </w:t>
      </w:r>
      <w:r w:rsidRPr="00B4661A">
        <w:rPr>
          <w:rFonts w:hint="eastAsia"/>
          <w:b/>
          <w:bCs/>
          <w:rtl/>
        </w:rPr>
        <w:t>מדד</w:t>
      </w:r>
      <w:r w:rsidRPr="00B4661A">
        <w:rPr>
          <w:b/>
          <w:bCs/>
          <w:rtl/>
        </w:rPr>
        <w:t xml:space="preserve"> </w:t>
      </w:r>
      <w:r w:rsidRPr="00B4661A">
        <w:rPr>
          <w:rFonts w:hint="eastAsia"/>
          <w:b/>
          <w:bCs/>
          <w:rtl/>
        </w:rPr>
        <w:t>מחירי</w:t>
      </w:r>
      <w:r w:rsidRPr="00B4661A">
        <w:rPr>
          <w:b/>
          <w:bCs/>
          <w:rtl/>
        </w:rPr>
        <w:t xml:space="preserve"> </w:t>
      </w:r>
      <w:r w:rsidRPr="00B4661A">
        <w:rPr>
          <w:rFonts w:hint="eastAsia"/>
          <w:b/>
          <w:bCs/>
          <w:rtl/>
        </w:rPr>
        <w:t>דירות</w:t>
      </w:r>
      <w:r w:rsidRPr="00B4661A">
        <w:rPr>
          <w:b/>
          <w:bCs/>
          <w:rtl/>
        </w:rPr>
        <w:t xml:space="preserve"> </w:t>
      </w:r>
      <w:r w:rsidRPr="00B4661A">
        <w:rPr>
          <w:rFonts w:hint="eastAsia"/>
          <w:b/>
          <w:bCs/>
          <w:rtl/>
        </w:rPr>
        <w:t>ומחירים</w:t>
      </w:r>
      <w:r w:rsidRPr="00B4661A">
        <w:rPr>
          <w:b/>
          <w:bCs/>
          <w:rtl/>
        </w:rPr>
        <w:t xml:space="preserve"> </w:t>
      </w:r>
      <w:r w:rsidRPr="00B4661A">
        <w:rPr>
          <w:rFonts w:hint="eastAsia"/>
          <w:b/>
          <w:bCs/>
          <w:rtl/>
        </w:rPr>
        <w:t>ממוצעים</w:t>
      </w:r>
      <w:r w:rsidRPr="00B4661A">
        <w:rPr>
          <w:b/>
          <w:bCs/>
          <w:rtl/>
        </w:rPr>
        <w:t xml:space="preserve"> </w:t>
      </w:r>
      <w:r w:rsidRPr="00B4661A">
        <w:rPr>
          <w:rFonts w:hint="eastAsia"/>
          <w:b/>
          <w:bCs/>
          <w:rtl/>
        </w:rPr>
        <w:t>רבעוניים</w:t>
      </w:r>
      <w:r w:rsidRPr="00B4661A">
        <w:rPr>
          <w:b/>
          <w:bCs/>
          <w:rtl/>
        </w:rPr>
        <w:t xml:space="preserve"> </w:t>
      </w:r>
      <w:r w:rsidRPr="00B4661A">
        <w:rPr>
          <w:rFonts w:hint="eastAsia"/>
          <w:b/>
          <w:bCs/>
          <w:rtl/>
        </w:rPr>
        <w:t>ושנתיים</w:t>
      </w:r>
      <w:r w:rsidRPr="00B4661A">
        <w:rPr>
          <w:rFonts w:hint="cs"/>
          <w:rtl/>
        </w:rPr>
        <w:t xml:space="preserve"> (15.7.25).</w:t>
      </w:r>
      <w:r>
        <w:rPr>
          <w:rtl/>
        </w:rPr>
        <w:t xml:space="preserve"> </w:t>
      </w:r>
    </w:p>
  </w:footnote>
  <w:footnote w:id="209">
    <w:p w:rsidR="00F74793" w:rsidP="001F2586">
      <w:pPr>
        <w:pStyle w:val="FootnoteText"/>
      </w:pPr>
      <w:r>
        <w:rPr>
          <w:rStyle w:val="FootnoteReference1"/>
        </w:rPr>
        <w:footnoteRef/>
      </w:r>
      <w:r>
        <w:rPr>
          <w:rtl/>
        </w:rPr>
        <w:t xml:space="preserve"> </w:t>
      </w:r>
      <w:r>
        <w:rPr>
          <w:rtl/>
        </w:rPr>
        <w:tab/>
      </w:r>
      <w:r>
        <w:rPr>
          <w:rFonts w:hint="cs"/>
          <w:rtl/>
        </w:rPr>
        <w:t xml:space="preserve">משרד האוצר, אגף הכלכלן הראשי - צוות מחקר - נדל"ן, </w:t>
      </w:r>
      <w:r w:rsidRPr="00B4661A">
        <w:rPr>
          <w:rFonts w:hint="eastAsia"/>
          <w:b/>
          <w:bCs/>
          <w:rtl/>
        </w:rPr>
        <w:t>סקירת</w:t>
      </w:r>
      <w:r w:rsidRPr="00B4661A">
        <w:rPr>
          <w:b/>
          <w:bCs/>
          <w:rtl/>
        </w:rPr>
        <w:t xml:space="preserve"> </w:t>
      </w:r>
      <w:r w:rsidRPr="00B4661A">
        <w:rPr>
          <w:rFonts w:hint="eastAsia"/>
          <w:b/>
          <w:bCs/>
          <w:rtl/>
        </w:rPr>
        <w:t>ענף</w:t>
      </w:r>
      <w:r w:rsidRPr="00B4661A">
        <w:rPr>
          <w:b/>
          <w:bCs/>
          <w:rtl/>
        </w:rPr>
        <w:t xml:space="preserve"> </w:t>
      </w:r>
      <w:r w:rsidRPr="00B4661A">
        <w:rPr>
          <w:rFonts w:hint="eastAsia"/>
          <w:b/>
          <w:bCs/>
          <w:rtl/>
        </w:rPr>
        <w:t>הנדל</w:t>
      </w:r>
      <w:r w:rsidRPr="00B4661A">
        <w:rPr>
          <w:b/>
          <w:bCs/>
          <w:rtl/>
        </w:rPr>
        <w:t xml:space="preserve">"ן </w:t>
      </w:r>
      <w:r w:rsidRPr="00B4661A">
        <w:rPr>
          <w:rFonts w:hint="eastAsia"/>
          <w:b/>
          <w:bCs/>
          <w:rtl/>
        </w:rPr>
        <w:t>למגורים</w:t>
      </w:r>
      <w:r w:rsidRPr="00B4661A">
        <w:rPr>
          <w:b/>
          <w:bCs/>
          <w:rtl/>
        </w:rPr>
        <w:t xml:space="preserve"> </w:t>
      </w:r>
      <w:r w:rsidRPr="00B4661A">
        <w:rPr>
          <w:rFonts w:hint="eastAsia"/>
          <w:b/>
          <w:bCs/>
          <w:rtl/>
        </w:rPr>
        <w:t>דצמבר</w:t>
      </w:r>
      <w:r w:rsidRPr="00B4661A">
        <w:rPr>
          <w:b/>
          <w:bCs/>
          <w:rtl/>
        </w:rPr>
        <w:t xml:space="preserve"> 2023</w:t>
      </w:r>
      <w:r>
        <w:rPr>
          <w:rFonts w:hint="cs"/>
          <w:rtl/>
        </w:rPr>
        <w:t>, פברואר 2024.</w:t>
      </w:r>
    </w:p>
  </w:footnote>
  <w:footnote w:id="210">
    <w:p w:rsidR="00F74793" w:rsidP="001F2586">
      <w:pPr>
        <w:pStyle w:val="FootnoteText"/>
      </w:pPr>
      <w:r>
        <w:rPr>
          <w:rStyle w:val="FootnoteReference1"/>
        </w:rPr>
        <w:footnoteRef/>
      </w:r>
      <w:r>
        <w:rPr>
          <w:rtl/>
        </w:rPr>
        <w:t xml:space="preserve"> </w:t>
      </w:r>
      <w:r>
        <w:rPr>
          <w:rtl/>
        </w:rPr>
        <w:tab/>
      </w:r>
      <w:r w:rsidRPr="00B4661A">
        <w:rPr>
          <w:rFonts w:hint="cs"/>
          <w:rtl/>
        </w:rPr>
        <w:t>הצוות לבחינת מעורבות הבנקים בקביעת מחירי הדיור, דו"ח סופי, יולי 2025, עמ</w:t>
      </w:r>
      <w:r>
        <w:rPr>
          <w:rFonts w:hint="cs"/>
          <w:rtl/>
        </w:rPr>
        <w:t>'</w:t>
      </w:r>
      <w:r w:rsidRPr="00B4661A">
        <w:rPr>
          <w:rFonts w:hint="cs"/>
          <w:rtl/>
        </w:rPr>
        <w:t xml:space="preserve"> 21.</w:t>
      </w:r>
    </w:p>
  </w:footnote>
  <w:footnote w:id="211">
    <w:p w:rsidR="00F74793" w:rsidP="001F2586">
      <w:pPr>
        <w:pStyle w:val="FootnoteText"/>
      </w:pPr>
      <w:r>
        <w:rPr>
          <w:rStyle w:val="FootnoteReference1"/>
        </w:rPr>
        <w:footnoteRef/>
      </w:r>
      <w:r>
        <w:rPr>
          <w:rtl/>
        </w:rPr>
        <w:t xml:space="preserve"> </w:t>
      </w:r>
      <w:r>
        <w:rPr>
          <w:rtl/>
        </w:rPr>
        <w:tab/>
      </w:r>
      <w:r>
        <w:rPr>
          <w:rFonts w:hint="cs"/>
          <w:rtl/>
        </w:rPr>
        <w:t>למעט בשלוש נקודות זמן: 1) בשנת 2012 לאחר מחאת יוקר הדיור שפרצה בקיץ 2011; 2) בשנת 2016 לאחר תחילת שיווקי קרקע במסגרת תוכנית "מחיר למשתכן"; 3) בשנת 2022 לאחר עליות של שער הריבית במשק.</w:t>
      </w:r>
    </w:p>
  </w:footnote>
  <w:footnote w:id="212">
    <w:p w:rsidR="00F74793" w:rsidP="001F2586">
      <w:pPr>
        <w:pStyle w:val="FootnoteText"/>
      </w:pPr>
      <w:r>
        <w:rPr>
          <w:rStyle w:val="FootnoteReference1"/>
        </w:rPr>
        <w:footnoteRef/>
      </w:r>
      <w:r>
        <w:rPr>
          <w:rtl/>
        </w:rPr>
        <w:t xml:space="preserve"> </w:t>
      </w:r>
      <w:r>
        <w:rPr>
          <w:rtl/>
        </w:rPr>
        <w:tab/>
      </w:r>
      <w:r w:rsidRPr="00B4661A">
        <w:rPr>
          <w:rFonts w:hint="cs"/>
          <w:rtl/>
        </w:rPr>
        <w:t>הלמ"ס</w:t>
      </w:r>
      <w:r w:rsidRPr="00B4661A">
        <w:rPr>
          <w:rFonts w:hint="cs"/>
          <w:rtl/>
        </w:rPr>
        <w:t xml:space="preserve">, </w:t>
      </w:r>
      <w:r w:rsidRPr="00B4661A">
        <w:rPr>
          <w:rFonts w:hint="eastAsia"/>
          <w:b/>
          <w:bCs/>
          <w:rtl/>
        </w:rPr>
        <w:t>סדרת</w:t>
      </w:r>
      <w:r w:rsidRPr="00B4661A">
        <w:rPr>
          <w:b/>
          <w:bCs/>
          <w:rtl/>
        </w:rPr>
        <w:t xml:space="preserve"> </w:t>
      </w:r>
      <w:r w:rsidRPr="00B4661A">
        <w:rPr>
          <w:rFonts w:hint="eastAsia"/>
          <w:b/>
          <w:bCs/>
          <w:rtl/>
        </w:rPr>
        <w:t>ניירות</w:t>
      </w:r>
      <w:r w:rsidRPr="00B4661A">
        <w:rPr>
          <w:b/>
          <w:bCs/>
          <w:rtl/>
        </w:rPr>
        <w:t xml:space="preserve"> </w:t>
      </w:r>
      <w:r w:rsidRPr="00B4661A">
        <w:rPr>
          <w:rFonts w:hint="eastAsia"/>
          <w:b/>
          <w:bCs/>
          <w:rtl/>
        </w:rPr>
        <w:t>עבודה</w:t>
      </w:r>
      <w:r w:rsidRPr="00B4661A">
        <w:rPr>
          <w:b/>
          <w:bCs/>
          <w:rtl/>
        </w:rPr>
        <w:t xml:space="preserve">, </w:t>
      </w:r>
      <w:r w:rsidRPr="00B4661A">
        <w:rPr>
          <w:rFonts w:hint="eastAsia"/>
          <w:b/>
          <w:bCs/>
          <w:rtl/>
        </w:rPr>
        <w:t>אמידת</w:t>
      </w:r>
      <w:r w:rsidRPr="00B4661A">
        <w:rPr>
          <w:b/>
          <w:bCs/>
          <w:rtl/>
        </w:rPr>
        <w:t xml:space="preserve"> </w:t>
      </w:r>
      <w:r w:rsidRPr="00B4661A">
        <w:rPr>
          <w:rFonts w:hint="eastAsia"/>
          <w:b/>
          <w:bCs/>
          <w:rtl/>
        </w:rPr>
        <w:t>השינויים</w:t>
      </w:r>
      <w:r w:rsidRPr="00B4661A">
        <w:rPr>
          <w:b/>
          <w:bCs/>
          <w:rtl/>
        </w:rPr>
        <w:t xml:space="preserve"> </w:t>
      </w:r>
      <w:r w:rsidRPr="00B4661A">
        <w:rPr>
          <w:rFonts w:hint="eastAsia"/>
          <w:b/>
          <w:bCs/>
          <w:rtl/>
        </w:rPr>
        <w:t>במחירי</w:t>
      </w:r>
      <w:r w:rsidRPr="00B4661A">
        <w:rPr>
          <w:b/>
          <w:bCs/>
          <w:rtl/>
        </w:rPr>
        <w:t xml:space="preserve"> </w:t>
      </w:r>
      <w:r w:rsidRPr="00B4661A">
        <w:rPr>
          <w:rFonts w:hint="eastAsia"/>
          <w:b/>
          <w:bCs/>
          <w:rtl/>
        </w:rPr>
        <w:t>הקרקעות</w:t>
      </w:r>
      <w:r w:rsidRPr="00B4661A">
        <w:rPr>
          <w:b/>
          <w:bCs/>
          <w:rtl/>
        </w:rPr>
        <w:t xml:space="preserve"> </w:t>
      </w:r>
      <w:r w:rsidRPr="00B4661A">
        <w:rPr>
          <w:rFonts w:hint="eastAsia"/>
          <w:b/>
          <w:bCs/>
          <w:rtl/>
        </w:rPr>
        <w:t>בישראל</w:t>
      </w:r>
      <w:r w:rsidRPr="00B4661A">
        <w:rPr>
          <w:rFonts w:hint="cs"/>
          <w:rtl/>
        </w:rPr>
        <w:t xml:space="preserve"> (פברואר 2025).</w:t>
      </w:r>
    </w:p>
  </w:footnote>
  <w:footnote w:id="213">
    <w:p w:rsidR="00F74793" w:rsidP="001F2586">
      <w:pPr>
        <w:pStyle w:val="FootnoteText"/>
        <w:rPr>
          <w:rtl/>
        </w:rPr>
      </w:pPr>
      <w:r>
        <w:rPr>
          <w:rStyle w:val="FootnoteReference1"/>
        </w:rPr>
        <w:footnoteRef/>
      </w:r>
      <w:r>
        <w:rPr>
          <w:rtl/>
        </w:rPr>
        <w:t xml:space="preserve"> </w:t>
      </w:r>
      <w:r>
        <w:rPr>
          <w:rtl/>
        </w:rPr>
        <w:tab/>
      </w:r>
      <w:r>
        <w:rPr>
          <w:rFonts w:hint="cs"/>
          <w:rtl/>
        </w:rPr>
        <w:t xml:space="preserve">הממשלה נקטה בהגדלת מכסות העובדים הזרים ובתמריצים לעידוד ישראלים להשתלב בענף הבנייה, אולם הגידול היה הדרגתי ולא פיצה על המחסור שנוצר כתוצאה מירידה במספר העובדים הפלסטינים. </w:t>
      </w:r>
    </w:p>
  </w:footnote>
  <w:footnote w:id="214">
    <w:p w:rsidR="00F74793" w:rsidP="001F2586">
      <w:pPr>
        <w:pStyle w:val="FootnoteText"/>
        <w:rPr>
          <w:rtl/>
        </w:rPr>
      </w:pPr>
      <w:r>
        <w:rPr>
          <w:rStyle w:val="FootnoteReference1"/>
        </w:rPr>
        <w:footnoteRef/>
      </w:r>
      <w:r>
        <w:rPr>
          <w:rtl/>
        </w:rPr>
        <w:t xml:space="preserve"> </w:t>
      </w:r>
      <w:r>
        <w:rPr>
          <w:rtl/>
        </w:rPr>
        <w:tab/>
      </w:r>
      <w:r>
        <w:rPr>
          <w:rFonts w:hint="cs"/>
          <w:rtl/>
        </w:rPr>
        <w:t xml:space="preserve">הודעה לתקשורת של </w:t>
      </w:r>
      <w:r w:rsidRPr="00B4661A">
        <w:rPr>
          <w:rFonts w:hint="cs"/>
          <w:rtl/>
        </w:rPr>
        <w:t>הלמ"ס</w:t>
      </w:r>
      <w:r w:rsidRPr="00B4661A">
        <w:rPr>
          <w:rFonts w:hint="cs"/>
          <w:rtl/>
        </w:rPr>
        <w:t>, סקר הערכת המגמות בעסקים - אוקטובר 2025 (6.11.25).</w:t>
      </w:r>
      <w:r>
        <w:rPr>
          <w:rFonts w:hint="cs"/>
          <w:rtl/>
        </w:rPr>
        <w:t xml:space="preserve"> לפי נתוני הסקר חל גידול של כ-21 נקודות האחוז בעסקים שהגדירו את המחסור בעובדים מקצועיים כמגבלה מהותית בענף הבינוי בין הרבעון שלפני המלחמה (הרבעון השלישי לשנת 2023) לרבעון האחרון לשנת 2023 (מ-25.31% </w:t>
      </w:r>
      <w:r>
        <w:rPr>
          <w:rtl/>
        </w:rPr>
        <w:br/>
      </w:r>
      <w:r>
        <w:rPr>
          <w:rFonts w:hint="cs"/>
          <w:rtl/>
        </w:rPr>
        <w:t>ל-46.17%). עוד לפי נתוני הסקר בענף הבינוי כ-37% מהעסקים מגדירים את מגבלת המצב הביטחוני כפוגעת בפעילות חברתם באופן ניכר. בתחילת המלחמה (בסוף 2023) נתון זה עמד על כ-72%.</w:t>
      </w:r>
    </w:p>
  </w:footnote>
  <w:footnote w:id="215">
    <w:p w:rsidR="00F74793" w:rsidP="001F2586">
      <w:pPr>
        <w:pStyle w:val="FootnoteText"/>
      </w:pPr>
      <w:r>
        <w:rPr>
          <w:rStyle w:val="FootnoteReference1"/>
        </w:rPr>
        <w:footnoteRef/>
      </w:r>
      <w:r>
        <w:rPr>
          <w:rtl/>
        </w:rPr>
        <w:t xml:space="preserve"> </w:t>
      </w:r>
      <w:r>
        <w:rPr>
          <w:rtl/>
        </w:rPr>
        <w:tab/>
      </w:r>
      <w:r w:rsidRPr="00B4661A">
        <w:rPr>
          <w:rFonts w:hint="cs"/>
          <w:rtl/>
        </w:rPr>
        <w:t xml:space="preserve">משרד האוצר, אגף הכלכלן הראשי - צוות מחקר נדל"ן, </w:t>
      </w:r>
      <w:r w:rsidRPr="00B4661A">
        <w:rPr>
          <w:rFonts w:hint="eastAsia"/>
          <w:b/>
          <w:bCs/>
          <w:rtl/>
        </w:rPr>
        <w:t>סקירת</w:t>
      </w:r>
      <w:r w:rsidRPr="00B4661A">
        <w:rPr>
          <w:b/>
          <w:bCs/>
          <w:rtl/>
        </w:rPr>
        <w:t xml:space="preserve"> </w:t>
      </w:r>
      <w:r w:rsidRPr="00B4661A">
        <w:rPr>
          <w:rFonts w:hint="eastAsia"/>
          <w:b/>
          <w:bCs/>
          <w:rtl/>
        </w:rPr>
        <w:t>ענף</w:t>
      </w:r>
      <w:r w:rsidRPr="00B4661A">
        <w:rPr>
          <w:b/>
          <w:bCs/>
          <w:rtl/>
        </w:rPr>
        <w:t xml:space="preserve"> </w:t>
      </w:r>
      <w:r w:rsidRPr="00B4661A">
        <w:rPr>
          <w:rFonts w:hint="eastAsia"/>
          <w:b/>
          <w:bCs/>
          <w:rtl/>
        </w:rPr>
        <w:t>הנדל</w:t>
      </w:r>
      <w:r w:rsidRPr="00B4661A">
        <w:rPr>
          <w:b/>
          <w:bCs/>
          <w:rtl/>
        </w:rPr>
        <w:t xml:space="preserve">"ן </w:t>
      </w:r>
      <w:r w:rsidRPr="00B4661A">
        <w:rPr>
          <w:rFonts w:hint="eastAsia"/>
          <w:b/>
          <w:bCs/>
          <w:rtl/>
        </w:rPr>
        <w:t>למגורים</w:t>
      </w:r>
      <w:r w:rsidRPr="00B4661A">
        <w:rPr>
          <w:b/>
          <w:bCs/>
          <w:rtl/>
        </w:rPr>
        <w:t xml:space="preserve"> </w:t>
      </w:r>
      <w:r w:rsidRPr="00B4661A">
        <w:rPr>
          <w:rFonts w:hint="eastAsia"/>
          <w:b/>
          <w:bCs/>
          <w:rtl/>
        </w:rPr>
        <w:t>פברואר</w:t>
      </w:r>
      <w:r w:rsidRPr="00B4661A">
        <w:rPr>
          <w:b/>
          <w:bCs/>
          <w:rtl/>
        </w:rPr>
        <w:t xml:space="preserve"> 2024</w:t>
      </w:r>
      <w:r w:rsidRPr="00B4661A">
        <w:rPr>
          <w:rFonts w:hint="cs"/>
          <w:rtl/>
        </w:rPr>
        <w:t xml:space="preserve"> (אפריל </w:t>
      </w:r>
      <w:r w:rsidRPr="00DA5480">
        <w:rPr>
          <w:rFonts w:hint="cs"/>
          <w:rtl/>
        </w:rPr>
        <w:t>2024</w:t>
      </w:r>
      <w:r w:rsidRPr="00260379">
        <w:rPr>
          <w:rFonts w:hint="cs"/>
          <w:rtl/>
        </w:rPr>
        <w:t>)</w:t>
      </w:r>
      <w:r w:rsidRPr="00DA5480">
        <w:rPr>
          <w:rFonts w:hint="cs"/>
          <w:rtl/>
        </w:rPr>
        <w:t>.</w:t>
      </w:r>
    </w:p>
  </w:footnote>
  <w:footnote w:id="216">
    <w:p w:rsidR="00F74793" w:rsidP="001F2586">
      <w:pPr>
        <w:pStyle w:val="FootnoteText"/>
      </w:pPr>
      <w:r>
        <w:rPr>
          <w:rStyle w:val="FootnoteReference1"/>
        </w:rPr>
        <w:footnoteRef/>
      </w:r>
      <w:r>
        <w:rPr>
          <w:rtl/>
        </w:rPr>
        <w:t xml:space="preserve"> </w:t>
      </w:r>
      <w:r>
        <w:rPr>
          <w:rtl/>
        </w:rPr>
        <w:tab/>
      </w:r>
      <w:r>
        <w:rPr>
          <w:rFonts w:hint="cs"/>
          <w:rtl/>
        </w:rPr>
        <w:t xml:space="preserve">לפי הגדרת </w:t>
      </w:r>
      <w:r>
        <w:rPr>
          <w:rFonts w:hint="cs"/>
          <w:rtl/>
        </w:rPr>
        <w:t>הלמ"ס</w:t>
      </w:r>
      <w:r>
        <w:rPr>
          <w:rFonts w:hint="cs"/>
          <w:rtl/>
        </w:rPr>
        <w:t xml:space="preserve"> דירות שנותרו למכירה הן דירות חדשות שקיבלו היתר בנייה למטרת מכירה, אך טרם דווח לרשות המסים על מכירתן.</w:t>
      </w:r>
    </w:p>
  </w:footnote>
  <w:footnote w:id="217">
    <w:p w:rsidR="00F74793" w:rsidP="001F2586">
      <w:pPr>
        <w:pStyle w:val="FootnoteText"/>
      </w:pPr>
      <w:r>
        <w:rPr>
          <w:rStyle w:val="FootnoteReference1"/>
        </w:rPr>
        <w:footnoteRef/>
      </w:r>
      <w:r>
        <w:rPr>
          <w:rtl/>
        </w:rPr>
        <w:t xml:space="preserve"> </w:t>
      </w:r>
      <w:r>
        <w:rPr>
          <w:rtl/>
        </w:rPr>
        <w:tab/>
      </w:r>
      <w:r>
        <w:rPr>
          <w:rFonts w:hint="cs"/>
          <w:rtl/>
        </w:rPr>
        <w:t xml:space="preserve">לפי הגדרת </w:t>
      </w:r>
      <w:r>
        <w:rPr>
          <w:rFonts w:hint="cs"/>
          <w:rtl/>
        </w:rPr>
        <w:t>הלמ"ס</w:t>
      </w:r>
      <w:r>
        <w:rPr>
          <w:rFonts w:hint="cs"/>
          <w:rtl/>
        </w:rPr>
        <w:t xml:space="preserve"> הנתון מחושב כיחס שבין סך כל הדירות שנותרו למכירה בסוף החודש לבין סך כל הדירות שנמכרו במהלך אותו החודש.</w:t>
      </w:r>
    </w:p>
  </w:footnote>
  <w:footnote w:id="218">
    <w:p w:rsidR="00F74793" w:rsidRPr="001F2586" w:rsidP="001F2586">
      <w:pPr>
        <w:pStyle w:val="FootnoteText"/>
        <w:rPr>
          <w:rFonts w:cs="Times New Roman"/>
          <w:i/>
        </w:rPr>
      </w:pPr>
      <w:r w:rsidRPr="001F2586">
        <w:rPr>
          <w:rStyle w:val="FootnoteReference1"/>
          <w:rFonts w:cs="Times New Roman"/>
        </w:rPr>
        <w:footnoteRef/>
      </w:r>
      <w:r w:rsidRPr="001F2586">
        <w:rPr>
          <w:rFonts w:cs="Times New Roman"/>
          <w:rtl/>
        </w:rPr>
        <w:t xml:space="preserve"> </w:t>
      </w:r>
      <w:r w:rsidRPr="001F2586">
        <w:rPr>
          <w:rFonts w:cs="Times New Roman"/>
          <w:rtl/>
        </w:rPr>
        <w:tab/>
      </w: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oMath>
    </w:p>
    <w:p w:rsidR="00F74793" w:rsidRPr="00CF4597" w:rsidP="001F2586">
      <w:pPr>
        <w:pStyle w:val="FootnoteText"/>
        <w:ind w:firstLine="0"/>
        <w:rPr>
          <w:i/>
          <w:rtl/>
        </w:rPr>
      </w:pPr>
      <w:r w:rsidRPr="00CF4597">
        <w:rPr>
          <w:rFonts w:hint="cs"/>
          <w:iCs/>
        </w:rPr>
        <w:t>H</w:t>
      </w:r>
      <w:r>
        <w:rPr>
          <w:rFonts w:hint="cs"/>
          <w:i/>
          <w:rtl/>
        </w:rPr>
        <w:t xml:space="preserve"> - דירות בהיתרים למטרת מכירה; </w:t>
      </w:r>
      <w:r w:rsidRPr="00CF4597">
        <w:rPr>
          <w:rFonts w:hint="cs"/>
          <w:iCs/>
        </w:rPr>
        <w:t>S</w:t>
      </w:r>
      <w:r>
        <w:rPr>
          <w:rFonts w:hint="cs"/>
          <w:i/>
          <w:rtl/>
        </w:rPr>
        <w:t xml:space="preserve"> - דירות חדשות שנמכרו; </w:t>
      </w:r>
      <w:r w:rsidRPr="00CF4597">
        <w:rPr>
          <w:rFonts w:hint="cs"/>
          <w:iCs/>
        </w:rPr>
        <w:t>M</w:t>
      </w:r>
      <w:r>
        <w:rPr>
          <w:rFonts w:hint="cs"/>
          <w:i/>
          <w:rtl/>
        </w:rPr>
        <w:t xml:space="preserve"> - דירות חדשות שנותרו למכירה.</w:t>
      </w:r>
    </w:p>
  </w:footnote>
  <w:footnote w:id="219">
    <w:p w:rsidR="00F74793" w:rsidP="001F2586">
      <w:pPr>
        <w:pStyle w:val="FootnoteText"/>
      </w:pPr>
      <w:r>
        <w:rPr>
          <w:rStyle w:val="FootnoteReference1"/>
        </w:rPr>
        <w:footnoteRef/>
      </w:r>
      <w:r>
        <w:rPr>
          <w:rtl/>
        </w:rPr>
        <w:t xml:space="preserve"> </w:t>
      </w:r>
      <w:r>
        <w:rPr>
          <w:rtl/>
        </w:rPr>
        <w:tab/>
      </w:r>
      <w:r>
        <w:rPr>
          <w:rFonts w:hint="cs"/>
          <w:rtl/>
        </w:rPr>
        <w:t>מלאי דירות למטרת מכירה (על ידי קבלן או יזם) ולא למטרות אחרות, כגון קבוצות רכישה, השכרה ובנייה עצמית.</w:t>
      </w:r>
    </w:p>
  </w:footnote>
  <w:footnote w:id="220">
    <w:p w:rsidR="00F74793" w:rsidP="001F2586">
      <w:pPr>
        <w:pStyle w:val="FootnoteText"/>
        <w:rPr>
          <w:rtl/>
        </w:rPr>
      </w:pPr>
      <w:r>
        <w:rPr>
          <w:rStyle w:val="FootnoteReference1"/>
        </w:rPr>
        <w:footnoteRef/>
      </w:r>
      <w:r>
        <w:rPr>
          <w:rtl/>
        </w:rPr>
        <w:t xml:space="preserve"> </w:t>
      </w:r>
      <w:r>
        <w:rPr>
          <w:rtl/>
        </w:rPr>
        <w:tab/>
      </w:r>
      <w:r>
        <w:rPr>
          <w:rFonts w:hint="cs"/>
          <w:rtl/>
        </w:rPr>
        <w:t>היתרי בנייה המונפקים בוועדות המקומיות והמרחביות לתכנון ולבנייה.</w:t>
      </w:r>
    </w:p>
  </w:footnote>
  <w:footnote w:id="221">
    <w:p w:rsidR="00F74793" w:rsidP="001F2586">
      <w:pPr>
        <w:pStyle w:val="FootnoteText"/>
      </w:pPr>
      <w:r>
        <w:rPr>
          <w:rStyle w:val="FootnoteReference1"/>
        </w:rPr>
        <w:footnoteRef/>
      </w:r>
      <w:r>
        <w:rPr>
          <w:rtl/>
        </w:rPr>
        <w:t xml:space="preserve"> </w:t>
      </w:r>
      <w:r>
        <w:rPr>
          <w:rtl/>
        </w:rPr>
        <w:tab/>
      </w:r>
      <w:r>
        <w:rPr>
          <w:rFonts w:hint="cs"/>
          <w:rtl/>
        </w:rPr>
        <w:t xml:space="preserve">היתרי הבנייה עוברים תשאול ואימות בסקר מעקבי בנייה של </w:t>
      </w:r>
      <w:r>
        <w:rPr>
          <w:rFonts w:hint="cs"/>
          <w:rtl/>
        </w:rPr>
        <w:t>הלמ"ס</w:t>
      </w:r>
      <w:r>
        <w:rPr>
          <w:rFonts w:hint="cs"/>
          <w:rtl/>
        </w:rPr>
        <w:t xml:space="preserve"> בנוגע להיקף הבנייה, ייעודו, מאפייניו ומטרתו. </w:t>
      </w:r>
    </w:p>
  </w:footnote>
  <w:footnote w:id="222">
    <w:p w:rsidR="00F74793" w:rsidP="001F2586">
      <w:pPr>
        <w:pStyle w:val="FootnoteText"/>
        <w:rPr>
          <w:rtl/>
        </w:rPr>
      </w:pPr>
      <w:r>
        <w:rPr>
          <w:rStyle w:val="FootnoteReference1"/>
        </w:rPr>
        <w:footnoteRef/>
      </w:r>
      <w:r>
        <w:rPr>
          <w:rtl/>
        </w:rPr>
        <w:t xml:space="preserve"> </w:t>
      </w:r>
      <w:r>
        <w:rPr>
          <w:rtl/>
        </w:rPr>
        <w:tab/>
      </w:r>
      <w:r>
        <w:rPr>
          <w:rFonts w:hint="cs"/>
          <w:rtl/>
        </w:rPr>
        <w:t xml:space="preserve">עסקאות המדווחות לרשות המסים לצורך תשלום מס רכישה ושבח. </w:t>
      </w:r>
      <w:r w:rsidRPr="00CF4597">
        <w:rPr>
          <w:rtl/>
        </w:rPr>
        <w:t>מספר הדירות מחושב על סמך שומות "סגורות" (סופיות) ושומות "פתוחות" (שטרם עברו אישור ובדיקה של פקיד שומה ברשות המסים). לא נכללות עסקאות בהעברת בעלות ללא תשלום</w:t>
      </w:r>
      <w:r>
        <w:rPr>
          <w:rFonts w:hint="cs"/>
          <w:rtl/>
        </w:rPr>
        <w:t>,</w:t>
      </w:r>
      <w:r w:rsidRPr="00CF4597">
        <w:rPr>
          <w:rtl/>
        </w:rPr>
        <w:t xml:space="preserve"> כגון העברה ללא תמורה, הפקעת דירה, אופציות לרכישה </w:t>
      </w:r>
      <w:r>
        <w:rPr>
          <w:rFonts w:hint="cs"/>
          <w:rtl/>
        </w:rPr>
        <w:t>ו</w:t>
      </w:r>
      <w:r w:rsidRPr="00CF4597">
        <w:rPr>
          <w:rtl/>
        </w:rPr>
        <w:t>העברת נכסים לחברה בפירוק.</w:t>
      </w:r>
    </w:p>
  </w:footnote>
  <w:footnote w:id="223">
    <w:p w:rsidR="00F74793" w:rsidP="001F2586">
      <w:pPr>
        <w:pStyle w:val="FootnoteText"/>
      </w:pPr>
      <w:r>
        <w:rPr>
          <w:rStyle w:val="FootnoteReference1"/>
        </w:rPr>
        <w:footnoteRef/>
      </w:r>
      <w:r>
        <w:rPr>
          <w:rtl/>
        </w:rPr>
        <w:t xml:space="preserve"> </w:t>
      </w:r>
      <w:r>
        <w:rPr>
          <w:rtl/>
        </w:rPr>
        <w:tab/>
      </w:r>
      <w:r>
        <w:rPr>
          <w:rFonts w:hint="cs"/>
          <w:rtl/>
        </w:rPr>
        <w:t>הלמ"ס</w:t>
      </w:r>
      <w:r>
        <w:rPr>
          <w:rFonts w:hint="cs"/>
          <w:rtl/>
        </w:rPr>
        <w:t xml:space="preserve">, </w:t>
      </w:r>
      <w:r w:rsidRPr="00B4661A">
        <w:rPr>
          <w:rFonts w:hint="eastAsia"/>
          <w:b/>
          <w:bCs/>
          <w:rtl/>
        </w:rPr>
        <w:t>נספח</w:t>
      </w:r>
      <w:r w:rsidRPr="00B4661A">
        <w:rPr>
          <w:b/>
          <w:bCs/>
          <w:rtl/>
        </w:rPr>
        <w:t xml:space="preserve"> </w:t>
      </w:r>
      <w:r w:rsidRPr="00B4661A">
        <w:rPr>
          <w:rFonts w:hint="eastAsia"/>
          <w:b/>
          <w:bCs/>
          <w:rtl/>
        </w:rPr>
        <w:t>הסבר</w:t>
      </w:r>
      <w:r w:rsidRPr="00B4661A">
        <w:rPr>
          <w:b/>
          <w:bCs/>
          <w:rtl/>
        </w:rPr>
        <w:t xml:space="preserve"> </w:t>
      </w:r>
      <w:r w:rsidRPr="00B4661A">
        <w:rPr>
          <w:rFonts w:hint="eastAsia"/>
          <w:b/>
          <w:bCs/>
          <w:rtl/>
        </w:rPr>
        <w:t>לאופן</w:t>
      </w:r>
      <w:r w:rsidRPr="00B4661A">
        <w:rPr>
          <w:b/>
          <w:bCs/>
          <w:rtl/>
        </w:rPr>
        <w:t xml:space="preserve"> </w:t>
      </w:r>
      <w:r w:rsidRPr="00B4661A">
        <w:rPr>
          <w:rFonts w:hint="eastAsia"/>
          <w:b/>
          <w:bCs/>
          <w:rtl/>
        </w:rPr>
        <w:t>חישוב</w:t>
      </w:r>
      <w:r w:rsidRPr="00B4661A">
        <w:rPr>
          <w:b/>
          <w:bCs/>
          <w:rtl/>
        </w:rPr>
        <w:t xml:space="preserve"> </w:t>
      </w:r>
      <w:r w:rsidRPr="00B4661A">
        <w:rPr>
          <w:rFonts w:hint="eastAsia"/>
          <w:b/>
          <w:bCs/>
          <w:rtl/>
        </w:rPr>
        <w:t>הסדרה</w:t>
      </w:r>
      <w:r w:rsidRPr="00B4661A">
        <w:rPr>
          <w:b/>
          <w:bCs/>
          <w:rtl/>
        </w:rPr>
        <w:t xml:space="preserve"> - </w:t>
      </w:r>
      <w:r w:rsidRPr="00B4661A">
        <w:rPr>
          <w:rFonts w:hint="eastAsia"/>
          <w:b/>
          <w:bCs/>
          <w:rtl/>
        </w:rPr>
        <w:t>דירות</w:t>
      </w:r>
      <w:r w:rsidRPr="00B4661A">
        <w:rPr>
          <w:b/>
          <w:bCs/>
          <w:rtl/>
        </w:rPr>
        <w:t xml:space="preserve"> </w:t>
      </w:r>
      <w:r w:rsidRPr="00B4661A">
        <w:rPr>
          <w:rFonts w:hint="eastAsia"/>
          <w:b/>
          <w:bCs/>
          <w:rtl/>
        </w:rPr>
        <w:t>שנותרו</w:t>
      </w:r>
      <w:r w:rsidRPr="00B4661A">
        <w:rPr>
          <w:b/>
          <w:bCs/>
          <w:rtl/>
        </w:rPr>
        <w:t xml:space="preserve"> </w:t>
      </w:r>
      <w:r w:rsidRPr="00B4661A">
        <w:rPr>
          <w:rFonts w:hint="eastAsia"/>
          <w:b/>
          <w:bCs/>
          <w:rtl/>
        </w:rPr>
        <w:t>למכירה</w:t>
      </w:r>
      <w:r>
        <w:rPr>
          <w:rFonts w:hint="cs"/>
          <w:rtl/>
        </w:rPr>
        <w:t xml:space="preserve"> (14.8.25).</w:t>
      </w:r>
    </w:p>
  </w:footnote>
  <w:footnote w:id="224">
    <w:p w:rsidR="00F74793" w:rsidP="001F2586">
      <w:pPr>
        <w:pStyle w:val="FootnoteText"/>
      </w:pPr>
      <w:r>
        <w:rPr>
          <w:rStyle w:val="FootnoteReference1"/>
        </w:rPr>
        <w:footnoteRef/>
      </w:r>
      <w:r>
        <w:rPr>
          <w:rtl/>
        </w:rPr>
        <w:t xml:space="preserve"> </w:t>
      </w:r>
      <w:r>
        <w:rPr>
          <w:rtl/>
        </w:rPr>
        <w:tab/>
      </w:r>
      <w:r>
        <w:rPr>
          <w:rFonts w:hint="cs"/>
          <w:rtl/>
        </w:rPr>
        <w:t>כולל היתרים שניתנו לדירות שאינן למכירה.</w:t>
      </w:r>
    </w:p>
  </w:footnote>
  <w:footnote w:id="225">
    <w:p w:rsidR="00F74793" w:rsidP="001F2586">
      <w:pPr>
        <w:pStyle w:val="FootnoteText"/>
        <w:rPr>
          <w:rtl/>
        </w:rPr>
      </w:pPr>
      <w:r>
        <w:rPr>
          <w:rStyle w:val="FootnoteReference1"/>
        </w:rPr>
        <w:footnoteRef/>
      </w:r>
      <w:r>
        <w:rPr>
          <w:rtl/>
        </w:rPr>
        <w:t xml:space="preserve"> </w:t>
      </w:r>
      <w:r>
        <w:rPr>
          <w:rtl/>
        </w:rPr>
        <w:tab/>
      </w:r>
      <w:r>
        <w:rPr>
          <w:rFonts w:hint="cs"/>
          <w:rtl/>
        </w:rPr>
        <w:t xml:space="preserve">ההסכמים כוללים פתיחת חשבון ליווי ייעודי שדרכו מתנהל כל </w:t>
      </w:r>
      <w:r>
        <w:rPr>
          <w:rFonts w:hint="cs"/>
          <w:rtl/>
        </w:rPr>
        <w:t>התזרים</w:t>
      </w:r>
      <w:r>
        <w:rPr>
          <w:rFonts w:hint="cs"/>
          <w:rtl/>
        </w:rPr>
        <w:t xml:space="preserve"> הכספי של הפרויקט ובמסגרתו מונפקות ערבויות לרוכשים. </w:t>
      </w:r>
    </w:p>
  </w:footnote>
  <w:footnote w:id="226">
    <w:p w:rsidR="00F74793" w:rsidP="001F2586">
      <w:pPr>
        <w:pStyle w:val="FootnoteText"/>
        <w:rPr>
          <w:rtl/>
        </w:rPr>
      </w:pPr>
      <w:r>
        <w:rPr>
          <w:rStyle w:val="FootnoteReference1"/>
        </w:rPr>
        <w:footnoteRef/>
      </w:r>
      <w:r>
        <w:rPr>
          <w:rtl/>
        </w:rPr>
        <w:t xml:space="preserve"> </w:t>
      </w:r>
      <w:r>
        <w:rPr>
          <w:rtl/>
        </w:rPr>
        <w:tab/>
      </w:r>
      <w:r>
        <w:rPr>
          <w:rFonts w:hint="cs"/>
          <w:rtl/>
        </w:rPr>
        <w:t>בתוך קבוצה זו נכללים גם יזמי נדל"ן.</w:t>
      </w:r>
    </w:p>
  </w:footnote>
  <w:footnote w:id="227">
    <w:p w:rsidR="00F74793" w:rsidP="001F2586">
      <w:pPr>
        <w:pStyle w:val="FootnoteText"/>
        <w:rPr>
          <w:rtl/>
        </w:rPr>
      </w:pPr>
      <w:r>
        <w:rPr>
          <w:rStyle w:val="FootnoteReference1"/>
        </w:rPr>
        <w:footnoteRef/>
      </w:r>
      <w:r>
        <w:rPr>
          <w:rtl/>
        </w:rPr>
        <w:t xml:space="preserve"> </w:t>
      </w:r>
      <w:r>
        <w:rPr>
          <w:rtl/>
        </w:rPr>
        <w:tab/>
      </w:r>
      <w:r>
        <w:rPr>
          <w:rFonts w:hint="cs"/>
          <w:rtl/>
        </w:rPr>
        <w:t>הסכמי הליווי מתבססים על תכנית עסקית מאושרת לפרויקט ("דוח אפס"), בה מוערכת כדאיותו הכלכלית של הפרויקט בידי שמאי מקרקעין מוסמך ומאושר על ידי הבנק. התוכנית כוללת סקירה של תיאור הנכס, ניתוח תכנוני, בדיקות משפטיות, תחזית עלויות שונות, ובכללן רכישת הקרקע, מיסים ואגרות, תכנון, רישוי, פיתוח והבנייה, ותחזית של הכנסות הפרויקט ותזרים המזומנים.</w:t>
      </w:r>
    </w:p>
  </w:footnote>
  <w:footnote w:id="228">
    <w:p w:rsidR="00F74793" w:rsidP="001F2586">
      <w:pPr>
        <w:pStyle w:val="FootnoteText"/>
      </w:pPr>
      <w:r>
        <w:rPr>
          <w:rStyle w:val="FootnoteReference1"/>
        </w:rPr>
        <w:footnoteRef/>
      </w:r>
      <w:r>
        <w:rPr>
          <w:rtl/>
        </w:rPr>
        <w:t xml:space="preserve"> </w:t>
      </w:r>
      <w:r>
        <w:rPr>
          <w:rtl/>
        </w:rPr>
        <w:tab/>
      </w:r>
      <w:r>
        <w:rPr>
          <w:rFonts w:hint="cs"/>
          <w:rtl/>
        </w:rPr>
        <w:t>שעבוד ראשון על הקרקע, שעבוד על הכנסות עתידיות של הפרויקט ושעבוד על המלאי הבלתי מכור של הדירות.</w:t>
      </w:r>
    </w:p>
  </w:footnote>
  <w:footnote w:id="229">
    <w:p w:rsidR="00F74793" w:rsidP="001F2586">
      <w:pPr>
        <w:pStyle w:val="FootnoteText"/>
      </w:pPr>
      <w:r>
        <w:rPr>
          <w:rStyle w:val="FootnoteReference1"/>
        </w:rPr>
        <w:footnoteRef/>
      </w:r>
      <w:r>
        <w:rPr>
          <w:rtl/>
        </w:rPr>
        <w:t xml:space="preserve"> </w:t>
      </w:r>
      <w:r>
        <w:rPr>
          <w:rtl/>
        </w:rPr>
        <w:tab/>
      </w:r>
      <w:r>
        <w:rPr>
          <w:rFonts w:hint="cs"/>
          <w:rtl/>
        </w:rPr>
        <w:t>כל תקבולי המכירות נכנסים לחשבון הליווי בלבד והקבלן אינו יכול להשתמש בכספים כרצונו אלא באישור הבנק בלבד, ששולט בשחרור הכספים בהתאם לקצב התקדמות הבנייה ובאישור מפקח מטעמו.</w:t>
      </w:r>
    </w:p>
  </w:footnote>
  <w:footnote w:id="230">
    <w:p w:rsidR="00F74793" w:rsidP="001F2586">
      <w:pPr>
        <w:pStyle w:val="FootnoteText"/>
        <w:rPr>
          <w:rtl/>
        </w:rPr>
      </w:pPr>
      <w:r>
        <w:rPr>
          <w:rStyle w:val="FootnoteReference1"/>
        </w:rPr>
        <w:footnoteRef/>
      </w:r>
      <w:r>
        <w:rPr>
          <w:rtl/>
        </w:rPr>
        <w:t xml:space="preserve"> </w:t>
      </w:r>
      <w:r>
        <w:rPr>
          <w:rtl/>
        </w:rPr>
        <w:tab/>
      </w:r>
      <w:r>
        <w:rPr>
          <w:rFonts w:hint="cs"/>
          <w:rtl/>
        </w:rPr>
        <w:t>הקבלן נדרש להזרים הון עצמי מינימאלי (לרוב, לפחות 15%) טרם יתחיל להשתמש במימון הבנק. ההון העצמי מבטיח שהקבלן יחזיר לבנק את חובו במקרה של פגיעה ברווחיות הפרויקט כתוצאה מירידה במחיר המכירות או עלייה חדה בהוצאות. בנוסף הקבלן נדרש למכור שיעור מסוים (לרוב, לפחות 20%) מהדירות בפרויקט כבר בתחילתו.</w:t>
      </w:r>
    </w:p>
  </w:footnote>
  <w:footnote w:id="231">
    <w:p w:rsidR="00F74793" w:rsidP="001F2586">
      <w:pPr>
        <w:pStyle w:val="FootnoteText"/>
      </w:pPr>
      <w:r>
        <w:rPr>
          <w:rStyle w:val="FootnoteReference1"/>
        </w:rPr>
        <w:footnoteRef/>
      </w:r>
      <w:r>
        <w:rPr>
          <w:rtl/>
        </w:rPr>
        <w:t xml:space="preserve"> </w:t>
      </w:r>
      <w:r>
        <w:rPr>
          <w:rtl/>
        </w:rPr>
        <w:tab/>
      </w:r>
      <w:r>
        <w:rPr>
          <w:rFonts w:hint="cs"/>
          <w:rtl/>
        </w:rPr>
        <w:t>הבנק מאשר מינוי של גורמי מקצוע מטעמו שמעדכנים באופן תדיר על קצב ההתקדמות, הסיכונים ותזרים המזומנים. סיכונים ודיווחים חריגים עלולים להוביל לעיכוב בשחרור כספים לקבלן מחשבון הליווי או לדרישת הזרמת הון עצמי נוסף מהקבלן בידי הבנק.</w:t>
      </w:r>
    </w:p>
  </w:footnote>
  <w:footnote w:id="232">
    <w:p w:rsidR="00F74793" w:rsidP="001F2586">
      <w:pPr>
        <w:pStyle w:val="FootnoteText"/>
      </w:pPr>
      <w:r>
        <w:rPr>
          <w:rStyle w:val="FootnoteReference1"/>
        </w:rPr>
        <w:footnoteRef/>
      </w:r>
      <w:r>
        <w:rPr>
          <w:rtl/>
        </w:rPr>
        <w:t xml:space="preserve"> </w:t>
      </w:r>
      <w:r>
        <w:rPr>
          <w:rtl/>
        </w:rPr>
        <w:tab/>
      </w:r>
      <w:r>
        <w:rPr>
          <w:rFonts w:hint="cs"/>
          <w:rtl/>
        </w:rPr>
        <w:t>התניות שנקבעות בחוזה הלוואה שנועדו להגן על נותן האשראי.</w:t>
      </w:r>
    </w:p>
  </w:footnote>
  <w:footnote w:id="233">
    <w:p w:rsidR="00F74793" w:rsidP="001F2586">
      <w:pPr>
        <w:pStyle w:val="FootnoteText"/>
        <w:rPr>
          <w:rtl/>
        </w:rPr>
      </w:pPr>
      <w:r>
        <w:rPr>
          <w:rStyle w:val="FootnoteReference1"/>
        </w:rPr>
        <w:footnoteRef/>
      </w:r>
      <w:r>
        <w:rPr>
          <w:rtl/>
        </w:rPr>
        <w:t xml:space="preserve"> </w:t>
      </w:r>
      <w:r>
        <w:rPr>
          <w:rtl/>
        </w:rPr>
        <w:tab/>
      </w:r>
      <w:r>
        <w:rPr>
          <w:rFonts w:hint="cs"/>
          <w:rtl/>
        </w:rPr>
        <w:t xml:space="preserve">ראו: </w:t>
      </w:r>
      <w:r w:rsidRPr="00B4661A">
        <w:rPr>
          <w:rFonts w:hint="cs"/>
          <w:rtl/>
        </w:rPr>
        <w:t>הצוות לבחינת מעורבות הבנקים בקביעת מחירי הדיור, דוח סופי, יולי 2025, עמ</w:t>
      </w:r>
      <w:r>
        <w:rPr>
          <w:rFonts w:hint="cs"/>
          <w:rtl/>
        </w:rPr>
        <w:t>'</w:t>
      </w:r>
      <w:r w:rsidRPr="00B4661A">
        <w:rPr>
          <w:rFonts w:hint="cs"/>
          <w:rtl/>
        </w:rPr>
        <w:t xml:space="preserve"> 19.</w:t>
      </w:r>
    </w:p>
  </w:footnote>
  <w:footnote w:id="234">
    <w:p w:rsidR="00F74793" w:rsidP="001F2586">
      <w:pPr>
        <w:pStyle w:val="FootnoteText"/>
      </w:pPr>
      <w:r>
        <w:rPr>
          <w:rStyle w:val="FootnoteReference1"/>
        </w:rPr>
        <w:footnoteRef/>
      </w:r>
      <w:r>
        <w:rPr>
          <w:rtl/>
        </w:rPr>
        <w:t xml:space="preserve"> </w:t>
      </w:r>
      <w:r>
        <w:rPr>
          <w:rtl/>
        </w:rPr>
        <w:tab/>
      </w:r>
      <w:r>
        <w:rPr>
          <w:rFonts w:hint="cs"/>
          <w:rtl/>
        </w:rPr>
        <w:t>הפחתה באופן גורף או הפחתה מעבר לשיעור מסוים מהמחיר שנקבע בתוכנית העסקית המאושרת.</w:t>
      </w:r>
    </w:p>
  </w:footnote>
  <w:footnote w:id="235">
    <w:p w:rsidR="00F74793" w:rsidP="001F2586">
      <w:pPr>
        <w:pStyle w:val="FootnoteText"/>
        <w:rPr>
          <w:rtl/>
        </w:rPr>
      </w:pPr>
      <w:r>
        <w:rPr>
          <w:rStyle w:val="FootnoteReference1"/>
        </w:rPr>
        <w:footnoteRef/>
      </w:r>
      <w:r>
        <w:rPr>
          <w:rtl/>
        </w:rPr>
        <w:t xml:space="preserve"> </w:t>
      </w:r>
      <w:r>
        <w:rPr>
          <w:rtl/>
        </w:rPr>
        <w:tab/>
      </w:r>
      <w:r w:rsidRPr="00B4661A">
        <w:rPr>
          <w:rFonts w:hint="cs"/>
          <w:rtl/>
        </w:rPr>
        <w:t>החלטת ממשלה מס' 3035 מיום 22.5.2025 בנושא "</w:t>
      </w:r>
      <w:r w:rsidRPr="00B4661A">
        <w:rPr>
          <w:rtl/>
        </w:rPr>
        <w:t>הקמת צוות לבחינת מעורבות הבנקים בקביעת מחירי הדיור</w:t>
      </w:r>
      <w:r w:rsidRPr="00B4661A">
        <w:rPr>
          <w:rFonts w:hint="cs"/>
          <w:rtl/>
        </w:rPr>
        <w:t>"</w:t>
      </w:r>
      <w:r>
        <w:rPr>
          <w:rFonts w:hint="cs"/>
          <w:rtl/>
        </w:rPr>
        <w:t>.</w:t>
      </w:r>
    </w:p>
  </w:footnote>
  <w:footnote w:id="236">
    <w:p w:rsidR="00F74793" w:rsidP="001F2586">
      <w:pPr>
        <w:pStyle w:val="FootnoteText"/>
      </w:pPr>
      <w:r>
        <w:rPr>
          <w:rStyle w:val="FootnoteReference1"/>
        </w:rPr>
        <w:footnoteRef/>
      </w:r>
      <w:r>
        <w:rPr>
          <w:rtl/>
        </w:rPr>
        <w:t xml:space="preserve"> </w:t>
      </w:r>
      <w:r>
        <w:rPr>
          <w:rtl/>
        </w:rPr>
        <w:tab/>
      </w:r>
      <w:r>
        <w:rPr>
          <w:rFonts w:hint="cs"/>
          <w:rtl/>
        </w:rPr>
        <w:t>בראשות ראש המועצה הלאומית לכלכלה ובהשתתפות מנכ"ל משרד הבינוי והשיכון או נציגו, מנכ"ל משרד האוצר או נציגו, נציגי בנק ישראל, נציגי רשות התחרות והמשנה ליועצת המשפטית לממשלה (משפטי-אזרחי) או נציגה.</w:t>
      </w:r>
    </w:p>
  </w:footnote>
  <w:footnote w:id="237">
    <w:p w:rsidR="00F74793" w:rsidP="001F2586">
      <w:pPr>
        <w:pStyle w:val="FootnoteText"/>
      </w:pPr>
      <w:r>
        <w:rPr>
          <w:rStyle w:val="FootnoteReference1"/>
        </w:rPr>
        <w:footnoteRef/>
      </w:r>
      <w:r>
        <w:rPr>
          <w:rtl/>
        </w:rPr>
        <w:t xml:space="preserve"> </w:t>
      </w:r>
      <w:r>
        <w:rPr>
          <w:rtl/>
        </w:rPr>
        <w:tab/>
      </w:r>
      <w:r>
        <w:rPr>
          <w:rFonts w:hint="cs"/>
          <w:rtl/>
        </w:rPr>
        <w:t>הממצאים שהובילו לכך היו כי 81% מהפרויקטים מלווים פיננסית בידי בנקים, כי שני בנקים מספקים 57% מכלל המימון לבנייה וכי חמש הקבוצות הבנקאיות הגדולות מספקות ביחד 91% מהמימון לענף הבניה.</w:t>
      </w:r>
    </w:p>
  </w:footnote>
  <w:footnote w:id="238">
    <w:p w:rsidR="00F74793" w:rsidP="001F2586">
      <w:pPr>
        <w:pStyle w:val="FootnoteText"/>
      </w:pPr>
      <w:r>
        <w:rPr>
          <w:rStyle w:val="FootnoteReference1"/>
        </w:rPr>
        <w:footnoteRef/>
      </w:r>
      <w:r>
        <w:rPr>
          <w:rtl/>
        </w:rPr>
        <w:t xml:space="preserve"> </w:t>
      </w:r>
      <w:r>
        <w:rPr>
          <w:rtl/>
        </w:rPr>
        <w:tab/>
      </w:r>
      <w:r>
        <w:rPr>
          <w:rFonts w:hint="cs"/>
          <w:rtl/>
        </w:rPr>
        <w:t>על פי ממצאי הדוח, ירידה של עד 40% במחיר ב-90% מהפרויקטים אינה מסכנת את האשראי הבנקאי.</w:t>
      </w:r>
    </w:p>
  </w:footnote>
  <w:footnote w:id="239">
    <w:p w:rsidR="00F74793" w:rsidP="001F2586">
      <w:pPr>
        <w:pStyle w:val="FootnoteText"/>
      </w:pPr>
      <w:r>
        <w:rPr>
          <w:rStyle w:val="FootnoteReference1"/>
        </w:rPr>
        <w:footnoteRef/>
      </w:r>
      <w:r>
        <w:rPr>
          <w:rtl/>
        </w:rPr>
        <w:t xml:space="preserve"> </w:t>
      </w:r>
      <w:r>
        <w:rPr>
          <w:rtl/>
        </w:rPr>
        <w:tab/>
      </w:r>
      <w:r>
        <w:rPr>
          <w:rFonts w:hint="cs"/>
          <w:rtl/>
        </w:rPr>
        <w:t xml:space="preserve">הצוות קיים ארבעה דיונים שאליהם הוזמנו מומחים, </w:t>
      </w:r>
      <w:r>
        <w:rPr>
          <w:rFonts w:hint="cs"/>
          <w:rtl/>
        </w:rPr>
        <w:t>מאסדרים</w:t>
      </w:r>
      <w:r>
        <w:rPr>
          <w:rFonts w:hint="cs"/>
          <w:rtl/>
        </w:rPr>
        <w:t xml:space="preserve"> ונציגי הממשלה וכן נציגים של המערכת הבנקאית ושל הקבלנים. </w:t>
      </w:r>
    </w:p>
  </w:footnote>
  <w:footnote w:id="240">
    <w:p w:rsidR="00F74793" w:rsidP="001F2586">
      <w:pPr>
        <w:pStyle w:val="FootnoteText"/>
      </w:pPr>
      <w:r>
        <w:rPr>
          <w:rStyle w:val="FootnoteReference1"/>
        </w:rPr>
        <w:footnoteRef/>
      </w:r>
      <w:r>
        <w:rPr>
          <w:rtl/>
        </w:rPr>
        <w:t xml:space="preserve"> </w:t>
      </w:r>
      <w:r>
        <w:rPr>
          <w:rtl/>
        </w:rPr>
        <w:tab/>
      </w:r>
      <w:r w:rsidRPr="00B4661A">
        <w:rPr>
          <w:rFonts w:hint="cs"/>
          <w:rtl/>
        </w:rPr>
        <w:t>הצוות לבחינת מעורבות הבנקים בקביעת מחירי הדיור, דו"ח סופי (יולי 2025), עמ' 3.</w:t>
      </w:r>
    </w:p>
  </w:footnote>
  <w:footnote w:id="241">
    <w:p w:rsidR="00F74793" w:rsidP="001F2586">
      <w:pPr>
        <w:pStyle w:val="FootnoteText"/>
        <w:rPr>
          <w:rtl/>
        </w:rPr>
      </w:pPr>
      <w:r>
        <w:rPr>
          <w:rStyle w:val="FootnoteReference1"/>
        </w:rPr>
        <w:footnoteRef/>
      </w:r>
      <w:r>
        <w:rPr>
          <w:rtl/>
        </w:rPr>
        <w:t xml:space="preserve"> </w:t>
      </w:r>
      <w:r>
        <w:rPr>
          <w:rtl/>
        </w:rPr>
        <w:tab/>
      </w:r>
      <w:r>
        <w:rPr>
          <w:rFonts w:hint="cs"/>
          <w:rtl/>
        </w:rPr>
        <w:t xml:space="preserve">הסדרי </w:t>
      </w:r>
      <w:r>
        <w:rPr>
          <w:rFonts w:hint="cs"/>
        </w:rPr>
        <w:t>RPM</w:t>
      </w:r>
      <w:r>
        <w:t xml:space="preserve"> (Resale Price Maintenance)</w:t>
      </w:r>
      <w:r>
        <w:rPr>
          <w:rFonts w:hint="cs"/>
          <w:rtl/>
        </w:rPr>
        <w:t xml:space="preserve"> הם הסדרים במסגרתם גורם אחד בשרשרת האספקה של טובין מכתיב לגורם הנמצא בשלב העוקב של שרשרת האספקה את המחיר שבו יציע את הטובין. הסדרים אלה יכול שיקבעו את רמת המחיר המזערית שבה מותר להציע טובין, את רמת המחיר המרבית ואת רמת המחיר הקבועה.</w:t>
      </w:r>
    </w:p>
  </w:footnote>
  <w:footnote w:id="242">
    <w:p w:rsidR="00F74793" w:rsidP="001F2586">
      <w:pPr>
        <w:pStyle w:val="FootnoteText"/>
      </w:pPr>
      <w:r>
        <w:rPr>
          <w:rStyle w:val="FootnoteReference1"/>
        </w:rPr>
        <w:footnoteRef/>
      </w:r>
      <w:r>
        <w:rPr>
          <w:rtl/>
        </w:rPr>
        <w:t xml:space="preserve"> </w:t>
      </w:r>
      <w:r>
        <w:rPr>
          <w:rtl/>
        </w:rPr>
        <w:tab/>
      </w:r>
      <w:r w:rsidRPr="00B4661A">
        <w:rPr>
          <w:rFonts w:hint="cs"/>
          <w:rtl/>
        </w:rPr>
        <w:t>בנק ישראל, דוברות והסברה כלכלית, תגובת בנק ישראל להצעה לסבסד משכנתאות קיימות (13.11.25)</w:t>
      </w:r>
      <w:r>
        <w:t>.</w:t>
      </w:r>
    </w:p>
  </w:footnote>
  <w:footnote w:id="243">
    <w:p w:rsidR="00F74793" w:rsidP="001F2586">
      <w:pPr>
        <w:pStyle w:val="FootnoteText"/>
      </w:pPr>
      <w:r>
        <w:rPr>
          <w:rStyle w:val="FootnoteReference1"/>
        </w:rPr>
        <w:footnoteRef/>
      </w:r>
      <w:r>
        <w:rPr>
          <w:rtl/>
        </w:rPr>
        <w:t xml:space="preserve"> </w:t>
      </w:r>
      <w:r>
        <w:rPr>
          <w:rtl/>
        </w:rPr>
        <w:tab/>
      </w:r>
      <w:r w:rsidRPr="00B4661A">
        <w:rPr>
          <w:rFonts w:hint="cs"/>
          <w:rtl/>
        </w:rPr>
        <w:t>משרד האוצר, הצעת המועצה הלאומית לכלכלה לסבסוד הלוואות קיימות לדיור נוכח עליית הריבית (9.11.25</w:t>
      </w:r>
      <w:r>
        <w:rPr>
          <w:rFonts w:hint="cs"/>
          <w:rtl/>
        </w:rPr>
        <w:t>).</w:t>
      </w:r>
    </w:p>
  </w:footnote>
  <w:footnote w:id="244">
    <w:p w:rsidR="00F74793" w:rsidP="001F2586">
      <w:pPr>
        <w:pStyle w:val="FootnoteText"/>
      </w:pPr>
      <w:r>
        <w:rPr>
          <w:rStyle w:val="FootnoteReference1"/>
        </w:rPr>
        <w:footnoteRef/>
      </w:r>
      <w:r>
        <w:rPr>
          <w:rtl/>
        </w:rPr>
        <w:t xml:space="preserve"> </w:t>
      </w:r>
      <w:r>
        <w:rPr>
          <w:rtl/>
        </w:rPr>
        <w:tab/>
      </w:r>
      <w:r>
        <w:rPr>
          <w:rFonts w:hint="cs"/>
          <w:rtl/>
        </w:rPr>
        <w:t>לווי המשכנתאות כאוכלוסיית יעד למרות קיום קהלים רבים אחרים שהכנסתם הפנויה הושפעה מעליית הריבית, וכן מיקוד בלווים שבחרו לקחת הלוואה בריבית משתנה. לא זאת בלבד אלא שההצעה אינה כוללת בדיקה של מבחני הכנסה או עבודה כלשהם וצפויה להיטיב עם משקי בית שרכשו דירה, מאופיינים ממעמד חברתי-כלכלי גבוה מהממוצע ויתכן ונהנו מעליית ערך של עשרות אחוזים בשווי נכסיהם ולא בהכרח נקלעו למשבר כלכלי.</w:t>
      </w:r>
    </w:p>
  </w:footnote>
  <w:footnote w:id="245">
    <w:p w:rsidR="00F74793" w:rsidP="001F2586">
      <w:pPr>
        <w:pStyle w:val="FootnoteText"/>
        <w:rPr>
          <w:rtl/>
        </w:rPr>
      </w:pPr>
      <w:r>
        <w:rPr>
          <w:rStyle w:val="FootnoteReference1"/>
        </w:rPr>
        <w:footnoteRef/>
      </w:r>
      <w:r>
        <w:rPr>
          <w:rtl/>
        </w:rPr>
        <w:t xml:space="preserve"> </w:t>
      </w:r>
      <w:r>
        <w:rPr>
          <w:rtl/>
        </w:rPr>
        <w:tab/>
      </w:r>
      <w:r w:rsidRPr="00B4661A">
        <w:rPr>
          <w:rFonts w:hint="cs"/>
          <w:rtl/>
        </w:rPr>
        <w:t>בנק ישראל, דוברות והסברה כלכלית, תגובת בנק ישראל להצעה לסבסד משכנתאות קיימות (13.11.25)</w:t>
      </w:r>
      <w:r>
        <w:rPr>
          <w:rFonts w:hint="cs"/>
          <w:rtl/>
        </w:rPr>
        <w:t>.</w:t>
      </w:r>
    </w:p>
  </w:footnote>
  <w:footnote w:id="246">
    <w:p w:rsidR="00F74793" w:rsidP="001F2586">
      <w:pPr>
        <w:pStyle w:val="FootnoteText"/>
        <w:rPr>
          <w:rtl/>
        </w:rPr>
      </w:pPr>
      <w:r>
        <w:rPr>
          <w:rStyle w:val="FootnoteReference1"/>
        </w:rPr>
        <w:footnoteRef/>
      </w:r>
      <w:r>
        <w:rPr>
          <w:rtl/>
        </w:rPr>
        <w:t xml:space="preserve"> </w:t>
      </w:r>
      <w:r>
        <w:rPr>
          <w:rtl/>
        </w:rPr>
        <w:tab/>
      </w:r>
      <w:r w:rsidRPr="00AC0C58">
        <w:rPr>
          <w:rtl/>
        </w:rPr>
        <w:t>שיעור החזר מהכנסה מעודכן (</w:t>
      </w:r>
      <w:r w:rsidRPr="00AC0C58">
        <w:t>PTI</w:t>
      </w:r>
      <w:r w:rsidRPr="00AC0C58">
        <w:rPr>
          <w:rtl/>
        </w:rPr>
        <w:t xml:space="preserve"> מתוקנן)</w:t>
      </w:r>
      <w:r>
        <w:rPr>
          <w:rFonts w:hint="cs"/>
          <w:rtl/>
        </w:rPr>
        <w:t xml:space="preserve"> הוא לאחר שינויים בהחזר החודשי ובהכנסות של הלווים לעומת שיעור החזר מהכנסה שהיה במועד לקיחת ההלוואה.</w:t>
      </w:r>
    </w:p>
  </w:footnote>
  <w:footnote w:id="247">
    <w:p w:rsidR="00F74793" w:rsidP="001F2586">
      <w:pPr>
        <w:pStyle w:val="FootnoteText"/>
        <w:rPr>
          <w:rtl/>
        </w:rPr>
      </w:pPr>
      <w:r>
        <w:rPr>
          <w:rStyle w:val="FootnoteReference1"/>
        </w:rPr>
        <w:footnoteRef/>
      </w:r>
      <w:r>
        <w:rPr>
          <w:rtl/>
        </w:rPr>
        <w:t xml:space="preserve"> </w:t>
      </w:r>
      <w:r>
        <w:rPr>
          <w:rtl/>
        </w:rPr>
        <w:tab/>
      </w:r>
      <w:r w:rsidRPr="00B4661A">
        <w:rPr>
          <w:rFonts w:hint="cs"/>
          <w:rtl/>
        </w:rPr>
        <w:t>בנק ישראל, דוברות והסברה כלכלית, תגובת בנק ישראל להצעה לסבסד משכנתאות קיימות (13.11.25)</w:t>
      </w:r>
      <w:r>
        <w:rPr>
          <w:rFonts w:hint="cs"/>
          <w:rtl/>
        </w:rPr>
        <w:t xml:space="preserve">. </w:t>
      </w:r>
    </w:p>
  </w:footnote>
  <w:footnote w:id="248">
    <w:p w:rsidR="00F74793" w:rsidP="001F2586">
      <w:pPr>
        <w:pStyle w:val="FootnoteText"/>
      </w:pPr>
      <w:r>
        <w:rPr>
          <w:rStyle w:val="FootnoteReference1"/>
        </w:rPr>
        <w:footnoteRef/>
      </w:r>
      <w:r>
        <w:rPr>
          <w:rtl/>
        </w:rPr>
        <w:t xml:space="preserve"> </w:t>
      </w:r>
      <w:r>
        <w:rPr>
          <w:rtl/>
        </w:rPr>
        <w:tab/>
      </w:r>
      <w:r>
        <w:rPr>
          <w:rFonts w:hint="cs"/>
          <w:rtl/>
        </w:rPr>
        <w:t xml:space="preserve">על פי תזכיר החוק, </w:t>
      </w:r>
      <w:r>
        <w:rPr>
          <w:rtl/>
        </w:rPr>
        <w:t xml:space="preserve">סכום המענק החודשי לזכאי </w:t>
      </w:r>
      <w:r>
        <w:rPr>
          <w:rFonts w:hint="cs"/>
          <w:rtl/>
        </w:rPr>
        <w:t>ייקבע בהתאם להפרשים בין מחיר הדירה בעת רכישתה למחירה הממוצע ולהפרש בין ההחזר החודשי הנוכחי של הלווה להחזר במרץ 2022, לפני עליית הריבית, בתוספת עליית מדד מחירים לצרכן.</w:t>
      </w:r>
    </w:p>
  </w:footnote>
  <w:footnote w:id="249">
    <w:p w:rsidR="00F74793" w:rsidP="001F2586">
      <w:pPr>
        <w:pStyle w:val="FootnoteText"/>
      </w:pPr>
      <w:r>
        <w:rPr>
          <w:rStyle w:val="FootnoteReference1"/>
        </w:rPr>
        <w:footnoteRef/>
      </w:r>
      <w:r>
        <w:rPr>
          <w:rtl/>
        </w:rPr>
        <w:t xml:space="preserve"> </w:t>
      </w:r>
      <w:r>
        <w:rPr>
          <w:rtl/>
        </w:rPr>
        <w:tab/>
      </w:r>
      <w:r w:rsidRPr="00B4661A">
        <w:rPr>
          <w:rtl/>
        </w:rPr>
        <w:t xml:space="preserve">הצעת חוק סיוע </w:t>
      </w:r>
      <w:r w:rsidRPr="00B4661A">
        <w:rPr>
          <w:rtl/>
        </w:rPr>
        <w:t>לנוטלי</w:t>
      </w:r>
      <w:r w:rsidRPr="00B4661A">
        <w:rPr>
          <w:rtl/>
        </w:rPr>
        <w:t xml:space="preserve"> הלוואות לדיור עקב עליית הריבית (הוראת שעה</w:t>
      </w:r>
      <w:r w:rsidRPr="00A97889">
        <w:rPr>
          <w:rtl/>
        </w:rPr>
        <w:t>), התשפ"ו-2026</w:t>
      </w:r>
      <w:r>
        <w:rPr>
          <w:rFonts w:hint="cs"/>
          <w:rtl/>
        </w:rPr>
        <w:t>.</w:t>
      </w:r>
    </w:p>
  </w:footnote>
  <w:footnote w:id="250">
    <w:p w:rsidR="00F74793" w:rsidP="001F2586">
      <w:pPr>
        <w:pStyle w:val="FootnoteText"/>
        <w:rPr>
          <w:rtl/>
        </w:rPr>
      </w:pPr>
      <w:r>
        <w:rPr>
          <w:rStyle w:val="FootnoteReference1"/>
        </w:rPr>
        <w:footnoteRef/>
      </w:r>
      <w:r>
        <w:rPr>
          <w:rtl/>
        </w:rPr>
        <w:t xml:space="preserve"> </w:t>
      </w:r>
      <w:r>
        <w:rPr>
          <w:rtl/>
        </w:rPr>
        <w:tab/>
      </w:r>
      <w:r w:rsidRPr="00B4661A">
        <w:rPr>
          <w:rtl/>
        </w:rPr>
        <w:t>החלט</w:t>
      </w:r>
      <w:r w:rsidRPr="00B4661A">
        <w:rPr>
          <w:rFonts w:hint="cs"/>
          <w:rtl/>
        </w:rPr>
        <w:t>ת</w:t>
      </w:r>
      <w:r w:rsidRPr="00B4661A">
        <w:rPr>
          <w:rtl/>
        </w:rPr>
        <w:t xml:space="preserve"> </w:t>
      </w:r>
      <w:r w:rsidRPr="00B4661A">
        <w:rPr>
          <w:rFonts w:hint="cs"/>
          <w:rtl/>
        </w:rPr>
        <w:t>ממשלה מספר</w:t>
      </w:r>
      <w:r w:rsidRPr="00B4661A">
        <w:rPr>
          <w:rtl/>
        </w:rPr>
        <w:t xml:space="preserve"> 4043 מיום 31.03.2026</w:t>
      </w:r>
      <w:r w:rsidRPr="00B4661A">
        <w:rPr>
          <w:rFonts w:hint="cs"/>
          <w:rtl/>
        </w:rPr>
        <w:t xml:space="preserve"> בנושא "</w:t>
      </w:r>
      <w:r w:rsidRPr="00B4661A">
        <w:rPr>
          <w:rtl/>
        </w:rPr>
        <w:t xml:space="preserve">טיוטת חוק סיוע </w:t>
      </w:r>
      <w:r w:rsidRPr="00B4661A">
        <w:rPr>
          <w:rtl/>
        </w:rPr>
        <w:t>לנוטלי</w:t>
      </w:r>
      <w:r w:rsidRPr="00B4661A">
        <w:rPr>
          <w:rtl/>
        </w:rPr>
        <w:t xml:space="preserve"> הלוואות לדיור עקב עליית הריבית (הוראת שעה), התשפ"ו-2026 </w:t>
      </w:r>
      <w:r>
        <w:rPr>
          <w:rFonts w:hint="cs"/>
          <w:rtl/>
        </w:rPr>
        <w:t>-</w:t>
      </w:r>
      <w:r w:rsidRPr="00B4661A">
        <w:rPr>
          <w:rtl/>
        </w:rPr>
        <w:t xml:space="preserve"> הסמכת ועדת השרים לענייני חקיקה</w:t>
      </w:r>
      <w:r w:rsidRPr="00B4661A">
        <w:rPr>
          <w:rFonts w:hint="cs"/>
          <w:rtl/>
        </w:rPr>
        <w:t>".</w:t>
      </w:r>
    </w:p>
  </w:footnote>
  <w:footnote w:id="251">
    <w:p w:rsidR="00F74793" w:rsidP="001F2586">
      <w:pPr>
        <w:pStyle w:val="FootnoteText"/>
        <w:rPr>
          <w:rtl/>
        </w:rPr>
      </w:pPr>
      <w:r>
        <w:rPr>
          <w:rStyle w:val="FootnoteReference1"/>
        </w:rPr>
        <w:footnoteRef/>
      </w:r>
      <w:r>
        <w:rPr>
          <w:rtl/>
        </w:rPr>
        <w:t xml:space="preserve"> </w:t>
      </w:r>
      <w:r>
        <w:rPr>
          <w:rtl/>
        </w:rPr>
        <w:tab/>
      </w:r>
      <w:r w:rsidRPr="0068133D">
        <w:rPr>
          <w:rtl/>
        </w:rPr>
        <w:t xml:space="preserve">יצוין כי בחקיקה המסדירה את סמכויות הפיקוח על הבנקים לא נקבע יעד לקידום תחרות, וזאת בשונה מיעדי היציבות וההוגנות, אך חוקים שונים כוללים שיקולי תחרות </w:t>
      </w:r>
      <w:r>
        <w:rPr>
          <w:rFonts w:hint="cs"/>
          <w:rtl/>
        </w:rPr>
        <w:t xml:space="preserve">במערך </w:t>
      </w:r>
      <w:r w:rsidRPr="0068133D">
        <w:rPr>
          <w:rtl/>
        </w:rPr>
        <w:t>השיקולים של רשויות פיקוח פיננסיות.</w:t>
      </w:r>
      <w:r>
        <w:rPr>
          <w:rFonts w:hint="cs"/>
          <w:rtl/>
        </w:rPr>
        <w:t xml:space="preserve"> חוקים אלו הם בין היתר </w:t>
      </w:r>
      <w:r w:rsidRPr="00B4661A">
        <w:rPr>
          <w:rtl/>
        </w:rPr>
        <w:t>החוק לקידום התחרות ולצמצום הריכוזיות</w:t>
      </w:r>
      <w:r w:rsidRPr="0068133D">
        <w:rPr>
          <w:rtl/>
        </w:rPr>
        <w:t xml:space="preserve">, התשע"ד-2013; </w:t>
      </w:r>
      <w:r w:rsidRPr="00B4661A">
        <w:rPr>
          <w:rtl/>
        </w:rPr>
        <w:t>חוק עקרונות האסדרה</w:t>
      </w:r>
      <w:r>
        <w:rPr>
          <w:rFonts w:hint="cs"/>
          <w:rtl/>
        </w:rPr>
        <w:t>, התשפתשפ"ב-2021</w:t>
      </w:r>
      <w:r w:rsidRPr="0068133D">
        <w:rPr>
          <w:rtl/>
        </w:rPr>
        <w:t>; ו</w:t>
      </w:r>
      <w:r w:rsidRPr="00B4661A">
        <w:rPr>
          <w:rtl/>
        </w:rPr>
        <w:t>חוק הבנקאות (רישוי)</w:t>
      </w:r>
      <w:r w:rsidRPr="0068133D">
        <w:rPr>
          <w:rtl/>
        </w:rPr>
        <w:t>.</w:t>
      </w:r>
    </w:p>
  </w:footnote>
  <w:footnote w:id="252">
    <w:p w:rsidR="00F74793" w:rsidP="001F2586">
      <w:pPr>
        <w:pStyle w:val="FootnoteText"/>
        <w:rPr>
          <w:rtl/>
        </w:rPr>
      </w:pPr>
      <w:r>
        <w:rPr>
          <w:rStyle w:val="FootnoteReference1"/>
        </w:rPr>
        <w:footnoteRef/>
      </w:r>
      <w:r>
        <w:rPr>
          <w:rtl/>
        </w:rPr>
        <w:t xml:space="preserve"> </w:t>
      </w:r>
      <w:r>
        <w:rPr>
          <w:rtl/>
        </w:rPr>
        <w:tab/>
      </w:r>
      <w:r>
        <w:rPr>
          <w:rFonts w:hint="cs"/>
          <w:rtl/>
        </w:rPr>
        <w:t>ראו עוד בעניין זה בפרק "סקירת שוק המשכנתאות בישראל".</w:t>
      </w:r>
    </w:p>
  </w:footnote>
  <w:footnote w:id="253">
    <w:p w:rsidR="00F74793" w:rsidP="001F2586">
      <w:pPr>
        <w:pStyle w:val="FootnoteText"/>
      </w:pPr>
      <w:r>
        <w:rPr>
          <w:rStyle w:val="FootnoteReference1"/>
        </w:rPr>
        <w:footnoteRef/>
      </w:r>
      <w:r>
        <w:rPr>
          <w:rtl/>
        </w:rPr>
        <w:t xml:space="preserve"> </w:t>
      </w:r>
      <w:r>
        <w:rPr>
          <w:rtl/>
        </w:rPr>
        <w:tab/>
      </w:r>
      <w:r>
        <w:rPr>
          <w:rFonts w:hint="cs"/>
          <w:rtl/>
        </w:rPr>
        <w:t>מרכז המחקר והמידע של הכנסת</w:t>
      </w:r>
      <w:r>
        <w:rPr>
          <w:rtl/>
        </w:rPr>
        <w:t xml:space="preserve">, </w:t>
      </w:r>
      <w:r w:rsidRPr="00B4661A">
        <w:rPr>
          <w:rFonts w:hint="eastAsia"/>
          <w:b/>
          <w:bCs/>
          <w:rtl/>
        </w:rPr>
        <w:t>תיאור</w:t>
      </w:r>
      <w:r w:rsidRPr="00B4661A">
        <w:rPr>
          <w:b/>
          <w:bCs/>
          <w:rtl/>
        </w:rPr>
        <w:t xml:space="preserve"> </w:t>
      </w:r>
      <w:r w:rsidRPr="00B4661A">
        <w:rPr>
          <w:rFonts w:hint="eastAsia"/>
          <w:b/>
          <w:bCs/>
          <w:rtl/>
        </w:rPr>
        <w:t>וניתוח</w:t>
      </w:r>
      <w:r w:rsidRPr="00B4661A">
        <w:rPr>
          <w:b/>
          <w:bCs/>
          <w:rtl/>
        </w:rPr>
        <w:t xml:space="preserve"> </w:t>
      </w:r>
      <w:r w:rsidRPr="00B4661A">
        <w:rPr>
          <w:rFonts w:hint="eastAsia"/>
          <w:b/>
          <w:bCs/>
          <w:rtl/>
        </w:rPr>
        <w:t>שוק</w:t>
      </w:r>
      <w:r w:rsidRPr="00B4661A">
        <w:rPr>
          <w:b/>
          <w:bCs/>
          <w:rtl/>
        </w:rPr>
        <w:t xml:space="preserve"> </w:t>
      </w:r>
      <w:r w:rsidRPr="00B4661A">
        <w:rPr>
          <w:rFonts w:hint="eastAsia"/>
          <w:b/>
          <w:bCs/>
          <w:rtl/>
        </w:rPr>
        <w:t>המשכנתאות</w:t>
      </w:r>
      <w:r w:rsidRPr="00B4661A">
        <w:rPr>
          <w:b/>
          <w:bCs/>
          <w:rtl/>
        </w:rPr>
        <w:t xml:space="preserve"> </w:t>
      </w:r>
      <w:r w:rsidRPr="00B4661A">
        <w:rPr>
          <w:rFonts w:hint="eastAsia"/>
          <w:b/>
          <w:bCs/>
          <w:rtl/>
        </w:rPr>
        <w:t>בישראל</w:t>
      </w:r>
      <w:r>
        <w:rPr>
          <w:rFonts w:hint="cs"/>
          <w:rtl/>
        </w:rPr>
        <w:t xml:space="preserve"> (יולי 2021), עמ' 14 - 15.</w:t>
      </w:r>
    </w:p>
  </w:footnote>
  <w:footnote w:id="254">
    <w:p w:rsidR="00F74793" w:rsidP="001F2586">
      <w:pPr>
        <w:pStyle w:val="FootnoteText"/>
        <w:rPr>
          <w:rtl/>
        </w:rPr>
      </w:pPr>
      <w:r>
        <w:rPr>
          <w:rStyle w:val="FootnoteReference1"/>
        </w:rPr>
        <w:footnoteRef/>
      </w:r>
      <w:r>
        <w:rPr>
          <w:rtl/>
        </w:rPr>
        <w:t xml:space="preserve"> </w:t>
      </w:r>
      <w:r>
        <w:rPr>
          <w:rtl/>
        </w:rPr>
        <w:tab/>
      </w:r>
      <w:r>
        <w:rPr>
          <w:rFonts w:hint="cs"/>
          <w:rtl/>
        </w:rPr>
        <w:t>חסמי כניסה גבוהים לשוק המשכנתאות נובעים בעיקר מעלויות העמדת המשכנתא כלומר הפער בעלות גיוס המקורות או פער הריבית הנדרשת להבטחת תשואה נאותה.</w:t>
      </w:r>
    </w:p>
  </w:footnote>
  <w:footnote w:id="255">
    <w:p w:rsidR="00F74793" w:rsidP="001F2586">
      <w:pPr>
        <w:pStyle w:val="FootnoteText"/>
      </w:pPr>
      <w:r>
        <w:rPr>
          <w:rStyle w:val="FootnoteReference1"/>
        </w:rPr>
        <w:footnoteRef/>
      </w:r>
      <w:r>
        <w:rPr>
          <w:rtl/>
        </w:rPr>
        <w:t xml:space="preserve"> </w:t>
      </w:r>
      <w:r>
        <w:rPr>
          <w:rtl/>
        </w:rPr>
        <w:tab/>
      </w:r>
      <w:r>
        <w:rPr>
          <w:rFonts w:hint="cs"/>
          <w:rtl/>
        </w:rPr>
        <w:t>מצגת של רשות התחרות, ועדת הכלכלה, "</w:t>
      </w:r>
      <w:r w:rsidRPr="00B4661A">
        <w:rPr>
          <w:rFonts w:hint="cs"/>
          <w:rtl/>
        </w:rPr>
        <w:t>תחרות בשוק המשכנתאות</w:t>
      </w:r>
      <w:r>
        <w:rPr>
          <w:rFonts w:hint="cs"/>
          <w:rtl/>
        </w:rPr>
        <w:t>", (21.11.21).</w:t>
      </w:r>
    </w:p>
  </w:footnote>
  <w:footnote w:id="256">
    <w:p w:rsidR="00F74793" w:rsidP="001F2586">
      <w:pPr>
        <w:pStyle w:val="FootnoteText"/>
      </w:pPr>
      <w:r>
        <w:rPr>
          <w:rStyle w:val="FootnoteReference1"/>
        </w:rPr>
        <w:footnoteRef/>
      </w:r>
      <w:r>
        <w:rPr>
          <w:rtl/>
        </w:rPr>
        <w:t xml:space="preserve"> </w:t>
      </w:r>
      <w:r>
        <w:rPr>
          <w:rtl/>
        </w:rPr>
        <w:tab/>
        <w:t xml:space="preserve">אישור עקרוני הוא מסמך שהבנק מנפיק </w:t>
      </w:r>
      <w:r>
        <w:rPr>
          <w:rFonts w:hint="cs"/>
          <w:rtl/>
        </w:rPr>
        <w:t>עבור לקוחות המבקשים משכנתא. משמעות האישור העקרוני</w:t>
      </w:r>
      <w:r>
        <w:rPr>
          <w:rtl/>
        </w:rPr>
        <w:t xml:space="preserve"> </w:t>
      </w:r>
      <w:r>
        <w:rPr>
          <w:rFonts w:hint="cs"/>
          <w:rtl/>
        </w:rPr>
        <w:t>הוא</w:t>
      </w:r>
      <w:r>
        <w:rPr>
          <w:rtl/>
        </w:rPr>
        <w:t xml:space="preserve"> </w:t>
      </w:r>
      <w:r>
        <w:rPr>
          <w:rFonts w:hint="cs"/>
          <w:rtl/>
        </w:rPr>
        <w:t>ש</w:t>
      </w:r>
      <w:r>
        <w:rPr>
          <w:rtl/>
        </w:rPr>
        <w:t xml:space="preserve">הבנק נענה באופן עקרוני </w:t>
      </w:r>
      <w:r>
        <w:rPr>
          <w:rFonts w:hint="cs"/>
          <w:rtl/>
        </w:rPr>
        <w:t xml:space="preserve">לבקשת הלקוח </w:t>
      </w:r>
      <w:r>
        <w:rPr>
          <w:rtl/>
        </w:rPr>
        <w:t xml:space="preserve">לקבל </w:t>
      </w:r>
      <w:r>
        <w:rPr>
          <w:rFonts w:hint="cs"/>
          <w:rtl/>
        </w:rPr>
        <w:t xml:space="preserve">משכנתא בהתאם לנתונים שנמסרו לו מהלקוח. </w:t>
      </w:r>
      <w:r>
        <w:rPr>
          <w:rtl/>
        </w:rPr>
        <w:t>אישור זה כולל את התנאים שבהם הבנק מוכן להעניק</w:t>
      </w:r>
      <w:r>
        <w:rPr>
          <w:rFonts w:hint="cs"/>
          <w:rtl/>
        </w:rPr>
        <w:t xml:space="preserve"> ללקוח</w:t>
      </w:r>
      <w:r>
        <w:rPr>
          <w:rtl/>
        </w:rPr>
        <w:t xml:space="preserve"> את ההלוואה ובכלל ז</w:t>
      </w:r>
      <w:r>
        <w:rPr>
          <w:rFonts w:hint="cs"/>
          <w:rtl/>
        </w:rPr>
        <w:t>ה</w:t>
      </w:r>
      <w:r>
        <w:rPr>
          <w:rtl/>
        </w:rPr>
        <w:t xml:space="preserve"> את המחיר </w:t>
      </w:r>
      <w:r>
        <w:rPr>
          <w:rFonts w:hint="cs"/>
          <w:rtl/>
        </w:rPr>
        <w:t>שהלקוח ישלם</w:t>
      </w:r>
      <w:r>
        <w:rPr>
          <w:rtl/>
        </w:rPr>
        <w:t xml:space="preserve"> עבורה </w:t>
      </w:r>
      <w:r>
        <w:rPr>
          <w:rFonts w:hint="cs"/>
          <w:rtl/>
        </w:rPr>
        <w:t>(</w:t>
      </w:r>
      <w:r>
        <w:rPr>
          <w:rtl/>
        </w:rPr>
        <w:t>שיעור הריבית</w:t>
      </w:r>
      <w:r>
        <w:rPr>
          <w:rFonts w:hint="cs"/>
          <w:rtl/>
        </w:rPr>
        <w:t xml:space="preserve">). מקור: המפקח על הבנקים, </w:t>
      </w:r>
      <w:r w:rsidRPr="00B4661A">
        <w:rPr>
          <w:rFonts w:hint="cs"/>
          <w:rtl/>
        </w:rPr>
        <w:t>נב"ת</w:t>
      </w:r>
      <w:r w:rsidRPr="00B4661A">
        <w:rPr>
          <w:rFonts w:hint="cs"/>
          <w:rtl/>
        </w:rPr>
        <w:t xml:space="preserve"> 451</w:t>
      </w:r>
      <w:r>
        <w:rPr>
          <w:rFonts w:hint="cs"/>
          <w:rtl/>
        </w:rPr>
        <w:t>, עמ' 28.</w:t>
      </w:r>
    </w:p>
  </w:footnote>
  <w:footnote w:id="257">
    <w:p w:rsidR="00F74793" w:rsidP="001F2586">
      <w:pPr>
        <w:pStyle w:val="FootnoteText"/>
      </w:pPr>
      <w:r>
        <w:rPr>
          <w:rStyle w:val="FootnoteReference1"/>
        </w:rPr>
        <w:footnoteRef/>
      </w:r>
      <w:r>
        <w:rPr>
          <w:rtl/>
        </w:rPr>
        <w:t xml:space="preserve"> </w:t>
      </w:r>
      <w:r>
        <w:rPr>
          <w:rtl/>
        </w:rPr>
        <w:tab/>
      </w:r>
      <w:r>
        <w:rPr>
          <w:rFonts w:hint="cs"/>
          <w:rtl/>
        </w:rPr>
        <w:t xml:space="preserve">לביב שמאי, אורי </w:t>
      </w:r>
      <w:r>
        <w:rPr>
          <w:rFonts w:hint="cs"/>
          <w:rtl/>
        </w:rPr>
        <w:t>אוברמן</w:t>
      </w:r>
      <w:r>
        <w:rPr>
          <w:rFonts w:hint="cs"/>
          <w:rtl/>
        </w:rPr>
        <w:t xml:space="preserve"> ובנימין בנטל, מרכז טאוב לחקר המדיניות החברתית בישראל, "</w:t>
      </w:r>
      <w:r w:rsidRPr="00B4661A">
        <w:rPr>
          <w:b/>
          <w:bCs/>
          <w:rtl/>
        </w:rPr>
        <w:t>ריבית, אינפלציה ומשכנתאות בישראל</w:t>
      </w:r>
      <w:r>
        <w:rPr>
          <w:rFonts w:hint="cs"/>
          <w:rtl/>
        </w:rPr>
        <w:t>", נובמבר 2023, עמ' 5.</w:t>
      </w:r>
    </w:p>
  </w:footnote>
  <w:footnote w:id="258">
    <w:p w:rsidR="00F74793" w:rsidP="001F2586">
      <w:pPr>
        <w:pStyle w:val="FootnoteText"/>
        <w:rPr>
          <w:rtl/>
        </w:rPr>
      </w:pPr>
      <w:r>
        <w:rPr>
          <w:rStyle w:val="FootnoteReference1"/>
        </w:rPr>
        <w:footnoteRef/>
      </w:r>
      <w:r>
        <w:rPr>
          <w:rtl/>
        </w:rPr>
        <w:t xml:space="preserve"> </w:t>
      </w:r>
      <w:r>
        <w:rPr>
          <w:rtl/>
        </w:rPr>
        <w:tab/>
      </w:r>
      <w:r>
        <w:rPr>
          <w:rFonts w:hint="cs"/>
          <w:rtl/>
        </w:rPr>
        <w:t xml:space="preserve">המפקח על הבנקים, </w:t>
      </w:r>
      <w:r>
        <w:rPr>
          <w:rFonts w:hint="cs"/>
          <w:rtl/>
        </w:rPr>
        <w:t>נב"ת</w:t>
      </w:r>
      <w:r>
        <w:rPr>
          <w:rFonts w:hint="cs"/>
          <w:rtl/>
        </w:rPr>
        <w:t xml:space="preserve"> 451 - "</w:t>
      </w:r>
      <w:r w:rsidRPr="00B4661A">
        <w:rPr>
          <w:rFonts w:hint="cs"/>
          <w:rtl/>
        </w:rPr>
        <w:t>נהלים למתן הלוואות לדיור</w:t>
      </w:r>
      <w:r>
        <w:rPr>
          <w:rFonts w:hint="cs"/>
          <w:rtl/>
        </w:rPr>
        <w:t>" (7/23</w:t>
      </w:r>
      <w:r>
        <w:t>(</w:t>
      </w:r>
      <w:r>
        <w:rPr>
          <w:rFonts w:hint="cs"/>
          <w:rtl/>
        </w:rPr>
        <w:t>.</w:t>
      </w:r>
    </w:p>
  </w:footnote>
  <w:footnote w:id="259">
    <w:p w:rsidR="00F74793" w:rsidP="001F2586">
      <w:pPr>
        <w:pStyle w:val="FootnoteText"/>
      </w:pPr>
      <w:r>
        <w:rPr>
          <w:rStyle w:val="FootnoteReference1"/>
        </w:rPr>
        <w:footnoteRef/>
      </w:r>
      <w:r>
        <w:rPr>
          <w:rtl/>
        </w:rPr>
        <w:t xml:space="preserve"> </w:t>
      </w:r>
      <w:r>
        <w:rPr>
          <w:rtl/>
        </w:rPr>
        <w:tab/>
      </w:r>
      <w:r>
        <w:rPr>
          <w:rFonts w:hint="cs"/>
          <w:rtl/>
        </w:rPr>
        <w:t>בנקאות פתוחה - הפיקוח על הבנקים גיבש תקן אחיד לבנקאות פתוחה בישראל המאפשר ללקוחות הבנקים וחברות כרטיסי האשראי לשתף צדדים שלישיים במידע הפיננסי שלהם, כך ששחקנים חדשים, לאו דווקא בנקים, יוכלו לגשת למידע זה ולהציע ללקוחות שירותים המותאמים לצורכיהם.</w:t>
      </w:r>
    </w:p>
  </w:footnote>
  <w:footnote w:id="260">
    <w:p w:rsidR="00F74793" w:rsidP="001F2586">
      <w:pPr>
        <w:pStyle w:val="FootnoteText"/>
        <w:rPr>
          <w:rtl/>
        </w:rPr>
      </w:pPr>
      <w:r>
        <w:rPr>
          <w:rStyle w:val="FootnoteReference1"/>
        </w:rPr>
        <w:footnoteRef/>
      </w:r>
      <w:r>
        <w:rPr>
          <w:rtl/>
        </w:rPr>
        <w:t xml:space="preserve"> </w:t>
      </w:r>
      <w:r>
        <w:rPr>
          <w:rtl/>
        </w:rPr>
        <w:tab/>
      </w:r>
      <w:r>
        <w:rPr>
          <w:rFonts w:hint="cs"/>
          <w:rtl/>
        </w:rPr>
        <w:t xml:space="preserve">מערכת לשיתוף נתוני אשראי - </w:t>
      </w:r>
      <w:r>
        <w:rPr>
          <w:rtl/>
        </w:rPr>
        <w:t xml:space="preserve">מערכת </w:t>
      </w:r>
      <w:r>
        <w:rPr>
          <w:rFonts w:hint="cs"/>
          <w:rtl/>
        </w:rPr>
        <w:t>זו</w:t>
      </w:r>
      <w:r>
        <w:rPr>
          <w:rtl/>
        </w:rPr>
        <w:t xml:space="preserve"> </w:t>
      </w:r>
      <w:r>
        <w:rPr>
          <w:rFonts w:hint="cs"/>
          <w:rtl/>
        </w:rPr>
        <w:t>החלה את פעולתה באפריל 2019 ו</w:t>
      </w:r>
      <w:r>
        <w:rPr>
          <w:rtl/>
        </w:rPr>
        <w:t xml:space="preserve">נועדה </w:t>
      </w:r>
      <w:r>
        <w:rPr>
          <w:rFonts w:hint="cs"/>
          <w:rtl/>
        </w:rPr>
        <w:t>לצמצם את</w:t>
      </w:r>
      <w:r>
        <w:rPr>
          <w:rtl/>
        </w:rPr>
        <w:t xml:space="preserve"> פערי המידע בין</w:t>
      </w:r>
      <w:r>
        <w:rPr>
          <w:rFonts w:hint="cs"/>
          <w:rtl/>
        </w:rPr>
        <w:t xml:space="preserve"> גופים </w:t>
      </w:r>
      <w:r>
        <w:rPr>
          <w:rtl/>
        </w:rPr>
        <w:t>נותני האשראי שונים</w:t>
      </w:r>
      <w:r>
        <w:rPr>
          <w:rFonts w:hint="cs"/>
          <w:rtl/>
        </w:rPr>
        <w:t xml:space="preserve"> (בנקאיים וחוץ-בנקאיים). המערכת</w:t>
      </w:r>
      <w:r>
        <w:rPr>
          <w:rtl/>
        </w:rPr>
        <w:t xml:space="preserve"> מאפשרת ל</w:t>
      </w:r>
      <w:r>
        <w:rPr>
          <w:rFonts w:hint="cs"/>
          <w:rtl/>
        </w:rPr>
        <w:t xml:space="preserve">גופים </w:t>
      </w:r>
      <w:r>
        <w:rPr>
          <w:rtl/>
        </w:rPr>
        <w:t>נותני האשראי לקבל</w:t>
      </w:r>
      <w:r>
        <w:rPr>
          <w:rFonts w:hint="cs"/>
          <w:rtl/>
        </w:rPr>
        <w:t xml:space="preserve"> </w:t>
      </w:r>
      <w:r>
        <w:rPr>
          <w:rtl/>
        </w:rPr>
        <w:t>מידע על היסטוריית האשראי של הלקוח</w:t>
      </w:r>
      <w:r>
        <w:rPr>
          <w:rFonts w:hint="cs"/>
          <w:rtl/>
        </w:rPr>
        <w:t>ות</w:t>
      </w:r>
      <w:r>
        <w:rPr>
          <w:rtl/>
        </w:rPr>
        <w:t xml:space="preserve"> ולהציע </w:t>
      </w:r>
      <w:r>
        <w:rPr>
          <w:rFonts w:hint="cs"/>
          <w:rtl/>
        </w:rPr>
        <w:t>להם</w:t>
      </w:r>
      <w:r>
        <w:rPr>
          <w:rtl/>
        </w:rPr>
        <w:t xml:space="preserve"> אשראי </w:t>
      </w:r>
      <w:r>
        <w:rPr>
          <w:rFonts w:hint="cs"/>
          <w:rtl/>
        </w:rPr>
        <w:t xml:space="preserve">מותאם עבורם. מקור: הפיקוח על הבנקים בבנק ישראל, </w:t>
      </w:r>
      <w:r w:rsidRPr="00B4661A">
        <w:rPr>
          <w:rFonts w:hint="eastAsia"/>
          <w:b/>
          <w:bCs/>
          <w:rtl/>
        </w:rPr>
        <w:t>מערכת</w:t>
      </w:r>
      <w:r w:rsidRPr="00B4661A">
        <w:rPr>
          <w:b/>
          <w:bCs/>
          <w:rtl/>
        </w:rPr>
        <w:t xml:space="preserve"> הבנקאות בישראל-סקירה שנתית 2021 </w:t>
      </w:r>
      <w:r w:rsidRPr="00B4661A">
        <w:rPr>
          <w:rFonts w:hint="cs"/>
          <w:rtl/>
        </w:rPr>
        <w:t>(</w:t>
      </w:r>
      <w:r>
        <w:rPr>
          <w:rFonts w:hint="cs"/>
          <w:rtl/>
        </w:rPr>
        <w:t>מאי 2022), עמ' 163 - 164.</w:t>
      </w:r>
    </w:p>
  </w:footnote>
  <w:footnote w:id="261">
    <w:p w:rsidR="00F74793" w:rsidP="001F2586">
      <w:pPr>
        <w:pStyle w:val="FootnoteText"/>
      </w:pPr>
      <w:r>
        <w:rPr>
          <w:rStyle w:val="FootnoteReference1"/>
        </w:rPr>
        <w:footnoteRef/>
      </w:r>
      <w:r>
        <w:rPr>
          <w:rtl/>
        </w:rPr>
        <w:t xml:space="preserve"> </w:t>
      </w:r>
      <w:r>
        <w:rPr>
          <w:rtl/>
        </w:rPr>
        <w:tab/>
      </w:r>
      <w:r>
        <w:rPr>
          <w:rFonts w:hint="cs"/>
          <w:rtl/>
        </w:rPr>
        <w:t>רשות התחרות, מצגת "</w:t>
      </w:r>
      <w:r w:rsidRPr="00B4661A">
        <w:rPr>
          <w:rFonts w:hint="cs"/>
          <w:rtl/>
        </w:rPr>
        <w:t>תחרות בשוק המשכנתאות</w:t>
      </w:r>
      <w:r>
        <w:rPr>
          <w:rFonts w:hint="cs"/>
          <w:rtl/>
        </w:rPr>
        <w:t>", ועדת הכלכלה 21.11.2021, עמ' 3.</w:t>
      </w:r>
    </w:p>
  </w:footnote>
  <w:footnote w:id="262">
    <w:p w:rsidR="00F74793" w:rsidP="001F2586">
      <w:pPr>
        <w:pStyle w:val="FootnoteText"/>
      </w:pPr>
      <w:r>
        <w:rPr>
          <w:rStyle w:val="FootnoteReference1"/>
        </w:rPr>
        <w:footnoteRef/>
      </w:r>
      <w:r>
        <w:rPr>
          <w:rtl/>
        </w:rPr>
        <w:t xml:space="preserve"> </w:t>
      </w:r>
      <w:r>
        <w:rPr>
          <w:rtl/>
        </w:rPr>
        <w:tab/>
      </w:r>
      <w:r>
        <w:rPr>
          <w:rFonts w:hint="cs"/>
          <w:rtl/>
        </w:rPr>
        <w:t>קו המשווה של בנק ישראל מרכז מידע השוואתי על מוצרים פיננסים שונים כמו: פיקדונות, הלוואות, משכנתאות, עמלות, כרטיסי אשראי ועוד.</w:t>
      </w:r>
    </w:p>
  </w:footnote>
  <w:footnote w:id="263">
    <w:p w:rsidR="00F74793" w:rsidP="001F2586">
      <w:pPr>
        <w:pStyle w:val="FootnoteText"/>
        <w:rPr>
          <w:rtl/>
        </w:rPr>
      </w:pPr>
      <w:r>
        <w:rPr>
          <w:rStyle w:val="FootnoteReference1"/>
        </w:rPr>
        <w:footnoteRef/>
      </w:r>
      <w:r>
        <w:rPr>
          <w:rtl/>
        </w:rPr>
        <w:t xml:space="preserve"> </w:t>
      </w:r>
      <w:r>
        <w:rPr>
          <w:rtl/>
        </w:rPr>
        <w:tab/>
      </w:r>
      <w:r>
        <w:rPr>
          <w:rFonts w:hint="cs"/>
          <w:rtl/>
        </w:rPr>
        <w:t>בנק ישראל, דוברות והסברה כלכלית, הודעה לעיתונות - "</w:t>
      </w:r>
      <w:r w:rsidRPr="00B4661A">
        <w:rPr>
          <w:rtl/>
        </w:rPr>
        <w:t>בנק ישראל מודיע על קידום רפורמה צרכנית לה</w:t>
      </w:r>
      <w:r w:rsidRPr="00B4661A">
        <w:rPr>
          <w:rFonts w:hint="cs"/>
          <w:rtl/>
        </w:rPr>
        <w:t>ג</w:t>
      </w:r>
      <w:r w:rsidRPr="00B4661A">
        <w:rPr>
          <w:rtl/>
        </w:rPr>
        <w:t>ברת שקיפות המידע ללקוחות הבנקים ולשיפור סביבת התחרות בשוק</w:t>
      </w:r>
      <w:r w:rsidRPr="00B4661A">
        <w:rPr>
          <w:rFonts w:hint="cs"/>
          <w:rtl/>
        </w:rPr>
        <w:t xml:space="preserve"> </w:t>
      </w:r>
      <w:r w:rsidRPr="00B4661A">
        <w:rPr>
          <w:rtl/>
        </w:rPr>
        <w:t>המשכנתאות</w:t>
      </w:r>
      <w:r>
        <w:rPr>
          <w:rFonts w:hint="cs"/>
          <w:rtl/>
        </w:rPr>
        <w:t>", 14.11.21.</w:t>
      </w:r>
    </w:p>
  </w:footnote>
  <w:footnote w:id="264">
    <w:p w:rsidR="00F74793" w:rsidP="001F2586">
      <w:pPr>
        <w:pStyle w:val="FootnoteText"/>
      </w:pPr>
      <w:r>
        <w:rPr>
          <w:rStyle w:val="FootnoteReference1"/>
        </w:rPr>
        <w:footnoteRef/>
      </w:r>
      <w:r>
        <w:rPr>
          <w:rtl/>
        </w:rPr>
        <w:t xml:space="preserve"> </w:t>
      </w:r>
      <w:r>
        <w:rPr>
          <w:rtl/>
        </w:rPr>
        <w:tab/>
      </w:r>
      <w:r>
        <w:rPr>
          <w:rFonts w:hint="cs"/>
          <w:rtl/>
        </w:rPr>
        <w:t>הודעה לעיתונות של בנק ישראל, דוברות והסברה כלכלית, "</w:t>
      </w:r>
      <w:r w:rsidRPr="00B4661A">
        <w:rPr>
          <w:rtl/>
        </w:rPr>
        <w:t>הרפורמה הצרכנית להגברת שקיפות המידע ללקוחות הבנקים ולשיפור סביבת התחרות בשוק המשכנתאות תכנס לתוקף מחר (31.8.22)</w:t>
      </w:r>
      <w:r>
        <w:rPr>
          <w:rFonts w:hint="cs"/>
          <w:rtl/>
        </w:rPr>
        <w:t>" (30.8.22).</w:t>
      </w:r>
    </w:p>
  </w:footnote>
  <w:footnote w:id="265">
    <w:p w:rsidR="00F74793" w:rsidP="001F2586">
      <w:pPr>
        <w:pStyle w:val="FootnoteText"/>
      </w:pPr>
      <w:r>
        <w:rPr>
          <w:rStyle w:val="FootnoteReference1"/>
        </w:rPr>
        <w:footnoteRef/>
      </w:r>
      <w:r>
        <w:rPr>
          <w:rtl/>
        </w:rPr>
        <w:t xml:space="preserve"> </w:t>
      </w:r>
      <w:r>
        <w:rPr>
          <w:rtl/>
        </w:rPr>
        <w:tab/>
      </w:r>
      <w:r>
        <w:rPr>
          <w:rFonts w:hint="cs"/>
          <w:rtl/>
        </w:rPr>
        <w:t xml:space="preserve">מקורות: הפיקוח על הבנקים, בנק ישראל, </w:t>
      </w:r>
      <w:r w:rsidRPr="00B4661A">
        <w:rPr>
          <w:rFonts w:hint="eastAsia"/>
          <w:b/>
          <w:bCs/>
          <w:rtl/>
        </w:rPr>
        <w:t>מערכת</w:t>
      </w:r>
      <w:r w:rsidRPr="00B4661A">
        <w:rPr>
          <w:b/>
          <w:bCs/>
          <w:rtl/>
        </w:rPr>
        <w:t xml:space="preserve"> </w:t>
      </w:r>
      <w:r w:rsidRPr="00B4661A">
        <w:rPr>
          <w:rFonts w:hint="eastAsia"/>
          <w:b/>
          <w:bCs/>
          <w:rtl/>
        </w:rPr>
        <w:t>הבנקאות</w:t>
      </w:r>
      <w:r w:rsidRPr="00B4661A">
        <w:rPr>
          <w:b/>
          <w:bCs/>
          <w:rtl/>
        </w:rPr>
        <w:t xml:space="preserve"> </w:t>
      </w:r>
      <w:r w:rsidRPr="00B4661A">
        <w:rPr>
          <w:rFonts w:hint="eastAsia"/>
          <w:b/>
          <w:bCs/>
          <w:rtl/>
        </w:rPr>
        <w:t>בישראל</w:t>
      </w:r>
      <w:r w:rsidRPr="00B4661A">
        <w:rPr>
          <w:rFonts w:hint="cs"/>
          <w:b/>
          <w:bCs/>
          <w:rtl/>
        </w:rPr>
        <w:t xml:space="preserve">: </w:t>
      </w:r>
      <w:r w:rsidRPr="00B4661A">
        <w:rPr>
          <w:rFonts w:hint="eastAsia"/>
          <w:b/>
          <w:bCs/>
          <w:rtl/>
        </w:rPr>
        <w:t>סקירה</w:t>
      </w:r>
      <w:r w:rsidRPr="00B4661A">
        <w:rPr>
          <w:b/>
          <w:bCs/>
          <w:rtl/>
        </w:rPr>
        <w:t xml:space="preserve"> </w:t>
      </w:r>
      <w:r w:rsidRPr="00B4661A">
        <w:rPr>
          <w:rFonts w:hint="eastAsia"/>
          <w:b/>
          <w:bCs/>
          <w:rtl/>
        </w:rPr>
        <w:t>שנתית</w:t>
      </w:r>
      <w:r w:rsidRPr="00B4661A">
        <w:rPr>
          <w:b/>
          <w:bCs/>
          <w:rtl/>
        </w:rPr>
        <w:t xml:space="preserve"> 2021</w:t>
      </w:r>
      <w:r w:rsidRPr="00B4661A">
        <w:rPr>
          <w:rFonts w:hint="cs"/>
          <w:rtl/>
        </w:rPr>
        <w:t xml:space="preserve"> (</w:t>
      </w:r>
      <w:r>
        <w:rPr>
          <w:rFonts w:hint="cs"/>
          <w:rtl/>
        </w:rPr>
        <w:t xml:space="preserve">מאי 2022), עמ' 163 - 164, 232 - 234; הפיקוח על הבנקים, בנק ישראל, </w:t>
      </w:r>
      <w:r w:rsidRPr="00B4661A">
        <w:rPr>
          <w:rFonts w:hint="eastAsia"/>
          <w:b/>
          <w:bCs/>
          <w:rtl/>
        </w:rPr>
        <w:t>מערכת</w:t>
      </w:r>
      <w:r w:rsidRPr="00B4661A">
        <w:rPr>
          <w:b/>
          <w:bCs/>
          <w:rtl/>
        </w:rPr>
        <w:t xml:space="preserve"> </w:t>
      </w:r>
      <w:r w:rsidRPr="00B4661A">
        <w:rPr>
          <w:rFonts w:hint="eastAsia"/>
          <w:b/>
          <w:bCs/>
          <w:rtl/>
        </w:rPr>
        <w:t>הבנקאות</w:t>
      </w:r>
      <w:r w:rsidRPr="00B4661A">
        <w:rPr>
          <w:b/>
          <w:bCs/>
          <w:rtl/>
        </w:rPr>
        <w:t xml:space="preserve"> </w:t>
      </w:r>
      <w:r w:rsidRPr="00B4661A">
        <w:rPr>
          <w:rFonts w:hint="eastAsia"/>
          <w:b/>
          <w:bCs/>
          <w:rtl/>
        </w:rPr>
        <w:t>בישראל</w:t>
      </w:r>
      <w:r w:rsidRPr="00B4661A">
        <w:rPr>
          <w:b/>
          <w:bCs/>
          <w:rtl/>
        </w:rPr>
        <w:t>: סקירה שנתית לשנת 2024</w:t>
      </w:r>
      <w:r>
        <w:rPr>
          <w:rFonts w:hint="cs"/>
          <w:rtl/>
        </w:rPr>
        <w:t xml:space="preserve"> (מאי 2025), עמ' 202 - 203.</w:t>
      </w:r>
    </w:p>
  </w:footnote>
  <w:footnote w:id="266">
    <w:p w:rsidR="00F74793" w:rsidRPr="00AC36BC" w:rsidP="001F2586">
      <w:pPr>
        <w:pStyle w:val="FootnoteText"/>
        <w:rPr>
          <w:rtl/>
        </w:rPr>
      </w:pPr>
      <w:r>
        <w:rPr>
          <w:rStyle w:val="FootnoteReference1"/>
        </w:rPr>
        <w:footnoteRef/>
      </w:r>
      <w:r>
        <w:rPr>
          <w:rtl/>
        </w:rPr>
        <w:t xml:space="preserve"> </w:t>
      </w:r>
      <w:r>
        <w:rPr>
          <w:rtl/>
        </w:rPr>
        <w:tab/>
      </w:r>
      <w:r>
        <w:rPr>
          <w:rFonts w:hint="cs"/>
          <w:rtl/>
        </w:rPr>
        <w:t xml:space="preserve">הפיקוח על הבנקים, בנק ישראל, </w:t>
      </w:r>
      <w:r w:rsidRPr="00B4661A">
        <w:rPr>
          <w:rFonts w:hint="eastAsia"/>
          <w:b/>
          <w:bCs/>
          <w:rtl/>
        </w:rPr>
        <w:t>מערכת</w:t>
      </w:r>
      <w:r w:rsidRPr="00B4661A">
        <w:rPr>
          <w:b/>
          <w:bCs/>
          <w:rtl/>
        </w:rPr>
        <w:t xml:space="preserve"> </w:t>
      </w:r>
      <w:r w:rsidRPr="00B4661A">
        <w:rPr>
          <w:rFonts w:hint="eastAsia"/>
          <w:b/>
          <w:bCs/>
          <w:rtl/>
        </w:rPr>
        <w:t>הבנקאות</w:t>
      </w:r>
      <w:r w:rsidRPr="00B4661A">
        <w:rPr>
          <w:b/>
          <w:bCs/>
          <w:rtl/>
        </w:rPr>
        <w:t xml:space="preserve"> </w:t>
      </w:r>
      <w:r w:rsidRPr="00B4661A">
        <w:rPr>
          <w:rFonts w:hint="eastAsia"/>
          <w:b/>
          <w:bCs/>
          <w:rtl/>
        </w:rPr>
        <w:t>בישראל</w:t>
      </w:r>
      <w:r w:rsidRPr="00B4661A">
        <w:rPr>
          <w:b/>
          <w:bCs/>
          <w:rtl/>
        </w:rPr>
        <w:t>: סקירה שנתית לשנת 2024</w:t>
      </w:r>
      <w:r>
        <w:rPr>
          <w:rFonts w:hint="cs"/>
          <w:rtl/>
        </w:rPr>
        <w:t xml:space="preserve"> (מאי 2025), עמ' 202 - 203. </w:t>
      </w:r>
    </w:p>
  </w:footnote>
  <w:footnote w:id="267">
    <w:p w:rsidR="00F74793" w:rsidP="001F2586">
      <w:pPr>
        <w:pStyle w:val="FootnoteText"/>
        <w:rPr>
          <w:rtl/>
        </w:rPr>
      </w:pPr>
      <w:r>
        <w:rPr>
          <w:rStyle w:val="FootnoteReference1"/>
        </w:rPr>
        <w:footnoteRef/>
      </w:r>
      <w:r>
        <w:rPr>
          <w:rtl/>
        </w:rPr>
        <w:t xml:space="preserve"> </w:t>
      </w:r>
      <w:r>
        <w:rPr>
          <w:rtl/>
        </w:rPr>
        <w:tab/>
      </w:r>
      <w:r>
        <w:rPr>
          <w:rFonts w:hint="cs"/>
          <w:rtl/>
        </w:rPr>
        <w:t xml:space="preserve">הפיקוח על הבנקים, בנק ישראל, </w:t>
      </w:r>
      <w:r w:rsidRPr="00B4661A">
        <w:rPr>
          <w:rFonts w:hint="eastAsia"/>
          <w:b/>
          <w:bCs/>
          <w:rtl/>
        </w:rPr>
        <w:t>מערכת</w:t>
      </w:r>
      <w:r w:rsidRPr="00B4661A">
        <w:rPr>
          <w:b/>
          <w:bCs/>
          <w:rtl/>
        </w:rPr>
        <w:t xml:space="preserve"> </w:t>
      </w:r>
      <w:r w:rsidRPr="00B4661A">
        <w:rPr>
          <w:rFonts w:hint="eastAsia"/>
          <w:b/>
          <w:bCs/>
          <w:rtl/>
        </w:rPr>
        <w:t>הבנקאות</w:t>
      </w:r>
      <w:r w:rsidRPr="00B4661A">
        <w:rPr>
          <w:b/>
          <w:bCs/>
          <w:rtl/>
        </w:rPr>
        <w:t xml:space="preserve"> </w:t>
      </w:r>
      <w:r w:rsidRPr="00B4661A">
        <w:rPr>
          <w:rFonts w:hint="eastAsia"/>
          <w:b/>
          <w:bCs/>
          <w:rtl/>
        </w:rPr>
        <w:t>בישראל</w:t>
      </w:r>
      <w:r w:rsidRPr="00B4661A">
        <w:rPr>
          <w:b/>
          <w:bCs/>
          <w:rtl/>
        </w:rPr>
        <w:t>: סקירה שנתית לשנת 2024</w:t>
      </w:r>
      <w:r>
        <w:rPr>
          <w:rFonts w:hint="cs"/>
          <w:rtl/>
        </w:rPr>
        <w:t xml:space="preserve"> (מאי 2025), עמ' 202 - 203.</w:t>
      </w:r>
    </w:p>
  </w:footnote>
  <w:footnote w:id="268">
    <w:p w:rsidR="00F74793" w:rsidP="001F2586">
      <w:pPr>
        <w:pStyle w:val="FootnoteText"/>
      </w:pPr>
      <w:r>
        <w:rPr>
          <w:rStyle w:val="FootnoteReference1"/>
        </w:rPr>
        <w:footnoteRef/>
      </w:r>
      <w:r>
        <w:rPr>
          <w:rtl/>
        </w:rPr>
        <w:t xml:space="preserve"> </w:t>
      </w:r>
      <w:r>
        <w:rPr>
          <w:rtl/>
        </w:rPr>
        <w:tab/>
      </w:r>
      <w:r>
        <w:rPr>
          <w:rFonts w:hint="cs"/>
          <w:rtl/>
        </w:rPr>
        <w:t xml:space="preserve">המטרות מפורטות </w:t>
      </w:r>
      <w:r w:rsidRPr="00524127">
        <w:rPr>
          <w:rtl/>
        </w:rPr>
        <w:t xml:space="preserve">בסעיף 3 </w:t>
      </w:r>
      <w:r w:rsidRPr="00524127">
        <w:rPr>
          <w:rtl/>
        </w:rPr>
        <w:t>בנב"ת</w:t>
      </w:r>
      <w:r w:rsidRPr="00524127">
        <w:rPr>
          <w:rtl/>
        </w:rPr>
        <w:t xml:space="preserve"> 451</w:t>
      </w:r>
      <w:r>
        <w:rPr>
          <w:rFonts w:hint="cs"/>
          <w:rtl/>
        </w:rPr>
        <w:t xml:space="preserve"> והן: מגורים, פירעון חלקי או מלא של הלוואה למטרת מגורים, וכן הלוואות בביטחון דירת מגורים שאינן למטרת מגורים.</w:t>
      </w:r>
    </w:p>
  </w:footnote>
  <w:footnote w:id="269">
    <w:p w:rsidR="00F74793" w:rsidP="001F2586">
      <w:pPr>
        <w:pStyle w:val="FootnoteText"/>
      </w:pPr>
      <w:r>
        <w:rPr>
          <w:rStyle w:val="FootnoteReference1"/>
        </w:rPr>
        <w:footnoteRef/>
      </w:r>
      <w:r>
        <w:rPr>
          <w:rtl/>
        </w:rPr>
        <w:t xml:space="preserve"> </w:t>
      </w:r>
      <w:r>
        <w:rPr>
          <w:rtl/>
        </w:rPr>
        <w:tab/>
      </w:r>
      <w:r>
        <w:rPr>
          <w:rFonts w:hint="cs"/>
          <w:rtl/>
        </w:rPr>
        <w:t>הפיקוח על הבנקים, "הוראת דיווח לפיקוח מס' 875 - "</w:t>
      </w:r>
      <w:r w:rsidRPr="00B4661A">
        <w:rPr>
          <w:rtl/>
        </w:rPr>
        <w:t xml:space="preserve">אישורים עקרוניים שניתנו להלוואות לדיור </w:t>
      </w:r>
      <w:r w:rsidRPr="00B4661A">
        <w:rPr>
          <w:rFonts w:hint="cs"/>
          <w:rtl/>
        </w:rPr>
        <w:t>(</w:t>
      </w:r>
      <w:r w:rsidRPr="00B4661A">
        <w:rPr>
          <w:rtl/>
        </w:rPr>
        <w:t>חודשי</w:t>
      </w:r>
      <w:r w:rsidRPr="00B4661A">
        <w:rPr>
          <w:rFonts w:hint="cs"/>
          <w:rtl/>
        </w:rPr>
        <w:t>)</w:t>
      </w:r>
      <w:r>
        <w:rPr>
          <w:rFonts w:hint="cs"/>
          <w:rtl/>
        </w:rPr>
        <w:t>", נובמבר 2023.</w:t>
      </w:r>
    </w:p>
  </w:footnote>
  <w:footnote w:id="270">
    <w:p w:rsidR="00F74793" w:rsidP="001F2586">
      <w:pPr>
        <w:pStyle w:val="FootnoteText"/>
      </w:pPr>
      <w:r>
        <w:rPr>
          <w:rStyle w:val="FootnoteReference1"/>
        </w:rPr>
        <w:footnoteRef/>
      </w:r>
      <w:r>
        <w:rPr>
          <w:rtl/>
        </w:rPr>
        <w:t xml:space="preserve"> </w:t>
      </w:r>
      <w:r>
        <w:rPr>
          <w:rtl/>
        </w:rPr>
        <w:tab/>
      </w:r>
      <w:r w:rsidRPr="00C71932">
        <w:rPr>
          <w:rtl/>
        </w:rPr>
        <w:t>עוד בנושא</w:t>
      </w:r>
      <w:r>
        <w:rPr>
          <w:rFonts w:hint="cs"/>
          <w:rtl/>
        </w:rPr>
        <w:t xml:space="preserve"> יועצי משכנתאות</w:t>
      </w:r>
      <w:r w:rsidRPr="00C71932">
        <w:rPr>
          <w:rtl/>
        </w:rPr>
        <w:t xml:space="preserve"> ראו בפרק "הפיקוח </w:t>
      </w:r>
      <w:r>
        <w:rPr>
          <w:rFonts w:hint="cs"/>
          <w:rtl/>
        </w:rPr>
        <w:t>על</w:t>
      </w:r>
      <w:r w:rsidRPr="00C71932">
        <w:rPr>
          <w:rtl/>
        </w:rPr>
        <w:t xml:space="preserve"> יועצי משכנתאות".</w:t>
      </w:r>
    </w:p>
  </w:footnote>
  <w:footnote w:id="271">
    <w:p w:rsidR="00F74793" w:rsidP="001F2586">
      <w:pPr>
        <w:pStyle w:val="FootnoteText"/>
      </w:pPr>
      <w:r>
        <w:rPr>
          <w:rStyle w:val="FootnoteReference1"/>
        </w:rPr>
        <w:footnoteRef/>
      </w:r>
      <w:r>
        <w:rPr>
          <w:rtl/>
        </w:rPr>
        <w:t xml:space="preserve"> </w:t>
      </w:r>
      <w:r>
        <w:rPr>
          <w:rtl/>
        </w:rPr>
        <w:tab/>
      </w:r>
      <w:r>
        <w:rPr>
          <w:rFonts w:hint="cs"/>
          <w:rtl/>
        </w:rPr>
        <w:t xml:space="preserve">אגף מדיניות והסדרה, הפיקוח על הבנקים, </w:t>
      </w:r>
      <w:r w:rsidRPr="00B4661A">
        <w:rPr>
          <w:rFonts w:hint="eastAsia"/>
          <w:b/>
          <w:bCs/>
          <w:rtl/>
        </w:rPr>
        <w:t>מבקר</w:t>
      </w:r>
      <w:r w:rsidRPr="00B4661A">
        <w:rPr>
          <w:b/>
          <w:bCs/>
          <w:rtl/>
        </w:rPr>
        <w:t xml:space="preserve"> </w:t>
      </w:r>
      <w:r w:rsidRPr="00B4661A">
        <w:rPr>
          <w:rFonts w:hint="eastAsia"/>
          <w:b/>
          <w:bCs/>
          <w:rtl/>
        </w:rPr>
        <w:t>המדינה</w:t>
      </w:r>
      <w:r w:rsidRPr="00B4661A">
        <w:rPr>
          <w:b/>
          <w:bCs/>
          <w:rtl/>
        </w:rPr>
        <w:t xml:space="preserve"> 2025 </w:t>
      </w:r>
      <w:r w:rsidRPr="00B4661A">
        <w:rPr>
          <w:rFonts w:hint="eastAsia"/>
          <w:b/>
          <w:bCs/>
          <w:rtl/>
        </w:rPr>
        <w:t>יועצי</w:t>
      </w:r>
      <w:r w:rsidRPr="00B4661A">
        <w:rPr>
          <w:b/>
          <w:bCs/>
          <w:rtl/>
        </w:rPr>
        <w:t xml:space="preserve"> </w:t>
      </w:r>
      <w:r w:rsidRPr="00B4661A">
        <w:rPr>
          <w:rFonts w:hint="eastAsia"/>
          <w:b/>
          <w:bCs/>
          <w:rtl/>
        </w:rPr>
        <w:t>משכנתאות</w:t>
      </w:r>
      <w:r>
        <w:rPr>
          <w:rFonts w:hint="cs"/>
          <w:rtl/>
        </w:rPr>
        <w:t xml:space="preserve"> (יולי 2025), עמ' 6.</w:t>
      </w:r>
    </w:p>
  </w:footnote>
  <w:footnote w:id="272">
    <w:p w:rsidR="00F74793" w:rsidP="001F2586">
      <w:pPr>
        <w:pStyle w:val="FootnoteText"/>
      </w:pPr>
      <w:r>
        <w:rPr>
          <w:rStyle w:val="FootnoteReference1"/>
        </w:rPr>
        <w:footnoteRef/>
      </w:r>
      <w:r>
        <w:rPr>
          <w:rtl/>
        </w:rPr>
        <w:t xml:space="preserve"> </w:t>
      </w:r>
      <w:r>
        <w:rPr>
          <w:rtl/>
        </w:rPr>
        <w:tab/>
      </w:r>
      <w:r>
        <w:rPr>
          <w:rFonts w:hint="cs"/>
          <w:rtl/>
        </w:rPr>
        <w:t xml:space="preserve">יצוין כי שיעור האישורים העקרוניים שניתנו בליווי של יועץ משכנתאות והבשילו לכדי הלוואה הוא גבוה בהרבה ועומד על כ-61%. מקור: אגף מדיניות והסדרה, הפיקוח על הבנקים, </w:t>
      </w:r>
      <w:r w:rsidRPr="00B4661A">
        <w:rPr>
          <w:rFonts w:hint="eastAsia"/>
          <w:b/>
          <w:bCs/>
          <w:rtl/>
        </w:rPr>
        <w:t>מבקר</w:t>
      </w:r>
      <w:r w:rsidRPr="00B4661A">
        <w:rPr>
          <w:b/>
          <w:bCs/>
          <w:rtl/>
        </w:rPr>
        <w:t xml:space="preserve"> </w:t>
      </w:r>
      <w:r w:rsidRPr="00B4661A">
        <w:rPr>
          <w:rFonts w:hint="eastAsia"/>
          <w:b/>
          <w:bCs/>
          <w:rtl/>
        </w:rPr>
        <w:t>המדינה</w:t>
      </w:r>
      <w:r w:rsidRPr="00B4661A">
        <w:rPr>
          <w:b/>
          <w:bCs/>
          <w:rtl/>
        </w:rPr>
        <w:t xml:space="preserve"> 2025 </w:t>
      </w:r>
      <w:r w:rsidRPr="00B4661A">
        <w:rPr>
          <w:rFonts w:hint="eastAsia"/>
          <w:b/>
          <w:bCs/>
          <w:rtl/>
        </w:rPr>
        <w:t>יועצי</w:t>
      </w:r>
      <w:r w:rsidRPr="00B4661A">
        <w:rPr>
          <w:b/>
          <w:bCs/>
          <w:rtl/>
        </w:rPr>
        <w:t xml:space="preserve"> </w:t>
      </w:r>
      <w:r w:rsidRPr="00B4661A">
        <w:rPr>
          <w:rFonts w:hint="eastAsia"/>
          <w:b/>
          <w:bCs/>
          <w:rtl/>
        </w:rPr>
        <w:t>משכנתאות</w:t>
      </w:r>
      <w:r>
        <w:rPr>
          <w:rFonts w:hint="cs"/>
          <w:rtl/>
        </w:rPr>
        <w:t xml:space="preserve"> (יולי 2025), עמ' 6.</w:t>
      </w:r>
    </w:p>
  </w:footnote>
  <w:footnote w:id="273">
    <w:p w:rsidR="00F74793" w:rsidP="001F2586">
      <w:pPr>
        <w:pStyle w:val="FootnoteText"/>
        <w:rPr>
          <w:rtl/>
        </w:rPr>
      </w:pPr>
      <w:r>
        <w:rPr>
          <w:rStyle w:val="FootnoteReference1"/>
        </w:rPr>
        <w:footnoteRef/>
      </w:r>
      <w:r>
        <w:rPr>
          <w:rtl/>
        </w:rPr>
        <w:t xml:space="preserve"> </w:t>
      </w:r>
      <w:r>
        <w:rPr>
          <w:rtl/>
        </w:rPr>
        <w:tab/>
      </w:r>
      <w:r>
        <w:rPr>
          <w:rFonts w:hint="cs"/>
          <w:rtl/>
        </w:rPr>
        <w:t xml:space="preserve">ראו: </w:t>
      </w:r>
    </w:p>
    <w:p w:rsidR="00F74793" w:rsidP="001F2586">
      <w:pPr>
        <w:pStyle w:val="FootnoteText"/>
        <w:jc w:val="right"/>
      </w:pPr>
      <w:r>
        <w:t xml:space="preserve"> </w:t>
      </w:r>
      <w:r w:rsidRPr="00B4661A">
        <w:t>https://files.consumerfinance.gov/f/documents/cfpb_revoking-terms-of-existing-credit-arrangement_advisory-opinion_2022-05.pdf</w:t>
      </w:r>
      <w:r>
        <w:t>, page no. 4.</w:t>
      </w:r>
    </w:p>
  </w:footnote>
  <w:footnote w:id="274">
    <w:p w:rsidR="00F74793" w:rsidP="001F2586">
      <w:pPr>
        <w:pStyle w:val="FootnoteText"/>
      </w:pPr>
      <w:r>
        <w:rPr>
          <w:rStyle w:val="FootnoteReference1"/>
        </w:rPr>
        <w:footnoteRef/>
      </w:r>
      <w:r>
        <w:rPr>
          <w:rtl/>
        </w:rPr>
        <w:t xml:space="preserve"> </w:t>
      </w:r>
      <w:r>
        <w:rPr>
          <w:rtl/>
        </w:rPr>
        <w:tab/>
      </w:r>
      <w:r>
        <w:rPr>
          <w:rFonts w:hint="cs"/>
          <w:rtl/>
        </w:rPr>
        <w:t>כך למשל יותר מ-80% מהמשכנתאות שניתנו בשנים 2007 -2015 בארה"ב, הולנד, צרפת, בלגיה וגרמניה ניתנו בריבית קבועה.</w:t>
      </w:r>
    </w:p>
  </w:footnote>
  <w:footnote w:id="275">
    <w:p w:rsidR="00F74793" w:rsidP="001F2586">
      <w:pPr>
        <w:pStyle w:val="FootnoteText"/>
      </w:pPr>
      <w:r>
        <w:rPr>
          <w:rStyle w:val="FootnoteReference1"/>
        </w:rPr>
        <w:footnoteRef/>
      </w:r>
      <w:r>
        <w:rPr>
          <w:rtl/>
        </w:rPr>
        <w:t xml:space="preserve"> </w:t>
      </w:r>
      <w:r>
        <w:rPr>
          <w:rtl/>
        </w:rPr>
        <w:tab/>
      </w:r>
      <w:r>
        <w:rPr>
          <w:rFonts w:hint="cs"/>
          <w:rtl/>
        </w:rPr>
        <w:t xml:space="preserve">בנק ישראל, </w:t>
      </w:r>
      <w:r w:rsidRPr="00B4661A">
        <w:rPr>
          <w:rFonts w:hint="cs"/>
          <w:rtl/>
        </w:rPr>
        <w:t>מצגת "הגברת השקיפות בשוק המשכנתאות</w:t>
      </w:r>
      <w:r>
        <w:rPr>
          <w:rFonts w:hint="cs"/>
          <w:rtl/>
        </w:rPr>
        <w:t>" (נובמבר 2021), עמ' 1 - 6.</w:t>
      </w:r>
    </w:p>
  </w:footnote>
  <w:footnote w:id="276">
    <w:p w:rsidR="00F74793" w:rsidP="001F2586">
      <w:pPr>
        <w:pStyle w:val="FootnoteText"/>
        <w:rPr>
          <w:rtl/>
        </w:rPr>
      </w:pPr>
      <w:r>
        <w:rPr>
          <w:rStyle w:val="FootnoteReference1"/>
        </w:rPr>
        <w:footnoteRef/>
      </w:r>
      <w:r>
        <w:rPr>
          <w:rtl/>
        </w:rPr>
        <w:t xml:space="preserve"> </w:t>
      </w:r>
      <w:r>
        <w:rPr>
          <w:rtl/>
        </w:rPr>
        <w:tab/>
      </w:r>
      <w:r>
        <w:rPr>
          <w:rFonts w:hint="cs"/>
          <w:rtl/>
        </w:rPr>
        <w:t>שקיפות נמוכה מתבטאת בכך שבניגוד לישראל במרבית המדינות שנבדקו במחקר היה קיים מידע מקוון זמין ביחס למחירי המשכנתאות.</w:t>
      </w:r>
    </w:p>
  </w:footnote>
  <w:footnote w:id="277">
    <w:p w:rsidR="00F74793" w:rsidP="001F2586">
      <w:pPr>
        <w:pStyle w:val="FootnoteText"/>
      </w:pPr>
      <w:r>
        <w:rPr>
          <w:rStyle w:val="FootnoteReference1"/>
        </w:rPr>
        <w:footnoteRef/>
      </w:r>
      <w:r>
        <w:rPr>
          <w:rtl/>
        </w:rPr>
        <w:t xml:space="preserve"> </w:t>
      </w:r>
      <w:r>
        <w:rPr>
          <w:rtl/>
        </w:rPr>
        <w:tab/>
      </w:r>
      <w:r w:rsidRPr="00B4661A">
        <w:rPr>
          <w:rtl/>
        </w:rPr>
        <w:t>כשל שוק</w:t>
      </w:r>
      <w:r w:rsidRPr="00CD3A2C">
        <w:rPr>
          <w:rtl/>
        </w:rPr>
        <w:t xml:space="preserve"> הוא מונח בכלכלה המתאר מצבים שבהם אין מתקיימת הנחת היסוד של כלכלת שוק, שלפיה כוחות השוק עצמם ומנגנוני ההיצע והביקוש יובילו בהכרח להקצאת המשאבים היעילה ביותר ולאספקה המיטבית של מוצרים ושירותים. פעמים רבות כשל השוק נובע מיתרון מסוים של פרטים בעלי אמצעים על שאר הפרטים בשוק.</w:t>
      </w:r>
    </w:p>
  </w:footnote>
  <w:footnote w:id="278">
    <w:p w:rsidR="00F74793" w:rsidP="001F2586">
      <w:pPr>
        <w:pStyle w:val="FootnoteText"/>
      </w:pPr>
      <w:r>
        <w:rPr>
          <w:rStyle w:val="FootnoteReference1"/>
        </w:rPr>
        <w:footnoteRef/>
      </w:r>
      <w:r>
        <w:rPr>
          <w:rtl/>
        </w:rPr>
        <w:t xml:space="preserve"> </w:t>
      </w:r>
      <w:r>
        <w:rPr>
          <w:rtl/>
        </w:rPr>
        <w:tab/>
      </w:r>
      <w:r>
        <w:rPr>
          <w:rFonts w:hint="cs"/>
          <w:rtl/>
        </w:rPr>
        <w:t xml:space="preserve">מרכז המחקר והמידע -הכנסת, </w:t>
      </w:r>
      <w:r w:rsidRPr="00B4661A">
        <w:rPr>
          <w:rFonts w:hint="cs"/>
          <w:rtl/>
        </w:rPr>
        <w:t>תיאור וניתוח שוק המשכנתאות בישראל</w:t>
      </w:r>
      <w:r>
        <w:rPr>
          <w:rFonts w:hint="cs"/>
          <w:rtl/>
        </w:rPr>
        <w:t xml:space="preserve"> (יולי 2021), עמ' 15 - 17.</w:t>
      </w:r>
    </w:p>
  </w:footnote>
  <w:footnote w:id="279">
    <w:p w:rsidR="00F74793" w:rsidP="001F2586">
      <w:pPr>
        <w:pStyle w:val="FootnoteText"/>
      </w:pPr>
      <w:r>
        <w:rPr>
          <w:rStyle w:val="FootnoteReference1"/>
        </w:rPr>
        <w:footnoteRef/>
      </w:r>
      <w:r>
        <w:rPr>
          <w:rtl/>
        </w:rPr>
        <w:t xml:space="preserve"> </w:t>
      </w:r>
      <w:r>
        <w:rPr>
          <w:rtl/>
        </w:rPr>
        <w:tab/>
      </w:r>
      <w:r>
        <w:rPr>
          <w:rFonts w:hint="cs"/>
          <w:rtl/>
        </w:rPr>
        <w:t xml:space="preserve">רשות התחרות, </w:t>
      </w:r>
      <w:r w:rsidRPr="00B4661A">
        <w:rPr>
          <w:rFonts w:hint="cs"/>
          <w:rtl/>
        </w:rPr>
        <w:t>בעיית אינפורמציה בשוק המשכנתאות בישראל: פיזור מחירים וחיפוש</w:t>
      </w:r>
      <w:r>
        <w:rPr>
          <w:rFonts w:hint="cs"/>
          <w:rtl/>
        </w:rPr>
        <w:t xml:space="preserve"> (יולי 2021), עמ' 21 - 25.</w:t>
      </w:r>
    </w:p>
  </w:footnote>
  <w:footnote w:id="280">
    <w:p w:rsidR="00F74793" w:rsidP="001F2586">
      <w:pPr>
        <w:pStyle w:val="FootnoteText"/>
      </w:pPr>
      <w:r>
        <w:rPr>
          <w:rStyle w:val="FootnoteReference1"/>
        </w:rPr>
        <w:footnoteRef/>
      </w:r>
      <w:r>
        <w:rPr>
          <w:rtl/>
        </w:rPr>
        <w:t xml:space="preserve"> </w:t>
      </w:r>
      <w:r>
        <w:rPr>
          <w:rtl/>
        </w:rPr>
        <w:tab/>
      </w:r>
      <w:r>
        <w:rPr>
          <w:rFonts w:hint="cs"/>
          <w:rtl/>
        </w:rPr>
        <w:t xml:space="preserve">הפיקוח על הבנקים בבנק ישראל, </w:t>
      </w:r>
      <w:r w:rsidRPr="00B4661A">
        <w:rPr>
          <w:rFonts w:hint="cs"/>
          <w:rtl/>
        </w:rPr>
        <w:t>מערכת הבנקאות בישראל-סקירה שנתית 2021 (</w:t>
      </w:r>
      <w:r>
        <w:rPr>
          <w:rFonts w:hint="cs"/>
          <w:rtl/>
        </w:rPr>
        <w:t>מאי 2022), עמ' 32 - 33.</w:t>
      </w:r>
    </w:p>
  </w:footnote>
  <w:footnote w:id="281">
    <w:p w:rsidR="00F74793" w:rsidP="001F2586">
      <w:pPr>
        <w:pStyle w:val="FootnoteText"/>
        <w:rPr>
          <w:rtl/>
        </w:rPr>
      </w:pPr>
      <w:r>
        <w:rPr>
          <w:rStyle w:val="FootnoteReference1"/>
        </w:rPr>
        <w:footnoteRef/>
      </w:r>
      <w:r>
        <w:rPr>
          <w:rtl/>
        </w:rPr>
        <w:t xml:space="preserve"> </w:t>
      </w:r>
      <w:r>
        <w:rPr>
          <w:rtl/>
        </w:rPr>
        <w:tab/>
      </w:r>
      <w:r>
        <w:rPr>
          <w:rFonts w:hint="cs"/>
          <w:rtl/>
        </w:rPr>
        <w:t xml:space="preserve">רשות התחרות, </w:t>
      </w:r>
      <w:r w:rsidRPr="00B4661A">
        <w:rPr>
          <w:rFonts w:hint="cs"/>
          <w:rtl/>
        </w:rPr>
        <w:t>בעיות אינפורמציה בשוק המשכנתאות בישראל: פיזור מחירים וחיפוש</w:t>
      </w:r>
      <w:r>
        <w:rPr>
          <w:rFonts w:hint="cs"/>
          <w:rtl/>
        </w:rPr>
        <w:t xml:space="preserve"> (יולי 2021), עמ' 13 - 15.</w:t>
      </w:r>
    </w:p>
  </w:footnote>
  <w:footnote w:id="282">
    <w:p w:rsidR="00F74793" w:rsidP="001F2586">
      <w:pPr>
        <w:pStyle w:val="FootnoteText"/>
        <w:rPr>
          <w:rtl/>
        </w:rPr>
      </w:pPr>
      <w:r>
        <w:rPr>
          <w:rStyle w:val="FootnoteReference1"/>
        </w:rPr>
        <w:footnoteRef/>
      </w:r>
      <w:r>
        <w:rPr>
          <w:rtl/>
        </w:rPr>
        <w:t xml:space="preserve"> </w:t>
      </w:r>
      <w:r>
        <w:rPr>
          <w:rtl/>
        </w:rPr>
        <w:tab/>
      </w:r>
      <w:r>
        <w:rPr>
          <w:rFonts w:hint="cs"/>
          <w:rtl/>
        </w:rPr>
        <w:t xml:space="preserve">יצוין כי בסעיף 4ג(א)(3) </w:t>
      </w:r>
      <w:r>
        <w:rPr>
          <w:rFonts w:hint="cs"/>
          <w:rtl/>
        </w:rPr>
        <w:t>ב</w:t>
      </w:r>
      <w:r w:rsidRPr="00B4661A">
        <w:rPr>
          <w:rFonts w:hint="cs"/>
          <w:rtl/>
        </w:rPr>
        <w:t>נב"ת</w:t>
      </w:r>
      <w:r w:rsidRPr="00B4661A">
        <w:rPr>
          <w:rFonts w:hint="cs"/>
          <w:rtl/>
        </w:rPr>
        <w:t xml:space="preserve"> 451</w:t>
      </w:r>
      <w:r>
        <w:rPr>
          <w:rFonts w:hint="cs"/>
          <w:rtl/>
        </w:rPr>
        <w:t xml:space="preserve"> נקבע כי הבנקים לא נדרשים להציג סלים אחידים באישור עקרוני של הלוואות מסוגים אלו: הלוואות לכל מטרה במשכון דירת מגורים בסכום של עד 120,000 ש"ח או שמשך תקופת ההלוואה קצר מ-10 שנים; </w:t>
      </w:r>
      <w:r>
        <w:rPr>
          <w:rtl/>
        </w:rPr>
        <w:t xml:space="preserve">הלוואות לדיור ללא משכון דירת מגורים </w:t>
      </w:r>
      <w:r>
        <w:rPr>
          <w:rFonts w:hint="cs"/>
          <w:rtl/>
        </w:rPr>
        <w:t>(כמו</w:t>
      </w:r>
      <w:r>
        <w:rPr>
          <w:rtl/>
        </w:rPr>
        <w:t xml:space="preserve"> הלוואות</w:t>
      </w:r>
      <w:r>
        <w:rPr>
          <w:rFonts w:hint="cs"/>
          <w:rtl/>
        </w:rPr>
        <w:t xml:space="preserve"> </w:t>
      </w:r>
      <w:r>
        <w:rPr>
          <w:rtl/>
        </w:rPr>
        <w:t>לשיפוצים</w:t>
      </w:r>
      <w:r>
        <w:rPr>
          <w:rFonts w:hint="cs"/>
          <w:rtl/>
        </w:rPr>
        <w:t xml:space="preserve">) </w:t>
      </w:r>
      <w:r>
        <w:rPr>
          <w:rtl/>
        </w:rPr>
        <w:t>ובלבד שמשך תקופת ההלוואה קצר מ</w:t>
      </w:r>
      <w:r>
        <w:rPr>
          <w:rFonts w:hint="cs"/>
          <w:rtl/>
        </w:rPr>
        <w:t>-</w:t>
      </w:r>
      <w:r>
        <w:rPr>
          <w:rtl/>
        </w:rPr>
        <w:t>10 שנים</w:t>
      </w:r>
      <w:r>
        <w:rPr>
          <w:rFonts w:hint="cs"/>
          <w:rtl/>
        </w:rPr>
        <w:t xml:space="preserve">; </w:t>
      </w:r>
      <w:r>
        <w:rPr>
          <w:rtl/>
        </w:rPr>
        <w:t>הלוואות לדיור שמעמיד תאגיד בנקאי בהתאם להסכמים</w:t>
      </w:r>
      <w:r>
        <w:rPr>
          <w:rFonts w:hint="cs"/>
          <w:rtl/>
        </w:rPr>
        <w:t xml:space="preserve"> שלו מול גורמים שונים במדינה; הלוואות גישור שתקופת הפירעון שלהן היא עד שלוש שנים; והלוואות לדיור הניתנות לצורך פירעון חלקי של הלוואה לדיור קיימת באותו בנק.</w:t>
      </w:r>
    </w:p>
  </w:footnote>
  <w:footnote w:id="283">
    <w:p w:rsidR="00F74793" w:rsidP="001F2586">
      <w:pPr>
        <w:pStyle w:val="FootnoteText"/>
      </w:pPr>
      <w:r>
        <w:rPr>
          <w:rStyle w:val="FootnoteReference1"/>
        </w:rPr>
        <w:footnoteRef/>
      </w:r>
      <w:r>
        <w:rPr>
          <w:rtl/>
        </w:rPr>
        <w:t xml:space="preserve"> </w:t>
      </w:r>
      <w:r>
        <w:rPr>
          <w:rtl/>
        </w:rPr>
        <w:tab/>
      </w:r>
      <w:r>
        <w:rPr>
          <w:rFonts w:hint="cs"/>
          <w:rtl/>
        </w:rPr>
        <w:t xml:space="preserve">בהתאם לסעיפים 4ג(ב)(4)- 4ג(ב)(5) </w:t>
      </w:r>
      <w:r>
        <w:rPr>
          <w:rFonts w:hint="cs"/>
          <w:rtl/>
        </w:rPr>
        <w:t>בנב"ת</w:t>
      </w:r>
      <w:r>
        <w:rPr>
          <w:rFonts w:hint="cs"/>
          <w:rtl/>
        </w:rPr>
        <w:t xml:space="preserve"> 451 שיעור הריבית השנתית היא זו הנכונה ליום מתן האישור העקרוני, שיש הבדל בין הלוואות בריבית קבועה להלוואות בריבית משתנה: </w:t>
      </w:r>
      <w:r>
        <w:rPr>
          <w:rtl/>
        </w:rPr>
        <w:t xml:space="preserve">בהלוואות בריבית קבועה, "שיעור הריבית השנתית" יהיה שיעור הריבית (הנקובה </w:t>
      </w:r>
      <w:r>
        <w:rPr>
          <w:rFonts w:hint="cs"/>
          <w:rtl/>
        </w:rPr>
        <w:t>(</w:t>
      </w:r>
      <w:r>
        <w:rPr>
          <w:rtl/>
        </w:rPr>
        <w:t>הנומינלית</w:t>
      </w:r>
      <w:r>
        <w:rPr>
          <w:rFonts w:hint="cs"/>
          <w:rtl/>
        </w:rPr>
        <w:t>)</w:t>
      </w:r>
      <w:r>
        <w:rPr>
          <w:rtl/>
        </w:rPr>
        <w:t xml:space="preserve"> שנקבע להלוואה באחוזים</w:t>
      </w:r>
      <w:r>
        <w:rPr>
          <w:rFonts w:hint="cs"/>
          <w:rtl/>
        </w:rPr>
        <w:t xml:space="preserve">; ובהלוואות בריבית משתנה, </w:t>
      </w:r>
      <w:r>
        <w:rPr>
          <w:rtl/>
        </w:rPr>
        <w:t xml:space="preserve">שיעור הריבית השנתית" יהיה שיעור הריבית (הנקובה </w:t>
      </w:r>
      <w:r>
        <w:rPr>
          <w:rFonts w:hint="cs"/>
          <w:rtl/>
        </w:rPr>
        <w:t>(</w:t>
      </w:r>
      <w:r>
        <w:rPr>
          <w:rtl/>
        </w:rPr>
        <w:t>הנומינלית</w:t>
      </w:r>
      <w:r>
        <w:rPr>
          <w:rFonts w:hint="cs"/>
          <w:rtl/>
        </w:rPr>
        <w:t>)</w:t>
      </w:r>
      <w:r>
        <w:rPr>
          <w:rtl/>
        </w:rPr>
        <w:t xml:space="preserve"> הנגזר מעקרונות שינוי הריבית באחוזים.</w:t>
      </w:r>
    </w:p>
  </w:footnote>
  <w:footnote w:id="284">
    <w:p w:rsidR="00F74793" w:rsidP="001F2586">
      <w:pPr>
        <w:pStyle w:val="FootnoteText"/>
      </w:pPr>
      <w:r>
        <w:rPr>
          <w:rStyle w:val="FootnoteReference1"/>
        </w:rPr>
        <w:footnoteRef/>
      </w:r>
      <w:r>
        <w:rPr>
          <w:rtl/>
        </w:rPr>
        <w:t xml:space="preserve"> </w:t>
      </w:r>
      <w:r>
        <w:rPr>
          <w:rtl/>
        </w:rPr>
        <w:tab/>
      </w:r>
      <w:r>
        <w:rPr>
          <w:rFonts w:hint="cs"/>
          <w:rtl/>
        </w:rPr>
        <w:t xml:space="preserve">הריבית הכוללת החזויה היא העלות הממשית של האשראי. </w:t>
      </w:r>
      <w:r>
        <w:rPr>
          <w:rtl/>
        </w:rPr>
        <w:t>העלות הממשית של האשראי משקפת את שיעור התשואה הפנימי שהוא השיעור בו הערך הנוכחי</w:t>
      </w:r>
      <w:r>
        <w:rPr>
          <w:rFonts w:hint="cs"/>
          <w:rtl/>
        </w:rPr>
        <w:t xml:space="preserve"> </w:t>
      </w:r>
      <w:r>
        <w:rPr>
          <w:rtl/>
        </w:rPr>
        <w:t>של התשלומים העתידיים בגין האשראי שווה לערך הנוכחי של סכום האשראי, נכון למועד</w:t>
      </w:r>
      <w:r>
        <w:rPr>
          <w:rFonts w:hint="cs"/>
          <w:rtl/>
        </w:rPr>
        <w:t xml:space="preserve"> </w:t>
      </w:r>
      <w:r>
        <w:rPr>
          <w:rtl/>
        </w:rPr>
        <w:t>החישוב. שיעור זה משקלל בתוכו מספר פרמטרים: ריבית דריבית; הפרשי עיתוי במועדי</w:t>
      </w:r>
      <w:r>
        <w:rPr>
          <w:rFonts w:hint="cs"/>
          <w:rtl/>
        </w:rPr>
        <w:t xml:space="preserve"> </w:t>
      </w:r>
      <w:r>
        <w:rPr>
          <w:rtl/>
        </w:rPr>
        <w:t xml:space="preserve">התשלומים על חשבון האשראי; תוספות חד פעמיות המשולמות בעת ביצוע האשראי; </w:t>
      </w:r>
      <w:r>
        <w:rPr>
          <w:rFonts w:hint="cs"/>
          <w:rtl/>
        </w:rPr>
        <w:t>ו</w:t>
      </w:r>
      <w:r>
        <w:rPr>
          <w:rtl/>
        </w:rPr>
        <w:t>תוספות</w:t>
      </w:r>
      <w:r>
        <w:rPr>
          <w:rFonts w:hint="cs"/>
          <w:rtl/>
        </w:rPr>
        <w:t xml:space="preserve"> </w:t>
      </w:r>
      <w:r>
        <w:rPr>
          <w:rtl/>
        </w:rPr>
        <w:t>המשולמות בעת פירעונות שוטפים וכן שינויים צפויים בעוגנים, בריביות ובאינפלציה, בהתאם</w:t>
      </w:r>
      <w:r>
        <w:rPr>
          <w:rFonts w:hint="cs"/>
          <w:rtl/>
        </w:rPr>
        <w:t xml:space="preserve"> </w:t>
      </w:r>
      <w:r>
        <w:rPr>
          <w:rtl/>
        </w:rPr>
        <w:t>לתחזיות שוק ההון הנגזרות מעקומי התשואות.</w:t>
      </w:r>
      <w:r>
        <w:rPr>
          <w:rFonts w:hint="cs"/>
          <w:rtl/>
        </w:rPr>
        <w:t xml:space="preserve"> מקור: המפקח על הבנקים, </w:t>
      </w:r>
      <w:r w:rsidRPr="00B4661A">
        <w:rPr>
          <w:rFonts w:hint="cs"/>
          <w:rtl/>
        </w:rPr>
        <w:t xml:space="preserve">תוספת 4 - חישוב הריבית הכוללת החזויה </w:t>
      </w:r>
      <w:r w:rsidRPr="00B4661A">
        <w:rPr>
          <w:rFonts w:hint="cs"/>
          <w:rtl/>
        </w:rPr>
        <w:t>בנב"ת</w:t>
      </w:r>
      <w:r w:rsidRPr="00B4661A">
        <w:rPr>
          <w:rFonts w:hint="cs"/>
          <w:rtl/>
        </w:rPr>
        <w:t xml:space="preserve"> 451</w:t>
      </w:r>
      <w:r>
        <w:rPr>
          <w:rFonts w:hint="cs"/>
          <w:rtl/>
        </w:rPr>
        <w:t xml:space="preserve"> </w:t>
      </w:r>
      <w:r w:rsidRPr="00B4661A">
        <w:rPr>
          <w:rFonts w:hint="cs"/>
          <w:rtl/>
        </w:rPr>
        <w:t>- "נהלים למתן הלוואות לדיור</w:t>
      </w:r>
      <w:r>
        <w:rPr>
          <w:rFonts w:hint="cs"/>
          <w:rtl/>
        </w:rPr>
        <w:t>", 7/23.</w:t>
      </w:r>
    </w:p>
  </w:footnote>
  <w:footnote w:id="285">
    <w:p w:rsidR="00F74793" w:rsidP="001F2586">
      <w:pPr>
        <w:pStyle w:val="FootnoteText"/>
      </w:pPr>
      <w:r>
        <w:rPr>
          <w:rStyle w:val="FootnoteReference1"/>
        </w:rPr>
        <w:footnoteRef/>
      </w:r>
      <w:r>
        <w:rPr>
          <w:rtl/>
        </w:rPr>
        <w:t xml:space="preserve"> </w:t>
      </w:r>
      <w:r>
        <w:rPr>
          <w:rtl/>
        </w:rPr>
        <w:tab/>
      </w:r>
      <w:r>
        <w:rPr>
          <w:rFonts w:hint="cs"/>
          <w:rtl/>
        </w:rPr>
        <w:t xml:space="preserve">בהתאם לסעיפים 4ג(ב)(10) </w:t>
      </w:r>
      <w:r>
        <w:rPr>
          <w:rFonts w:hint="cs"/>
          <w:rtl/>
        </w:rPr>
        <w:t>בנב"ת</w:t>
      </w:r>
      <w:r>
        <w:rPr>
          <w:rFonts w:hint="cs"/>
          <w:rtl/>
        </w:rPr>
        <w:t xml:space="preserve"> 451 סכום ההחזר החודשי הראשון בכל מסלול הלוואה יהיה לחודש ראשון עבור חודש תשלום מלא. סכום ההחזר החודשי הגבוה ביותר על פי תחזית מוצג כדי לשמש אינדיקטור לשינויים שיכולים לחול בהחזר החודשי ומבוסס על תחזיות לשינויים במדד המחירים לצרכן ובשיעורי הריבית במשק המעודכנות למועד האישור העקרוני. </w:t>
      </w:r>
    </w:p>
  </w:footnote>
  <w:footnote w:id="286">
    <w:p w:rsidR="00F74793" w:rsidP="001F2586">
      <w:pPr>
        <w:pStyle w:val="FootnoteText"/>
      </w:pPr>
      <w:r>
        <w:rPr>
          <w:rStyle w:val="FootnoteReference1"/>
        </w:rPr>
        <w:footnoteRef/>
      </w:r>
      <w:r>
        <w:rPr>
          <w:rtl/>
        </w:rPr>
        <w:t xml:space="preserve"> </w:t>
      </w:r>
      <w:r>
        <w:rPr>
          <w:rtl/>
        </w:rPr>
        <w:tab/>
      </w:r>
      <w:r w:rsidRPr="00117519">
        <w:rPr>
          <w:rtl/>
        </w:rPr>
        <w:t>וסך התשלומים הצפויים בפועל</w:t>
      </w:r>
      <w:r>
        <w:rPr>
          <w:rFonts w:hint="cs"/>
          <w:rtl/>
        </w:rPr>
        <w:t xml:space="preserve"> בכל מסלול הלוואה מתבסס על תחזיות </w:t>
      </w:r>
      <w:r>
        <w:rPr>
          <w:rtl/>
        </w:rPr>
        <w:t>לשינויים במדד המחירים לצרכן</w:t>
      </w:r>
      <w:r>
        <w:rPr>
          <w:rFonts w:hint="cs"/>
          <w:rtl/>
        </w:rPr>
        <w:t xml:space="preserve"> </w:t>
      </w:r>
      <w:r>
        <w:rPr>
          <w:rtl/>
        </w:rPr>
        <w:t>ובשיעורי הריבית במשק, שמעודכנות למועד שבו ניתן אישור עקרוני זה. תחזיות אלה נועדו להמחיש תשלומים</w:t>
      </w:r>
      <w:r>
        <w:rPr>
          <w:rFonts w:hint="cs"/>
          <w:rtl/>
        </w:rPr>
        <w:t xml:space="preserve"> </w:t>
      </w:r>
      <w:r>
        <w:rPr>
          <w:rtl/>
        </w:rPr>
        <w:t>ושיעורי ריבית אפשריים בעתיד.</w:t>
      </w:r>
    </w:p>
  </w:footnote>
  <w:footnote w:id="287">
    <w:p w:rsidR="00F74793" w:rsidP="001F2586">
      <w:pPr>
        <w:pStyle w:val="FootnoteText"/>
        <w:rPr>
          <w:rtl/>
        </w:rPr>
      </w:pPr>
      <w:r>
        <w:rPr>
          <w:rStyle w:val="FootnoteReference1"/>
        </w:rPr>
        <w:footnoteRef/>
      </w:r>
      <w:r>
        <w:rPr>
          <w:rtl/>
        </w:rPr>
        <w:t xml:space="preserve"> </w:t>
      </w:r>
      <w:r>
        <w:rPr>
          <w:rtl/>
        </w:rPr>
        <w:tab/>
      </w:r>
      <w:r>
        <w:rPr>
          <w:rFonts w:hint="cs"/>
          <w:rtl/>
        </w:rPr>
        <w:t>בין היתר מידע על שיעור ההצמדה, בסיס ההצמדה ומועדו; העקרונות לשינוי הריבית בהלוואה; תנאי הפירעון המוקדם; ו</w:t>
      </w:r>
      <w:r>
        <w:rPr>
          <w:rtl/>
        </w:rPr>
        <w:t xml:space="preserve">הודעה </w:t>
      </w:r>
      <w:r>
        <w:rPr>
          <w:rFonts w:hint="cs"/>
          <w:rtl/>
        </w:rPr>
        <w:t>ששיעור העוגן</w:t>
      </w:r>
      <w:r>
        <w:rPr>
          <w:rtl/>
        </w:rPr>
        <w:t xml:space="preserve"> יכול</w:t>
      </w:r>
      <w:r>
        <w:rPr>
          <w:rFonts w:hint="cs"/>
          <w:rtl/>
        </w:rPr>
        <w:t xml:space="preserve"> </w:t>
      </w:r>
      <w:r>
        <w:rPr>
          <w:rtl/>
        </w:rPr>
        <w:t>להשתנות ביום מתן ההלוואה</w:t>
      </w:r>
      <w:r>
        <w:rPr>
          <w:rFonts w:hint="cs"/>
          <w:rtl/>
        </w:rPr>
        <w:t>.</w:t>
      </w:r>
    </w:p>
  </w:footnote>
  <w:footnote w:id="288">
    <w:p w:rsidR="00F74793" w:rsidP="001F2586">
      <w:pPr>
        <w:pStyle w:val="FootnoteText"/>
        <w:rPr>
          <w:rtl/>
        </w:rPr>
      </w:pPr>
      <w:r>
        <w:rPr>
          <w:rStyle w:val="FootnoteReference1"/>
        </w:rPr>
        <w:footnoteRef/>
      </w:r>
      <w:r>
        <w:rPr>
          <w:rtl/>
        </w:rPr>
        <w:t xml:space="preserve"> </w:t>
      </w:r>
      <w:r>
        <w:rPr>
          <w:rtl/>
        </w:rPr>
        <w:tab/>
      </w:r>
      <w:r w:rsidRPr="00534D5F">
        <w:rPr>
          <w:rtl/>
        </w:rPr>
        <w:t xml:space="preserve">אישור עקרוני להלוואה לדיור כפי שנקבע בתוספת 6 </w:t>
      </w:r>
      <w:r w:rsidRPr="00534D5F">
        <w:rPr>
          <w:rtl/>
        </w:rPr>
        <w:t>בנב"ת</w:t>
      </w:r>
      <w:r w:rsidRPr="00534D5F">
        <w:rPr>
          <w:rtl/>
        </w:rPr>
        <w:t xml:space="preserve"> 451.</w:t>
      </w:r>
    </w:p>
  </w:footnote>
  <w:footnote w:id="289">
    <w:p w:rsidR="00F74793" w:rsidP="001F2586">
      <w:pPr>
        <w:pStyle w:val="FootnoteText"/>
      </w:pPr>
      <w:r>
        <w:rPr>
          <w:rStyle w:val="FootnoteReference1"/>
        </w:rPr>
        <w:footnoteRef/>
      </w:r>
      <w:r>
        <w:rPr>
          <w:rtl/>
        </w:rPr>
        <w:t xml:space="preserve"> </w:t>
      </w:r>
      <w:r>
        <w:rPr>
          <w:rtl/>
        </w:rPr>
        <w:tab/>
      </w:r>
      <w:r>
        <w:rPr>
          <w:rFonts w:hint="cs"/>
          <w:rtl/>
        </w:rPr>
        <w:t>תוספת 4 -</w:t>
      </w:r>
      <w:r w:rsidRPr="009007DE">
        <w:rPr>
          <w:rtl/>
        </w:rPr>
        <w:t xml:space="preserve"> </w:t>
      </w:r>
      <w:r w:rsidRPr="00B4661A">
        <w:rPr>
          <w:rtl/>
        </w:rPr>
        <w:t xml:space="preserve">חישוב הריבית הכוללת החזויה </w:t>
      </w:r>
      <w:r>
        <w:rPr>
          <w:rFonts w:hint="cs"/>
          <w:rtl/>
        </w:rPr>
        <w:t>(</w:t>
      </w:r>
      <w:r w:rsidRPr="00B4661A">
        <w:rPr>
          <w:rtl/>
        </w:rPr>
        <w:t>העלות הממשית) של האשראי</w:t>
      </w:r>
      <w:r w:rsidRPr="00B4661A">
        <w:rPr>
          <w:rFonts w:hint="cs"/>
          <w:rtl/>
        </w:rPr>
        <w:t xml:space="preserve"> </w:t>
      </w:r>
      <w:r w:rsidRPr="00B4661A">
        <w:rPr>
          <w:rtl/>
        </w:rPr>
        <w:t>(</w:t>
      </w:r>
      <w:r w:rsidRPr="00B4661A">
        <w:rPr>
          <w:rFonts w:hint="cs"/>
          <w:rtl/>
        </w:rPr>
        <w:t>1/22),</w:t>
      </w:r>
      <w:r>
        <w:rPr>
          <w:rFonts w:hint="cs"/>
          <w:rtl/>
        </w:rPr>
        <w:t xml:space="preserve"> </w:t>
      </w:r>
      <w:r>
        <w:rPr>
          <w:rFonts w:hint="cs"/>
          <w:rtl/>
        </w:rPr>
        <w:t>נב"ת</w:t>
      </w:r>
      <w:r>
        <w:rPr>
          <w:rFonts w:hint="cs"/>
          <w:rtl/>
        </w:rPr>
        <w:t xml:space="preserve"> 451.</w:t>
      </w:r>
    </w:p>
  </w:footnote>
  <w:footnote w:id="290">
    <w:p w:rsidR="00F74793" w:rsidP="001F2586">
      <w:pPr>
        <w:pStyle w:val="FootnoteText"/>
      </w:pPr>
      <w:r>
        <w:rPr>
          <w:rStyle w:val="FootnoteReference1"/>
        </w:rPr>
        <w:footnoteRef/>
      </w:r>
      <w:r>
        <w:rPr>
          <w:rtl/>
        </w:rPr>
        <w:t xml:space="preserve"> </w:t>
      </w:r>
      <w:r>
        <w:rPr>
          <w:rtl/>
        </w:rPr>
        <w:tab/>
      </w:r>
      <w:r>
        <w:rPr>
          <w:rFonts w:hint="cs"/>
          <w:rtl/>
        </w:rPr>
        <w:t xml:space="preserve">הפיקוח על הבנקים, </w:t>
      </w:r>
      <w:r w:rsidRPr="00B4661A">
        <w:rPr>
          <w:rFonts w:hint="cs"/>
          <w:rtl/>
        </w:rPr>
        <w:t>מערכת הבנקאות בישראל-סקירה שנתית לשנת 2024 (מאי 2025),</w:t>
      </w:r>
      <w:r>
        <w:rPr>
          <w:rFonts w:hint="cs"/>
          <w:rtl/>
        </w:rPr>
        <w:t xml:space="preserve"> עמ' 208.</w:t>
      </w:r>
    </w:p>
  </w:footnote>
  <w:footnote w:id="291">
    <w:p w:rsidR="00F74793" w:rsidRPr="007F3B42" w:rsidP="001F2586">
      <w:pPr>
        <w:pStyle w:val="FootnoteText"/>
        <w:rPr>
          <w:rFonts w:ascii="David" w:hAnsi="David"/>
        </w:rPr>
      </w:pPr>
      <w:r w:rsidRPr="007F3B42">
        <w:rPr>
          <w:rStyle w:val="FootnoteReference1"/>
          <w:rFonts w:ascii="David" w:hAnsi="David"/>
        </w:rPr>
        <w:footnoteRef/>
      </w:r>
      <w:r w:rsidRPr="007F3B42">
        <w:rPr>
          <w:rFonts w:ascii="David" w:hAnsi="David"/>
          <w:rtl/>
        </w:rPr>
        <w:t xml:space="preserve"> </w:t>
      </w:r>
      <w:r w:rsidRPr="007F3B42">
        <w:rPr>
          <w:rFonts w:ascii="David" w:hAnsi="David"/>
          <w:rtl/>
        </w:rPr>
        <w:tab/>
        <w:t>מבקר המדינה, דוח שנתי 66א (2015), "</w:t>
      </w:r>
      <w:r w:rsidRPr="00B4661A">
        <w:rPr>
          <w:rFonts w:ascii="David" w:hAnsi="David"/>
          <w:rtl/>
        </w:rPr>
        <w:t>הפיקוח על מתן אשראי למשקי בית ועל נתוני שירותי מטבע</w:t>
      </w:r>
      <w:r w:rsidRPr="007F3B42">
        <w:rPr>
          <w:rFonts w:ascii="David" w:hAnsi="David"/>
          <w:rtl/>
        </w:rPr>
        <w:t>", עמ' 57.</w:t>
      </w:r>
    </w:p>
  </w:footnote>
  <w:footnote w:id="292">
    <w:p w:rsidR="00F74793" w:rsidP="001F2586">
      <w:pPr>
        <w:pStyle w:val="FootnoteText"/>
      </w:pPr>
      <w:r>
        <w:rPr>
          <w:rStyle w:val="FootnoteReference1"/>
        </w:rPr>
        <w:footnoteRef/>
      </w:r>
      <w:r>
        <w:rPr>
          <w:rtl/>
        </w:rPr>
        <w:t xml:space="preserve"> </w:t>
      </w:r>
      <w:r>
        <w:rPr>
          <w:rtl/>
        </w:rPr>
        <w:tab/>
      </w:r>
      <w:r>
        <w:rPr>
          <w:rFonts w:hint="cs"/>
          <w:rtl/>
        </w:rPr>
        <w:t xml:space="preserve">נתונים אלו </w:t>
      </w:r>
      <w:r>
        <w:rPr>
          <w:rtl/>
        </w:rPr>
        <w:t>מבוסס</w:t>
      </w:r>
      <w:r>
        <w:rPr>
          <w:rFonts w:hint="cs"/>
          <w:rtl/>
        </w:rPr>
        <w:t>ים</w:t>
      </w:r>
      <w:r>
        <w:rPr>
          <w:rtl/>
        </w:rPr>
        <w:t xml:space="preserve"> על תחזיות שנגזרות משוק ההון בהתאם למציאות הכלכלית בעת גיבושן</w:t>
      </w:r>
      <w:r>
        <w:rPr>
          <w:rFonts w:hint="cs"/>
          <w:rtl/>
        </w:rPr>
        <w:t>.</w:t>
      </w:r>
    </w:p>
  </w:footnote>
  <w:footnote w:id="293">
    <w:p w:rsidR="00F74793" w:rsidP="001F2586">
      <w:pPr>
        <w:pStyle w:val="FootnoteText"/>
        <w:rPr>
          <w:rtl/>
        </w:rPr>
      </w:pPr>
      <w:r>
        <w:rPr>
          <w:rStyle w:val="FootnoteReference1"/>
        </w:rPr>
        <w:footnoteRef/>
      </w:r>
      <w:r>
        <w:rPr>
          <w:rtl/>
        </w:rPr>
        <w:t xml:space="preserve"> </w:t>
      </w:r>
      <w:r>
        <w:rPr>
          <w:rtl/>
        </w:rPr>
        <w:tab/>
      </w:r>
      <w:r>
        <w:rPr>
          <w:rFonts w:hint="cs"/>
          <w:rtl/>
        </w:rPr>
        <w:t>יצוין כי הגרסה האחרונה של המודל עודכנה ב-28.7.22.</w:t>
      </w:r>
    </w:p>
  </w:footnote>
  <w:footnote w:id="294">
    <w:p w:rsidR="00F74793" w:rsidRPr="008B610D" w:rsidP="001F2586">
      <w:pPr>
        <w:pStyle w:val="FootnoteText"/>
      </w:pPr>
      <w:r>
        <w:rPr>
          <w:rStyle w:val="FootnoteReference1"/>
        </w:rPr>
        <w:footnoteRef/>
      </w:r>
      <w:r>
        <w:rPr>
          <w:rtl/>
        </w:rPr>
        <w:t xml:space="preserve"> </w:t>
      </w:r>
      <w:r>
        <w:rPr>
          <w:rtl/>
        </w:rPr>
        <w:tab/>
      </w:r>
      <w:r>
        <w:rPr>
          <w:rFonts w:hint="cs"/>
          <w:rtl/>
        </w:rPr>
        <w:t xml:space="preserve">הפיקוח על הבנקים, </w:t>
      </w:r>
      <w:r w:rsidRPr="00B4661A">
        <w:rPr>
          <w:rFonts w:hint="cs"/>
          <w:rtl/>
        </w:rPr>
        <w:t>מערכת הבנקאות בישראל - סקירה שנתית לשנת 2024 (מאי 2025),</w:t>
      </w:r>
      <w:r>
        <w:rPr>
          <w:rFonts w:hint="cs"/>
          <w:rtl/>
        </w:rPr>
        <w:t xml:space="preserve"> עמ' 207 - 208.</w:t>
      </w:r>
    </w:p>
  </w:footnote>
  <w:footnote w:id="295">
    <w:p w:rsidR="00F74793" w:rsidP="001F2586">
      <w:pPr>
        <w:pStyle w:val="FootnoteText"/>
      </w:pPr>
      <w:r>
        <w:rPr>
          <w:rStyle w:val="FootnoteReference1"/>
        </w:rPr>
        <w:footnoteRef/>
      </w:r>
      <w:r>
        <w:rPr>
          <w:rtl/>
        </w:rPr>
        <w:t xml:space="preserve"> </w:t>
      </w:r>
      <w:r>
        <w:rPr>
          <w:rtl/>
        </w:rPr>
        <w:tab/>
      </w:r>
      <w:r>
        <w:rPr>
          <w:rFonts w:hint="cs"/>
          <w:rtl/>
        </w:rPr>
        <w:t xml:space="preserve">מקורות: הפיקוח על הבנקים, </w:t>
      </w:r>
      <w:r w:rsidRPr="00B4661A">
        <w:rPr>
          <w:rFonts w:hint="cs"/>
          <w:rtl/>
        </w:rPr>
        <w:t>מערכת הבנקאות בישראל - סקירה שנתית לשנת 2024 (מאי 2025),</w:t>
      </w:r>
      <w:r>
        <w:rPr>
          <w:rFonts w:hint="cs"/>
          <w:rtl/>
        </w:rPr>
        <w:t xml:space="preserve"> עמ' 207 -208; </w:t>
      </w:r>
      <w:r w:rsidRPr="00B4661A">
        <w:rPr>
          <w:rFonts w:hint="cs"/>
          <w:rtl/>
        </w:rPr>
        <w:t>והתשואות הנומינליות המחושבות על בסיס מודל</w:t>
      </w:r>
      <w:r>
        <w:rPr>
          <w:rFonts w:hint="cs"/>
          <w:rtl/>
        </w:rPr>
        <w:t>, כותבים: יעקב בכר, חט' מידע וסטטיסטיקה; דור לב, חט' השווקים; ונדב שטיינברג, חט' המחקר; 27.7.22.</w:t>
      </w:r>
    </w:p>
    <w:p w:rsidR="00F74793" w:rsidRPr="008B610D" w:rsidP="001F2586">
      <w:pPr>
        <w:pStyle w:val="FootnoteText"/>
      </w:pPr>
    </w:p>
  </w:footnote>
  <w:footnote w:id="296">
    <w:p w:rsidR="00F74793" w:rsidP="001F2586">
      <w:pPr>
        <w:pStyle w:val="FootnoteText"/>
      </w:pPr>
      <w:r>
        <w:rPr>
          <w:rStyle w:val="FootnoteReference1"/>
        </w:rPr>
        <w:footnoteRef/>
      </w:r>
      <w:r>
        <w:rPr>
          <w:rtl/>
        </w:rPr>
        <w:t xml:space="preserve"> </w:t>
      </w:r>
      <w:r>
        <w:rPr>
          <w:rtl/>
        </w:rPr>
        <w:tab/>
      </w:r>
      <w:r>
        <w:rPr>
          <w:rFonts w:hint="cs"/>
          <w:rtl/>
        </w:rPr>
        <w:t xml:space="preserve">המפקח על הבנקים, </w:t>
      </w:r>
      <w:r w:rsidRPr="00B4661A">
        <w:rPr>
          <w:rFonts w:hint="cs"/>
          <w:rtl/>
        </w:rPr>
        <w:t xml:space="preserve">הוראת </w:t>
      </w:r>
      <w:r w:rsidRPr="00B4661A">
        <w:rPr>
          <w:rFonts w:hint="cs"/>
          <w:rtl/>
        </w:rPr>
        <w:t>נב"ת</w:t>
      </w:r>
      <w:r w:rsidRPr="00B4661A">
        <w:rPr>
          <w:rFonts w:hint="cs"/>
          <w:rtl/>
        </w:rPr>
        <w:t xml:space="preserve"> 451- "נהלים למתן הלוואות לדיור</w:t>
      </w:r>
      <w:r>
        <w:rPr>
          <w:rFonts w:hint="cs"/>
          <w:rtl/>
        </w:rPr>
        <w:t>" (1/22).</w:t>
      </w:r>
    </w:p>
  </w:footnote>
  <w:footnote w:id="297">
    <w:p w:rsidR="00F74793" w:rsidP="001F2586">
      <w:pPr>
        <w:pStyle w:val="FootnoteText"/>
      </w:pPr>
      <w:r>
        <w:rPr>
          <w:rStyle w:val="FootnoteReference1"/>
        </w:rPr>
        <w:footnoteRef/>
      </w:r>
      <w:r>
        <w:rPr>
          <w:rtl/>
        </w:rPr>
        <w:t xml:space="preserve"> </w:t>
      </w:r>
      <w:r>
        <w:rPr>
          <w:rtl/>
        </w:rPr>
        <w:tab/>
      </w:r>
      <w:r>
        <w:rPr>
          <w:rFonts w:hint="cs"/>
          <w:rtl/>
        </w:rPr>
        <w:t>אומדנים בהתאם לתחזיות שונות: סכום ההחזר החודשי הראשון; סכום ההחזר החודשי הגבוה ביותר; סך כל הסכום החזוי שישולם עד לסוף תקופת ההלוואה; והריבית הכוללת החזויה.</w:t>
      </w:r>
    </w:p>
  </w:footnote>
  <w:footnote w:id="298">
    <w:p w:rsidR="00F74793" w:rsidP="001F2586">
      <w:pPr>
        <w:pStyle w:val="FootnoteText"/>
      </w:pPr>
      <w:r>
        <w:rPr>
          <w:rStyle w:val="FootnoteReference1"/>
        </w:rPr>
        <w:footnoteRef/>
      </w:r>
      <w:r>
        <w:rPr>
          <w:rtl/>
        </w:rPr>
        <w:t xml:space="preserve"> </w:t>
      </w:r>
      <w:r>
        <w:rPr>
          <w:rtl/>
        </w:rPr>
        <w:tab/>
      </w:r>
      <w:r>
        <w:rPr>
          <w:rFonts w:hint="cs"/>
          <w:rtl/>
        </w:rPr>
        <w:t>לכלל מטרות הרכישה.</w:t>
      </w:r>
    </w:p>
  </w:footnote>
  <w:footnote w:id="299">
    <w:p w:rsidR="00F74793" w:rsidP="001F2586">
      <w:pPr>
        <w:pStyle w:val="FootnoteText"/>
        <w:rPr>
          <w:rtl/>
        </w:rPr>
      </w:pPr>
      <w:r>
        <w:rPr>
          <w:rStyle w:val="FootnoteReference1"/>
        </w:rPr>
        <w:footnoteRef/>
      </w:r>
      <w:r>
        <w:rPr>
          <w:rtl/>
        </w:rPr>
        <w:t xml:space="preserve"> </w:t>
      </w:r>
      <w:r>
        <w:rPr>
          <w:rtl/>
        </w:rPr>
        <w:tab/>
      </w:r>
      <w:r>
        <w:rPr>
          <w:rFonts w:hint="cs"/>
          <w:rtl/>
        </w:rPr>
        <w:t xml:space="preserve">הפיקוח על הבנקים, </w:t>
      </w:r>
      <w:r w:rsidRPr="00B4661A">
        <w:rPr>
          <w:rFonts w:hint="cs"/>
          <w:rtl/>
        </w:rPr>
        <w:t>מערכת הבנקאות בישראל-סקירה שנתית לשנת 2024 (מאי 2025),</w:t>
      </w:r>
      <w:r>
        <w:rPr>
          <w:rFonts w:hint="cs"/>
          <w:rtl/>
        </w:rPr>
        <w:t xml:space="preserve"> עמ' 205 - 206.</w:t>
      </w:r>
    </w:p>
  </w:footnote>
  <w:footnote w:id="300">
    <w:p w:rsidR="00F74793" w:rsidP="001F2586">
      <w:pPr>
        <w:pStyle w:val="FootnoteText"/>
        <w:rPr>
          <w:rtl/>
        </w:rPr>
      </w:pPr>
      <w:r>
        <w:rPr>
          <w:rStyle w:val="FootnoteReference1"/>
        </w:rPr>
        <w:footnoteRef/>
      </w:r>
      <w:r>
        <w:rPr>
          <w:rtl/>
        </w:rPr>
        <w:t xml:space="preserve"> </w:t>
      </w:r>
      <w:r>
        <w:rPr>
          <w:rtl/>
        </w:rPr>
        <w:tab/>
      </w:r>
      <w:r>
        <w:rPr>
          <w:rFonts w:hint="cs"/>
          <w:rtl/>
        </w:rPr>
        <w:t>מקור: אגף מדיניות והסדרה, הפיקוח על הבנקים, "</w:t>
      </w:r>
      <w:r w:rsidRPr="00B4661A">
        <w:rPr>
          <w:rFonts w:hint="cs"/>
          <w:rtl/>
        </w:rPr>
        <w:t>מבקר המדינה 2025 יועצי משכנתאות</w:t>
      </w:r>
      <w:r>
        <w:rPr>
          <w:rFonts w:hint="cs"/>
          <w:rtl/>
        </w:rPr>
        <w:t>" (יולי 2025), עמ' 8. עוד בעניי</w:t>
      </w:r>
      <w:r>
        <w:rPr>
          <w:rFonts w:hint="eastAsia"/>
          <w:rtl/>
        </w:rPr>
        <w:t>ן</w:t>
      </w:r>
      <w:r>
        <w:rPr>
          <w:rFonts w:hint="cs"/>
          <w:rtl/>
        </w:rPr>
        <w:t xml:space="preserve"> שיעורי </w:t>
      </w:r>
      <w:r>
        <w:rPr>
          <w:rFonts w:hint="cs"/>
          <w:rtl/>
        </w:rPr>
        <w:t>התיחור</w:t>
      </w:r>
      <w:r>
        <w:rPr>
          <w:rFonts w:hint="cs"/>
          <w:rtl/>
        </w:rPr>
        <w:t xml:space="preserve"> בהלוואות בליווי יועץ משכנתאות ראו בפרק "הפיקוח על יועצי משכנתאות".</w:t>
      </w:r>
    </w:p>
  </w:footnote>
  <w:footnote w:id="301">
    <w:p w:rsidR="00F74793" w:rsidP="001F2586">
      <w:pPr>
        <w:pStyle w:val="FootnoteText"/>
        <w:rPr>
          <w:rtl/>
        </w:rPr>
      </w:pPr>
      <w:r>
        <w:rPr>
          <w:rStyle w:val="FootnoteReference1"/>
        </w:rPr>
        <w:footnoteRef/>
      </w:r>
      <w:r>
        <w:rPr>
          <w:rtl/>
        </w:rPr>
        <w:t xml:space="preserve"> </w:t>
      </w:r>
      <w:r>
        <w:rPr>
          <w:rtl/>
        </w:rPr>
        <w:tab/>
      </w:r>
      <w:r>
        <w:rPr>
          <w:rFonts w:hint="cs"/>
          <w:rtl/>
        </w:rPr>
        <w:t>יצוין כי בשני מקורות המידע שמוצגים הלוואות לרכישת דירה אינן מייצגות את כל ההלוואות לדיור הכוללות גם שימושים אחרים של הלוואות בשעבוד דירת מגורים כמו מחזורים, הלוואות לשיפוצים והלוואות לכל מטרה.</w:t>
      </w:r>
    </w:p>
  </w:footnote>
  <w:footnote w:id="302">
    <w:p w:rsidR="00F74793" w:rsidP="001F2586">
      <w:pPr>
        <w:pStyle w:val="FootnoteText"/>
        <w:rPr>
          <w:rtl/>
        </w:rPr>
      </w:pPr>
      <w:r>
        <w:rPr>
          <w:rStyle w:val="FootnoteReference1"/>
        </w:rPr>
        <w:footnoteRef/>
      </w:r>
      <w:r>
        <w:rPr>
          <w:rtl/>
        </w:rPr>
        <w:t xml:space="preserve"> </w:t>
      </w:r>
      <w:r>
        <w:rPr>
          <w:rtl/>
        </w:rPr>
        <w:tab/>
      </w:r>
      <w:r w:rsidRPr="00A14708">
        <w:rPr>
          <w:rtl/>
        </w:rPr>
        <w:t xml:space="preserve">יצוין כי </w:t>
      </w:r>
      <w:r w:rsidRPr="00B4661A">
        <w:rPr>
          <w:rtl/>
        </w:rPr>
        <w:t>במחקר של רשות התחרות</w:t>
      </w:r>
      <w:r w:rsidRPr="00A14708">
        <w:rPr>
          <w:rtl/>
        </w:rPr>
        <w:t xml:space="preserve"> משנת 2021 נעשה מדגם על כ-97,000</w:t>
      </w:r>
      <w:r>
        <w:rPr>
          <w:rtl/>
        </w:rPr>
        <w:t xml:space="preserve"> </w:t>
      </w:r>
      <w:r w:rsidRPr="00A14708">
        <w:rPr>
          <w:rtl/>
        </w:rPr>
        <w:t>הלוואות לדיור למימון רכישת דירה שבוצעו בשלושה בנקים מובילים בתחום המשכנתאות בשנים 2015 -</w:t>
      </w:r>
      <w:r>
        <w:rPr>
          <w:rFonts w:hint="cs"/>
          <w:rtl/>
        </w:rPr>
        <w:t xml:space="preserve"> </w:t>
      </w:r>
      <w:r w:rsidRPr="00A14708">
        <w:rPr>
          <w:rtl/>
        </w:rPr>
        <w:t xml:space="preserve">2017. נתוני הפיקוח על הבנקים </w:t>
      </w:r>
      <w:r w:rsidRPr="00B4661A">
        <w:rPr>
          <w:rtl/>
        </w:rPr>
        <w:t>מהסקירה השנתית לשנת 2024</w:t>
      </w:r>
      <w:r w:rsidRPr="00A14708">
        <w:rPr>
          <w:rtl/>
        </w:rPr>
        <w:t xml:space="preserve"> מתבססים על כ-89,000 הלוואות במערכת הבנקאית בשנת 2024.</w:t>
      </w:r>
    </w:p>
  </w:footnote>
  <w:footnote w:id="303">
    <w:p w:rsidR="00F74793" w:rsidP="001F2586">
      <w:pPr>
        <w:pStyle w:val="FootnoteText"/>
        <w:rPr>
          <w:rtl/>
        </w:rPr>
      </w:pPr>
      <w:r>
        <w:rPr>
          <w:rStyle w:val="FootnoteReference1"/>
        </w:rPr>
        <w:footnoteRef/>
      </w:r>
      <w:r>
        <w:rPr>
          <w:rtl/>
        </w:rPr>
        <w:t xml:space="preserve"> </w:t>
      </w:r>
      <w:r>
        <w:rPr>
          <w:rtl/>
        </w:rPr>
        <w:tab/>
      </w:r>
      <w:r w:rsidRPr="00A14708">
        <w:rPr>
          <w:rtl/>
        </w:rPr>
        <w:t xml:space="preserve">יצוין כי נכון למועד הביקורת הפיקוח על הבנקים ציין כי אין בידיו נתונים על </w:t>
      </w:r>
      <w:r w:rsidRPr="00A14708">
        <w:rPr>
          <w:rtl/>
        </w:rPr>
        <w:t>התיחור</w:t>
      </w:r>
      <w:r w:rsidRPr="00A14708">
        <w:rPr>
          <w:rtl/>
        </w:rPr>
        <w:t xml:space="preserve"> לשנת 2025. כמו כן לא נמצאו נתונים על </w:t>
      </w:r>
      <w:r w:rsidRPr="00A14708">
        <w:rPr>
          <w:rtl/>
        </w:rPr>
        <w:t>תיחור</w:t>
      </w:r>
      <w:r w:rsidRPr="00A14708">
        <w:rPr>
          <w:rtl/>
        </w:rPr>
        <w:t xml:space="preserve"> בשנים 2022 - 2023.</w:t>
      </w:r>
    </w:p>
  </w:footnote>
  <w:footnote w:id="304">
    <w:p w:rsidR="00F74793" w:rsidP="001F2586">
      <w:pPr>
        <w:pStyle w:val="FootnoteText"/>
      </w:pPr>
      <w:r>
        <w:rPr>
          <w:rStyle w:val="FootnoteReference1"/>
        </w:rPr>
        <w:footnoteRef/>
      </w:r>
      <w:r>
        <w:rPr>
          <w:rtl/>
        </w:rPr>
        <w:t xml:space="preserve"> </w:t>
      </w:r>
      <w:r>
        <w:rPr>
          <w:rtl/>
        </w:rPr>
        <w:tab/>
      </w:r>
      <w:r>
        <w:rPr>
          <w:rFonts w:hint="cs"/>
          <w:rtl/>
        </w:rPr>
        <w:t xml:space="preserve">מקורות: </w:t>
      </w:r>
      <w:r w:rsidRPr="00B4661A">
        <w:rPr>
          <w:rtl/>
        </w:rPr>
        <w:t>המדריך ממשלתי - הערכת השפעות רגולציה</w:t>
      </w:r>
      <w:r>
        <w:rPr>
          <w:rFonts w:hint="cs"/>
          <w:rtl/>
        </w:rPr>
        <w:t>,</w:t>
      </w:r>
      <w:r>
        <w:rPr>
          <w:rtl/>
        </w:rPr>
        <w:t xml:space="preserve"> משרד ראש הממשלה</w:t>
      </w:r>
      <w:r>
        <w:rPr>
          <w:rFonts w:hint="cs"/>
          <w:rtl/>
        </w:rPr>
        <w:t xml:space="preserve"> </w:t>
      </w:r>
      <w:r>
        <w:rPr>
          <w:rtl/>
        </w:rPr>
        <w:t>אגף ממשל וחברה</w:t>
      </w:r>
      <w:r>
        <w:rPr>
          <w:rFonts w:hint="cs"/>
          <w:rtl/>
        </w:rPr>
        <w:t>,</w:t>
      </w:r>
      <w:r>
        <w:rPr>
          <w:rtl/>
        </w:rPr>
        <w:t xml:space="preserve"> אפריל 2015; </w:t>
      </w:r>
      <w:r>
        <w:rPr>
          <w:rFonts w:hint="cs"/>
          <w:rtl/>
        </w:rPr>
        <w:t>ו</w:t>
      </w:r>
      <w:r w:rsidRPr="00B4661A">
        <w:rPr>
          <w:rtl/>
        </w:rPr>
        <w:t>החלטת ממשלה מס' 2118 מיום 22.10.14 בנושא "הפחתת הנטל הרגולטורי</w:t>
      </w:r>
      <w:r>
        <w:rPr>
          <w:rtl/>
        </w:rPr>
        <w:t>".</w:t>
      </w:r>
    </w:p>
  </w:footnote>
  <w:footnote w:id="305">
    <w:p w:rsidR="00F74793" w:rsidP="001F2586">
      <w:pPr>
        <w:pStyle w:val="FootnoteText"/>
      </w:pPr>
      <w:r>
        <w:rPr>
          <w:rStyle w:val="FootnoteReference1"/>
        </w:rPr>
        <w:footnoteRef/>
      </w:r>
      <w:r>
        <w:rPr>
          <w:rtl/>
        </w:rPr>
        <w:t xml:space="preserve"> </w:t>
      </w:r>
      <w:r>
        <w:rPr>
          <w:rtl/>
        </w:rPr>
        <w:tab/>
      </w:r>
      <w:r>
        <w:rPr>
          <w:rFonts w:hint="cs"/>
          <w:rtl/>
        </w:rPr>
        <w:t xml:space="preserve">יצוין כי </w:t>
      </w:r>
      <w:r>
        <w:rPr>
          <w:rtl/>
        </w:rPr>
        <w:t>בתהליך קבלת ישראל לארגון ה-</w:t>
      </w:r>
      <w:r w:rsidRPr="00F4581A">
        <w:rPr>
          <w:sz w:val="18"/>
          <w:szCs w:val="18"/>
        </w:rPr>
        <w:t>OECD</w:t>
      </w:r>
      <w:r>
        <w:rPr>
          <w:rtl/>
        </w:rPr>
        <w:t xml:space="preserve">, התחייבה ישראל לפעול לטובת פיתוח של כלים להערכת רגולציה. </w:t>
      </w:r>
    </w:p>
  </w:footnote>
  <w:footnote w:id="306">
    <w:p w:rsidR="00F74793" w:rsidP="001F2586">
      <w:pPr>
        <w:pStyle w:val="FootnoteText"/>
        <w:rPr>
          <w:rtl/>
        </w:rPr>
      </w:pPr>
      <w:r>
        <w:rPr>
          <w:rStyle w:val="FootnoteReference1"/>
        </w:rPr>
        <w:footnoteRef/>
      </w:r>
      <w:r>
        <w:rPr>
          <w:rtl/>
        </w:rPr>
        <w:t xml:space="preserve"> </w:t>
      </w:r>
      <w:r>
        <w:rPr>
          <w:rtl/>
        </w:rPr>
        <w:tab/>
      </w:r>
      <w:r w:rsidRPr="00B4661A">
        <w:rPr>
          <w:rtl/>
        </w:rPr>
        <w:t>החלטת ממשלה מס' 2118 מיום 22.10.14 בנושא "הפחתת הנטל הרגולטורי</w:t>
      </w:r>
      <w:r>
        <w:rPr>
          <w:rtl/>
        </w:rPr>
        <w:t>".</w:t>
      </w:r>
    </w:p>
  </w:footnote>
  <w:footnote w:id="307">
    <w:p w:rsidR="00F74793" w:rsidP="001F2586">
      <w:pPr>
        <w:pStyle w:val="FootnoteText"/>
        <w:rPr>
          <w:rtl/>
        </w:rPr>
      </w:pPr>
      <w:r>
        <w:rPr>
          <w:rStyle w:val="FootnoteReference1"/>
        </w:rPr>
        <w:footnoteRef/>
      </w:r>
      <w:r>
        <w:rPr>
          <w:rtl/>
        </w:rPr>
        <w:t xml:space="preserve"> </w:t>
      </w:r>
      <w:r>
        <w:rPr>
          <w:rtl/>
        </w:rPr>
        <w:tab/>
      </w:r>
      <w:r>
        <w:rPr>
          <w:rFonts w:hint="cs"/>
          <w:rtl/>
        </w:rPr>
        <w:t>מרווח המשכנתא הוא ההפרש בין הריבית במסלול ההלוואה לבין ריבית העוגן, והוא מבטא את העלות הנוספת שמשלם הלווה מעבר לתשואה שהבנק היה מקבל על נכס פיננסי אחר במקום משכנתא (הריבית האלטרנטיבית שעומדת בפני הבנק בעת מתן הלוואה). המרווח מושפע ממספר גורמים, בהם סיכון הלווה וכוח השוק של הבנק. ככלל, ככל שהמרווח קטן הרווחיות של הבנק מהמשכנתא פחותה.</w:t>
      </w:r>
    </w:p>
  </w:footnote>
  <w:footnote w:id="308">
    <w:p w:rsidR="00F74793" w:rsidP="001F2586">
      <w:pPr>
        <w:pStyle w:val="FootnoteText"/>
      </w:pPr>
      <w:r>
        <w:rPr>
          <w:rStyle w:val="FootnoteReference1"/>
        </w:rPr>
        <w:footnoteRef/>
      </w:r>
      <w:r>
        <w:rPr>
          <w:rtl/>
        </w:rPr>
        <w:t xml:space="preserve"> </w:t>
      </w:r>
      <w:r>
        <w:rPr>
          <w:rtl/>
        </w:rPr>
        <w:tab/>
      </w:r>
      <w:r>
        <w:rPr>
          <w:rFonts w:hint="cs"/>
          <w:rtl/>
        </w:rPr>
        <w:t xml:space="preserve">שאר הירידה </w:t>
      </w:r>
      <w:r w:rsidRPr="00480EFF">
        <w:rPr>
          <w:rtl/>
        </w:rPr>
        <w:t>מוסבר</w:t>
      </w:r>
      <w:r>
        <w:rPr>
          <w:rFonts w:hint="cs"/>
          <w:rtl/>
        </w:rPr>
        <w:t>ת</w:t>
      </w:r>
      <w:r w:rsidRPr="00480EFF">
        <w:rPr>
          <w:rtl/>
        </w:rPr>
        <w:t xml:space="preserve"> בצמצום המרווחים בעקבות עליית הריבית וירידת הביקוש למשכנתאות</w:t>
      </w:r>
      <w:r>
        <w:rPr>
          <w:rFonts w:hint="cs"/>
          <w:rtl/>
        </w:rPr>
        <w:t>.</w:t>
      </w:r>
    </w:p>
  </w:footnote>
  <w:footnote w:id="309">
    <w:p w:rsidR="00F74793" w:rsidP="001F2586">
      <w:pPr>
        <w:pStyle w:val="FootnoteText"/>
      </w:pPr>
      <w:r>
        <w:rPr>
          <w:rStyle w:val="FootnoteReference1"/>
        </w:rPr>
        <w:footnoteRef/>
      </w:r>
      <w:r>
        <w:rPr>
          <w:rtl/>
        </w:rPr>
        <w:t xml:space="preserve"> </w:t>
      </w:r>
      <w:r>
        <w:rPr>
          <w:rtl/>
        </w:rPr>
        <w:tab/>
      </w:r>
      <w:r>
        <w:rPr>
          <w:rFonts w:hint="cs"/>
          <w:rtl/>
        </w:rPr>
        <w:t>משכנתא בסכום של 1 מיליון ש"ח שנלקחת ל-30 שנים לפי התפלגויות הריבית והצמדה הממוצעות בספטמבר 2024.</w:t>
      </w:r>
    </w:p>
  </w:footnote>
  <w:footnote w:id="310">
    <w:p w:rsidR="00F74793" w:rsidP="001F2586">
      <w:pPr>
        <w:pStyle w:val="FootnoteText"/>
        <w:rPr>
          <w:rtl/>
        </w:rPr>
      </w:pPr>
      <w:r>
        <w:rPr>
          <w:rStyle w:val="FootnoteReference1"/>
        </w:rPr>
        <w:footnoteRef/>
      </w:r>
      <w:r>
        <w:rPr>
          <w:rtl/>
        </w:rPr>
        <w:t xml:space="preserve"> </w:t>
      </w:r>
      <w:r>
        <w:rPr>
          <w:rtl/>
        </w:rPr>
        <w:tab/>
      </w:r>
      <w:r w:rsidRPr="00B4661A">
        <w:rPr>
          <w:rFonts w:hint="cs"/>
          <w:rtl/>
        </w:rPr>
        <w:t>סעיף 16יא בחוק הבנקאות (שירות ללקוח).</w:t>
      </w:r>
    </w:p>
  </w:footnote>
  <w:footnote w:id="311">
    <w:p w:rsidR="00F74793" w:rsidP="001F2586">
      <w:pPr>
        <w:pStyle w:val="FootnoteText"/>
      </w:pPr>
      <w:r>
        <w:rPr>
          <w:rStyle w:val="FootnoteReference1"/>
        </w:rPr>
        <w:footnoteRef/>
      </w:r>
      <w:r>
        <w:rPr>
          <w:rtl/>
        </w:rPr>
        <w:t xml:space="preserve"> </w:t>
      </w:r>
      <w:r>
        <w:rPr>
          <w:rtl/>
        </w:rPr>
        <w:tab/>
      </w:r>
      <w:r>
        <w:rPr>
          <w:rFonts w:hint="cs"/>
          <w:rtl/>
        </w:rPr>
        <w:t xml:space="preserve">רשות התחרות, </w:t>
      </w:r>
      <w:r w:rsidRPr="00B4661A">
        <w:rPr>
          <w:rFonts w:hint="cs"/>
          <w:rtl/>
        </w:rPr>
        <w:t>בעיית אינפורמציה בשוק המשכנתאות בישראל: פיזור מחירים וחיפוש</w:t>
      </w:r>
      <w:r>
        <w:rPr>
          <w:rFonts w:hint="cs"/>
          <w:rtl/>
        </w:rPr>
        <w:t xml:space="preserve"> (יולי 2021), עמ' 15 - 16.</w:t>
      </w:r>
    </w:p>
  </w:footnote>
  <w:footnote w:id="312">
    <w:p w:rsidR="00F74793" w:rsidP="001F2586">
      <w:pPr>
        <w:pStyle w:val="FootnoteText"/>
        <w:rPr>
          <w:rtl/>
        </w:rPr>
      </w:pPr>
      <w:r>
        <w:rPr>
          <w:rStyle w:val="FootnoteReference1"/>
        </w:rPr>
        <w:footnoteRef/>
      </w:r>
      <w:r>
        <w:rPr>
          <w:rtl/>
        </w:rPr>
        <w:t xml:space="preserve"> </w:t>
      </w:r>
      <w:r>
        <w:rPr>
          <w:rtl/>
        </w:rPr>
        <w:tab/>
      </w:r>
      <w:r>
        <w:rPr>
          <w:rFonts w:hint="cs"/>
          <w:rtl/>
        </w:rPr>
        <w:t>הנתונים המשפיעים על שיעורי ריביות במשכנתאות הם: עלויות גיוס של הבנקים; עלויות הקצאת ההון; ו</w:t>
      </w:r>
      <w:r>
        <w:rPr>
          <w:rtl/>
        </w:rPr>
        <w:t xml:space="preserve">מאפיינים המשפיעים על הסיכון בהעמדת ההלוואה הקשורים </w:t>
      </w:r>
      <w:r>
        <w:rPr>
          <w:rFonts w:hint="cs"/>
          <w:rtl/>
        </w:rPr>
        <w:t>ל</w:t>
      </w:r>
      <w:r>
        <w:rPr>
          <w:rtl/>
        </w:rPr>
        <w:t>מאפייני</w:t>
      </w:r>
      <w:r>
        <w:rPr>
          <w:rFonts w:hint="cs"/>
          <w:rtl/>
        </w:rPr>
        <w:t xml:space="preserve"> </w:t>
      </w:r>
      <w:r>
        <w:rPr>
          <w:rtl/>
        </w:rPr>
        <w:t>הלווה</w:t>
      </w:r>
      <w:r>
        <w:rPr>
          <w:rFonts w:hint="cs"/>
          <w:rtl/>
        </w:rPr>
        <w:t xml:space="preserve"> (כמו הכנסות, היסטוריית אשראי ומשלח יד)</w:t>
      </w:r>
      <w:r>
        <w:rPr>
          <w:rtl/>
        </w:rPr>
        <w:t>, הנכס</w:t>
      </w:r>
      <w:r>
        <w:rPr>
          <w:rFonts w:hint="cs"/>
          <w:rtl/>
        </w:rPr>
        <w:t xml:space="preserve"> (כמו שווי הנכס ומיקומו הגיאוגרפי), </w:t>
      </w:r>
      <w:r>
        <w:rPr>
          <w:rtl/>
        </w:rPr>
        <w:t>ועסקת ההלוואה</w:t>
      </w:r>
      <w:r>
        <w:rPr>
          <w:rFonts w:hint="cs"/>
          <w:rtl/>
        </w:rPr>
        <w:t xml:space="preserve"> (כמו סכום ההלוואה, שיעור המימון ועוד).</w:t>
      </w:r>
    </w:p>
  </w:footnote>
  <w:footnote w:id="313">
    <w:p w:rsidR="00F74793" w:rsidP="001F2586">
      <w:pPr>
        <w:pStyle w:val="FootnoteText"/>
        <w:rPr>
          <w:rtl/>
        </w:rPr>
      </w:pPr>
      <w:r>
        <w:rPr>
          <w:rStyle w:val="FootnoteReference1"/>
        </w:rPr>
        <w:footnoteRef/>
      </w:r>
      <w:r>
        <w:rPr>
          <w:rtl/>
        </w:rPr>
        <w:t xml:space="preserve"> </w:t>
      </w:r>
      <w:r>
        <w:rPr>
          <w:rtl/>
        </w:rPr>
        <w:tab/>
      </w:r>
      <w:r>
        <w:rPr>
          <w:rFonts w:hint="cs"/>
          <w:rtl/>
        </w:rPr>
        <w:t>פיקוח על הבנקים, לשכת המפקח, "</w:t>
      </w:r>
      <w:r w:rsidRPr="00B4661A">
        <w:rPr>
          <w:rFonts w:hint="cs"/>
          <w:rtl/>
        </w:rPr>
        <w:t>הוגנות צרכנית בסביבה פיננסית משתנה</w:t>
      </w:r>
      <w:r>
        <w:rPr>
          <w:rFonts w:hint="cs"/>
          <w:rtl/>
        </w:rPr>
        <w:t>", 7.9.22.</w:t>
      </w:r>
    </w:p>
  </w:footnote>
  <w:footnote w:id="314">
    <w:p w:rsidR="00F74793" w:rsidP="001F2586">
      <w:pPr>
        <w:pStyle w:val="FootnoteText"/>
      </w:pPr>
      <w:r>
        <w:rPr>
          <w:rStyle w:val="FootnoteReference1"/>
        </w:rPr>
        <w:footnoteRef/>
      </w:r>
      <w:r>
        <w:rPr>
          <w:rtl/>
        </w:rPr>
        <w:t xml:space="preserve"> </w:t>
      </w:r>
      <w:r>
        <w:rPr>
          <w:rtl/>
        </w:rPr>
        <w:tab/>
      </w:r>
      <w:r>
        <w:rPr>
          <w:rFonts w:hint="cs"/>
          <w:rtl/>
        </w:rPr>
        <w:t xml:space="preserve">יצוין כי </w:t>
      </w:r>
      <w:r w:rsidRPr="00B4661A">
        <w:rPr>
          <w:rFonts w:hint="cs"/>
          <w:rtl/>
        </w:rPr>
        <w:t>גרסה ראשונה</w:t>
      </w:r>
      <w:r>
        <w:rPr>
          <w:rFonts w:hint="cs"/>
          <w:rtl/>
        </w:rPr>
        <w:t xml:space="preserve"> של </w:t>
      </w:r>
      <w:r>
        <w:rPr>
          <w:rFonts w:hint="cs"/>
          <w:rtl/>
        </w:rPr>
        <w:t>דשבורד</w:t>
      </w:r>
      <w:r>
        <w:rPr>
          <w:rFonts w:hint="cs"/>
          <w:rtl/>
        </w:rPr>
        <w:t xml:space="preserve"> הריביות פורסמה באוקטובר 2022.</w:t>
      </w:r>
    </w:p>
  </w:footnote>
  <w:footnote w:id="315">
    <w:p w:rsidR="00F74793" w:rsidP="001F2586">
      <w:pPr>
        <w:pStyle w:val="FootnoteText"/>
      </w:pPr>
      <w:r>
        <w:rPr>
          <w:rStyle w:val="FootnoteReference1"/>
        </w:rPr>
        <w:footnoteRef/>
      </w:r>
      <w:r>
        <w:rPr>
          <w:rtl/>
        </w:rPr>
        <w:t xml:space="preserve"> </w:t>
      </w:r>
      <w:r>
        <w:rPr>
          <w:rtl/>
        </w:rPr>
        <w:tab/>
      </w:r>
      <w:r>
        <w:rPr>
          <w:rFonts w:hint="cs"/>
          <w:rtl/>
        </w:rPr>
        <w:t xml:space="preserve">הפיקוח על הבנקים, </w:t>
      </w:r>
      <w:r w:rsidRPr="00B4661A">
        <w:rPr>
          <w:rFonts w:hint="cs"/>
          <w:rtl/>
        </w:rPr>
        <w:t>מערכת הבנקאות בישראל-סקירה שנתית לשנת 2023 (מאי 2024),</w:t>
      </w:r>
      <w:r>
        <w:rPr>
          <w:rFonts w:hint="cs"/>
          <w:rtl/>
        </w:rPr>
        <w:t xml:space="preserve"> עמ' 169.</w:t>
      </w:r>
    </w:p>
  </w:footnote>
  <w:footnote w:id="316">
    <w:p w:rsidR="00F74793" w:rsidP="001F2586">
      <w:pPr>
        <w:pStyle w:val="FootnoteText"/>
      </w:pPr>
      <w:r>
        <w:rPr>
          <w:rStyle w:val="FootnoteReference1"/>
        </w:rPr>
        <w:footnoteRef/>
      </w:r>
      <w:r>
        <w:rPr>
          <w:rtl/>
        </w:rPr>
        <w:t xml:space="preserve"> </w:t>
      </w:r>
      <w:r>
        <w:rPr>
          <w:rtl/>
        </w:rPr>
        <w:tab/>
      </w:r>
      <w:r>
        <w:rPr>
          <w:rFonts w:hint="cs"/>
          <w:rtl/>
        </w:rPr>
        <w:t>בנק ישראל, דוברות והסברה כלכלית, הודעות לעיתונות: "</w:t>
      </w:r>
      <w:r w:rsidRPr="00B4661A">
        <w:rPr>
          <w:rtl/>
        </w:rPr>
        <w:t xml:space="preserve">פרסום שיעורי הריביות של הבנקים השונים על אשראי למטרת מגורים </w:t>
      </w:r>
      <w:r>
        <w:rPr>
          <w:rFonts w:hint="cs"/>
          <w:rtl/>
        </w:rPr>
        <w:t>-</w:t>
      </w:r>
      <w:r w:rsidRPr="00B4661A">
        <w:rPr>
          <w:rtl/>
        </w:rPr>
        <w:t xml:space="preserve"> צעד נוסף</w:t>
      </w:r>
      <w:r w:rsidRPr="00B4661A">
        <w:rPr>
          <w:rFonts w:hint="cs"/>
          <w:rtl/>
        </w:rPr>
        <w:t xml:space="preserve"> </w:t>
      </w:r>
      <w:r w:rsidRPr="00B4661A">
        <w:rPr>
          <w:rtl/>
        </w:rPr>
        <w:t>לשקיפות צרכנית בסביבה פיננסית משתנה</w:t>
      </w:r>
      <w:r>
        <w:rPr>
          <w:rFonts w:hint="cs"/>
          <w:rtl/>
        </w:rPr>
        <w:t>", 5.7.23.</w:t>
      </w:r>
    </w:p>
  </w:footnote>
  <w:footnote w:id="317">
    <w:p w:rsidR="00F74793" w:rsidP="001F2586">
      <w:pPr>
        <w:pStyle w:val="FootnoteText"/>
        <w:rPr>
          <w:rtl/>
        </w:rPr>
      </w:pPr>
      <w:r>
        <w:rPr>
          <w:rStyle w:val="FootnoteReference1"/>
        </w:rPr>
        <w:footnoteRef/>
      </w:r>
      <w:r>
        <w:rPr>
          <w:rtl/>
        </w:rPr>
        <w:t xml:space="preserve"> </w:t>
      </w:r>
      <w:r>
        <w:rPr>
          <w:rtl/>
        </w:rPr>
        <w:tab/>
      </w:r>
      <w:r>
        <w:rPr>
          <w:rFonts w:hint="cs"/>
          <w:rtl/>
        </w:rPr>
        <w:t>בנק ישראל, דוברות והסברה כלכלית, הודעה לעיתונות: "</w:t>
      </w:r>
      <w:r w:rsidRPr="00B4661A">
        <w:rPr>
          <w:rtl/>
        </w:rPr>
        <w:t>בנק ישראל משיק סביבה ייעודית באתר הבנק: "קו המשווה של בנק ישראל"</w:t>
      </w:r>
      <w:r w:rsidRPr="00B4661A">
        <w:rPr>
          <w:rFonts w:hint="cs"/>
          <w:rtl/>
        </w:rPr>
        <w:t xml:space="preserve"> </w:t>
      </w:r>
      <w:r w:rsidRPr="00B4661A">
        <w:rPr>
          <w:rtl/>
        </w:rPr>
        <w:t>הרחבת המידע ההשוואתי בנוגע למוצרים פיננסיים שונים</w:t>
      </w:r>
      <w:r>
        <w:rPr>
          <w:rFonts w:hint="cs"/>
          <w:rtl/>
        </w:rPr>
        <w:t>", 12.7.23.</w:t>
      </w:r>
    </w:p>
  </w:footnote>
  <w:footnote w:id="318">
    <w:p w:rsidR="00F74793" w:rsidP="001F2586">
      <w:pPr>
        <w:pStyle w:val="FootnoteText"/>
      </w:pPr>
      <w:r>
        <w:rPr>
          <w:rStyle w:val="FootnoteReference1"/>
        </w:rPr>
        <w:footnoteRef/>
      </w:r>
      <w:r>
        <w:rPr>
          <w:rtl/>
        </w:rPr>
        <w:t xml:space="preserve"> </w:t>
      </w:r>
      <w:r>
        <w:rPr>
          <w:rtl/>
        </w:rPr>
        <w:tab/>
      </w:r>
      <w:r>
        <w:rPr>
          <w:rFonts w:hint="cs"/>
          <w:rtl/>
        </w:rPr>
        <w:t xml:space="preserve">המפקח על הבנקים, </w:t>
      </w:r>
      <w:r w:rsidRPr="00B4661A">
        <w:rPr>
          <w:rtl/>
        </w:rPr>
        <w:t xml:space="preserve">הוראת הדיווח לפיקוח מס' 877 </w:t>
      </w:r>
      <w:r>
        <w:rPr>
          <w:rFonts w:hint="cs"/>
          <w:rtl/>
        </w:rPr>
        <w:t xml:space="preserve">- </w:t>
      </w:r>
      <w:r w:rsidRPr="00B4661A">
        <w:rPr>
          <w:rtl/>
        </w:rPr>
        <w:t>"דוח חודשי על הלוואות לדיור-מידע על הריבית"</w:t>
      </w:r>
      <w:r>
        <w:rPr>
          <w:rFonts w:hint="cs"/>
          <w:rtl/>
        </w:rPr>
        <w:t>, 12.21.</w:t>
      </w:r>
    </w:p>
  </w:footnote>
  <w:footnote w:id="319">
    <w:p w:rsidR="00F74793" w:rsidP="001F2586">
      <w:pPr>
        <w:pStyle w:val="FootnoteText"/>
      </w:pPr>
      <w:r>
        <w:rPr>
          <w:rStyle w:val="FootnoteReference1"/>
        </w:rPr>
        <w:footnoteRef/>
      </w:r>
      <w:r>
        <w:rPr>
          <w:rtl/>
        </w:rPr>
        <w:t xml:space="preserve"> </w:t>
      </w:r>
      <w:r>
        <w:rPr>
          <w:rtl/>
        </w:rPr>
        <w:tab/>
      </w:r>
      <w:r>
        <w:rPr>
          <w:rFonts w:hint="cs"/>
          <w:rtl/>
        </w:rPr>
        <w:t xml:space="preserve">בנק ישראל, דוברות והסברה כלכלית, </w:t>
      </w:r>
      <w:r w:rsidRPr="00B4661A">
        <w:rPr>
          <w:rFonts w:hint="cs"/>
          <w:rtl/>
        </w:rPr>
        <w:t>הודעה לעיתונות: "</w:t>
      </w:r>
      <w:r w:rsidRPr="00B4661A">
        <w:rPr>
          <w:rtl/>
        </w:rPr>
        <w:t>תיבה מתוך סקירת מערכת הבנקאות בישראל לשנת 2024 שתפורסם בקרוב: שקיפות במוצרי שוק הכסף ככלי לחיזוק כוח המיקוח והתשואה</w:t>
      </w:r>
      <w:r w:rsidRPr="00B4661A">
        <w:rPr>
          <w:rFonts w:hint="cs"/>
          <w:rtl/>
        </w:rPr>
        <w:t xml:space="preserve"> </w:t>
      </w:r>
      <w:r w:rsidRPr="00B4661A">
        <w:rPr>
          <w:rtl/>
        </w:rPr>
        <w:t>ללקוח</w:t>
      </w:r>
      <w:r>
        <w:rPr>
          <w:rFonts w:hint="cs"/>
          <w:rtl/>
        </w:rPr>
        <w:t>", 12.5.25.</w:t>
      </w:r>
    </w:p>
  </w:footnote>
  <w:footnote w:id="320">
    <w:p w:rsidR="00F74793" w:rsidP="001F2586">
      <w:pPr>
        <w:pStyle w:val="FootnoteText"/>
      </w:pPr>
      <w:r>
        <w:rPr>
          <w:rStyle w:val="FootnoteReference1"/>
        </w:rPr>
        <w:footnoteRef/>
      </w:r>
      <w:r>
        <w:rPr>
          <w:rtl/>
        </w:rPr>
        <w:t xml:space="preserve"> </w:t>
      </w:r>
      <w:r>
        <w:rPr>
          <w:rtl/>
        </w:rPr>
        <w:tab/>
      </w:r>
      <w:r>
        <w:rPr>
          <w:rFonts w:hint="cs"/>
          <w:rtl/>
        </w:rPr>
        <w:t>תהליך הפרסום נועד לעודד</w:t>
      </w:r>
      <w:r w:rsidRPr="00E756CF">
        <w:rPr>
          <w:rtl/>
        </w:rPr>
        <w:t xml:space="preserve"> את הלקוחות להעביר את הכספים שלהם מהעו</w:t>
      </w:r>
      <w:r>
        <w:rPr>
          <w:rFonts w:hint="cs"/>
          <w:rtl/>
        </w:rPr>
        <w:t>בר ושב</w:t>
      </w:r>
      <w:r w:rsidRPr="00E756CF">
        <w:rPr>
          <w:rtl/>
        </w:rPr>
        <w:t xml:space="preserve"> למסלולי השקעה שישיאו להם רווחים גבוהים יותר</w:t>
      </w:r>
      <w:r>
        <w:rPr>
          <w:rFonts w:hint="cs"/>
          <w:rtl/>
        </w:rPr>
        <w:t>.</w:t>
      </w:r>
    </w:p>
  </w:footnote>
  <w:footnote w:id="321">
    <w:p w:rsidR="00F74793" w:rsidP="001F2586">
      <w:pPr>
        <w:pStyle w:val="FootnoteText"/>
      </w:pPr>
      <w:r>
        <w:rPr>
          <w:rStyle w:val="FootnoteReference1"/>
        </w:rPr>
        <w:footnoteRef/>
      </w:r>
      <w:r>
        <w:rPr>
          <w:rtl/>
        </w:rPr>
        <w:t xml:space="preserve"> </w:t>
      </w:r>
      <w:r>
        <w:rPr>
          <w:rtl/>
        </w:rPr>
        <w:tab/>
      </w:r>
      <w:r>
        <w:rPr>
          <w:rFonts w:hint="cs"/>
          <w:rtl/>
        </w:rPr>
        <w:t>התקופה מינואר 2025 ועד אמצע דצמבר 2025.</w:t>
      </w:r>
    </w:p>
  </w:footnote>
  <w:footnote w:id="322">
    <w:p w:rsidR="00F74793" w:rsidP="001F2586">
      <w:pPr>
        <w:pStyle w:val="FootnoteText"/>
        <w:rPr>
          <w:rtl/>
        </w:rPr>
      </w:pPr>
      <w:r>
        <w:rPr>
          <w:rStyle w:val="FootnoteReference1"/>
        </w:rPr>
        <w:footnoteRef/>
      </w:r>
      <w:r>
        <w:rPr>
          <w:rtl/>
        </w:rPr>
        <w:t xml:space="preserve"> </w:t>
      </w:r>
      <w:r>
        <w:rPr>
          <w:rtl/>
        </w:rPr>
        <w:tab/>
      </w:r>
      <w:r w:rsidRPr="00D630F8">
        <w:rPr>
          <w:rtl/>
        </w:rPr>
        <w:t>הריבית הממצעת ברבעון התחתון/ רבעון עליון משקפת את הריבית שניתנה ל-25% מההלוואות עם הריבית הנמוכה ביותר/הגבוהה ביותר.</w:t>
      </w:r>
    </w:p>
  </w:footnote>
  <w:footnote w:id="323">
    <w:p w:rsidR="00F74793" w:rsidP="001F2586">
      <w:pPr>
        <w:pStyle w:val="FootnoteText"/>
        <w:rPr>
          <w:rtl/>
        </w:rPr>
      </w:pPr>
      <w:r>
        <w:rPr>
          <w:rStyle w:val="FootnoteReference1"/>
        </w:rPr>
        <w:footnoteRef/>
      </w:r>
      <w:r>
        <w:rPr>
          <w:rtl/>
        </w:rPr>
        <w:t xml:space="preserve"> </w:t>
      </w:r>
      <w:r>
        <w:rPr>
          <w:rtl/>
        </w:rPr>
        <w:tab/>
      </w:r>
      <w:r w:rsidRPr="00D630F8">
        <w:rPr>
          <w:rtl/>
        </w:rPr>
        <w:t>ריבית חציונית היא הריבית שחצי מההלוואות (או הפיקדונות) נתנו (או התקבלו) בריבית גבוהה או שווה לה, וחצי מההלוואות (או הפיקדונות) בריבית נמוכה או שווה לה. המידע על הריבית החציונית מנטרל את השפעת הסכום על המחירים.</w:t>
      </w:r>
    </w:p>
  </w:footnote>
  <w:footnote w:id="324">
    <w:p w:rsidR="00F74793" w:rsidP="001F2586">
      <w:pPr>
        <w:pStyle w:val="FootnoteText"/>
      </w:pPr>
      <w:r>
        <w:rPr>
          <w:rStyle w:val="FootnoteReference1"/>
        </w:rPr>
        <w:footnoteRef/>
      </w:r>
      <w:r>
        <w:rPr>
          <w:rtl/>
        </w:rPr>
        <w:t xml:space="preserve"> </w:t>
      </w:r>
      <w:r>
        <w:rPr>
          <w:rtl/>
        </w:rPr>
        <w:tab/>
      </w:r>
      <w:r w:rsidRPr="00B4661A">
        <w:rPr>
          <w:rFonts w:hint="cs"/>
          <w:rtl/>
        </w:rPr>
        <w:t>הלוואות אלו נקראות "הלוואות בביטחון דירת מגורים</w:t>
      </w:r>
      <w:r w:rsidRPr="00D21855">
        <w:rPr>
          <w:rFonts w:hint="cs"/>
          <w:rtl/>
        </w:rPr>
        <w:t xml:space="preserve">" או משכנתאות </w:t>
      </w:r>
      <w:r>
        <w:rPr>
          <w:rFonts w:hint="cs"/>
          <w:rtl/>
        </w:rPr>
        <w:t>ל</w:t>
      </w:r>
      <w:r w:rsidRPr="00D21855">
        <w:rPr>
          <w:rFonts w:hint="cs"/>
          <w:rtl/>
        </w:rPr>
        <w:t>כל מטרה</w:t>
      </w:r>
      <w:r>
        <w:rPr>
          <w:rFonts w:hint="cs"/>
          <w:rtl/>
        </w:rPr>
        <w:t>,</w:t>
      </w:r>
      <w:r w:rsidRPr="00D21855">
        <w:rPr>
          <w:rFonts w:hint="cs"/>
          <w:rtl/>
        </w:rPr>
        <w:t xml:space="preserve"> הניתנות תמורת משכון הדירה ואינן משמשות למטרת מגורים (כמו רכישה, בניית דירה או שיפוצים), אלא יכולות לשמש למטרות שונות </w:t>
      </w:r>
      <w:r w:rsidRPr="00D21855">
        <w:rPr>
          <w:rtl/>
        </w:rPr>
        <w:t>כמו</w:t>
      </w:r>
      <w:r w:rsidRPr="00D21855">
        <w:rPr>
          <w:rFonts w:hint="cs"/>
          <w:rtl/>
        </w:rPr>
        <w:t xml:space="preserve"> מטרות צרכניות</w:t>
      </w:r>
      <w:r w:rsidRPr="00D21855">
        <w:rPr>
          <w:rtl/>
        </w:rPr>
        <w:t xml:space="preserve"> </w:t>
      </w:r>
      <w:r w:rsidRPr="00D21855">
        <w:rPr>
          <w:rFonts w:hint="cs"/>
          <w:rtl/>
        </w:rPr>
        <w:t xml:space="preserve">או </w:t>
      </w:r>
      <w:r w:rsidRPr="00D21855">
        <w:rPr>
          <w:rtl/>
        </w:rPr>
        <w:t>כיסוי חובות</w:t>
      </w:r>
      <w:r w:rsidRPr="00D21855">
        <w:rPr>
          <w:rFonts w:hint="cs"/>
          <w:rtl/>
        </w:rPr>
        <w:t xml:space="preserve">. יצוין כי </w:t>
      </w:r>
      <w:r w:rsidRPr="00D21855">
        <w:rPr>
          <w:rtl/>
        </w:rPr>
        <w:t xml:space="preserve">הן משמשות כמעין </w:t>
      </w:r>
      <w:r w:rsidRPr="00B4661A">
        <w:rPr>
          <w:rtl/>
        </w:rPr>
        <w:t>אשראי צרכני בשעבוד נכס</w:t>
      </w:r>
      <w:r w:rsidRPr="00D21855">
        <w:rPr>
          <w:rtl/>
        </w:rPr>
        <w:t>, ועל כן הן זולות יותר מהלוואות צרכניות.</w:t>
      </w:r>
    </w:p>
  </w:footnote>
  <w:footnote w:id="325">
    <w:p w:rsidR="00F74793" w:rsidP="001F2586">
      <w:pPr>
        <w:pStyle w:val="FootnoteText"/>
        <w:rPr>
          <w:rtl/>
        </w:rPr>
      </w:pPr>
      <w:r>
        <w:rPr>
          <w:rStyle w:val="FootnoteReference1"/>
        </w:rPr>
        <w:footnoteRef/>
      </w:r>
      <w:r>
        <w:rPr>
          <w:rtl/>
        </w:rPr>
        <w:t xml:space="preserve"> </w:t>
      </w:r>
      <w:r>
        <w:rPr>
          <w:rtl/>
        </w:rPr>
        <w:tab/>
      </w:r>
      <w:r>
        <w:rPr>
          <w:rFonts w:hint="cs"/>
          <w:rtl/>
        </w:rPr>
        <w:t>לפי נתוני בנק ישראל לסוף שנת 2025.</w:t>
      </w:r>
    </w:p>
  </w:footnote>
  <w:footnote w:id="326">
    <w:p w:rsidR="00F74793" w:rsidP="001F2586">
      <w:pPr>
        <w:pStyle w:val="FootnoteText"/>
      </w:pPr>
      <w:r>
        <w:rPr>
          <w:rStyle w:val="FootnoteReference1"/>
        </w:rPr>
        <w:footnoteRef/>
      </w:r>
      <w:r>
        <w:rPr>
          <w:rtl/>
        </w:rPr>
        <w:t xml:space="preserve"> </w:t>
      </w:r>
      <w:r>
        <w:rPr>
          <w:rtl/>
        </w:rPr>
        <w:tab/>
      </w:r>
      <w:r w:rsidRPr="002A5607">
        <w:rPr>
          <w:rtl/>
        </w:rPr>
        <w:t xml:space="preserve">משכנתא לכל מטרה היא הלוואה שניתנת כנגד </w:t>
      </w:r>
      <w:r>
        <w:rPr>
          <w:rFonts w:hint="cs"/>
          <w:rtl/>
        </w:rPr>
        <w:t>נכס מקרקעין בבעלות</w:t>
      </w:r>
      <w:r w:rsidRPr="002A5607">
        <w:rPr>
          <w:rtl/>
        </w:rPr>
        <w:t>, עבור מטרות שאינן רכישת נכס למגורים</w:t>
      </w:r>
      <w:r>
        <w:rPr>
          <w:rFonts w:hint="cs"/>
          <w:rtl/>
        </w:rPr>
        <w:t>.</w:t>
      </w:r>
    </w:p>
  </w:footnote>
  <w:footnote w:id="327">
    <w:p w:rsidR="00F74793" w:rsidP="001F2586">
      <w:pPr>
        <w:pStyle w:val="FootnoteText"/>
        <w:rPr>
          <w:rtl/>
        </w:rPr>
      </w:pPr>
      <w:r>
        <w:rPr>
          <w:rStyle w:val="FootnoteReference1"/>
        </w:rPr>
        <w:footnoteRef/>
      </w:r>
      <w:r>
        <w:rPr>
          <w:rtl/>
        </w:rPr>
        <w:t xml:space="preserve"> </w:t>
      </w:r>
      <w:r>
        <w:rPr>
          <w:rtl/>
        </w:rPr>
        <w:tab/>
      </w:r>
      <w:r w:rsidRPr="00B4661A">
        <w:rPr>
          <w:rFonts w:hint="cs"/>
          <w:rtl/>
        </w:rPr>
        <w:t>ראו דוח מערכת הבנקאות בישראל, מחצית ראשונה 2025, בנק ישראל נובמבר 2025</w:t>
      </w:r>
      <w:r>
        <w:rPr>
          <w:rFonts w:hint="cs"/>
          <w:rtl/>
        </w:rPr>
        <w:t>, עמ' 38.</w:t>
      </w:r>
    </w:p>
  </w:footnote>
  <w:footnote w:id="328">
    <w:p w:rsidR="00F74793" w:rsidP="001F2586">
      <w:pPr>
        <w:pStyle w:val="FootnoteText"/>
        <w:rPr>
          <w:rtl/>
        </w:rPr>
      </w:pPr>
      <w:r>
        <w:rPr>
          <w:rStyle w:val="FootnoteReference1"/>
        </w:rPr>
        <w:footnoteRef/>
      </w:r>
      <w:r>
        <w:rPr>
          <w:rtl/>
        </w:rPr>
        <w:t xml:space="preserve"> </w:t>
      </w:r>
      <w:r>
        <w:rPr>
          <w:rtl/>
        </w:rPr>
        <w:tab/>
      </w:r>
      <w:r w:rsidRPr="00B4661A">
        <w:rPr>
          <w:rFonts w:hint="cs"/>
          <w:rtl/>
        </w:rPr>
        <w:t>ראו סקירת פניות הציבור של הפיקוח על הבנקים וצעדים להגנת הצרכן 2022-2023 מלחמת "חרבות ברזל"</w:t>
      </w:r>
      <w:r>
        <w:rPr>
          <w:rFonts w:hint="cs"/>
          <w:rtl/>
        </w:rPr>
        <w:t>.</w:t>
      </w:r>
    </w:p>
  </w:footnote>
  <w:footnote w:id="329">
    <w:p w:rsidR="00F74793" w:rsidP="001F2586">
      <w:pPr>
        <w:pStyle w:val="FootnoteText"/>
        <w:rPr>
          <w:rtl/>
        </w:rPr>
      </w:pPr>
      <w:r>
        <w:rPr>
          <w:rStyle w:val="FootnoteReference1"/>
        </w:rPr>
        <w:footnoteRef/>
      </w:r>
      <w:r>
        <w:rPr>
          <w:rtl/>
        </w:rPr>
        <w:t xml:space="preserve"> </w:t>
      </w:r>
      <w:r>
        <w:rPr>
          <w:rtl/>
        </w:rPr>
        <w:tab/>
      </w:r>
      <w:r>
        <w:rPr>
          <w:rFonts w:hint="cs"/>
          <w:rtl/>
        </w:rPr>
        <w:t xml:space="preserve">אחרים כוללים נוצרים לא ערביים ואנשים שאינם מסווגים לפי דת במרשם האוכלוסין. </w:t>
      </w:r>
    </w:p>
  </w:footnote>
  <w:footnote w:id="330">
    <w:p w:rsidR="00F74793" w:rsidP="001F2586">
      <w:pPr>
        <w:pStyle w:val="FootnoteText"/>
      </w:pPr>
      <w:r>
        <w:rPr>
          <w:rStyle w:val="FootnoteReference1"/>
        </w:rPr>
        <w:footnoteRef/>
      </w:r>
      <w:r>
        <w:rPr>
          <w:rtl/>
        </w:rPr>
        <w:t xml:space="preserve"> </w:t>
      </w:r>
      <w:r>
        <w:rPr>
          <w:rtl/>
        </w:rPr>
        <w:tab/>
      </w:r>
      <w:r>
        <w:rPr>
          <w:rFonts w:hint="cs"/>
          <w:rtl/>
        </w:rPr>
        <w:t xml:space="preserve">בהתאם לדיווחים לבנק ישראל ראה </w:t>
      </w:r>
      <w:r w:rsidRPr="00B4661A">
        <w:rPr>
          <w:rFonts w:hint="cs"/>
          <w:rtl/>
        </w:rPr>
        <w:t>בנק ישראל, מבט סטטיסטי לשנת 2024</w:t>
      </w:r>
      <w:r>
        <w:t>.</w:t>
      </w:r>
    </w:p>
  </w:footnote>
  <w:footnote w:id="331">
    <w:p w:rsidR="00F74793" w:rsidP="001F2586">
      <w:pPr>
        <w:pStyle w:val="FootnoteText"/>
      </w:pPr>
      <w:r>
        <w:rPr>
          <w:rStyle w:val="FootnoteReference1"/>
        </w:rPr>
        <w:footnoteRef/>
      </w:r>
      <w:r>
        <w:rPr>
          <w:rtl/>
        </w:rPr>
        <w:t xml:space="preserve"> </w:t>
      </w:r>
      <w:r>
        <w:rPr>
          <w:rtl/>
        </w:rPr>
        <w:tab/>
      </w:r>
      <w:r>
        <w:rPr>
          <w:rFonts w:hint="cs"/>
          <w:rtl/>
        </w:rPr>
        <w:t xml:space="preserve">הלשכה המרכזית לסטטיסטיקה, סקר הוצאות משקי בית 2013, בעלות על נכסים פיננסים של משקי בית- ממצאים מתוך סקר ארוך טווח 2013. </w:t>
      </w:r>
    </w:p>
  </w:footnote>
  <w:footnote w:id="332">
    <w:p w:rsidR="00F74793" w:rsidP="001F2586">
      <w:pPr>
        <w:pStyle w:val="FootnoteText"/>
      </w:pPr>
      <w:r>
        <w:rPr>
          <w:rStyle w:val="FootnoteReference1"/>
        </w:rPr>
        <w:footnoteRef/>
      </w:r>
      <w:r>
        <w:rPr>
          <w:rtl/>
        </w:rPr>
        <w:t xml:space="preserve"> </w:t>
      </w:r>
      <w:r>
        <w:rPr>
          <w:rtl/>
        </w:rPr>
        <w:tab/>
      </w:r>
      <w:r>
        <w:rPr>
          <w:rFonts w:hint="cs"/>
          <w:rtl/>
        </w:rPr>
        <w:t xml:space="preserve">ע"פ מילון המנוחים של הלשה המרכזית לסטטיסטיקה אוריינות פיננסית היכולת לקרוא, לנתח, להבין ולדון על גומרים כלכליים פיננסים המשפיעים על הרווחה הכלכלית של הפרט. היא כוללת גם את היכולת להעריך אפשרויות כלכליות, להשתמש בכסף בצורה נכונה, לתכנן את העתיד לפעול בהתאם ולהגיב בצורה מושכלת לשינויים כלכליים. </w:t>
      </w:r>
    </w:p>
  </w:footnote>
  <w:footnote w:id="333">
    <w:p w:rsidR="00F74793" w:rsidP="001F2586">
      <w:pPr>
        <w:pStyle w:val="FootnoteText"/>
      </w:pPr>
      <w:r>
        <w:rPr>
          <w:rStyle w:val="FootnoteReference1"/>
        </w:rPr>
        <w:footnoteRef/>
      </w:r>
      <w:r>
        <w:rPr>
          <w:rtl/>
        </w:rPr>
        <w:t xml:space="preserve"> </w:t>
      </w:r>
      <w:r>
        <w:rPr>
          <w:rtl/>
        </w:rPr>
        <w:tab/>
      </w:r>
      <w:r w:rsidRPr="00B4661A">
        <w:rPr>
          <w:rFonts w:hint="cs"/>
          <w:rtl/>
        </w:rPr>
        <w:t>מצב האוריינות הפיננסית בישראל ובהשוואה בין- לאומית, חטיבת המחקר בנק ישראל, נובמבר 2025.</w:t>
      </w:r>
      <w:r>
        <w:rPr>
          <w:rFonts w:hint="cs"/>
          <w:rtl/>
        </w:rPr>
        <w:t xml:space="preserve"> </w:t>
      </w:r>
    </w:p>
  </w:footnote>
  <w:footnote w:id="334">
    <w:p w:rsidR="00F74793" w:rsidP="001F2586">
      <w:pPr>
        <w:pStyle w:val="FootnoteText"/>
      </w:pPr>
      <w:r>
        <w:rPr>
          <w:rStyle w:val="FootnoteReference1"/>
        </w:rPr>
        <w:footnoteRef/>
      </w:r>
      <w:r>
        <w:rPr>
          <w:rtl/>
        </w:rPr>
        <w:t xml:space="preserve"> </w:t>
      </w:r>
      <w:r>
        <w:rPr>
          <w:rtl/>
        </w:rPr>
        <w:tab/>
      </w:r>
      <w:r>
        <w:rPr>
          <w:rFonts w:hint="cs"/>
          <w:rtl/>
        </w:rPr>
        <w:t xml:space="preserve">סדרת ניירות עבודה מספר 87: אמידת שווי של נכסים למגורים במגזר הערבי, </w:t>
      </w:r>
      <w:r>
        <w:rPr>
          <w:rFonts w:hint="cs"/>
          <w:rtl/>
        </w:rPr>
        <w:t>הלמ"ס</w:t>
      </w:r>
      <w:r w:rsidRPr="00450957">
        <w:rPr>
          <w:rFonts w:hint="cs"/>
          <w:rtl/>
        </w:rPr>
        <w:t xml:space="preserve"> </w:t>
      </w:r>
      <w:r>
        <w:rPr>
          <w:rFonts w:hint="cs"/>
          <w:rtl/>
        </w:rPr>
        <w:t>אוקטובר 2014.</w:t>
      </w:r>
    </w:p>
  </w:footnote>
  <w:footnote w:id="335">
    <w:p w:rsidR="00F74793" w:rsidP="001F2586">
      <w:pPr>
        <w:pStyle w:val="FootnoteText"/>
        <w:rPr>
          <w:rtl/>
        </w:rPr>
      </w:pPr>
      <w:r>
        <w:rPr>
          <w:rStyle w:val="FootnoteReference1"/>
        </w:rPr>
        <w:footnoteRef/>
      </w:r>
      <w:r>
        <w:rPr>
          <w:rtl/>
        </w:rPr>
        <w:t xml:space="preserve"> </w:t>
      </w:r>
      <w:r>
        <w:rPr>
          <w:rtl/>
        </w:rPr>
        <w:tab/>
      </w:r>
      <w:r>
        <w:rPr>
          <w:rFonts w:hint="cs"/>
          <w:rtl/>
        </w:rPr>
        <w:t xml:space="preserve">סקר הוצאות משקי הבית לשנת 2022 התבסס על דיווחים של 5,478 משקי בית משיבים. מדגם זה מייצג כ-2.92 מיליון משקי בית בישראל. </w:t>
      </w:r>
    </w:p>
  </w:footnote>
  <w:footnote w:id="336">
    <w:p w:rsidR="00F74793" w:rsidP="001F2586">
      <w:pPr>
        <w:pStyle w:val="FootnoteText"/>
      </w:pPr>
      <w:r>
        <w:rPr>
          <w:rStyle w:val="FootnoteReference1"/>
        </w:rPr>
        <w:footnoteRef/>
      </w:r>
      <w:r>
        <w:rPr>
          <w:rtl/>
        </w:rPr>
        <w:t xml:space="preserve"> </w:t>
      </w:r>
      <w:r>
        <w:rPr>
          <w:rtl/>
        </w:rPr>
        <w:tab/>
      </w:r>
      <w:r>
        <w:rPr>
          <w:rFonts w:hint="cs"/>
          <w:rtl/>
        </w:rPr>
        <w:t>ראו דוח בנושא משכנתאות בחברה הערבית- דוח הצוות הבין משרדי לבחינת החסמים האתגרים וההמלצות להגדלת היקף האשראי לדיור ביישובי החברה הערבית, יוני 2022.</w:t>
      </w:r>
    </w:p>
  </w:footnote>
  <w:footnote w:id="337">
    <w:p w:rsidR="00F74793" w:rsidP="001F2586">
      <w:pPr>
        <w:pStyle w:val="FootnoteText"/>
      </w:pPr>
      <w:r>
        <w:rPr>
          <w:rStyle w:val="FootnoteReference1"/>
        </w:rPr>
        <w:footnoteRef/>
      </w:r>
      <w:r>
        <w:rPr>
          <w:rtl/>
        </w:rPr>
        <w:t xml:space="preserve"> </w:t>
      </w:r>
      <w:r>
        <w:rPr>
          <w:rtl/>
        </w:rPr>
        <w:tab/>
      </w:r>
      <w:r w:rsidRPr="008B6706">
        <w:rPr>
          <w:rtl/>
        </w:rPr>
        <w:t>ניתוח שוק המשכנתאות ללווים מהמגזר הערבי על רקע הכשלים המבניים בתחום הדיור במגזר זה</w:t>
      </w:r>
      <w:r>
        <w:rPr>
          <w:rFonts w:hint="cs"/>
          <w:rtl/>
        </w:rPr>
        <w:t>, 21.11.17</w:t>
      </w:r>
    </w:p>
  </w:footnote>
  <w:footnote w:id="338">
    <w:p w:rsidR="00F74793" w:rsidP="001F2586">
      <w:pPr>
        <w:pStyle w:val="FootnoteText"/>
        <w:rPr>
          <w:rtl/>
        </w:rPr>
      </w:pPr>
      <w:r>
        <w:rPr>
          <w:rStyle w:val="FootnoteReference1"/>
        </w:rPr>
        <w:footnoteRef/>
      </w:r>
      <w:r>
        <w:rPr>
          <w:rtl/>
        </w:rPr>
        <w:t xml:space="preserve"> </w:t>
      </w:r>
      <w:r>
        <w:rPr>
          <w:rtl/>
        </w:rPr>
        <w:tab/>
      </w:r>
      <w:r>
        <w:rPr>
          <w:rFonts w:hint="cs"/>
          <w:rtl/>
        </w:rPr>
        <w:t xml:space="preserve">הבחינה בוצעה במסגרת פרסום דוח הצוות הבין - משרדי לגיבוש תכנית לאומית להגברת ההכלה הפיננסית ביולי 2022. </w:t>
      </w:r>
    </w:p>
  </w:footnote>
  <w:footnote w:id="339">
    <w:p w:rsidR="00F74793" w:rsidP="001F2586">
      <w:pPr>
        <w:pStyle w:val="FootnoteText"/>
        <w:rPr>
          <w:rtl/>
        </w:rPr>
      </w:pPr>
      <w:r>
        <w:rPr>
          <w:rStyle w:val="FootnoteReference1"/>
        </w:rPr>
        <w:footnoteRef/>
      </w:r>
      <w:r>
        <w:rPr>
          <w:rtl/>
        </w:rPr>
        <w:t xml:space="preserve"> </w:t>
      </w:r>
      <w:r>
        <w:rPr>
          <w:rtl/>
        </w:rPr>
        <w:tab/>
      </w:r>
      <w:r>
        <w:rPr>
          <w:rFonts w:hint="cs"/>
          <w:rtl/>
        </w:rPr>
        <w:t xml:space="preserve">ראו את בנק ישראל - המבנה הארגוני ובעלי התפקידים - חטיבת המחקר. </w:t>
      </w:r>
    </w:p>
  </w:footnote>
  <w:footnote w:id="340">
    <w:p w:rsidR="00F74793" w:rsidP="001F2586">
      <w:pPr>
        <w:pStyle w:val="FootnoteText"/>
        <w:rPr>
          <w:rtl/>
        </w:rPr>
      </w:pPr>
      <w:r>
        <w:rPr>
          <w:rStyle w:val="FootnoteReference1"/>
        </w:rPr>
        <w:footnoteRef/>
      </w:r>
      <w:r>
        <w:rPr>
          <w:rtl/>
        </w:rPr>
        <w:t xml:space="preserve"> </w:t>
      </w:r>
      <w:r>
        <w:rPr>
          <w:rtl/>
        </w:rPr>
        <w:tab/>
      </w:r>
      <w:r>
        <w:rPr>
          <w:rFonts w:hint="cs"/>
          <w:rtl/>
        </w:rPr>
        <w:t xml:space="preserve">בנק ישראל העביר למשרד מבקר המדינה מצגת אודות נתונים בחברה הערבית ממרץ 2025 שהוצגו למרכז </w:t>
      </w:r>
      <w:r>
        <w:rPr>
          <w:rFonts w:hint="cs"/>
          <w:rtl/>
        </w:rPr>
        <w:t>מוסאא</w:t>
      </w:r>
      <w:r>
        <w:rPr>
          <w:rFonts w:hint="cs"/>
          <w:rtl/>
        </w:rPr>
        <w:t xml:space="preserve"> לזכויות האזרחים הערבים בישראל. </w:t>
      </w:r>
    </w:p>
  </w:footnote>
  <w:footnote w:id="341">
    <w:p w:rsidR="00F74793" w:rsidP="001F2586">
      <w:pPr>
        <w:pStyle w:val="FootnoteText"/>
        <w:rPr>
          <w:rtl/>
        </w:rPr>
      </w:pPr>
      <w:r>
        <w:rPr>
          <w:rStyle w:val="FootnoteReference1"/>
        </w:rPr>
        <w:footnoteRef/>
      </w:r>
      <w:r>
        <w:rPr>
          <w:rtl/>
        </w:rPr>
        <w:t xml:space="preserve"> </w:t>
      </w:r>
      <w:r>
        <w:rPr>
          <w:rtl/>
        </w:rPr>
        <w:tab/>
      </w:r>
      <w:r>
        <w:rPr>
          <w:rFonts w:hint="cs"/>
          <w:rtl/>
        </w:rPr>
        <w:t>מחקר על הבנקאות במגזר הערבי של רשות התחרות, מאי 2023.</w:t>
      </w:r>
    </w:p>
  </w:footnote>
  <w:footnote w:id="342">
    <w:p w:rsidR="00F74793" w:rsidP="001F2586">
      <w:pPr>
        <w:pStyle w:val="FootnoteText"/>
      </w:pPr>
      <w:r>
        <w:rPr>
          <w:rStyle w:val="FootnoteReference1"/>
        </w:rPr>
        <w:footnoteRef/>
      </w:r>
      <w:r>
        <w:rPr>
          <w:rtl/>
        </w:rPr>
        <w:t xml:space="preserve"> </w:t>
      </w:r>
      <w:r>
        <w:rPr>
          <w:rtl/>
        </w:rPr>
        <w:tab/>
      </w:r>
      <w:r>
        <w:rPr>
          <w:rFonts w:hint="cs"/>
          <w:rtl/>
        </w:rPr>
        <w:t>ראו הערת שוליים מס' 5.</w:t>
      </w:r>
    </w:p>
  </w:footnote>
  <w:footnote w:id="343">
    <w:p w:rsidR="00F74793" w:rsidP="001F2586">
      <w:pPr>
        <w:pStyle w:val="FootnoteText"/>
      </w:pPr>
      <w:r>
        <w:rPr>
          <w:rStyle w:val="FootnoteReference1"/>
        </w:rPr>
        <w:footnoteRef/>
      </w:r>
      <w:r>
        <w:rPr>
          <w:rtl/>
        </w:rPr>
        <w:t xml:space="preserve"> </w:t>
      </w:r>
      <w:r>
        <w:rPr>
          <w:rtl/>
        </w:rPr>
        <w:tab/>
      </w:r>
      <w:r>
        <w:rPr>
          <w:rFonts w:hint="cs"/>
          <w:rtl/>
        </w:rPr>
        <w:t>מבקר המדינה, דוח שנתי 69ב (2019), "פעולות הממשלה בנושא מצוקת הדיור ביישובי המיעוטים", עמ' 547-598.</w:t>
      </w:r>
    </w:p>
  </w:footnote>
  <w:footnote w:id="344">
    <w:p w:rsidR="00F74793" w:rsidP="001F2586">
      <w:pPr>
        <w:pStyle w:val="FootnoteText"/>
      </w:pPr>
      <w:r>
        <w:rPr>
          <w:rStyle w:val="FootnoteReference1"/>
        </w:rPr>
        <w:footnoteRef/>
      </w:r>
      <w:r>
        <w:rPr>
          <w:rtl/>
        </w:rPr>
        <w:t xml:space="preserve"> </w:t>
      </w:r>
      <w:r>
        <w:rPr>
          <w:rtl/>
        </w:rPr>
        <w:tab/>
      </w:r>
      <w:r w:rsidRPr="00B4661A">
        <w:rPr>
          <w:rFonts w:hint="cs"/>
          <w:rtl/>
        </w:rPr>
        <w:t xml:space="preserve">ראה </w:t>
      </w:r>
      <w:r w:rsidRPr="00B4661A">
        <w:rPr>
          <w:rtl/>
        </w:rPr>
        <w:t>הסרת חסמים בתחום הדיור והמקרקעין בחברה הערבית</w:t>
      </w:r>
      <w:r w:rsidRPr="00B4661A">
        <w:t xml:space="preserve">, </w:t>
      </w:r>
      <w:r w:rsidRPr="00B4661A">
        <w:rPr>
          <w:rtl/>
        </w:rPr>
        <w:t>הדרוזית והצ'רקסית</w:t>
      </w:r>
      <w:r w:rsidRPr="00B4661A">
        <w:rPr>
          <w:rFonts w:hint="cs"/>
          <w:rtl/>
        </w:rPr>
        <w:t>, משרד המשפטים</w:t>
      </w:r>
    </w:p>
  </w:footnote>
  <w:footnote w:id="345">
    <w:p w:rsidR="00F74793" w:rsidP="001F2586">
      <w:pPr>
        <w:pStyle w:val="FootnoteText"/>
      </w:pPr>
      <w:r>
        <w:rPr>
          <w:rStyle w:val="FootnoteReference1"/>
        </w:rPr>
        <w:footnoteRef/>
      </w:r>
      <w:r>
        <w:rPr>
          <w:rtl/>
        </w:rPr>
        <w:t xml:space="preserve"> </w:t>
      </w:r>
      <w:r>
        <w:rPr>
          <w:rtl/>
        </w:rPr>
        <w:tab/>
      </w:r>
      <w:r>
        <w:rPr>
          <w:rFonts w:hint="cs"/>
          <w:rtl/>
        </w:rPr>
        <w:t>מקור הנתונים הוא מדיווחי הבנקים נתוני ירבעון ראשון 2024 עד רבעון שלישי 2024.</w:t>
      </w:r>
    </w:p>
  </w:footnote>
  <w:footnote w:id="346">
    <w:p w:rsidR="00F74793" w:rsidP="001F2586">
      <w:pPr>
        <w:pStyle w:val="FootnoteText"/>
        <w:rPr>
          <w:rtl/>
        </w:rPr>
      </w:pPr>
      <w:r>
        <w:rPr>
          <w:rStyle w:val="FootnoteReference1"/>
        </w:rPr>
        <w:footnoteRef/>
      </w:r>
      <w:r>
        <w:rPr>
          <w:rtl/>
        </w:rPr>
        <w:t xml:space="preserve"> </w:t>
      </w:r>
      <w:r>
        <w:rPr>
          <w:rtl/>
        </w:rPr>
        <w:tab/>
      </w:r>
      <w:r>
        <w:rPr>
          <w:rFonts w:hint="cs"/>
          <w:rtl/>
        </w:rPr>
        <w:t xml:space="preserve">ראה הרחבה בפרק בנושא יועצי משכנתאות. </w:t>
      </w:r>
    </w:p>
  </w:footnote>
  <w:footnote w:id="347">
    <w:p w:rsidR="00F74793" w:rsidP="001F2586">
      <w:pPr>
        <w:pStyle w:val="FootnoteText"/>
        <w:rPr>
          <w:rtl/>
        </w:rPr>
      </w:pPr>
      <w:r>
        <w:rPr>
          <w:rStyle w:val="FootnoteReference1"/>
        </w:rPr>
        <w:footnoteRef/>
      </w:r>
      <w:r>
        <w:rPr>
          <w:rtl/>
        </w:rPr>
        <w:t xml:space="preserve"> </w:t>
      </w:r>
      <w:r>
        <w:rPr>
          <w:rtl/>
        </w:rPr>
        <w:tab/>
      </w:r>
      <w:r>
        <w:rPr>
          <w:rFonts w:hint="cs"/>
          <w:rtl/>
        </w:rPr>
        <w:t xml:space="preserve">ראה דוח של בנק א' </w:t>
      </w:r>
      <w:r w:rsidRPr="00B4661A">
        <w:t>https://www.mizrahi-tefahot.co.il/media/5xnbxox0/107883-taagidit-2024-web-book_biz1-8.pdf</w:t>
      </w:r>
      <w:r>
        <w:rPr>
          <w:rFonts w:hint="cs"/>
          <w:rtl/>
        </w:rPr>
        <w:t xml:space="preserve"> </w:t>
      </w:r>
    </w:p>
  </w:footnote>
  <w:footnote w:id="348">
    <w:p w:rsidR="00F74793" w:rsidP="001F2586">
      <w:pPr>
        <w:pStyle w:val="FootnoteText"/>
        <w:rPr>
          <w:rtl/>
        </w:rPr>
      </w:pPr>
      <w:r>
        <w:rPr>
          <w:rStyle w:val="FootnoteReference1"/>
        </w:rPr>
        <w:footnoteRef/>
      </w:r>
      <w:r>
        <w:rPr>
          <w:rtl/>
        </w:rPr>
        <w:t xml:space="preserve"> </w:t>
      </w:r>
      <w:r>
        <w:rPr>
          <w:rtl/>
        </w:rPr>
        <w:tab/>
      </w:r>
      <w:r>
        <w:rPr>
          <w:rFonts w:hint="cs"/>
          <w:rtl/>
        </w:rPr>
        <w:t>ראו בנק ישראל:</w:t>
      </w:r>
      <w:r>
        <w:rPr>
          <w:rFonts w:hint="cs"/>
        </w:rPr>
        <w:t xml:space="preserve"> </w:t>
      </w:r>
      <w:r w:rsidRPr="00EC44C4">
        <w:rPr>
          <w:rtl/>
        </w:rPr>
        <w:t>ניתוח שוק המשכנתאות ללווים מהמגזר הערבי על רקע הכשלים המבניים בתחום הדיור במגזר זה</w:t>
      </w:r>
      <w:r>
        <w:rPr>
          <w:rFonts w:hint="cs"/>
          <w:rtl/>
        </w:rPr>
        <w:t xml:space="preserve">, נובמבר 2017. </w:t>
      </w:r>
    </w:p>
  </w:footnote>
  <w:footnote w:id="349">
    <w:p w:rsidR="00F74793" w:rsidP="001F2586">
      <w:pPr>
        <w:pStyle w:val="FootnoteText"/>
        <w:rPr>
          <w:rtl/>
        </w:rPr>
      </w:pPr>
      <w:r w:rsidRPr="005910E8">
        <w:rPr>
          <w:rStyle w:val="FootnoteReference1"/>
        </w:rPr>
        <w:footnoteRef/>
      </w:r>
      <w:r w:rsidRPr="005910E8">
        <w:rPr>
          <w:rtl/>
        </w:rPr>
        <w:t xml:space="preserve"> </w:t>
      </w:r>
      <w:r w:rsidRPr="005910E8">
        <w:rPr>
          <w:rtl/>
        </w:rPr>
        <w:tab/>
      </w:r>
      <w:r w:rsidRPr="00B4661A">
        <w:rPr>
          <w:rFonts w:hint="eastAsia"/>
          <w:rtl/>
        </w:rPr>
        <w:t>ראו</w:t>
      </w:r>
      <w:r w:rsidRPr="00B4661A">
        <w:rPr>
          <w:rtl/>
        </w:rPr>
        <w:t xml:space="preserve"> שנתון החברה הערבית בישראל, 2023, </w:t>
      </w:r>
      <w:r w:rsidRPr="00B4661A">
        <w:rPr>
          <w:rFonts w:hint="eastAsia"/>
          <w:rtl/>
        </w:rPr>
        <w:t>פרק</w:t>
      </w:r>
      <w:r w:rsidRPr="00B4661A">
        <w:rPr>
          <w:rtl/>
        </w:rPr>
        <w:t xml:space="preserve"> </w:t>
      </w:r>
      <w:r w:rsidRPr="00B4661A">
        <w:rPr>
          <w:rFonts w:hint="eastAsia"/>
          <w:rtl/>
        </w:rPr>
        <w:t>ב</w:t>
      </w:r>
      <w:r w:rsidRPr="00B4661A">
        <w:rPr>
          <w:rtl/>
        </w:rPr>
        <w:t xml:space="preserve">: </w:t>
      </w:r>
      <w:r w:rsidRPr="00B4661A">
        <w:rPr>
          <w:rFonts w:hint="eastAsia"/>
          <w:rtl/>
        </w:rPr>
        <w:t>איכות</w:t>
      </w:r>
      <w:r w:rsidRPr="00B4661A">
        <w:rPr>
          <w:rtl/>
        </w:rPr>
        <w:t xml:space="preserve"> </w:t>
      </w:r>
      <w:r w:rsidRPr="00B4661A">
        <w:rPr>
          <w:rFonts w:hint="eastAsia"/>
          <w:rtl/>
        </w:rPr>
        <w:t>חיים</w:t>
      </w:r>
      <w:r w:rsidRPr="00B4661A">
        <w:rPr>
          <w:rtl/>
        </w:rPr>
        <w:t xml:space="preserve"> </w:t>
      </w:r>
      <w:r w:rsidRPr="00B4661A">
        <w:rPr>
          <w:rFonts w:hint="eastAsia"/>
          <w:rtl/>
        </w:rPr>
        <w:t>ורמת</w:t>
      </w:r>
      <w:r w:rsidRPr="00B4661A">
        <w:rPr>
          <w:rtl/>
        </w:rPr>
        <w:t xml:space="preserve"> </w:t>
      </w:r>
      <w:r w:rsidRPr="00B4661A">
        <w:rPr>
          <w:rFonts w:hint="eastAsia"/>
          <w:rtl/>
        </w:rPr>
        <w:t>חיים</w:t>
      </w:r>
      <w:r>
        <w:rPr>
          <w:rFonts w:hint="cs"/>
          <w:rtl/>
        </w:rPr>
        <w:t xml:space="preserve"> </w:t>
      </w:r>
    </w:p>
  </w:footnote>
  <w:footnote w:id="350">
    <w:p w:rsidR="00F74793" w:rsidP="001F2586">
      <w:pPr>
        <w:pStyle w:val="FootnoteText"/>
      </w:pPr>
      <w:r>
        <w:rPr>
          <w:rStyle w:val="FootnoteReference1"/>
        </w:rPr>
        <w:footnoteRef/>
      </w:r>
      <w:r>
        <w:rPr>
          <w:rtl/>
        </w:rPr>
        <w:t xml:space="preserve"> </w:t>
      </w:r>
      <w:r>
        <w:rPr>
          <w:rtl/>
        </w:rPr>
        <w:tab/>
      </w:r>
      <w:r>
        <w:rPr>
          <w:rFonts w:hint="cs"/>
          <w:rtl/>
        </w:rPr>
        <w:t xml:space="preserve">ראו הערה 7, </w:t>
      </w:r>
      <w:r>
        <w:rPr>
          <w:rtl/>
        </w:rPr>
        <w:t>סעיף 50.</w:t>
      </w:r>
    </w:p>
  </w:footnote>
  <w:footnote w:id="351">
    <w:p w:rsidR="00F74793" w:rsidRPr="00115BD8" w:rsidP="001F2586">
      <w:pPr>
        <w:pStyle w:val="FootnoteText"/>
      </w:pPr>
      <w:r>
        <w:rPr>
          <w:rStyle w:val="FootnoteReference1"/>
        </w:rPr>
        <w:footnoteRef/>
      </w:r>
      <w:r>
        <w:rPr>
          <w:rtl/>
        </w:rPr>
        <w:t xml:space="preserve"> </w:t>
      </w:r>
      <w:r>
        <w:rPr>
          <w:rtl/>
        </w:rPr>
        <w:tab/>
      </w:r>
      <w:r w:rsidRPr="00780408">
        <w:rPr>
          <w:rtl/>
        </w:rPr>
        <w:t>ההמלצות אומצו בהחלט</w:t>
      </w:r>
      <w:r>
        <w:rPr>
          <w:rFonts w:hint="cs"/>
          <w:rtl/>
        </w:rPr>
        <w:t>ת ממשלה בנושא יישום</w:t>
      </w:r>
      <w:r w:rsidRPr="00D670F5">
        <w:rPr>
          <w:rtl/>
        </w:rPr>
        <w:t xml:space="preserve"> המלצות צוות 120 הימים לעניין תכנון ובנייה במגזר המיעוטים - אישור החלטת ועדת השרים לענייני חברה וכלכלה</w:t>
      </w:r>
      <w:r>
        <w:rPr>
          <w:rFonts w:hint="cs"/>
          <w:rtl/>
        </w:rPr>
        <w:t>, החלטת ממשלה מספר 346 מיום 5.8.15</w:t>
      </w:r>
      <w:r w:rsidRPr="00CB182B">
        <w:rPr>
          <w:rFonts w:hint="cs"/>
          <w:rtl/>
        </w:rPr>
        <w:t>.</w:t>
      </w:r>
    </w:p>
  </w:footnote>
  <w:footnote w:id="352">
    <w:p w:rsidR="00F74793" w:rsidP="001F2586">
      <w:pPr>
        <w:pStyle w:val="FootnoteText"/>
      </w:pPr>
      <w:r>
        <w:rPr>
          <w:rStyle w:val="FootnoteReference1"/>
        </w:rPr>
        <w:footnoteRef/>
      </w:r>
      <w:r>
        <w:rPr>
          <w:rtl/>
        </w:rPr>
        <w:t xml:space="preserve"> </w:t>
      </w:r>
      <w:r>
        <w:rPr>
          <w:rtl/>
        </w:rPr>
        <w:tab/>
      </w:r>
      <w:r>
        <w:rPr>
          <w:rFonts w:hint="cs"/>
          <w:rtl/>
        </w:rPr>
        <w:t>ה</w:t>
      </w:r>
      <w:r w:rsidRPr="004B785F">
        <w:rPr>
          <w:rtl/>
        </w:rPr>
        <w:t>כלה פיננסית משמעותה יצירת נגישות שוויונית לשירותים פיננסים בעלויות סבירות לכלל האוכלוסייה</w:t>
      </w:r>
      <w:r w:rsidRPr="004B785F">
        <w:t>.</w:t>
      </w:r>
    </w:p>
  </w:footnote>
  <w:footnote w:id="353">
    <w:p w:rsidR="00F74793" w:rsidP="001F2586">
      <w:pPr>
        <w:pStyle w:val="FootnoteText"/>
      </w:pPr>
      <w:r>
        <w:rPr>
          <w:rStyle w:val="FootnoteReference1"/>
        </w:rPr>
        <w:footnoteRef/>
      </w:r>
      <w:r>
        <w:rPr>
          <w:rtl/>
        </w:rPr>
        <w:t xml:space="preserve"> </w:t>
      </w:r>
      <w:r>
        <w:rPr>
          <w:rtl/>
        </w:rPr>
        <w:tab/>
      </w:r>
      <w:r w:rsidRPr="00B4661A">
        <w:rPr>
          <w:rFonts w:hint="cs"/>
          <w:rtl/>
        </w:rPr>
        <w:t>ראה דוח הצוות הבין - משרדי לבחינת תופעת הפשיעה בחברה הערבית, הנובעת מהתנהלות השוק השחור בתחום הפיננסי, מאי 2022</w:t>
      </w:r>
      <w:r>
        <w:t>.</w:t>
      </w:r>
    </w:p>
  </w:footnote>
  <w:footnote w:id="354">
    <w:p w:rsidR="00F74793" w:rsidP="001F2586">
      <w:pPr>
        <w:pStyle w:val="FootnoteText"/>
        <w:rPr>
          <w:rtl/>
        </w:rPr>
      </w:pPr>
      <w:r>
        <w:rPr>
          <w:rStyle w:val="FootnoteReference1"/>
        </w:rPr>
        <w:footnoteRef/>
      </w:r>
      <w:r>
        <w:rPr>
          <w:rtl/>
        </w:rPr>
        <w:t xml:space="preserve"> </w:t>
      </w:r>
      <w:r>
        <w:rPr>
          <w:rtl/>
        </w:rPr>
        <w:tab/>
      </w:r>
      <w:r>
        <w:rPr>
          <w:rFonts w:hint="cs"/>
          <w:rtl/>
        </w:rPr>
        <w:t>הרשות לפיתוח כלכלי של מגזר המיעוטים היא רשות ממשלתית הכפופה למשרד לשוויון חברתי.</w:t>
      </w:r>
    </w:p>
  </w:footnote>
  <w:footnote w:id="355">
    <w:p w:rsidR="00F74793" w:rsidP="001F2586">
      <w:pPr>
        <w:pStyle w:val="FootnoteText"/>
      </w:pPr>
      <w:r>
        <w:rPr>
          <w:rStyle w:val="FootnoteReference1"/>
        </w:rPr>
        <w:footnoteRef/>
      </w:r>
      <w:r>
        <w:rPr>
          <w:rtl/>
        </w:rPr>
        <w:t xml:space="preserve"> </w:t>
      </w:r>
      <w:r>
        <w:rPr>
          <w:rtl/>
        </w:rPr>
        <w:tab/>
      </w:r>
      <w:r>
        <w:rPr>
          <w:rFonts w:hint="cs"/>
          <w:rtl/>
        </w:rPr>
        <w:t>החשב הכללי - ועדת פטור, מספר פרוטוקול 5209 - ליווי לרכישת הבית הראשון למשפחות ערביות.</w:t>
      </w:r>
    </w:p>
  </w:footnote>
  <w:footnote w:id="356">
    <w:p w:rsidR="00F74793" w:rsidP="001F2586">
      <w:pPr>
        <w:pStyle w:val="FootnoteText"/>
      </w:pPr>
      <w:r>
        <w:rPr>
          <w:rStyle w:val="FootnoteReference1"/>
        </w:rPr>
        <w:footnoteRef/>
      </w:r>
      <w:r>
        <w:rPr>
          <w:rtl/>
        </w:rPr>
        <w:t xml:space="preserve"> </w:t>
      </w:r>
      <w:r>
        <w:rPr>
          <w:rtl/>
        </w:rPr>
        <w:tab/>
      </w:r>
      <w:r>
        <w:rPr>
          <w:rFonts w:hint="cs"/>
          <w:rtl/>
        </w:rPr>
        <w:t>הרשות</w:t>
      </w:r>
      <w:r w:rsidRPr="00856C8B">
        <w:rPr>
          <w:rtl/>
        </w:rPr>
        <w:t xml:space="preserve"> פרסמה הודעת הכוונה להתקשרות באתר מנהל הרכש, בהתאם לתקנה 3(ב) לתקנות חובת המכרזים</w:t>
      </w:r>
      <w:r>
        <w:rPr>
          <w:rFonts w:hint="cs"/>
          <w:rtl/>
        </w:rPr>
        <w:t>.</w:t>
      </w:r>
    </w:p>
  </w:footnote>
  <w:footnote w:id="357">
    <w:p w:rsidR="00F74793" w:rsidP="001F2586">
      <w:pPr>
        <w:pStyle w:val="FootnoteText"/>
        <w:rPr>
          <w:rtl/>
        </w:rPr>
      </w:pPr>
      <w:r>
        <w:rPr>
          <w:rStyle w:val="FootnoteReference1"/>
        </w:rPr>
        <w:footnoteRef/>
      </w:r>
      <w:r>
        <w:rPr>
          <w:rtl/>
        </w:rPr>
        <w:t xml:space="preserve"> </w:t>
      </w:r>
      <w:r>
        <w:rPr>
          <w:rtl/>
        </w:rPr>
        <w:tab/>
      </w:r>
      <w:r>
        <w:rPr>
          <w:rFonts w:hint="cs"/>
          <w:rtl/>
        </w:rPr>
        <w:t xml:space="preserve">בסקר משקי הבית של </w:t>
      </w:r>
      <w:r>
        <w:rPr>
          <w:rFonts w:hint="cs"/>
          <w:rtl/>
        </w:rPr>
        <w:t>הלמ"ס</w:t>
      </w:r>
      <w:r>
        <w:rPr>
          <w:rFonts w:hint="cs"/>
          <w:rtl/>
        </w:rPr>
        <w:t xml:space="preserve"> לשנת 2023.טרם פורסמו נתונים אודות המגזר החרדי בנושא דיור. </w:t>
      </w:r>
    </w:p>
  </w:footnote>
  <w:footnote w:id="358">
    <w:p w:rsidR="00F74793" w:rsidP="001F2586">
      <w:pPr>
        <w:pStyle w:val="FootnoteText"/>
      </w:pPr>
      <w:r>
        <w:rPr>
          <w:rStyle w:val="FootnoteReference1"/>
        </w:rPr>
        <w:footnoteRef/>
      </w:r>
      <w:r>
        <w:rPr>
          <w:rtl/>
        </w:rPr>
        <w:t xml:space="preserve"> </w:t>
      </w:r>
      <w:r>
        <w:rPr>
          <w:rtl/>
        </w:rPr>
        <w:tab/>
      </w:r>
      <w:r>
        <w:rPr>
          <w:rFonts w:hint="cs"/>
          <w:rtl/>
        </w:rPr>
        <w:t xml:space="preserve">הנתונים האמורים הובאו מתוך סקר משקי הבית של </w:t>
      </w:r>
      <w:r>
        <w:rPr>
          <w:rFonts w:hint="cs"/>
          <w:rtl/>
        </w:rPr>
        <w:t>הלמ"ס</w:t>
      </w:r>
      <w:r>
        <w:rPr>
          <w:rFonts w:hint="cs"/>
          <w:rtl/>
        </w:rPr>
        <w:t xml:space="preserve"> לשנת 2022. </w:t>
      </w:r>
    </w:p>
  </w:footnote>
  <w:footnote w:id="359">
    <w:p w:rsidR="00F74793" w:rsidP="001F2586">
      <w:pPr>
        <w:pStyle w:val="FootnoteText"/>
      </w:pPr>
      <w:r>
        <w:rPr>
          <w:rStyle w:val="FootnoteReference1"/>
        </w:rPr>
        <w:footnoteRef/>
      </w:r>
      <w:r>
        <w:rPr>
          <w:rtl/>
        </w:rPr>
        <w:t xml:space="preserve"> </w:t>
      </w:r>
      <w:r>
        <w:rPr>
          <w:rtl/>
        </w:rPr>
        <w:tab/>
      </w:r>
      <w:r>
        <w:rPr>
          <w:rFonts w:hint="cs"/>
          <w:rtl/>
        </w:rPr>
        <w:t>ראה דיון בוועד</w:t>
      </w:r>
      <w:r>
        <w:rPr>
          <w:rFonts w:hint="eastAsia"/>
          <w:rtl/>
        </w:rPr>
        <w:t>ת</w:t>
      </w:r>
      <w:r>
        <w:rPr>
          <w:rFonts w:hint="cs"/>
          <w:rtl/>
        </w:rPr>
        <w:t xml:space="preserve"> הכספים, "חלק ג- </w:t>
      </w:r>
      <w:r w:rsidRPr="008757C4">
        <w:rPr>
          <w:rtl/>
        </w:rPr>
        <w:t>שיעור הריבית על הלוואות לדיור והריבית המשתלמת על-ידי הבנקים על כספים המופקדים בחשבונות עו"ש ובפיקדונות</w:t>
      </w:r>
      <w:r>
        <w:rPr>
          <w:rFonts w:hint="cs"/>
          <w:rtl/>
        </w:rPr>
        <w:t>"</w:t>
      </w:r>
      <w:r>
        <w:rPr>
          <w:rtl/>
        </w:rPr>
        <w:t xml:space="preserve">, </w:t>
      </w:r>
      <w:r>
        <w:rPr>
          <w:rFonts w:hint="cs"/>
          <w:rtl/>
        </w:rPr>
        <w:t>12.06.2023.</w:t>
      </w:r>
    </w:p>
  </w:footnote>
  <w:footnote w:id="360">
    <w:p w:rsidR="00F74793" w:rsidP="001F2586">
      <w:pPr>
        <w:pStyle w:val="FootnoteText"/>
        <w:rPr>
          <w:rtl/>
        </w:rPr>
      </w:pPr>
      <w:r>
        <w:rPr>
          <w:rStyle w:val="FootnoteReference1"/>
        </w:rPr>
        <w:footnoteRef/>
      </w:r>
      <w:r>
        <w:rPr>
          <w:rtl/>
        </w:rPr>
        <w:t xml:space="preserve"> </w:t>
      </w:r>
      <w:r>
        <w:rPr>
          <w:rtl/>
        </w:rPr>
        <w:tab/>
      </w:r>
      <w:r>
        <w:rPr>
          <w:rFonts w:hint="cs"/>
          <w:rtl/>
        </w:rPr>
        <w:t>יצוין כי ההחזר גדל באופן משמעותי לאחר עליית ריבית בנק ישראל החל מאפריל 2022, ראו פרק המבוא.</w:t>
      </w:r>
    </w:p>
  </w:footnote>
  <w:footnote w:id="361">
    <w:p w:rsidR="00F74793" w:rsidP="001F2586">
      <w:pPr>
        <w:pStyle w:val="FootnoteText"/>
        <w:rPr>
          <w:rtl/>
        </w:rPr>
      </w:pPr>
      <w:r>
        <w:rPr>
          <w:rStyle w:val="FootnoteReference1"/>
        </w:rPr>
        <w:footnoteRef/>
      </w:r>
      <w:r>
        <w:rPr>
          <w:rtl/>
        </w:rPr>
        <w:t xml:space="preserve"> </w:t>
      </w:r>
      <w:r>
        <w:rPr>
          <w:rtl/>
        </w:rPr>
        <w:tab/>
      </w:r>
      <w:r w:rsidRPr="00B4661A">
        <w:rPr>
          <w:rFonts w:hint="cs"/>
          <w:rtl/>
        </w:rPr>
        <w:t xml:space="preserve"> ראו תיבה </w:t>
      </w:r>
      <w:r w:rsidRPr="00B4661A">
        <w:rPr>
          <w:rtl/>
        </w:rPr>
        <w:t xml:space="preserve">מתוך הסקירה השנתית של מערכת הבנקאות לשנת 2022 </w:t>
      </w:r>
      <w:r w:rsidRPr="00B4661A">
        <w:rPr>
          <w:rFonts w:hint="cs"/>
          <w:rtl/>
        </w:rPr>
        <w:t>-</w:t>
      </w:r>
      <w:r w:rsidRPr="00B4661A">
        <w:rPr>
          <w:rtl/>
        </w:rPr>
        <w:t>סקירת העלייה בסכום ההחזר החודשי של הלוואות לדיור והגורמים להם</w:t>
      </w:r>
      <w:r w:rsidRPr="00B4661A">
        <w:rPr>
          <w:rFonts w:hint="cs"/>
          <w:rtl/>
        </w:rPr>
        <w:t>, הודעת עיתונות, 14.05.2023</w:t>
      </w:r>
      <w:r>
        <w:rPr>
          <w:rFonts w:hint="cs"/>
          <w:rtl/>
        </w:rPr>
        <w:t>.</w:t>
      </w:r>
    </w:p>
  </w:footnote>
  <w:footnote w:id="362">
    <w:p w:rsidR="00F74793" w:rsidP="001F2586">
      <w:pPr>
        <w:pStyle w:val="FootnoteText"/>
        <w:rPr>
          <w:rtl/>
        </w:rPr>
      </w:pPr>
      <w:r>
        <w:rPr>
          <w:rStyle w:val="FootnoteReference1"/>
        </w:rPr>
        <w:footnoteRef/>
      </w:r>
      <w:r>
        <w:rPr>
          <w:rtl/>
        </w:rPr>
        <w:t xml:space="preserve"> </w:t>
      </w:r>
      <w:r>
        <w:rPr>
          <w:rtl/>
        </w:rPr>
        <w:tab/>
      </w:r>
      <w:r>
        <w:rPr>
          <w:rFonts w:hint="cs"/>
          <w:rtl/>
        </w:rPr>
        <w:t xml:space="preserve">ראו נוהל בנקאי מס 329 - מגבלות למתן הלוואות לדיור. </w:t>
      </w:r>
    </w:p>
  </w:footnote>
  <w:footnote w:id="363">
    <w:p w:rsidR="00F74793" w:rsidP="001F2586">
      <w:pPr>
        <w:pStyle w:val="FootnoteText"/>
        <w:rPr>
          <w:rtl/>
        </w:rPr>
      </w:pPr>
      <w:r>
        <w:rPr>
          <w:rStyle w:val="FootnoteReference1"/>
        </w:rPr>
        <w:footnoteRef/>
      </w:r>
      <w:r>
        <w:rPr>
          <w:rtl/>
        </w:rPr>
        <w:t xml:space="preserve"> </w:t>
      </w:r>
      <w:r>
        <w:rPr>
          <w:rtl/>
        </w:rPr>
        <w:tab/>
      </w:r>
      <w:r>
        <w:rPr>
          <w:rFonts w:hint="cs"/>
          <w:rtl/>
        </w:rPr>
        <w:t>ראו פרוטוקול ישיבת ועדת הכספים בנושא:</w:t>
      </w:r>
    </w:p>
    <w:p w:rsidR="00F74793" w:rsidP="001F2586">
      <w:pPr>
        <w:pStyle w:val="FootnoteText"/>
        <w:ind w:firstLine="0"/>
      </w:pPr>
      <w:r w:rsidRPr="001252C7">
        <w:t xml:space="preserve"> </w:t>
      </w:r>
      <w:r w:rsidRPr="00B4661A">
        <w:t>https://main.knesset.gov.il/apps/committees/2213/sessions/2237348</w:t>
      </w:r>
      <w:r>
        <w:rPr>
          <w:rFonts w:hint="cs"/>
          <w:rtl/>
        </w:rPr>
        <w:t xml:space="preserve"> </w:t>
      </w:r>
    </w:p>
  </w:footnote>
  <w:footnote w:id="364">
    <w:p w:rsidR="00F74793" w:rsidP="001F2586">
      <w:pPr>
        <w:pStyle w:val="FootnoteText"/>
      </w:pPr>
      <w:r>
        <w:rPr>
          <w:rStyle w:val="FootnoteReference1"/>
        </w:rPr>
        <w:footnoteRef/>
      </w:r>
      <w:r>
        <w:rPr>
          <w:rtl/>
        </w:rPr>
        <w:t xml:space="preserve"> </w:t>
      </w:r>
      <w:r>
        <w:rPr>
          <w:rtl/>
        </w:rPr>
        <w:tab/>
      </w:r>
      <w:r>
        <w:rPr>
          <w:rFonts w:hint="cs"/>
          <w:rtl/>
        </w:rPr>
        <w:t>הונאת פירמידה/</w:t>
      </w:r>
      <w:r>
        <w:rPr>
          <w:rFonts w:hint="cs"/>
          <w:rtl/>
        </w:rPr>
        <w:t>פונזי</w:t>
      </w:r>
      <w:r>
        <w:rPr>
          <w:rFonts w:hint="cs"/>
          <w:rtl/>
        </w:rPr>
        <w:t xml:space="preserve"> היא תרמית שמבוססת על כך שמנהל העסקה נותן את הכסף שהביאו המשקיעים/המלווים האחרונים לאלה שקדמו להם, והאחרונים עלולים להישאר בידיים ריקות. </w:t>
      </w:r>
    </w:p>
  </w:footnote>
  <w:footnote w:id="365">
    <w:p w:rsidR="00F74793" w:rsidRPr="00450A73" w:rsidP="001F2586">
      <w:pPr>
        <w:pStyle w:val="FootnoteText"/>
        <w:rPr>
          <w:rtl/>
        </w:rPr>
      </w:pPr>
      <w:r>
        <w:rPr>
          <w:rStyle w:val="FootnoteReference1"/>
        </w:rPr>
        <w:footnoteRef/>
      </w:r>
      <w:r>
        <w:rPr>
          <w:rtl/>
        </w:rPr>
        <w:t xml:space="preserve"> </w:t>
      </w:r>
      <w:r>
        <w:rPr>
          <w:rtl/>
        </w:rPr>
        <w:tab/>
      </w:r>
      <w:r>
        <w:rPr>
          <w:rFonts w:hint="cs"/>
          <w:rtl/>
        </w:rPr>
        <w:t xml:space="preserve">ראו: </w:t>
      </w:r>
      <w:r w:rsidRPr="00B4661A">
        <w:t>https://www.gov.il/he/departments/units/housing_assistance_moch</w:t>
      </w:r>
      <w:r>
        <w:rPr>
          <w:rFonts w:hint="cs"/>
          <w:rtl/>
        </w:rPr>
        <w:t>.</w:t>
      </w:r>
    </w:p>
  </w:footnote>
  <w:footnote w:id="366">
    <w:p w:rsidR="00F74793" w:rsidP="001F2586">
      <w:pPr>
        <w:pStyle w:val="FootnoteText"/>
        <w:rPr>
          <w:rtl/>
        </w:rPr>
      </w:pPr>
      <w:r>
        <w:rPr>
          <w:rStyle w:val="FootnoteReference1"/>
        </w:rPr>
        <w:footnoteRef/>
      </w:r>
      <w:r>
        <w:rPr>
          <w:rtl/>
        </w:rPr>
        <w:t xml:space="preserve"> </w:t>
      </w:r>
      <w:r>
        <w:rPr>
          <w:rtl/>
        </w:rPr>
        <w:tab/>
      </w:r>
      <w:r>
        <w:rPr>
          <w:rFonts w:hint="cs"/>
          <w:rtl/>
        </w:rPr>
        <w:t>אזור גיאוגרפי או יישוב, בעיקר בפריפריה, המוגדר על ידי הממשלה זקוק לפיתוח וחיזוק, וזאת כדי לצמצם פערים חברתיים וכלכליים ולעודד התיישבות.</w:t>
      </w:r>
    </w:p>
  </w:footnote>
  <w:footnote w:id="367">
    <w:p w:rsidR="00F74793" w:rsidP="001F2586">
      <w:pPr>
        <w:pStyle w:val="FootnoteText"/>
        <w:rPr>
          <w:rtl/>
        </w:rPr>
      </w:pPr>
      <w:r>
        <w:rPr>
          <w:rStyle w:val="FootnoteReference1"/>
        </w:rPr>
        <w:footnoteRef/>
      </w:r>
      <w:r>
        <w:rPr>
          <w:rtl/>
        </w:rPr>
        <w:t xml:space="preserve"> </w:t>
      </w:r>
      <w:r>
        <w:rPr>
          <w:rtl/>
        </w:rPr>
        <w:tab/>
      </w:r>
      <w:r>
        <w:rPr>
          <w:rFonts w:hint="cs"/>
          <w:rtl/>
        </w:rPr>
        <w:t>משרד הבינוי והשיכון, סיכום שנת פעילות מינהל סיוע בדיור 2024, עמ' 6.</w:t>
      </w:r>
    </w:p>
  </w:footnote>
  <w:footnote w:id="368">
    <w:p w:rsidR="00F74793" w:rsidRPr="002B48A6" w:rsidP="001F2586">
      <w:pPr>
        <w:pStyle w:val="FootnoteText"/>
        <w:rPr>
          <w:rtl/>
        </w:rPr>
      </w:pPr>
      <w:r>
        <w:rPr>
          <w:rStyle w:val="FootnoteReference1"/>
        </w:rPr>
        <w:footnoteRef/>
      </w:r>
      <w:r>
        <w:rPr>
          <w:rtl/>
        </w:rPr>
        <w:t xml:space="preserve"> </w:t>
      </w:r>
      <w:r>
        <w:rPr>
          <w:rtl/>
        </w:rPr>
        <w:tab/>
      </w:r>
      <w:r w:rsidRPr="002B48A6">
        <w:rPr>
          <w:rtl/>
        </w:rPr>
        <w:t>יחיד/ה או משפחה (כל אחד מבני המשפחה) שאין ולא היו להם ב-10 שנים שחלפו למועד הגשת הבקשה בנפרד או במשותף עם אחר/ים זכויות כלשהן בדירה או בחלק מדירה או בדירה בשלבי בנייה (לרבות רישום פורמלי)</w:t>
      </w:r>
      <w:r>
        <w:rPr>
          <w:rFonts w:hint="cs"/>
          <w:rtl/>
        </w:rPr>
        <w:t xml:space="preserve">, ובהתאם להרחבות המפורטות באתר משב"ש לעניין הגדרת המונח "חסר דירה" בנושאי שכר דירה ומשכנתא. ראו באתר משרד הבינוי והשיכון: </w:t>
      </w:r>
      <w:r w:rsidRPr="002B48A6">
        <w:t>https://www.gov.il/he/pages/hagdarat_chasrey_dira</w:t>
      </w:r>
    </w:p>
  </w:footnote>
  <w:footnote w:id="369">
    <w:p w:rsidR="00F74793" w:rsidP="001F2586">
      <w:pPr>
        <w:pStyle w:val="FootnoteText"/>
      </w:pPr>
      <w:r>
        <w:rPr>
          <w:rStyle w:val="FootnoteReference1"/>
        </w:rPr>
        <w:footnoteRef/>
      </w:r>
      <w:r>
        <w:rPr>
          <w:rtl/>
        </w:rPr>
        <w:t xml:space="preserve"> </w:t>
      </w:r>
      <w:r>
        <w:rPr>
          <w:rtl/>
        </w:rPr>
        <w:tab/>
      </w:r>
      <w:r w:rsidRPr="00063EEC">
        <w:rPr>
          <w:rtl/>
        </w:rPr>
        <w:t>לרוכשי</w:t>
      </w:r>
      <w:r w:rsidRPr="00063EEC">
        <w:rPr>
          <w:rtl/>
        </w:rPr>
        <w:t xml:space="preserve"> דירה חדשה (מקבלן) יינתן סיוע אם לא חלפו 36 חודשים ממועד החתימה על חוזה הרכישה ותמורתה טרם שולמה במלואה לקבלן, ובתנאי שסכום הסיוע לא יעלה על יתרת החוב. </w:t>
      </w:r>
      <w:r w:rsidRPr="00063EEC">
        <w:rPr>
          <w:rtl/>
        </w:rPr>
        <w:t>לרוכשי</w:t>
      </w:r>
      <w:r w:rsidRPr="00063EEC">
        <w:rPr>
          <w:rtl/>
        </w:rPr>
        <w:t xml:space="preserve"> דירה שנייה הסיוע יינתן אם לא חלפה שנה ממועד החתימה על חוזה הרכישה ותמורתה טרם שולמה במלואה למוכר, ובתנאי שסכום הסיוע לא יעלה על יתרת החוב למוכר הדירה. זכאים הבונים את ביתם רשאים להתחיל במימוש </w:t>
      </w:r>
      <w:r>
        <w:rPr>
          <w:rFonts w:hint="cs"/>
          <w:rtl/>
        </w:rPr>
        <w:t>הסיוע ב</w:t>
      </w:r>
      <w:r w:rsidRPr="00063EEC">
        <w:rPr>
          <w:rtl/>
        </w:rPr>
        <w:t>משכנתא בתוך 36 חודשים ממועד קבלת היתר הבנייה.</w:t>
      </w:r>
    </w:p>
  </w:footnote>
  <w:footnote w:id="370">
    <w:p w:rsidR="00F74793" w:rsidP="001F2586">
      <w:pPr>
        <w:pStyle w:val="FootnoteText"/>
        <w:rPr>
          <w:rtl/>
        </w:rPr>
      </w:pPr>
      <w:r>
        <w:rPr>
          <w:rStyle w:val="FootnoteReference1"/>
        </w:rPr>
        <w:footnoteRef/>
      </w:r>
      <w:r>
        <w:rPr>
          <w:rtl/>
        </w:rPr>
        <w:t xml:space="preserve"> </w:t>
      </w:r>
      <w:r>
        <w:rPr>
          <w:rtl/>
        </w:rPr>
        <w:tab/>
      </w:r>
      <w:r>
        <w:rPr>
          <w:rFonts w:hint="cs"/>
          <w:rtl/>
        </w:rPr>
        <w:t>בהתאם להחלטת ממשלה מספר 2212 מ-12.8.07 ולהסכם שנחתם בין הממשלה לבין בנקים למשכנתאות בחודש מאי 2008, לחלק מזכאי משרד הבינוי והשיכון מועמדת הלוואת זכאים ממקורות הבנק, במקום ממקורות המדינה, כנגד סבסוד הריבית ותשלום עמלה על ידי המדינה.</w:t>
      </w:r>
    </w:p>
  </w:footnote>
  <w:footnote w:id="371">
    <w:p w:rsidR="00F74793" w:rsidP="001F2586">
      <w:pPr>
        <w:pStyle w:val="FootnoteText"/>
        <w:rPr>
          <w:rtl/>
        </w:rPr>
      </w:pPr>
      <w:r>
        <w:rPr>
          <w:rStyle w:val="FootnoteReference1"/>
        </w:rPr>
        <w:footnoteRef/>
      </w:r>
      <w:r>
        <w:rPr>
          <w:rtl/>
        </w:rPr>
        <w:t xml:space="preserve"> </w:t>
      </w:r>
      <w:r>
        <w:rPr>
          <w:rtl/>
        </w:rPr>
        <w:tab/>
      </w:r>
      <w:r>
        <w:rPr>
          <w:rFonts w:hint="cs"/>
          <w:rtl/>
        </w:rPr>
        <w:t>ב-10 השנים הראשונות סכום ההלוואה יהיה צמוד למדד המחירים לצרכן ללא ריבית שנתית והחל מהשנה האחת עשרה ועד תום תקופת ההלוואה יהיה סכום ההלוואה צמוד למדד המחירים לצרכן בצירוף ריבית שנתית של 2%.</w:t>
      </w:r>
    </w:p>
  </w:footnote>
  <w:footnote w:id="372">
    <w:p w:rsidR="00F74793" w:rsidP="001F2586">
      <w:pPr>
        <w:pStyle w:val="FootnoteText"/>
      </w:pPr>
      <w:r>
        <w:rPr>
          <w:rStyle w:val="FootnoteReference1"/>
        </w:rPr>
        <w:footnoteRef/>
      </w:r>
      <w:r>
        <w:rPr>
          <w:rtl/>
        </w:rPr>
        <w:t xml:space="preserve"> </w:t>
      </w:r>
      <w:r>
        <w:rPr>
          <w:rtl/>
        </w:rPr>
        <w:tab/>
      </w:r>
      <w:r w:rsidRPr="00346657">
        <w:rPr>
          <w:rtl/>
        </w:rPr>
        <w:t>תוכנית הדגל שיזמה מדינת ישראל במטרה להקל על חסרי דירה לרכוש דירה ראשונה בתנאים מועדפים</w:t>
      </w:r>
      <w:r>
        <w:rPr>
          <w:rFonts w:hint="cs"/>
          <w:rtl/>
        </w:rPr>
        <w:t xml:space="preserve">. </w:t>
      </w:r>
      <w:r w:rsidRPr="00346657">
        <w:rPr>
          <w:rtl/>
        </w:rPr>
        <w:t>התוכנית כוללת בתוכה מגוון פתרונות דיור בפרויקטים שונים, בהם 'מחיר מטרה', 'מחיר מופחת', 'מחיר למשתכן' ו'דירה להשכיר'</w:t>
      </w:r>
      <w:r>
        <w:rPr>
          <w:rFonts w:hint="cs"/>
          <w:rtl/>
        </w:rPr>
        <w:t>.</w:t>
      </w:r>
    </w:p>
  </w:footnote>
  <w:footnote w:id="373">
    <w:p w:rsidR="00F74793" w:rsidP="001F2586">
      <w:pPr>
        <w:pStyle w:val="FootnoteText"/>
      </w:pPr>
      <w:r>
        <w:rPr>
          <w:rStyle w:val="FootnoteReference1"/>
        </w:rPr>
        <w:footnoteRef/>
      </w:r>
      <w:r>
        <w:rPr>
          <w:rtl/>
        </w:rPr>
        <w:t xml:space="preserve"> </w:t>
      </w:r>
      <w:r>
        <w:rPr>
          <w:rtl/>
        </w:rPr>
        <w:tab/>
      </w:r>
      <w:r>
        <w:rPr>
          <w:rFonts w:hint="cs"/>
          <w:rtl/>
        </w:rPr>
        <w:t>ההלוואה ניתנת באותם תנאים של הלוואות לזכאים - ראו בתת פרק התנאים המסחריים של הלוואות לזכאים.</w:t>
      </w:r>
    </w:p>
  </w:footnote>
  <w:footnote w:id="374">
    <w:p w:rsidR="00F74793" w:rsidP="001F2586">
      <w:pPr>
        <w:pStyle w:val="FootnoteText"/>
        <w:rPr>
          <w:rtl/>
        </w:rPr>
      </w:pPr>
      <w:r>
        <w:rPr>
          <w:rStyle w:val="FootnoteReference1"/>
        </w:rPr>
        <w:footnoteRef/>
      </w:r>
      <w:r>
        <w:rPr>
          <w:rtl/>
        </w:rPr>
        <w:t xml:space="preserve"> </w:t>
      </w:r>
      <w:r>
        <w:rPr>
          <w:rtl/>
        </w:rPr>
        <w:tab/>
      </w:r>
      <w:r>
        <w:rPr>
          <w:rFonts w:hint="cs"/>
          <w:rtl/>
        </w:rPr>
        <w:t>החלטת ממשלה 2330 "קידום תוכנית לשיקום ולפיתוח הצפון בעקבות מלחמת חרבות ברזל", 31.10.24.</w:t>
      </w:r>
    </w:p>
  </w:footnote>
  <w:footnote w:id="375">
    <w:p w:rsidR="00F74793" w:rsidP="001F2586">
      <w:pPr>
        <w:pStyle w:val="FootnoteText"/>
        <w:rPr>
          <w:rtl/>
        </w:rPr>
      </w:pPr>
      <w:r>
        <w:rPr>
          <w:rStyle w:val="FootnoteReference1"/>
        </w:rPr>
        <w:footnoteRef/>
      </w:r>
      <w:r>
        <w:rPr>
          <w:rtl/>
        </w:rPr>
        <w:t xml:space="preserve"> </w:t>
      </w:r>
      <w:r>
        <w:rPr>
          <w:rtl/>
        </w:rPr>
        <w:tab/>
      </w:r>
      <w:r>
        <w:rPr>
          <w:rFonts w:hint="cs"/>
          <w:rtl/>
        </w:rPr>
        <w:t>החלטת ממשלה 3265 "תוכנית להאצה כלכלית והשבת פעילות עסקית בצפון", 20.7.25.</w:t>
      </w:r>
    </w:p>
  </w:footnote>
  <w:footnote w:id="376">
    <w:p w:rsidR="00F74793" w:rsidP="001F2586">
      <w:pPr>
        <w:pStyle w:val="FootnoteText"/>
      </w:pPr>
      <w:r>
        <w:rPr>
          <w:rStyle w:val="FootnoteReference1"/>
        </w:rPr>
        <w:footnoteRef/>
      </w:r>
      <w:r>
        <w:rPr>
          <w:rtl/>
        </w:rPr>
        <w:t xml:space="preserve"> </w:t>
      </w:r>
      <w:r>
        <w:rPr>
          <w:rtl/>
        </w:rPr>
        <w:tab/>
      </w:r>
      <w:r>
        <w:rPr>
          <w:rFonts w:hint="cs"/>
          <w:rtl/>
        </w:rPr>
        <w:t>סכום של 555.9 מיליוני ש"ח מתוך הסכום הקבוע בהחלטת ממשלה 2330 מיום 31.10.24.</w:t>
      </w:r>
    </w:p>
  </w:footnote>
  <w:footnote w:id="377">
    <w:p w:rsidR="00F74793" w:rsidP="001F2586">
      <w:pPr>
        <w:pStyle w:val="FootnoteText"/>
        <w:rPr>
          <w:rtl/>
        </w:rPr>
      </w:pPr>
      <w:r>
        <w:rPr>
          <w:rStyle w:val="FootnoteReference1"/>
        </w:rPr>
        <w:footnoteRef/>
      </w:r>
      <w:r>
        <w:rPr>
          <w:rtl/>
        </w:rPr>
        <w:t xml:space="preserve"> </w:t>
      </w:r>
      <w:r>
        <w:rPr>
          <w:rtl/>
        </w:rPr>
        <w:tab/>
      </w:r>
      <w:r>
        <w:rPr>
          <w:rFonts w:hint="cs"/>
          <w:rtl/>
        </w:rPr>
        <w:t>הכללים להעמדת הלוואות מוסדרים בהסכמי מסגרת בין אגף החשב הכללי במשרד האוצר לבנקים למשכנתאות, בהנחיות ובחוזרים משותפים של האגף ומשרד הבינוי והשיכון המופצים מעת לעת.</w:t>
      </w:r>
    </w:p>
  </w:footnote>
  <w:footnote w:id="378">
    <w:p w:rsidR="00F74793" w:rsidP="001F2586">
      <w:pPr>
        <w:pStyle w:val="FootnoteText"/>
      </w:pPr>
      <w:r>
        <w:rPr>
          <w:rStyle w:val="FootnoteReference1"/>
        </w:rPr>
        <w:footnoteRef/>
      </w:r>
      <w:r>
        <w:rPr>
          <w:rtl/>
        </w:rPr>
        <w:t xml:space="preserve"> </w:t>
      </w:r>
      <w:r>
        <w:rPr>
          <w:rtl/>
        </w:rPr>
        <w:tab/>
      </w:r>
      <w:r>
        <w:rPr>
          <w:rFonts w:hint="cs"/>
          <w:rtl/>
        </w:rPr>
        <w:t>משפחות, משפחות עולים, משפחות נכים, משפחות שבראשן עומד הורה עצמאי (חד הורי), נכה יחיד רתוק לכיסא גלגלים, נכה רווק/ה, רווק/ה, עולה חדש/ה</w:t>
      </w:r>
    </w:p>
  </w:footnote>
  <w:footnote w:id="379">
    <w:p w:rsidR="00F74793" w:rsidP="001F2586">
      <w:pPr>
        <w:pStyle w:val="FootnoteText"/>
      </w:pPr>
      <w:r>
        <w:rPr>
          <w:rStyle w:val="FootnoteReference1"/>
        </w:rPr>
        <w:footnoteRef/>
      </w:r>
      <w:r>
        <w:rPr>
          <w:rtl/>
        </w:rPr>
        <w:t xml:space="preserve"> </w:t>
      </w:r>
      <w:r>
        <w:rPr>
          <w:rtl/>
        </w:rPr>
        <w:tab/>
      </w:r>
      <w:r>
        <w:rPr>
          <w:rFonts w:hint="cs"/>
          <w:rtl/>
        </w:rPr>
        <w:t>סכום המשכנתא נקבע על פי היישוב ועומד על סך של 48 אלף ש"ח עד 84 אלף ש"ח.</w:t>
      </w:r>
    </w:p>
  </w:footnote>
  <w:footnote w:id="380">
    <w:p w:rsidR="00F74793" w:rsidP="001F2586">
      <w:pPr>
        <w:pStyle w:val="FootnoteText"/>
      </w:pPr>
      <w:r>
        <w:rPr>
          <w:rStyle w:val="FootnoteReference1"/>
        </w:rPr>
        <w:footnoteRef/>
      </w:r>
      <w:r>
        <w:rPr>
          <w:rtl/>
        </w:rPr>
        <w:t xml:space="preserve"> </w:t>
      </w:r>
      <w:r>
        <w:rPr>
          <w:rtl/>
        </w:rPr>
        <w:tab/>
      </w:r>
      <w:r>
        <w:rPr>
          <w:rFonts w:hint="cs"/>
          <w:rtl/>
        </w:rPr>
        <w:t>במסגרת תוכנית "10 פלוס" ניתנת תוספת משכנתא לזכאים העונים על כמה תבחינים: 1) זוג או משפחה שבראשה עומד הורה עצמאי שלהם שני ילדים ויותר; 2) שהייה בארץ ברציפות במשך 10 שנים לפחות; 3) ותק של 10 שנים לפחות כזוג או כמשפחה שבראשה עומד הוראה עצמאי; 4) ממצים כושר השתכרות כך שמקבלים קצת קיום של המוסד לביטוח לאומי או לפחות אחד המבקשים עובד במשרה מלאה וההכנסה הכוללת של המשפחה משכר היא עד 10,216 ש"ח נכון לשנת 2023.</w:t>
      </w:r>
      <w:r>
        <w:rPr>
          <w:rFonts w:hint="cs"/>
        </w:rPr>
        <w:t xml:space="preserve"> </w:t>
      </w:r>
    </w:p>
  </w:footnote>
  <w:footnote w:id="381">
    <w:p w:rsidR="00F74793" w:rsidP="001F2586">
      <w:pPr>
        <w:pStyle w:val="FootnoteText"/>
        <w:rPr>
          <w:rtl/>
        </w:rPr>
      </w:pPr>
      <w:r>
        <w:rPr>
          <w:rStyle w:val="FootnoteReference1"/>
        </w:rPr>
        <w:footnoteRef/>
      </w:r>
      <w:r>
        <w:rPr>
          <w:rtl/>
        </w:rPr>
        <w:t xml:space="preserve"> </w:t>
      </w:r>
      <w:r>
        <w:rPr>
          <w:rtl/>
        </w:rPr>
        <w:tab/>
      </w:r>
      <w:r>
        <w:rPr>
          <w:rFonts w:hint="cs"/>
          <w:rtl/>
        </w:rPr>
        <w:t>קישור למחשבון משכנתא לזכאים של משרד הבינוי והשיכון:</w:t>
      </w:r>
    </w:p>
    <w:p w:rsidR="00F74793" w:rsidRPr="00AB35CC" w:rsidP="001F2586">
      <w:pPr>
        <w:pStyle w:val="FootnoteText"/>
        <w:ind w:firstLine="0"/>
        <w:rPr>
          <w:rtl/>
        </w:rPr>
      </w:pPr>
      <w:r>
        <w:rPr>
          <w:rFonts w:hint="cs"/>
          <w:rtl/>
        </w:rPr>
        <w:t xml:space="preserve"> </w:t>
      </w:r>
      <w:r w:rsidRPr="00B4661A">
        <w:t>https://www.calcurate.co.il</w:t>
      </w:r>
      <w:r w:rsidRPr="00B4661A">
        <w:rPr>
          <w:rtl/>
        </w:rPr>
        <w:t>/</w:t>
      </w:r>
    </w:p>
  </w:footnote>
  <w:footnote w:id="382">
    <w:p w:rsidR="00F74793" w:rsidP="001F2586">
      <w:pPr>
        <w:pStyle w:val="FootnoteText"/>
      </w:pPr>
      <w:r>
        <w:rPr>
          <w:rStyle w:val="FootnoteReference1"/>
        </w:rPr>
        <w:footnoteRef/>
      </w:r>
      <w:r>
        <w:rPr>
          <w:rtl/>
        </w:rPr>
        <w:t xml:space="preserve"> </w:t>
      </w:r>
      <w:r>
        <w:rPr>
          <w:rtl/>
        </w:rPr>
        <w:tab/>
      </w:r>
      <w:r>
        <w:rPr>
          <w:rFonts w:hint="cs"/>
          <w:rtl/>
        </w:rPr>
        <w:t xml:space="preserve">ראו הרחבה בתת-פרק </w:t>
      </w:r>
      <w:r w:rsidRPr="003C4D41">
        <w:rPr>
          <w:rtl/>
        </w:rPr>
        <w:t>תנאי סיוע בהעמדת הלוואות לזכאים</w:t>
      </w:r>
      <w:r>
        <w:rPr>
          <w:rFonts w:hint="cs"/>
          <w:rtl/>
        </w:rPr>
        <w:t>.</w:t>
      </w:r>
    </w:p>
  </w:footnote>
  <w:footnote w:id="383">
    <w:p w:rsidR="00F74793" w:rsidP="001F2586">
      <w:pPr>
        <w:pStyle w:val="FootnoteText"/>
        <w:rPr>
          <w:rtl/>
        </w:rPr>
      </w:pPr>
      <w:r>
        <w:rPr>
          <w:rStyle w:val="FootnoteReference1"/>
        </w:rPr>
        <w:footnoteRef/>
      </w:r>
      <w:r>
        <w:rPr>
          <w:rtl/>
        </w:rPr>
        <w:t xml:space="preserve"> </w:t>
      </w:r>
      <w:r>
        <w:rPr>
          <w:rtl/>
        </w:rPr>
        <w:tab/>
      </w:r>
      <w:r>
        <w:rPr>
          <w:rFonts w:hint="cs"/>
          <w:rtl/>
        </w:rPr>
        <w:t xml:space="preserve">הכנסת העשרים וארבע, הצעת חוק הלוואות לדיור (תיקון-הלוואה כהון עצמי) (הוראת שעה), התשפ"א-2021, פ/24/1608. </w:t>
      </w:r>
    </w:p>
  </w:footnote>
  <w:footnote w:id="384">
    <w:p w:rsidR="00F74793" w:rsidP="001F2586">
      <w:pPr>
        <w:pStyle w:val="FootnoteText"/>
      </w:pPr>
      <w:r>
        <w:rPr>
          <w:rStyle w:val="FootnoteReference1"/>
        </w:rPr>
        <w:footnoteRef/>
      </w:r>
      <w:r>
        <w:rPr>
          <w:rtl/>
        </w:rPr>
        <w:t xml:space="preserve"> </w:t>
      </w:r>
      <w:r>
        <w:rPr>
          <w:rtl/>
        </w:rPr>
        <w:tab/>
      </w:r>
      <w:r>
        <w:rPr>
          <w:rFonts w:hint="cs"/>
          <w:rtl/>
        </w:rPr>
        <w:t>בהצעה נכתב ובלבד שמחיר הדירה אינו עולה על 1.4 מיליון ש"ח ושסכום משכנתא לזכאים בצירוף כל סכום הלוואה לדיור נוספת אינו עולה יחד על 90% ממחיר הדירה במועד נטילת ההלוואה האחרונה.</w:t>
      </w:r>
    </w:p>
  </w:footnote>
  <w:footnote w:id="385">
    <w:p w:rsidR="00F74793" w:rsidP="001F2586">
      <w:pPr>
        <w:pStyle w:val="FootnoteText"/>
      </w:pPr>
      <w:r>
        <w:rPr>
          <w:rStyle w:val="FootnoteReference1"/>
        </w:rPr>
        <w:footnoteRef/>
      </w:r>
      <w:r>
        <w:rPr>
          <w:rtl/>
        </w:rPr>
        <w:t xml:space="preserve"> </w:t>
      </w:r>
      <w:r>
        <w:rPr>
          <w:rtl/>
        </w:rPr>
        <w:tab/>
      </w:r>
      <w:r>
        <w:rPr>
          <w:rFonts w:hint="cs"/>
          <w:rtl/>
        </w:rPr>
        <w:t xml:space="preserve">בנוסף לכך עבור הלוואה משלימה לדיור שנטלו הזכאים הם יחויבו בעמלה מופחתת על פירעון מוקדם. </w:t>
      </w:r>
    </w:p>
  </w:footnote>
  <w:footnote w:id="386">
    <w:p w:rsidR="00F74793" w:rsidP="001F2586">
      <w:pPr>
        <w:pStyle w:val="FootnoteText"/>
      </w:pPr>
      <w:r>
        <w:rPr>
          <w:rStyle w:val="FootnoteReference1"/>
        </w:rPr>
        <w:footnoteRef/>
      </w:r>
      <w:r>
        <w:rPr>
          <w:rtl/>
        </w:rPr>
        <w:t xml:space="preserve"> </w:t>
      </w:r>
      <w:r>
        <w:rPr>
          <w:rtl/>
        </w:rPr>
        <w:tab/>
      </w:r>
      <w:r>
        <w:rPr>
          <w:rFonts w:hint="cs"/>
          <w:rtl/>
        </w:rPr>
        <w:t>ניתן להסביר את פער הריביות שנוצר בין השנים 2016 ל-2019 בין היתר באמצעות העלייה במרווח הפיננסי במערכת הבנקאית בתקופה זו.</w:t>
      </w:r>
    </w:p>
  </w:footnote>
  <w:footnote w:id="387">
    <w:p w:rsidR="00F74793" w:rsidP="001F2586">
      <w:pPr>
        <w:pStyle w:val="FootnoteText"/>
        <w:rPr>
          <w:rtl/>
        </w:rPr>
      </w:pPr>
      <w:r>
        <w:rPr>
          <w:rStyle w:val="FootnoteReference1"/>
        </w:rPr>
        <w:footnoteRef/>
      </w:r>
      <w:r>
        <w:rPr>
          <w:rtl/>
        </w:rPr>
        <w:t xml:space="preserve"> </w:t>
      </w:r>
      <w:r>
        <w:rPr>
          <w:rtl/>
        </w:rPr>
        <w:tab/>
      </w:r>
      <w:r>
        <w:rPr>
          <w:rFonts w:hint="cs"/>
          <w:rtl/>
        </w:rPr>
        <w:t>בהמשך התשלומים פוחת בהדרגה חלקו של פירעון הריבית ובמקביל עולה חלקו של פירעון הקרן.</w:t>
      </w:r>
    </w:p>
  </w:footnote>
  <w:footnote w:id="388">
    <w:p w:rsidR="00F74793" w:rsidP="001F7F1A">
      <w:pPr>
        <w:pStyle w:val="FootnoteText"/>
      </w:pPr>
      <w:r>
        <w:rPr>
          <w:rStyle w:val="FootnoteReference1"/>
        </w:rPr>
        <w:footnoteRef/>
      </w:r>
      <w:r>
        <w:rPr>
          <w:rtl/>
        </w:rPr>
        <w:t xml:space="preserve"> </w:t>
      </w:r>
      <w:r>
        <w:rPr>
          <w:rtl/>
        </w:rPr>
        <w:tab/>
      </w:r>
      <w:r>
        <w:rPr>
          <w:rFonts w:hint="cs"/>
          <w:rtl/>
        </w:rPr>
        <w:t xml:space="preserve">מאחר וההטבה הכלכלית פחותה, חלק מהזכאים פשוט מעדיפים כלל לא לקחת משכנתא </w:t>
      </w:r>
      <w:r>
        <w:rPr>
          <w:rFonts w:hint="cs"/>
          <w:rtl/>
        </w:rPr>
        <w:t>צמודת</w:t>
      </w:r>
      <w:r>
        <w:rPr>
          <w:rFonts w:hint="cs"/>
          <w:rtl/>
        </w:rPr>
        <w:t xml:space="preserve"> מדד.</w:t>
      </w:r>
    </w:p>
  </w:footnote>
  <w:footnote w:id="389">
    <w:p w:rsidR="00F74793" w:rsidP="001F2586">
      <w:pPr>
        <w:pStyle w:val="FootnoteText"/>
      </w:pPr>
      <w:r>
        <w:rPr>
          <w:rStyle w:val="FootnoteReference1"/>
        </w:rPr>
        <w:footnoteRef/>
      </w:r>
      <w:r>
        <w:rPr>
          <w:rtl/>
        </w:rPr>
        <w:t xml:space="preserve"> </w:t>
      </w:r>
      <w:r>
        <w:rPr>
          <w:rtl/>
        </w:rPr>
        <w:tab/>
      </w:r>
      <w:r>
        <w:rPr>
          <w:rFonts w:hint="cs"/>
          <w:rtl/>
        </w:rPr>
        <w:t xml:space="preserve">הרכב הוועדה נקבע בהתאם לחוק וכולל את יו"ר וועדה שיהיה עובד משרד האוצר שימנה שר האוצר, עובד משרד הבינוי והשיכון שימנה שר הבינוי והשיכון ונציג הבנק שדרכו ניתנה ההלוואה. </w:t>
      </w:r>
    </w:p>
  </w:footnote>
  <w:footnote w:id="390">
    <w:p w:rsidR="00F74793" w:rsidP="001F2586">
      <w:pPr>
        <w:pStyle w:val="FootnoteText"/>
        <w:rPr>
          <w:rtl/>
        </w:rPr>
      </w:pPr>
      <w:r>
        <w:rPr>
          <w:rStyle w:val="FootnoteReference1"/>
        </w:rPr>
        <w:footnoteRef/>
      </w:r>
      <w:r>
        <w:rPr>
          <w:rtl/>
        </w:rPr>
        <w:t xml:space="preserve"> </w:t>
      </w:r>
      <w:r>
        <w:rPr>
          <w:rtl/>
        </w:rPr>
        <w:tab/>
      </w:r>
      <w:r>
        <w:rPr>
          <w:rFonts w:hint="cs"/>
          <w:rtl/>
        </w:rPr>
        <w:t>הוועדה נדרשת להכריע בבקשה לסיוע בתוך 60 ימים ממועד הגשת הבקשה לבנק שדרכו ניתנה ההלוואה ותציין בהחלטתה את האפשרות להגיש ערר על החלטתה בהתאם להוראות החוק.</w:t>
      </w:r>
    </w:p>
  </w:footnote>
  <w:footnote w:id="391">
    <w:p w:rsidR="00F74793" w:rsidP="001F2586">
      <w:pPr>
        <w:pStyle w:val="FootnoteText"/>
      </w:pPr>
      <w:r w:rsidRPr="00D51690">
        <w:rPr>
          <w:rStyle w:val="FootnoteReference1"/>
        </w:rPr>
        <w:footnoteRef/>
      </w:r>
      <w:r w:rsidRPr="00D51690">
        <w:rPr>
          <w:rtl/>
        </w:rPr>
        <w:t xml:space="preserve"> </w:t>
      </w:r>
      <w:r w:rsidRPr="00D51690">
        <w:rPr>
          <w:rtl/>
        </w:rPr>
        <w:tab/>
      </w:r>
      <w:r w:rsidRPr="00D51690">
        <w:rPr>
          <w:rFonts w:hint="cs"/>
          <w:rtl/>
        </w:rPr>
        <w:t>ראו פרק הקלות בתחום המשכנתאות בזמן מלחמת 'חרבות ברזל'.</w:t>
      </w:r>
    </w:p>
  </w:footnote>
  <w:footnote w:id="392">
    <w:p w:rsidR="00F74793" w:rsidP="001F2586">
      <w:pPr>
        <w:pStyle w:val="FootnoteText"/>
        <w:rPr>
          <w:rtl/>
        </w:rPr>
      </w:pPr>
      <w:r>
        <w:rPr>
          <w:rStyle w:val="FootnoteReference1"/>
        </w:rPr>
        <w:footnoteRef/>
      </w:r>
      <w:r>
        <w:rPr>
          <w:rtl/>
        </w:rPr>
        <w:t xml:space="preserve"> </w:t>
      </w:r>
      <w:r>
        <w:rPr>
          <w:rtl/>
        </w:rPr>
        <w:tab/>
      </w:r>
      <w:r>
        <w:rPr>
          <w:rFonts w:hint="cs"/>
          <w:rtl/>
        </w:rPr>
        <w:t xml:space="preserve">התוכניות נוצרו במטרה להקל על חסרי דירה לרכוש דירה בתנאים מועדפים או לשכור דירה ואין שוני בתנאי הזכאות לתוכניות. עם זאת קיימים כמה הבדלים ביניהם בכמה היבטים: 1) שיעור ההנחה - ההנחה במסלול מחיר למטרה מוגבלת ל-20% ממחיר הדירה (כולל מע"מ) או ל-300,000 ש"ח (נמוך </w:t>
      </w:r>
      <w:r>
        <w:rPr>
          <w:rFonts w:hint="cs"/>
          <w:rtl/>
        </w:rPr>
        <w:t>מביניהם</w:t>
      </w:r>
      <w:r>
        <w:rPr>
          <w:rFonts w:hint="cs"/>
          <w:rtl/>
        </w:rPr>
        <w:t>) ולא יותר מהיקף ההנחה כפי שנקבע במכרז; 2) ביצוע ההגרלה - בעת ביצוע ההגרלה במסלול מחיר מטרה ניתנת עדיפות לנכים רתוקים, ויש הבדל גם בנושא העדיפות הניתנת לטובת בני מקום (מלבד באזורי עדיפות לאומית א' אשר נשארים ללא שינוי); 3) מענקים - בתוכנית מחיר מטרה ומחיר מופחת ניתן מענק אחיד בגובה 40,000 ש"ח.</w:t>
      </w:r>
    </w:p>
  </w:footnote>
  <w:footnote w:id="393">
    <w:p w:rsidR="00F74793" w:rsidP="001F2586">
      <w:pPr>
        <w:pStyle w:val="FootnoteText"/>
        <w:rPr>
          <w:rtl/>
        </w:rPr>
      </w:pPr>
      <w:r>
        <w:rPr>
          <w:rStyle w:val="FootnoteReference1"/>
        </w:rPr>
        <w:footnoteRef/>
      </w:r>
      <w:r>
        <w:rPr>
          <w:rtl/>
        </w:rPr>
        <w:t xml:space="preserve"> </w:t>
      </w:r>
      <w:r>
        <w:rPr>
          <w:rtl/>
        </w:rPr>
        <w:tab/>
      </w:r>
      <w:r>
        <w:rPr>
          <w:rFonts w:hint="cs"/>
          <w:rtl/>
        </w:rPr>
        <w:t>לאחר 5 חודשים ממועד האיחור במסירה מוכפלים דמי השכירות ב-1.25 ולאחר 11 חודשים ואילך ממועד האיחור במסירה מוכפלים דמי השכירות ב-1.5.</w:t>
      </w:r>
    </w:p>
  </w:footnote>
  <w:footnote w:id="394">
    <w:p w:rsidR="00F74793" w:rsidP="00A15A9C">
      <w:pPr>
        <w:pStyle w:val="FootnoteText"/>
        <w:rPr>
          <w:rtl/>
        </w:rPr>
      </w:pPr>
      <w:r>
        <w:rPr>
          <w:rStyle w:val="FootnoteReference1"/>
        </w:rPr>
        <w:footnoteRef/>
      </w:r>
      <w:r>
        <w:rPr>
          <w:rtl/>
        </w:rPr>
        <w:t xml:space="preserve"> </w:t>
      </w:r>
      <w:r>
        <w:rPr>
          <w:rtl/>
        </w:rPr>
        <w:tab/>
      </w:r>
      <w:r>
        <w:rPr>
          <w:rFonts w:hint="cs"/>
          <w:rtl/>
        </w:rPr>
        <w:t>לרוב פריסת התשלומים תתבצע באופן הבא: 1)</w:t>
      </w:r>
      <w:r>
        <w:rPr>
          <w:rFonts w:hint="cs"/>
        </w:rPr>
        <w:t xml:space="preserve"> </w:t>
      </w:r>
      <w:r>
        <w:rPr>
          <w:rFonts w:hint="cs"/>
          <w:rtl/>
        </w:rPr>
        <w:t xml:space="preserve">סמוך למועד החתימה נדרש לשלם 7% ממחיר הדירה; 2) כעבור 45 ימים מחתימת החוזה נדרש לשלם עוד 13% ממחיר הדירה; 3) לאורך תקופת הבנייה נדרש לשלם עוד 70% ממחיר הדירה במספר תשלומים שווים ובמועדים קבועים, בהתאם למשך הבנייה שנקבע; 4) סמוך למועד מסירת הדירה לאכלוס נדרש לשלם 10% נוספים ממחיר הדירה. </w:t>
      </w:r>
    </w:p>
  </w:footnote>
  <w:footnote w:id="395">
    <w:p w:rsidR="00F74793" w:rsidP="00A15A9C">
      <w:pPr>
        <w:pStyle w:val="FootnoteText"/>
        <w:rPr>
          <w:rtl/>
        </w:rPr>
      </w:pPr>
      <w:r>
        <w:rPr>
          <w:rStyle w:val="FootnoteReference1"/>
        </w:rPr>
        <w:footnoteRef/>
      </w:r>
      <w:r>
        <w:rPr>
          <w:rtl/>
        </w:rPr>
        <w:t xml:space="preserve"> </w:t>
      </w:r>
      <w:r>
        <w:rPr>
          <w:rtl/>
        </w:rPr>
        <w:tab/>
      </w:r>
      <w:r>
        <w:rPr>
          <w:rFonts w:hint="cs"/>
          <w:rtl/>
        </w:rPr>
        <w:t>ראו הרחבה בתת-פרק מבצעי עידוד.</w:t>
      </w:r>
    </w:p>
  </w:footnote>
  <w:footnote w:id="396">
    <w:p w:rsidR="00F74793" w:rsidP="001F2586">
      <w:pPr>
        <w:pStyle w:val="FootnoteText"/>
      </w:pPr>
      <w:r>
        <w:rPr>
          <w:rStyle w:val="FootnoteReference1"/>
        </w:rPr>
        <w:footnoteRef/>
      </w:r>
      <w:r>
        <w:rPr>
          <w:rtl/>
        </w:rPr>
        <w:t xml:space="preserve"> </w:t>
      </w:r>
      <w:r>
        <w:rPr>
          <w:rtl/>
        </w:rPr>
        <w:tab/>
      </w:r>
      <w:r>
        <w:rPr>
          <w:rFonts w:hint="cs"/>
          <w:rtl/>
        </w:rPr>
        <w:t xml:space="preserve">הפיקוח על הבנקים, </w:t>
      </w:r>
      <w:r w:rsidRPr="00B4661A">
        <w:rPr>
          <w:rFonts w:hint="cs"/>
          <w:rtl/>
        </w:rPr>
        <w:t>מערכת הבנקאות בישראל - סקירה שנתית לשנת</w:t>
      </w:r>
      <w:r>
        <w:rPr>
          <w:rFonts w:hint="cs"/>
          <w:rtl/>
        </w:rPr>
        <w:t xml:space="preserve"> 2023 (מאי 2024), עמ' 150.</w:t>
      </w:r>
    </w:p>
  </w:footnote>
  <w:footnote w:id="397">
    <w:p w:rsidR="00F74793" w:rsidP="001F2586">
      <w:pPr>
        <w:pStyle w:val="FootnoteText"/>
      </w:pPr>
      <w:r>
        <w:rPr>
          <w:rStyle w:val="FootnoteReference1"/>
        </w:rPr>
        <w:footnoteRef/>
      </w:r>
      <w:r>
        <w:rPr>
          <w:rtl/>
        </w:rPr>
        <w:t xml:space="preserve"> </w:t>
      </w:r>
      <w:r>
        <w:rPr>
          <w:rtl/>
        </w:rPr>
        <w:tab/>
      </w:r>
      <w:r>
        <w:rPr>
          <w:rFonts w:hint="cs"/>
          <w:rtl/>
        </w:rPr>
        <w:t xml:space="preserve">יצוין כי מלבד מתווה הסיוע הפיקוח על הבנקים נתן הקלות שונות לבנקים במתן הלוואות לדיור </w:t>
      </w:r>
      <w:r w:rsidRPr="00B4661A">
        <w:rPr>
          <w:rFonts w:hint="cs"/>
          <w:rtl/>
        </w:rPr>
        <w:t>במסגרת הוראת שעה:</w:t>
      </w:r>
      <w:r>
        <w:rPr>
          <w:rFonts w:hint="cs"/>
          <w:rtl/>
        </w:rPr>
        <w:t xml:space="preserve"> </w:t>
      </w:r>
      <w:r w:rsidRPr="00FB13B3">
        <w:rPr>
          <w:rtl/>
        </w:rPr>
        <w:t xml:space="preserve">פטור ממגבלות </w:t>
      </w:r>
      <w:r>
        <w:rPr>
          <w:rFonts w:hint="cs"/>
          <w:rtl/>
        </w:rPr>
        <w:t>שונות כמו שיעור החזר מהכנסה וחלק הלוואה בריבית משתנה במתן הלוואות</w:t>
      </w:r>
      <w:r w:rsidRPr="00FB13B3">
        <w:rPr>
          <w:rtl/>
        </w:rPr>
        <w:t xml:space="preserve"> לבניית ממ"ד בסכום של עד 200,000 ש"ח</w:t>
      </w:r>
      <w:r>
        <w:rPr>
          <w:rFonts w:hint="cs"/>
          <w:rtl/>
        </w:rPr>
        <w:t xml:space="preserve">; </w:t>
      </w:r>
      <w:r w:rsidRPr="00FB13B3">
        <w:rPr>
          <w:rtl/>
        </w:rPr>
        <w:t>מתן הלוואות לכל מטרה בשיעור מימון של עד 70% (במקום 50%), ובלבד שסכום ההלוואה מעל 50% לא יעלה על 200,000 ש"ח</w:t>
      </w:r>
      <w:r>
        <w:rPr>
          <w:rFonts w:hint="cs"/>
          <w:rtl/>
        </w:rPr>
        <w:t xml:space="preserve">. מקור: המפקח על הבנקים, </w:t>
      </w:r>
      <w:r w:rsidRPr="00B4661A">
        <w:rPr>
          <w:rFonts w:hint="cs"/>
          <w:rtl/>
        </w:rPr>
        <w:t>נב"ת</w:t>
      </w:r>
      <w:r w:rsidRPr="00B4661A">
        <w:rPr>
          <w:rFonts w:hint="cs"/>
          <w:rtl/>
        </w:rPr>
        <w:t xml:space="preserve"> 251 - </w:t>
      </w:r>
      <w:r w:rsidRPr="00B4661A">
        <w:rPr>
          <w:rtl/>
        </w:rPr>
        <w:t>התאמות להוראות ניהול בנקאי תקין לצורך התמודדות עם מלחמת "חרבות</w:t>
      </w:r>
      <w:r w:rsidRPr="00B4661A">
        <w:rPr>
          <w:rFonts w:hint="cs"/>
          <w:rtl/>
        </w:rPr>
        <w:t xml:space="preserve"> </w:t>
      </w:r>
      <w:r w:rsidRPr="00B4661A">
        <w:rPr>
          <w:rtl/>
        </w:rPr>
        <w:t xml:space="preserve">ברזל" </w:t>
      </w:r>
      <w:r w:rsidRPr="00B4661A">
        <w:rPr>
          <w:rFonts w:hint="cs"/>
          <w:rtl/>
        </w:rPr>
        <w:t>(</w:t>
      </w:r>
      <w:r w:rsidRPr="00B4661A">
        <w:rPr>
          <w:rtl/>
        </w:rPr>
        <w:t>הוראת שעה</w:t>
      </w:r>
      <w:r w:rsidRPr="00B4661A">
        <w:rPr>
          <w:rFonts w:hint="cs"/>
          <w:rtl/>
        </w:rPr>
        <w:t>)</w:t>
      </w:r>
      <w:r>
        <w:rPr>
          <w:rFonts w:hint="cs"/>
          <w:rtl/>
        </w:rPr>
        <w:t>, 12/25.</w:t>
      </w:r>
    </w:p>
  </w:footnote>
  <w:footnote w:id="398">
    <w:p w:rsidR="00F74793" w:rsidP="001F2586">
      <w:pPr>
        <w:pStyle w:val="FootnoteText"/>
      </w:pPr>
      <w:r>
        <w:rPr>
          <w:rStyle w:val="FootnoteReference1"/>
        </w:rPr>
        <w:footnoteRef/>
      </w:r>
      <w:r>
        <w:rPr>
          <w:rtl/>
        </w:rPr>
        <w:t xml:space="preserve"> </w:t>
      </w:r>
      <w:r>
        <w:rPr>
          <w:rtl/>
        </w:rPr>
        <w:tab/>
      </w:r>
      <w:r>
        <w:rPr>
          <w:rFonts w:hint="cs"/>
          <w:rtl/>
        </w:rPr>
        <w:t>עוד בעניין מתווי הסיוע שבנק ישראל נקט בהם באוקטובר 2023 - מרץ 2024 ראו בדוח מבקר המדינה בנושא "</w:t>
      </w:r>
      <w:r w:rsidRPr="00B4661A">
        <w:rPr>
          <w:rFonts w:hint="cs"/>
          <w:rtl/>
        </w:rPr>
        <w:t>ההיערכות הכלכלית לאירוע מלחמה וניהול תקציבי מלחמת חרבות ברזל בשנים 2023 -</w:t>
      </w:r>
      <w:r>
        <w:rPr>
          <w:rFonts w:hint="cs"/>
          <w:rtl/>
        </w:rPr>
        <w:t xml:space="preserve"> 2024". </w:t>
      </w:r>
    </w:p>
  </w:footnote>
  <w:footnote w:id="399">
    <w:p w:rsidR="00F74793" w:rsidP="001F2586">
      <w:pPr>
        <w:pStyle w:val="FootnoteText"/>
        <w:rPr>
          <w:rtl/>
        </w:rPr>
      </w:pPr>
      <w:r>
        <w:rPr>
          <w:rStyle w:val="FootnoteReference1"/>
        </w:rPr>
        <w:footnoteRef/>
      </w:r>
      <w:r>
        <w:rPr>
          <w:rtl/>
        </w:rPr>
        <w:t xml:space="preserve"> </w:t>
      </w:r>
      <w:r>
        <w:rPr>
          <w:rtl/>
        </w:rPr>
        <w:tab/>
      </w:r>
      <w:r w:rsidRPr="003F3C62">
        <w:rPr>
          <w:rtl/>
        </w:rPr>
        <w:t xml:space="preserve">בנק ישראל, דוברות והסברה כלכלית, </w:t>
      </w:r>
      <w:r w:rsidRPr="00B4661A">
        <w:rPr>
          <w:rtl/>
        </w:rPr>
        <w:t xml:space="preserve">הודעה לעיתונות - </w:t>
      </w:r>
      <w:r w:rsidRPr="00B4661A">
        <w:rPr>
          <w:rFonts w:hint="cs"/>
          <w:rtl/>
        </w:rPr>
        <w:t>"</w:t>
      </w:r>
      <w:r w:rsidRPr="00B4661A">
        <w:rPr>
          <w:rtl/>
        </w:rPr>
        <w:t>בנק ישראל גיבש מתווה סיוע שאומץ על ידי הבנקים במטרה</w:t>
      </w:r>
      <w:r w:rsidRPr="00B4661A">
        <w:rPr>
          <w:rFonts w:hint="cs"/>
          <w:rtl/>
        </w:rPr>
        <w:t xml:space="preserve"> </w:t>
      </w:r>
      <w:r w:rsidRPr="00B4661A">
        <w:rPr>
          <w:rtl/>
        </w:rPr>
        <w:t>לתמוך בלקוחות המתמודדים עם השלכות מבצע "עם כלביא</w:t>
      </w:r>
      <w:r>
        <w:rPr>
          <w:rFonts w:hint="cs"/>
          <w:rtl/>
        </w:rPr>
        <w:t>" ", 17.6.25.</w:t>
      </w:r>
    </w:p>
  </w:footnote>
  <w:footnote w:id="400">
    <w:p w:rsidR="00F74793" w:rsidP="001F2586">
      <w:pPr>
        <w:pStyle w:val="FootnoteText"/>
        <w:rPr>
          <w:rtl/>
        </w:rPr>
      </w:pPr>
      <w:r>
        <w:rPr>
          <w:rStyle w:val="FootnoteReference1"/>
        </w:rPr>
        <w:footnoteRef/>
      </w:r>
      <w:r>
        <w:rPr>
          <w:rtl/>
        </w:rPr>
        <w:t xml:space="preserve"> </w:t>
      </w:r>
      <w:r>
        <w:rPr>
          <w:rtl/>
        </w:rPr>
        <w:tab/>
      </w:r>
      <w:r>
        <w:rPr>
          <w:rFonts w:hint="cs"/>
          <w:rtl/>
        </w:rPr>
        <w:t>קבוצת הלקוחות במעגל הראשון כוללת את אוכלוסיות אלו: מתגוררת</w:t>
      </w:r>
      <w:r w:rsidRPr="00B443BE">
        <w:rPr>
          <w:rtl/>
        </w:rPr>
        <w:t xml:space="preserve"> במרחק של עד 30 ק"מ מרצועת עזה</w:t>
      </w:r>
      <w:r>
        <w:rPr>
          <w:rFonts w:hint="cs"/>
          <w:rtl/>
        </w:rPr>
        <w:t xml:space="preserve">; </w:t>
      </w:r>
      <w:r w:rsidRPr="00B443BE">
        <w:rPr>
          <w:rtl/>
        </w:rPr>
        <w:t>פונתה על ידי גורם רשמי מביתה</w:t>
      </w:r>
      <w:r>
        <w:rPr>
          <w:rFonts w:hint="cs"/>
          <w:rtl/>
        </w:rPr>
        <w:t xml:space="preserve">; </w:t>
      </w:r>
      <w:r w:rsidRPr="00B443BE">
        <w:rPr>
          <w:rtl/>
        </w:rPr>
        <w:t>בעלת קרבה ראשונה (בני זוג, הורים וילדים) להרוגי המלחמה או לחטופים או לנעדרים</w:t>
      </w:r>
      <w:r>
        <w:rPr>
          <w:rFonts w:hint="cs"/>
          <w:rtl/>
        </w:rPr>
        <w:t>; ומשרתי המילואים.</w:t>
      </w:r>
    </w:p>
  </w:footnote>
  <w:footnote w:id="401">
    <w:p w:rsidR="00F74793" w:rsidP="001F2586">
      <w:pPr>
        <w:pStyle w:val="FootnoteText"/>
      </w:pPr>
      <w:r>
        <w:rPr>
          <w:rStyle w:val="FootnoteReference1"/>
        </w:rPr>
        <w:footnoteRef/>
      </w:r>
      <w:r>
        <w:rPr>
          <w:rtl/>
        </w:rPr>
        <w:t xml:space="preserve"> </w:t>
      </w:r>
      <w:r>
        <w:rPr>
          <w:rtl/>
        </w:rPr>
        <w:tab/>
      </w:r>
      <w:r>
        <w:rPr>
          <w:rFonts w:hint="cs"/>
          <w:rtl/>
        </w:rPr>
        <w:t>תושבי</w:t>
      </w:r>
      <w:r w:rsidRPr="00564C37">
        <w:rPr>
          <w:rtl/>
        </w:rPr>
        <w:t xml:space="preserve"> יישובי צפון הארץ</w:t>
      </w:r>
      <w:r>
        <w:rPr>
          <w:rFonts w:hint="cs"/>
          <w:rtl/>
        </w:rPr>
        <w:t xml:space="preserve"> א</w:t>
      </w:r>
      <w:r w:rsidRPr="00564C37">
        <w:rPr>
          <w:rtl/>
        </w:rPr>
        <w:t>שר פונו</w:t>
      </w:r>
      <w:r>
        <w:rPr>
          <w:rFonts w:hint="cs"/>
          <w:rtl/>
        </w:rPr>
        <w:t xml:space="preserve"> על</w:t>
      </w:r>
      <w:r w:rsidRPr="00564C37">
        <w:rPr>
          <w:rtl/>
        </w:rPr>
        <w:t xml:space="preserve"> ידי גורם מדינתי רשמי נכון לתאריך 7.11.23</w:t>
      </w:r>
      <w:r>
        <w:rPr>
          <w:rFonts w:hint="cs"/>
          <w:rtl/>
        </w:rPr>
        <w:t>.</w:t>
      </w:r>
    </w:p>
  </w:footnote>
  <w:footnote w:id="402">
    <w:p w:rsidR="00F74793" w:rsidP="001F2586">
      <w:pPr>
        <w:pStyle w:val="FootnoteText"/>
      </w:pPr>
      <w:r>
        <w:rPr>
          <w:rStyle w:val="FootnoteReference1"/>
        </w:rPr>
        <w:footnoteRef/>
      </w:r>
      <w:r>
        <w:rPr>
          <w:rtl/>
        </w:rPr>
        <w:t xml:space="preserve"> </w:t>
      </w:r>
      <w:r>
        <w:rPr>
          <w:rtl/>
        </w:rPr>
        <w:tab/>
      </w:r>
      <w:r>
        <w:rPr>
          <w:rFonts w:hint="cs"/>
          <w:rtl/>
        </w:rPr>
        <w:t xml:space="preserve">האוכלוסיות הנוספות הן: </w:t>
      </w:r>
      <w:r>
        <w:rPr>
          <w:rtl/>
        </w:rPr>
        <w:t>חטופים ונעדרים</w:t>
      </w:r>
      <w:r>
        <w:rPr>
          <w:rFonts w:hint="cs"/>
          <w:rtl/>
        </w:rPr>
        <w:t>, אחים שלהם (שלא נכללו בקרובי משפחה של חטופים או נעדרי</w:t>
      </w:r>
      <w:r>
        <w:rPr>
          <w:rFonts w:hint="eastAsia"/>
          <w:rtl/>
        </w:rPr>
        <w:t>ם</w:t>
      </w:r>
      <w:r>
        <w:rPr>
          <w:rFonts w:hint="cs"/>
          <w:rtl/>
        </w:rPr>
        <w:t xml:space="preserve"> במתווה מיום 15.10.23) ו</w:t>
      </w:r>
      <w:r>
        <w:rPr>
          <w:rtl/>
        </w:rPr>
        <w:t>משתתפי מסיבת "נובה" ברעים.</w:t>
      </w:r>
    </w:p>
  </w:footnote>
  <w:footnote w:id="403">
    <w:p w:rsidR="00F74793" w:rsidP="001F2586">
      <w:pPr>
        <w:pStyle w:val="FootnoteText"/>
      </w:pPr>
      <w:r>
        <w:rPr>
          <w:rStyle w:val="FootnoteReference1"/>
        </w:rPr>
        <w:footnoteRef/>
      </w:r>
      <w:r>
        <w:rPr>
          <w:rtl/>
        </w:rPr>
        <w:t xml:space="preserve"> </w:t>
      </w:r>
      <w:r>
        <w:rPr>
          <w:rtl/>
        </w:rPr>
        <w:tab/>
      </w:r>
      <w:r>
        <w:rPr>
          <w:rFonts w:hint="cs"/>
          <w:rtl/>
        </w:rPr>
        <w:t xml:space="preserve">האוכלוסיות הנוספות הן: </w:t>
      </w:r>
      <w:r w:rsidRPr="00CC1707">
        <w:rPr>
          <w:rtl/>
        </w:rPr>
        <w:t>תושבי 8 ישובים בצפון שהתקבלה החלטת ממשלה לפנות אותם אך הם טרם פונו בפועל</w:t>
      </w:r>
      <w:r>
        <w:rPr>
          <w:rFonts w:hint="cs"/>
          <w:rtl/>
        </w:rPr>
        <w:t>; ח</w:t>
      </w:r>
      <w:r w:rsidRPr="00CC1707">
        <w:rPr>
          <w:rtl/>
        </w:rPr>
        <w:t>יילי מילואים שאושפזו בבית חולים לתקופה של שבעה ימים לפחות בשל פציעה שנגרמה להם במהלך המלחמה</w:t>
      </w:r>
      <w:r>
        <w:rPr>
          <w:rFonts w:hint="cs"/>
          <w:rtl/>
        </w:rPr>
        <w:t xml:space="preserve">; </w:t>
      </w:r>
      <w:r w:rsidRPr="00CC1707">
        <w:rPr>
          <w:rtl/>
        </w:rPr>
        <w:t>נפגעי מסיבת "</w:t>
      </w:r>
      <w:r w:rsidRPr="00CC1707">
        <w:rPr>
          <w:rtl/>
        </w:rPr>
        <w:t>פסייאדק</w:t>
      </w:r>
      <w:r w:rsidRPr="00CC1707">
        <w:rPr>
          <w:rtl/>
        </w:rPr>
        <w:t>"</w:t>
      </w:r>
      <w:r>
        <w:rPr>
          <w:rFonts w:hint="cs"/>
          <w:rtl/>
        </w:rPr>
        <w:t>;</w:t>
      </w:r>
      <w:r w:rsidRPr="00CC1707">
        <w:rPr>
          <w:rtl/>
        </w:rPr>
        <w:t xml:space="preserve"> </w:t>
      </w:r>
      <w:r>
        <w:rPr>
          <w:rFonts w:hint="cs"/>
          <w:rtl/>
        </w:rPr>
        <w:t xml:space="preserve">ונפגעי </w:t>
      </w:r>
      <w:r w:rsidRPr="00CC1707">
        <w:rPr>
          <w:rtl/>
        </w:rPr>
        <w:t>מפגש ההיערכות לפסטיבל "</w:t>
      </w:r>
      <w:r w:rsidRPr="00CC1707">
        <w:rPr>
          <w:rtl/>
        </w:rPr>
        <w:t>מידברן</w:t>
      </w:r>
      <w:r w:rsidRPr="00CC1707">
        <w:rPr>
          <w:rtl/>
        </w:rPr>
        <w:t>"</w:t>
      </w:r>
      <w:r>
        <w:rPr>
          <w:rFonts w:hint="cs"/>
          <w:rtl/>
        </w:rPr>
        <w:t>.</w:t>
      </w:r>
    </w:p>
  </w:footnote>
  <w:footnote w:id="404">
    <w:p w:rsidR="00F74793" w:rsidP="001F2586">
      <w:pPr>
        <w:pStyle w:val="FootnoteText"/>
        <w:rPr>
          <w:rtl/>
        </w:rPr>
      </w:pPr>
      <w:r>
        <w:rPr>
          <w:rStyle w:val="FootnoteReference1"/>
        </w:rPr>
        <w:footnoteRef/>
      </w:r>
      <w:r>
        <w:rPr>
          <w:rtl/>
        </w:rPr>
        <w:t xml:space="preserve"> </w:t>
      </w:r>
      <w:r>
        <w:rPr>
          <w:rtl/>
        </w:rPr>
        <w:tab/>
      </w:r>
      <w:r>
        <w:rPr>
          <w:rFonts w:hint="cs"/>
          <w:rtl/>
        </w:rPr>
        <w:t>ההקלות יינתנו ל</w:t>
      </w:r>
      <w:r w:rsidRPr="006B6611">
        <w:rPr>
          <w:rtl/>
        </w:rPr>
        <w:t>אוכלוסייה המתגוררת בטווח של עד 7 ק"מ מרצועת עזה (במקום עד 30 ק"מ מרצועת עזה).</w:t>
      </w:r>
    </w:p>
  </w:footnote>
  <w:footnote w:id="405">
    <w:p w:rsidR="00F74793" w:rsidP="001F2586">
      <w:pPr>
        <w:pStyle w:val="FootnoteText"/>
        <w:rPr>
          <w:rtl/>
        </w:rPr>
      </w:pPr>
      <w:r>
        <w:rPr>
          <w:rStyle w:val="FootnoteReference1"/>
        </w:rPr>
        <w:footnoteRef/>
      </w:r>
      <w:r>
        <w:rPr>
          <w:rtl/>
        </w:rPr>
        <w:t xml:space="preserve"> </w:t>
      </w:r>
      <w:r>
        <w:rPr>
          <w:rtl/>
        </w:rPr>
        <w:tab/>
      </w:r>
      <w:r>
        <w:rPr>
          <w:rFonts w:hint="cs"/>
          <w:rtl/>
        </w:rPr>
        <w:t>תושבי</w:t>
      </w:r>
      <w:r>
        <w:rPr>
          <w:rtl/>
        </w:rPr>
        <w:t xml:space="preserve"> היישובים בצפון אשר פונו על ידי גורם רשמי נכון לתאריך 7.11.23</w:t>
      </w:r>
      <w:r>
        <w:rPr>
          <w:rFonts w:hint="cs"/>
          <w:rtl/>
        </w:rPr>
        <w:t xml:space="preserve"> ותושבי היישובים </w:t>
      </w:r>
      <w:r>
        <w:rPr>
          <w:rtl/>
        </w:rPr>
        <w:t xml:space="preserve">בצפון אשר התקבלה החלטת ממשלה לפנות </w:t>
      </w:r>
      <w:r>
        <w:rPr>
          <w:rFonts w:hint="cs"/>
          <w:rtl/>
        </w:rPr>
        <w:t>אותם</w:t>
      </w:r>
      <w:r>
        <w:rPr>
          <w:rtl/>
        </w:rPr>
        <w:t xml:space="preserve"> אך טרם </w:t>
      </w:r>
      <w:r>
        <w:rPr>
          <w:rFonts w:hint="cs"/>
          <w:rtl/>
        </w:rPr>
        <w:t>פונו</w:t>
      </w:r>
      <w:r>
        <w:rPr>
          <w:rtl/>
        </w:rPr>
        <w:t xml:space="preserve"> בפועל</w:t>
      </w:r>
      <w:r>
        <w:rPr>
          <w:rFonts w:hint="cs"/>
          <w:rtl/>
        </w:rPr>
        <w:t>.</w:t>
      </w:r>
    </w:p>
  </w:footnote>
  <w:footnote w:id="406">
    <w:p w:rsidR="00F74793" w:rsidP="001F2586">
      <w:pPr>
        <w:pStyle w:val="FootnoteText"/>
      </w:pPr>
      <w:r>
        <w:rPr>
          <w:rStyle w:val="FootnoteReference1"/>
        </w:rPr>
        <w:footnoteRef/>
      </w:r>
      <w:r>
        <w:rPr>
          <w:rtl/>
        </w:rPr>
        <w:t xml:space="preserve"> </w:t>
      </w:r>
      <w:r>
        <w:rPr>
          <w:rtl/>
        </w:rPr>
        <w:tab/>
        <w:t xml:space="preserve">חיילי מילואים הנמצאים בשירות מילואים פעיל בתקופת המתווה המעודכן, </w:t>
      </w:r>
      <w:r>
        <w:rPr>
          <w:rFonts w:hint="cs"/>
          <w:rtl/>
        </w:rPr>
        <w:t>כלומר</w:t>
      </w:r>
      <w:r>
        <w:rPr>
          <w:rtl/>
        </w:rPr>
        <w:t xml:space="preserve"> בין התאריכים 1.10.24-31.12.24.</w:t>
      </w:r>
    </w:p>
  </w:footnote>
  <w:footnote w:id="407">
    <w:p w:rsidR="00F74793" w:rsidP="001F2586">
      <w:pPr>
        <w:pStyle w:val="FootnoteText"/>
      </w:pPr>
      <w:r>
        <w:rPr>
          <w:rStyle w:val="FootnoteReference1"/>
        </w:rPr>
        <w:footnoteRef/>
      </w:r>
      <w:r>
        <w:rPr>
          <w:rtl/>
        </w:rPr>
        <w:t xml:space="preserve"> </w:t>
      </w:r>
      <w:r>
        <w:rPr>
          <w:rtl/>
        </w:rPr>
        <w:tab/>
      </w:r>
      <w:r>
        <w:rPr>
          <w:rFonts w:hint="cs"/>
          <w:rtl/>
        </w:rPr>
        <w:t>לא נכללה בהארכת המתווה</w:t>
      </w:r>
      <w:r w:rsidRPr="000C41C9">
        <w:rPr>
          <w:rtl/>
        </w:rPr>
        <w:t xml:space="preserve"> האוכלוסייה המתגוררת בטווח של עד 7 ק"מ מרצועת עזה</w:t>
      </w:r>
      <w:r>
        <w:rPr>
          <w:rFonts w:hint="cs"/>
          <w:rtl/>
        </w:rPr>
        <w:t xml:space="preserve">, עבורה מתן ההקלות </w:t>
      </w:r>
      <w:r w:rsidRPr="000C41C9">
        <w:rPr>
          <w:rtl/>
        </w:rPr>
        <w:t>יהיה לשיקול דעת הבנק.</w:t>
      </w:r>
    </w:p>
  </w:footnote>
  <w:footnote w:id="408">
    <w:p w:rsidR="00F74793" w:rsidP="001F2586">
      <w:pPr>
        <w:pStyle w:val="FootnoteText"/>
      </w:pPr>
      <w:r>
        <w:rPr>
          <w:rStyle w:val="FootnoteReference1"/>
        </w:rPr>
        <w:footnoteRef/>
      </w:r>
      <w:r>
        <w:rPr>
          <w:rtl/>
        </w:rPr>
        <w:t xml:space="preserve"> </w:t>
      </w:r>
      <w:r>
        <w:rPr>
          <w:rtl/>
        </w:rPr>
        <w:tab/>
      </w:r>
      <w:r w:rsidRPr="000C41C9">
        <w:rPr>
          <w:rtl/>
        </w:rPr>
        <w:t xml:space="preserve">חיילי מילואים הנמצאים בשירות מילואים פעיל בתקופת המתווה המעודכן, </w:t>
      </w:r>
      <w:r>
        <w:rPr>
          <w:rFonts w:hint="cs"/>
          <w:rtl/>
        </w:rPr>
        <w:t xml:space="preserve">כלומר </w:t>
      </w:r>
      <w:r w:rsidRPr="000C41C9">
        <w:rPr>
          <w:rtl/>
        </w:rPr>
        <w:t>בין התאריכים 1.1.25-31.3.25.</w:t>
      </w:r>
    </w:p>
  </w:footnote>
  <w:footnote w:id="409">
    <w:p w:rsidR="00F74793" w:rsidP="006C61C1">
      <w:pPr>
        <w:pStyle w:val="FootnoteText"/>
      </w:pPr>
      <w:r>
        <w:rPr>
          <w:rStyle w:val="FootnoteReference1"/>
        </w:rPr>
        <w:footnoteRef/>
      </w:r>
      <w:r>
        <w:rPr>
          <w:rtl/>
        </w:rPr>
        <w:t xml:space="preserve"> </w:t>
      </w:r>
      <w:r>
        <w:rPr>
          <w:rtl/>
        </w:rPr>
        <w:tab/>
      </w:r>
      <w:r>
        <w:rPr>
          <w:rFonts w:hint="cs"/>
          <w:rtl/>
        </w:rPr>
        <w:t xml:space="preserve">יצוין כי </w:t>
      </w:r>
      <w:r w:rsidRPr="0012171C">
        <w:rPr>
          <w:rFonts w:hint="cs"/>
          <w:rtl/>
        </w:rPr>
        <w:t>בפגישה שנערכה עם הפיקוח על הבנקים ב-7.7.25</w:t>
      </w:r>
      <w:r>
        <w:rPr>
          <w:rFonts w:hint="cs"/>
          <w:rtl/>
        </w:rPr>
        <w:t xml:space="preserve"> נמסר כי חלק מהבנקים הוציאו מתווה ללקוחותיהם עוד לפני חודש יולי 2025.</w:t>
      </w:r>
    </w:p>
  </w:footnote>
  <w:footnote w:id="410">
    <w:p w:rsidR="00F74793" w:rsidP="006C61C1">
      <w:pPr>
        <w:pStyle w:val="FootnoteText"/>
      </w:pPr>
      <w:r>
        <w:rPr>
          <w:rStyle w:val="FootnoteReference1"/>
        </w:rPr>
        <w:footnoteRef/>
      </w:r>
      <w:r>
        <w:rPr>
          <w:rtl/>
        </w:rPr>
        <w:t xml:space="preserve"> </w:t>
      </w:r>
      <w:r>
        <w:rPr>
          <w:rtl/>
        </w:rPr>
        <w:tab/>
      </w:r>
      <w:r>
        <w:rPr>
          <w:rFonts w:hint="cs"/>
          <w:rtl/>
        </w:rPr>
        <w:t>יצוין כי עבור בתי עסק של חיילי מילואים ניתן פטור לתקופה של חודשיים מחיוב ריבית על מינוס בחשבון העסקי של עד 30,000 ש"ח, שהטבה זו ניתנה</w:t>
      </w:r>
      <w:r w:rsidRPr="00506740">
        <w:rPr>
          <w:rtl/>
        </w:rPr>
        <w:t xml:space="preserve"> באופן פרואקטיבי </w:t>
      </w:r>
      <w:r>
        <w:rPr>
          <w:rFonts w:hint="cs"/>
          <w:rtl/>
        </w:rPr>
        <w:t xml:space="preserve">על ידי הבנקים </w:t>
      </w:r>
      <w:r w:rsidRPr="00506740">
        <w:rPr>
          <w:rtl/>
        </w:rPr>
        <w:t>דרך פנייה יזומה</w:t>
      </w:r>
      <w:r>
        <w:rPr>
          <w:rFonts w:hint="cs"/>
          <w:rtl/>
        </w:rPr>
        <w:t xml:space="preserve"> שלהם</w:t>
      </w:r>
      <w:r w:rsidRPr="00506740">
        <w:rPr>
          <w:rtl/>
        </w:rPr>
        <w:t xml:space="preserve"> ללקוחות ("</w:t>
      </w:r>
      <w:r w:rsidRPr="00506740">
        <w:t>Push</w:t>
      </w:r>
      <w:r w:rsidRPr="00506740">
        <w:rPr>
          <w:rtl/>
        </w:rPr>
        <w:t>")</w:t>
      </w:r>
      <w:r>
        <w:rPr>
          <w:rFonts w:hint="cs"/>
          <w:rtl/>
        </w:rPr>
        <w:t>.</w:t>
      </w:r>
    </w:p>
  </w:footnote>
  <w:footnote w:id="411">
    <w:p w:rsidR="00F74793" w:rsidP="001F2586">
      <w:pPr>
        <w:pStyle w:val="FootnoteText"/>
      </w:pPr>
      <w:r>
        <w:rPr>
          <w:rStyle w:val="FootnoteReference1"/>
        </w:rPr>
        <w:footnoteRef/>
      </w:r>
      <w:r>
        <w:rPr>
          <w:rtl/>
        </w:rPr>
        <w:t xml:space="preserve"> </w:t>
      </w:r>
      <w:r>
        <w:rPr>
          <w:rtl/>
        </w:rPr>
        <w:tab/>
      </w:r>
      <w:r>
        <w:rPr>
          <w:rFonts w:hint="cs"/>
          <w:rtl/>
        </w:rPr>
        <w:t xml:space="preserve">מבקר המדינה, דוח ביקורת מיוחד - </w:t>
      </w:r>
      <w:r w:rsidRPr="00B4661A">
        <w:rPr>
          <w:rFonts w:hint="cs"/>
          <w:rtl/>
        </w:rPr>
        <w:t>ההיערכות הכלכלית לשעת חירום לפני מלחמת חרבות ברזל (נובמבר 2025</w:t>
      </w:r>
      <w:r>
        <w:rPr>
          <w:rFonts w:hint="cs"/>
          <w:rtl/>
        </w:rPr>
        <w:t>), עמ' 82 - 83.</w:t>
      </w:r>
    </w:p>
  </w:footnote>
  <w:footnote w:id="412">
    <w:p w:rsidR="00F74793" w:rsidP="001F2586">
      <w:pPr>
        <w:pStyle w:val="FootnoteText"/>
      </w:pPr>
      <w:r>
        <w:rPr>
          <w:rStyle w:val="FootnoteReference1"/>
        </w:rPr>
        <w:footnoteRef/>
      </w:r>
      <w:r>
        <w:rPr>
          <w:rtl/>
        </w:rPr>
        <w:t xml:space="preserve"> </w:t>
      </w:r>
      <w:r>
        <w:rPr>
          <w:rtl/>
        </w:rPr>
        <w:tab/>
      </w:r>
      <w:r>
        <w:rPr>
          <w:rFonts w:hint="cs"/>
          <w:rtl/>
        </w:rPr>
        <w:t xml:space="preserve">יצוין כי </w:t>
      </w:r>
      <w:r w:rsidRPr="00B4661A">
        <w:rPr>
          <w:rFonts w:hint="cs"/>
          <w:rtl/>
        </w:rPr>
        <w:t>במתווה שגובש במשבר הקורונה</w:t>
      </w:r>
      <w:r>
        <w:rPr>
          <w:rFonts w:hint="cs"/>
          <w:rtl/>
        </w:rPr>
        <w:t xml:space="preserve"> ב-7.5.2020</w:t>
      </w:r>
      <w:r w:rsidRPr="00E3199F">
        <w:rPr>
          <w:rtl/>
        </w:rPr>
        <w:t xml:space="preserve"> אפשרו ללווים לדחות את תשלומי המשכנתאות לתקופה של עד 6 חודשים, שהדחייה כרוכה בתשלום ריבית </w:t>
      </w:r>
      <w:r>
        <w:rPr>
          <w:rFonts w:hint="cs"/>
          <w:rtl/>
        </w:rPr>
        <w:t>עד לגובה הריבית</w:t>
      </w:r>
      <w:r w:rsidRPr="00E3199F">
        <w:rPr>
          <w:rtl/>
        </w:rPr>
        <w:t xml:space="preserve"> בחוזה ההלוואה והתשלומים הנדחים נפרסים על כל יתרת תקופת ההלוואה. </w:t>
      </w:r>
      <w:r>
        <w:rPr>
          <w:rFonts w:hint="cs"/>
          <w:rtl/>
        </w:rPr>
        <w:t xml:space="preserve">יצוין כי בהמשך </w:t>
      </w:r>
      <w:r w:rsidRPr="00B4661A">
        <w:rPr>
          <w:rtl/>
        </w:rPr>
        <w:t xml:space="preserve">מתווה זה הוארך </w:t>
      </w:r>
      <w:r>
        <w:rPr>
          <w:rFonts w:hint="cs"/>
          <w:rtl/>
        </w:rPr>
        <w:t>מספר פעמים</w:t>
      </w:r>
      <w:r w:rsidRPr="00E3199F">
        <w:rPr>
          <w:rtl/>
        </w:rPr>
        <w:t xml:space="preserve"> ואפשר </w:t>
      </w:r>
      <w:r>
        <w:rPr>
          <w:rFonts w:hint="cs"/>
          <w:rtl/>
        </w:rPr>
        <w:t>ללווים שהוגדרו באוכלוסיית יעד על פי מצב הכנסה</w:t>
      </w:r>
      <w:r w:rsidRPr="00E3199F">
        <w:rPr>
          <w:rtl/>
        </w:rPr>
        <w:t xml:space="preserve"> לדחות את תשלומי ההלוואות לתקופה של בין 6</w:t>
      </w:r>
      <w:r>
        <w:rPr>
          <w:rFonts w:hint="cs"/>
          <w:rtl/>
        </w:rPr>
        <w:t xml:space="preserve"> - 9 </w:t>
      </w:r>
      <w:r w:rsidRPr="00E3199F">
        <w:rPr>
          <w:rtl/>
        </w:rPr>
        <w:t>חודשים</w:t>
      </w:r>
      <w:r>
        <w:rPr>
          <w:rFonts w:hint="cs"/>
          <w:rtl/>
        </w:rPr>
        <w:t xml:space="preserve">. </w:t>
      </w:r>
    </w:p>
  </w:footnote>
  <w:footnote w:id="413">
    <w:p w:rsidR="00F74793" w:rsidRPr="00AB0E51" w:rsidP="001F2586">
      <w:pPr>
        <w:pStyle w:val="FootnoteText"/>
      </w:pPr>
      <w:r>
        <w:rPr>
          <w:rStyle w:val="FootnoteReference1"/>
        </w:rPr>
        <w:footnoteRef/>
      </w:r>
      <w:r>
        <w:rPr>
          <w:rtl/>
        </w:rPr>
        <w:t xml:space="preserve"> </w:t>
      </w:r>
      <w:r>
        <w:rPr>
          <w:rtl/>
        </w:rPr>
        <w:tab/>
      </w:r>
      <w:r>
        <w:rPr>
          <w:rFonts w:hint="cs"/>
          <w:rtl/>
        </w:rPr>
        <w:t xml:space="preserve">הפיקוח על הבנקים, </w:t>
      </w:r>
      <w:r w:rsidRPr="00B4661A">
        <w:rPr>
          <w:rFonts w:hint="cs"/>
          <w:rtl/>
        </w:rPr>
        <w:t>מערכת הבנקאות בישראל - סקירה שנתית לשנת</w:t>
      </w:r>
      <w:r>
        <w:rPr>
          <w:rFonts w:hint="cs"/>
          <w:rtl/>
        </w:rPr>
        <w:t xml:space="preserve"> 2023 (מאי 2024), עמ' 150. </w:t>
      </w:r>
    </w:p>
  </w:footnote>
  <w:footnote w:id="414">
    <w:p w:rsidR="00F74793" w:rsidP="001F2586">
      <w:pPr>
        <w:pStyle w:val="FootnoteText"/>
      </w:pPr>
      <w:r>
        <w:rPr>
          <w:rStyle w:val="FootnoteReference1"/>
        </w:rPr>
        <w:footnoteRef/>
      </w:r>
      <w:r>
        <w:rPr>
          <w:rtl/>
        </w:rPr>
        <w:t xml:space="preserve"> </w:t>
      </w:r>
      <w:r>
        <w:rPr>
          <w:rtl/>
        </w:rPr>
        <w:tab/>
      </w:r>
      <w:r>
        <w:rPr>
          <w:rFonts w:hint="cs"/>
          <w:rtl/>
        </w:rPr>
        <w:t xml:space="preserve">מבקר המדינה, דוח ביקורת מיוחד - </w:t>
      </w:r>
      <w:r w:rsidRPr="00B4661A">
        <w:rPr>
          <w:rFonts w:hint="cs"/>
          <w:rtl/>
        </w:rPr>
        <w:t>ההיערכות הכלכלית לשעת חירום לפני מלחמת חרבות ברזל (נובמבר 2025</w:t>
      </w:r>
      <w:r>
        <w:rPr>
          <w:rFonts w:hint="cs"/>
          <w:rtl/>
        </w:rPr>
        <w:t>), עמ' 82 - 83.</w:t>
      </w:r>
    </w:p>
  </w:footnote>
  <w:footnote w:id="415">
    <w:p w:rsidR="00F74793" w:rsidP="001F2586">
      <w:pPr>
        <w:pStyle w:val="FootnoteText"/>
        <w:rPr>
          <w:rtl/>
        </w:rPr>
      </w:pPr>
      <w:r>
        <w:rPr>
          <w:rStyle w:val="FootnoteReference1"/>
        </w:rPr>
        <w:footnoteRef/>
      </w:r>
      <w:r>
        <w:rPr>
          <w:rtl/>
        </w:rPr>
        <w:t xml:space="preserve"> </w:t>
      </w:r>
      <w:r>
        <w:rPr>
          <w:rtl/>
        </w:rPr>
        <w:tab/>
      </w:r>
      <w:r>
        <w:rPr>
          <w:rFonts w:hint="cs"/>
          <w:rtl/>
        </w:rPr>
        <w:t>בנק ישראל - דוברות והסברה כלכלית, "</w:t>
      </w:r>
      <w:r w:rsidRPr="00B4661A">
        <w:rPr>
          <w:rtl/>
        </w:rPr>
        <w:t>תיבה בנושא אפקטיביות מתווי</w:t>
      </w:r>
      <w:r w:rsidRPr="00B4661A">
        <w:rPr>
          <w:rFonts w:hint="cs"/>
          <w:rtl/>
        </w:rPr>
        <w:t xml:space="preserve"> </w:t>
      </w:r>
      <w:r w:rsidRPr="00B4661A">
        <w:rPr>
          <w:rtl/>
        </w:rPr>
        <w:t>הסיוע</w:t>
      </w:r>
      <w:r w:rsidRPr="009A6CE3">
        <w:rPr>
          <w:rtl/>
        </w:rPr>
        <w:t xml:space="preserve"> לציבור שגיבש הפיקוח על הבנקים בעקבות אירועי משבר</w:t>
      </w:r>
      <w:r>
        <w:rPr>
          <w:rFonts w:hint="cs"/>
          <w:rtl/>
        </w:rPr>
        <w:t>", 10.5.26.</w:t>
      </w:r>
    </w:p>
  </w:footnote>
  <w:footnote w:id="416">
    <w:p w:rsidR="00F74793" w:rsidP="001F2586">
      <w:pPr>
        <w:pStyle w:val="FootnoteText"/>
      </w:pPr>
      <w:r>
        <w:rPr>
          <w:rStyle w:val="FootnoteReference1"/>
        </w:rPr>
        <w:footnoteRef/>
      </w:r>
      <w:r>
        <w:rPr>
          <w:rtl/>
        </w:rPr>
        <w:t xml:space="preserve"> </w:t>
      </w:r>
      <w:r>
        <w:rPr>
          <w:rtl/>
        </w:rPr>
        <w:tab/>
      </w:r>
      <w:r>
        <w:rPr>
          <w:rFonts w:hint="cs"/>
          <w:rtl/>
        </w:rPr>
        <w:t xml:space="preserve">מבקר המדינה, דוח ביקורת מיוחד - </w:t>
      </w:r>
      <w:r w:rsidRPr="00B4661A">
        <w:rPr>
          <w:rFonts w:hint="cs"/>
          <w:rtl/>
        </w:rPr>
        <w:t>ההיערכות הכלכלית לשעת חירום לפני מלחמת חרבות ברזל (נובמבר 2025</w:t>
      </w:r>
      <w:r>
        <w:rPr>
          <w:rFonts w:hint="cs"/>
          <w:rtl/>
        </w:rPr>
        <w:t>), עמ' 82 - 83.</w:t>
      </w:r>
    </w:p>
  </w:footnote>
  <w:footnote w:id="417">
    <w:p w:rsidR="00F74793" w:rsidP="001F2586">
      <w:pPr>
        <w:pStyle w:val="FootnoteText"/>
      </w:pPr>
      <w:r>
        <w:rPr>
          <w:rStyle w:val="FootnoteReference1"/>
        </w:rPr>
        <w:footnoteRef/>
      </w:r>
      <w:r>
        <w:rPr>
          <w:rtl/>
        </w:rPr>
        <w:t xml:space="preserve"> </w:t>
      </w:r>
      <w:r>
        <w:rPr>
          <w:rtl/>
        </w:rPr>
        <w:tab/>
      </w:r>
      <w:r w:rsidRPr="00BC46B6">
        <w:rPr>
          <w:rtl/>
        </w:rPr>
        <w:t>הלוואת דיור היא משכנתא לרכישת דירה, שיפוץ או בנייה, המובטחת על ידי שעבוד הנכס לבנק.</w:t>
      </w:r>
    </w:p>
  </w:footnote>
  <w:footnote w:id="418">
    <w:p w:rsidR="00F74793" w:rsidP="001F2586">
      <w:pPr>
        <w:pStyle w:val="FootnoteText"/>
        <w:rPr>
          <w:rtl/>
        </w:rPr>
      </w:pPr>
      <w:r>
        <w:rPr>
          <w:rStyle w:val="FootnoteReference1"/>
        </w:rPr>
        <w:footnoteRef/>
      </w:r>
      <w:r>
        <w:rPr>
          <w:rtl/>
        </w:rPr>
        <w:t xml:space="preserve"> </w:t>
      </w:r>
      <w:r>
        <w:rPr>
          <w:rtl/>
        </w:rPr>
        <w:tab/>
        <w:t>מדובר</w:t>
      </w:r>
      <w:r>
        <w:rPr>
          <w:rFonts w:hint="cs"/>
          <w:rtl/>
        </w:rPr>
        <w:t xml:space="preserve"> </w:t>
      </w:r>
      <w:r>
        <w:rPr>
          <w:rtl/>
        </w:rPr>
        <w:t>בהלוואה לכל מטרה הניתנת בשעבוד הדירה לבעלי דירות בני 60 ומעלה. ההלוואה יכולה להינתן בסכום אחד</w:t>
      </w:r>
      <w:r>
        <w:rPr>
          <w:rFonts w:hint="cs"/>
          <w:rtl/>
        </w:rPr>
        <w:t xml:space="preserve"> </w:t>
      </w:r>
      <w:r>
        <w:rPr>
          <w:rtl/>
        </w:rPr>
        <w:t xml:space="preserve">או בפעימות. חברות הביטוח מציעות מסלולים בהם החזר הקרן </w:t>
      </w:r>
      <w:r>
        <w:rPr>
          <w:rFonts w:hint="cs"/>
          <w:rtl/>
        </w:rPr>
        <w:t>(</w:t>
      </w:r>
      <w:r>
        <w:rPr>
          <w:rtl/>
        </w:rPr>
        <w:t>ובחלק מהמקרים גם הריבית</w:t>
      </w:r>
      <w:r>
        <w:rPr>
          <w:rFonts w:hint="cs"/>
          <w:rtl/>
        </w:rPr>
        <w:t>)</w:t>
      </w:r>
      <w:r>
        <w:rPr>
          <w:rtl/>
        </w:rPr>
        <w:t xml:space="preserve"> לחברת הביטוח</w:t>
      </w:r>
      <w:r>
        <w:rPr>
          <w:rFonts w:hint="cs"/>
          <w:rtl/>
        </w:rPr>
        <w:t xml:space="preserve"> </w:t>
      </w:r>
      <w:r>
        <w:rPr>
          <w:rtl/>
        </w:rPr>
        <w:t>מתבצע בעת מכירת הנכס על ידי הלווים או יורשיהם. למעשה, מדובר במעין הלוואת גישור, כאשר הסיכון</w:t>
      </w:r>
      <w:r>
        <w:rPr>
          <w:rFonts w:hint="cs"/>
          <w:rtl/>
        </w:rPr>
        <w:t xml:space="preserve"> </w:t>
      </w:r>
      <w:r>
        <w:rPr>
          <w:rtl/>
        </w:rPr>
        <w:t>העיקרי מנקודת מבט המלווה הוא משך חיי הלווה. בעוד שחברות הביטוח יכולות להעמיד את האשראי לכל</w:t>
      </w:r>
      <w:r>
        <w:rPr>
          <w:rFonts w:hint="cs"/>
          <w:rtl/>
        </w:rPr>
        <w:t xml:space="preserve"> </w:t>
      </w:r>
      <w:r>
        <w:rPr>
          <w:rtl/>
        </w:rPr>
        <w:t>אורך חיי הלווים, ללא מגבלת זמן, הבנקים נדרשים לקביעת לוח סילוקין מוגבל בזמן.</w:t>
      </w:r>
    </w:p>
  </w:footnote>
  <w:footnote w:id="419">
    <w:p w:rsidR="00F74793" w:rsidP="001F2586">
      <w:pPr>
        <w:pStyle w:val="FootnoteText"/>
      </w:pPr>
      <w:r>
        <w:rPr>
          <w:rStyle w:val="FootnoteReference1"/>
        </w:rPr>
        <w:footnoteRef/>
      </w:r>
      <w:r>
        <w:rPr>
          <w:rtl/>
        </w:rPr>
        <w:t xml:space="preserve"> </w:t>
      </w:r>
      <w:r>
        <w:rPr>
          <w:rtl/>
        </w:rPr>
        <w:tab/>
      </w:r>
      <w:r>
        <w:rPr>
          <w:rFonts w:hint="cs"/>
          <w:rtl/>
        </w:rPr>
        <w:t>על פי נתוני רשות שוק ההון ב-30.9.24.</w:t>
      </w:r>
    </w:p>
  </w:footnote>
  <w:footnote w:id="420">
    <w:p w:rsidR="00F74793" w:rsidP="001F2586">
      <w:pPr>
        <w:pStyle w:val="FootnoteText"/>
        <w:rPr>
          <w:rtl/>
        </w:rPr>
      </w:pPr>
      <w:r>
        <w:rPr>
          <w:rStyle w:val="FootnoteReference1"/>
        </w:rPr>
        <w:footnoteRef/>
      </w:r>
      <w:r>
        <w:rPr>
          <w:rtl/>
        </w:rPr>
        <w:t xml:space="preserve"> </w:t>
      </w:r>
      <w:r>
        <w:rPr>
          <w:rtl/>
        </w:rPr>
        <w:tab/>
      </w:r>
      <w:r>
        <w:rPr>
          <w:rFonts w:hint="cs"/>
          <w:rtl/>
        </w:rPr>
        <w:t xml:space="preserve">הנתונים הועברו לבקשת משרד מבקר המדינה ביולי 2025. </w:t>
      </w:r>
    </w:p>
  </w:footnote>
  <w:footnote w:id="421">
    <w:p w:rsidR="00F74793" w:rsidP="001F2586">
      <w:pPr>
        <w:pStyle w:val="FootnoteText"/>
      </w:pPr>
      <w:r>
        <w:rPr>
          <w:rStyle w:val="FootnoteReference1"/>
        </w:rPr>
        <w:footnoteRef/>
      </w:r>
      <w:r>
        <w:rPr>
          <w:rtl/>
        </w:rPr>
        <w:t xml:space="preserve"> </w:t>
      </w:r>
      <w:r>
        <w:rPr>
          <w:rtl/>
        </w:rPr>
        <w:tab/>
      </w:r>
      <w:r>
        <w:rPr>
          <w:rFonts w:hint="cs"/>
          <w:rtl/>
        </w:rPr>
        <w:t xml:space="preserve">ההלוואה הראשונה היא המשכנתא. </w:t>
      </w:r>
    </w:p>
  </w:footnote>
  <w:footnote w:id="422">
    <w:p w:rsidR="00F74793" w:rsidP="001F2586">
      <w:pPr>
        <w:spacing w:line="240" w:lineRule="auto"/>
        <w:ind w:left="708" w:hanging="709"/>
      </w:pPr>
      <w:r>
        <w:rPr>
          <w:rStyle w:val="FootnoteReference1"/>
        </w:rPr>
        <w:footnoteRef/>
      </w:r>
      <w:r>
        <w:rPr>
          <w:rtl/>
        </w:rPr>
        <w:t xml:space="preserve"> </w:t>
      </w:r>
      <w:r>
        <w:rPr>
          <w:rtl/>
        </w:rPr>
        <w:tab/>
      </w:r>
      <w:r w:rsidRPr="005176E5">
        <w:rPr>
          <w:szCs w:val="20"/>
          <w:rtl/>
        </w:rPr>
        <w:t xml:space="preserve">חברות </w:t>
      </w:r>
      <w:r w:rsidRPr="005176E5">
        <w:rPr>
          <w:szCs w:val="20"/>
          <w:rtl/>
        </w:rPr>
        <w:t>פינטק</w:t>
      </w:r>
      <w:r w:rsidRPr="005176E5">
        <w:rPr>
          <w:szCs w:val="20"/>
          <w:rtl/>
        </w:rPr>
        <w:t xml:space="preserve"> הן חברות המפתחות טכנולוגיות שמטרתן לספק פתרונות פיננסיים - הן למתן ושיפור של שירותים פיננסיים והן עבור תפקודים שונים של המערכות הפיננסיות (כמו ניתוח נתונים בהיקפים גדולים או מניעת תרמיות והונאות</w:t>
      </w:r>
      <w:r>
        <w:rPr>
          <w:rFonts w:hint="cs"/>
          <w:szCs w:val="20"/>
          <w:rtl/>
        </w:rPr>
        <w:t>.</w:t>
      </w:r>
    </w:p>
  </w:footnote>
  <w:footnote w:id="423">
    <w:p w:rsidR="00F74793" w:rsidP="001F2586">
      <w:pPr>
        <w:pStyle w:val="FootnoteText"/>
      </w:pPr>
      <w:r>
        <w:rPr>
          <w:rStyle w:val="FootnoteReference1"/>
        </w:rPr>
        <w:footnoteRef/>
      </w:r>
      <w:r>
        <w:rPr>
          <w:rtl/>
        </w:rPr>
        <w:t xml:space="preserve"> </w:t>
      </w:r>
      <w:r>
        <w:rPr>
          <w:rtl/>
        </w:rPr>
        <w:tab/>
      </w:r>
      <w:r>
        <w:rPr>
          <w:rFonts w:hint="cs"/>
          <w:rtl/>
        </w:rPr>
        <w:t xml:space="preserve">אנשים ועסקים קטנים יכולים לקבל הלוואות הממומנות על ידי אנשים וחברות אחרות, בדרך כלל צדדים שלישיים לא קשורים. </w:t>
      </w:r>
    </w:p>
  </w:footnote>
  <w:footnote w:id="424">
    <w:p w:rsidR="00F74793" w:rsidP="001F2586">
      <w:pPr>
        <w:pStyle w:val="FootnoteText"/>
      </w:pPr>
      <w:r>
        <w:rPr>
          <w:rStyle w:val="FootnoteReference1"/>
        </w:rPr>
        <w:footnoteRef/>
      </w:r>
      <w:r>
        <w:rPr>
          <w:rtl/>
        </w:rPr>
        <w:t xml:space="preserve"> </w:t>
      </w:r>
      <w:r>
        <w:rPr>
          <w:rtl/>
        </w:rPr>
        <w:tab/>
      </w:r>
      <w:r w:rsidRPr="0036641D">
        <w:rPr>
          <w:rtl/>
        </w:rPr>
        <w:t>בחודש נובמבר 2016 נקבע כי רשות שוק ההון, ביטוח וחיסכון תפעל כרשות עצמאית מכוח סעיף 1א' לחוק הפיקוח על שירותים פיננסיים (ביטוח), התשמ"א-1981</w:t>
      </w:r>
      <w:r>
        <w:rPr>
          <w:rtl/>
        </w:rPr>
        <w:t>.</w:t>
      </w:r>
    </w:p>
  </w:footnote>
  <w:footnote w:id="425">
    <w:p w:rsidR="00F74793" w:rsidP="001F2586">
      <w:pPr>
        <w:pStyle w:val="FootnoteText"/>
        <w:rPr>
          <w:rtl/>
        </w:rPr>
      </w:pPr>
      <w:r>
        <w:rPr>
          <w:rStyle w:val="FootnoteReference1"/>
        </w:rPr>
        <w:footnoteRef/>
      </w:r>
      <w:r>
        <w:rPr>
          <w:rtl/>
        </w:rPr>
        <w:t xml:space="preserve"> </w:t>
      </w:r>
      <w:r>
        <w:rPr>
          <w:rtl/>
        </w:rPr>
        <w:tab/>
      </w:r>
      <w:r>
        <w:rPr>
          <w:rFonts w:hint="cs"/>
          <w:rtl/>
        </w:rPr>
        <w:t xml:space="preserve"> רישיון הניתן </w:t>
      </w:r>
      <w:r w:rsidRPr="000B0417">
        <w:rPr>
          <w:rtl/>
        </w:rPr>
        <w:t xml:space="preserve">עבור עסקים פיננסיים המנהלים סך אשראי </w:t>
      </w:r>
      <w:r>
        <w:rPr>
          <w:rFonts w:hint="cs"/>
          <w:rtl/>
        </w:rPr>
        <w:t xml:space="preserve">עד </w:t>
      </w:r>
      <w:r w:rsidRPr="000B0417">
        <w:rPr>
          <w:rtl/>
        </w:rPr>
        <w:t>25 מיליון ש"ח, לפי חוק השירותים הפיננסיים.</w:t>
      </w:r>
    </w:p>
  </w:footnote>
  <w:footnote w:id="426">
    <w:p w:rsidR="00F74793" w:rsidP="001F2586">
      <w:pPr>
        <w:pStyle w:val="FootnoteText"/>
      </w:pPr>
      <w:r>
        <w:rPr>
          <w:rStyle w:val="FootnoteReference1"/>
        </w:rPr>
        <w:footnoteRef/>
      </w:r>
      <w:r>
        <w:rPr>
          <w:rtl/>
        </w:rPr>
        <w:t xml:space="preserve"> </w:t>
      </w:r>
      <w:r>
        <w:rPr>
          <w:rtl/>
        </w:rPr>
        <w:tab/>
      </w:r>
      <w:r>
        <w:rPr>
          <w:rFonts w:hint="cs"/>
          <w:rtl/>
        </w:rPr>
        <w:t xml:space="preserve">רישיון הניתן </w:t>
      </w:r>
      <w:r w:rsidRPr="00645B49">
        <w:rPr>
          <w:rtl/>
        </w:rPr>
        <w:t>עבור עסקים פיננסיים המנהלים סך אשראי גדול, לרוב מעל 25 מיליון ש"ח, לפי חוק השירותים הפיננסיים.</w:t>
      </w:r>
    </w:p>
  </w:footnote>
  <w:footnote w:id="427">
    <w:p w:rsidR="00F74793" w:rsidP="001F2586">
      <w:pPr>
        <w:pStyle w:val="FootnoteText"/>
        <w:rPr>
          <w:rtl/>
        </w:rPr>
      </w:pPr>
      <w:r>
        <w:rPr>
          <w:rStyle w:val="FootnoteReference1"/>
        </w:rPr>
        <w:footnoteRef/>
      </w:r>
      <w:r>
        <w:rPr>
          <w:rtl/>
        </w:rPr>
        <w:t xml:space="preserve"> </w:t>
      </w:r>
      <w:r>
        <w:rPr>
          <w:rtl/>
        </w:rPr>
        <w:tab/>
      </w:r>
      <w:r>
        <w:rPr>
          <w:rFonts w:hint="cs"/>
          <w:rtl/>
        </w:rPr>
        <w:t xml:space="preserve">רישיון הניתן בעיקרו לחלפנים. </w:t>
      </w:r>
    </w:p>
  </w:footnote>
  <w:footnote w:id="428">
    <w:p w:rsidR="00F74793" w:rsidP="001F2586">
      <w:pPr>
        <w:pStyle w:val="FootnoteText"/>
      </w:pPr>
      <w:r>
        <w:rPr>
          <w:rStyle w:val="FootnoteReference1"/>
        </w:rPr>
        <w:footnoteRef/>
      </w:r>
      <w:r>
        <w:rPr>
          <w:rtl/>
        </w:rPr>
        <w:t xml:space="preserve"> </w:t>
      </w:r>
      <w:r>
        <w:rPr>
          <w:rtl/>
        </w:rPr>
        <w:tab/>
      </w:r>
      <w:r>
        <w:rPr>
          <w:rFonts w:hint="cs"/>
          <w:rtl/>
        </w:rPr>
        <w:t>רישיון הניתן ל</w:t>
      </w:r>
      <w:r w:rsidRPr="00463A62">
        <w:rPr>
          <w:rtl/>
        </w:rPr>
        <w:t>גופים שמספקים שירותים פיננסיים מגוונים ו"רוחביים" כמו שירותי מידע פיננסי שמאגדים מידע ממוסדות פיננסיים שונים, או גופים המטפלים בנכסים כמו מטבעות וירטואליים וכרטיסי תשלום, שאינם מפוקחים על ידי רגולטור אחר בישראל</w:t>
      </w:r>
      <w:r>
        <w:rPr>
          <w:rFonts w:hint="cs"/>
          <w:rtl/>
        </w:rPr>
        <w:t xml:space="preserve">. </w:t>
      </w:r>
    </w:p>
  </w:footnote>
  <w:footnote w:id="429">
    <w:p w:rsidR="00F74793" w:rsidRPr="001B2140" w:rsidP="001F2586">
      <w:pPr>
        <w:pStyle w:val="FootnoteText"/>
      </w:pPr>
      <w:r>
        <w:rPr>
          <w:rStyle w:val="FootnoteReference1"/>
        </w:rPr>
        <w:footnoteRef/>
      </w:r>
      <w:r>
        <w:rPr>
          <w:rtl/>
        </w:rPr>
        <w:t xml:space="preserve"> </w:t>
      </w:r>
      <w:r>
        <w:rPr>
          <w:rtl/>
        </w:rPr>
        <w:tab/>
      </w:r>
      <w:r w:rsidRPr="00957259">
        <w:rPr>
          <w:rtl/>
        </w:rPr>
        <w:t xml:space="preserve">שירות פיננסי לעסקים </w:t>
      </w:r>
      <w:r w:rsidRPr="001B2140">
        <w:rPr>
          <w:rtl/>
        </w:rPr>
        <w:t xml:space="preserve">המאפשר להם לקבל תשלום </w:t>
      </w:r>
      <w:r w:rsidRPr="001B2140">
        <w:rPr>
          <w:rtl/>
        </w:rPr>
        <w:t>מיידי</w:t>
      </w:r>
      <w:r w:rsidRPr="001B2140">
        <w:rPr>
          <w:rtl/>
        </w:rPr>
        <w:t xml:space="preserve"> עבור עסקאות באשראי (במקום לחכות למועד הפירעון מחברות האשראי) על ידי מכירת "שוברי האשראי" לחברת ניכיון, בתמורה לעמלה</w:t>
      </w:r>
      <w:r w:rsidRPr="001B2140">
        <w:rPr>
          <w:rFonts w:hint="cs"/>
          <w:rtl/>
        </w:rPr>
        <w:t>.</w:t>
      </w:r>
    </w:p>
  </w:footnote>
  <w:footnote w:id="430">
    <w:p w:rsidR="00F74793" w:rsidP="00B75928">
      <w:pPr>
        <w:pStyle w:val="FootnoteText"/>
      </w:pPr>
      <w:r>
        <w:rPr>
          <w:rStyle w:val="FootnoteReference1"/>
        </w:rPr>
        <w:footnoteRef/>
      </w:r>
      <w:r>
        <w:rPr>
          <w:rtl/>
        </w:rPr>
        <w:t xml:space="preserve"> </w:t>
      </w:r>
      <w:r>
        <w:rPr>
          <w:rtl/>
        </w:rPr>
        <w:tab/>
      </w:r>
      <w:r>
        <w:rPr>
          <w:rFonts w:hint="cs"/>
          <w:rtl/>
        </w:rPr>
        <w:t>בהתאם לנתונים המתפרסמים בדוחות השנתיים של הממונה על רשות שוק ההון.</w:t>
      </w:r>
    </w:p>
  </w:footnote>
  <w:footnote w:id="431">
    <w:p w:rsidR="00F74793" w:rsidP="001F2586">
      <w:pPr>
        <w:pStyle w:val="FootnoteText"/>
      </w:pPr>
      <w:r w:rsidRPr="001B2140">
        <w:rPr>
          <w:rStyle w:val="FootnoteReference1"/>
        </w:rPr>
        <w:footnoteRef/>
      </w:r>
      <w:r w:rsidRPr="001B2140">
        <w:rPr>
          <w:rtl/>
        </w:rPr>
        <w:t xml:space="preserve"> </w:t>
      </w:r>
      <w:r w:rsidRPr="001B2140">
        <w:rPr>
          <w:rtl/>
        </w:rPr>
        <w:tab/>
      </w:r>
      <w:r w:rsidRPr="001B2140">
        <w:rPr>
          <w:rFonts w:hint="eastAsia"/>
          <w:rtl/>
        </w:rPr>
        <w:t>יצוין</w:t>
      </w:r>
      <w:r w:rsidRPr="001B2140">
        <w:rPr>
          <w:rtl/>
        </w:rPr>
        <w:t xml:space="preserve"> כי על פי הנתונים שהועברו </w:t>
      </w:r>
      <w:r w:rsidRPr="001B2140">
        <w:rPr>
          <w:rFonts w:hint="eastAsia"/>
          <w:rtl/>
        </w:rPr>
        <w:t>למשרד</w:t>
      </w:r>
      <w:r w:rsidRPr="001B2140">
        <w:rPr>
          <w:rtl/>
        </w:rPr>
        <w:t xml:space="preserve"> </w:t>
      </w:r>
      <w:r w:rsidRPr="001B2140">
        <w:rPr>
          <w:rFonts w:hint="eastAsia"/>
          <w:rtl/>
        </w:rPr>
        <w:t>מבקר</w:t>
      </w:r>
      <w:r w:rsidRPr="001B2140">
        <w:rPr>
          <w:rtl/>
        </w:rPr>
        <w:t xml:space="preserve"> </w:t>
      </w:r>
      <w:r w:rsidRPr="001B2140">
        <w:rPr>
          <w:rFonts w:hint="eastAsia"/>
          <w:rtl/>
        </w:rPr>
        <w:t>המדינה</w:t>
      </w:r>
      <w:r w:rsidRPr="001B2140">
        <w:rPr>
          <w:rtl/>
        </w:rPr>
        <w:t xml:space="preserve"> </w:t>
      </w:r>
      <w:r w:rsidRPr="001B2140">
        <w:rPr>
          <w:rFonts w:hint="eastAsia"/>
          <w:rtl/>
        </w:rPr>
        <w:t>ביוני</w:t>
      </w:r>
      <w:r w:rsidRPr="001B2140">
        <w:rPr>
          <w:rtl/>
        </w:rPr>
        <w:t xml:space="preserve"> 2025 </w:t>
      </w:r>
      <w:r w:rsidRPr="001B2140">
        <w:rPr>
          <w:rFonts w:hint="eastAsia"/>
          <w:rtl/>
        </w:rPr>
        <w:t>מרשות</w:t>
      </w:r>
      <w:r w:rsidRPr="001B2140">
        <w:rPr>
          <w:rtl/>
        </w:rPr>
        <w:t xml:space="preserve"> </w:t>
      </w:r>
      <w:r w:rsidRPr="001B2140">
        <w:rPr>
          <w:rFonts w:hint="eastAsia"/>
          <w:rtl/>
        </w:rPr>
        <w:t>שוק</w:t>
      </w:r>
      <w:r w:rsidRPr="001B2140">
        <w:rPr>
          <w:rtl/>
        </w:rPr>
        <w:t xml:space="preserve"> </w:t>
      </w:r>
      <w:r w:rsidRPr="001B2140">
        <w:rPr>
          <w:rFonts w:hint="eastAsia"/>
          <w:rtl/>
        </w:rPr>
        <w:t>ההון</w:t>
      </w:r>
      <w:r w:rsidRPr="001B2140">
        <w:rPr>
          <w:rtl/>
        </w:rPr>
        <w:t xml:space="preserve">, </w:t>
      </w:r>
      <w:r w:rsidRPr="001B2140">
        <w:rPr>
          <w:rFonts w:hint="eastAsia"/>
          <w:rtl/>
        </w:rPr>
        <w:t>סך</w:t>
      </w:r>
      <w:r w:rsidRPr="001B2140">
        <w:rPr>
          <w:rtl/>
        </w:rPr>
        <w:t xml:space="preserve"> </w:t>
      </w:r>
      <w:r w:rsidRPr="001B2140">
        <w:rPr>
          <w:rFonts w:hint="eastAsia"/>
          <w:rtl/>
        </w:rPr>
        <w:t>האשראי</w:t>
      </w:r>
      <w:r w:rsidRPr="001B2140">
        <w:rPr>
          <w:rtl/>
        </w:rPr>
        <w:t xml:space="preserve"> </w:t>
      </w:r>
      <w:r w:rsidRPr="001B2140">
        <w:rPr>
          <w:rFonts w:hint="eastAsia"/>
          <w:rtl/>
        </w:rPr>
        <w:t>לדיור</w:t>
      </w:r>
      <w:r w:rsidRPr="001B2140">
        <w:rPr>
          <w:rtl/>
        </w:rPr>
        <w:t xml:space="preserve"> </w:t>
      </w:r>
      <w:r w:rsidRPr="001B2140">
        <w:rPr>
          <w:rFonts w:hint="eastAsia"/>
          <w:rtl/>
        </w:rPr>
        <w:t>עומד</w:t>
      </w:r>
      <w:r w:rsidRPr="001B2140">
        <w:rPr>
          <w:rtl/>
        </w:rPr>
        <w:t xml:space="preserve"> </w:t>
      </w:r>
      <w:r w:rsidRPr="001B2140">
        <w:rPr>
          <w:rFonts w:hint="eastAsia"/>
          <w:rtl/>
        </w:rPr>
        <w:t>על</w:t>
      </w:r>
      <w:r w:rsidRPr="001B2140">
        <w:rPr>
          <w:rtl/>
        </w:rPr>
        <w:t xml:space="preserve"> 5.7 </w:t>
      </w:r>
      <w:r w:rsidRPr="001B2140">
        <w:rPr>
          <w:rFonts w:hint="eastAsia"/>
          <w:rtl/>
        </w:rPr>
        <w:t>מיליארד</w:t>
      </w:r>
      <w:r w:rsidRPr="001B2140">
        <w:rPr>
          <w:rtl/>
        </w:rPr>
        <w:t xml:space="preserve"> </w:t>
      </w:r>
      <w:r>
        <w:rPr>
          <w:rFonts w:hint="cs"/>
          <w:rtl/>
        </w:rPr>
        <w:t xml:space="preserve">ש"ח לשנת 2024. </w:t>
      </w:r>
    </w:p>
  </w:footnote>
  <w:footnote w:id="432">
    <w:p w:rsidR="00F74793" w:rsidRPr="005428C4" w:rsidP="001F2586">
      <w:pPr>
        <w:pStyle w:val="FootnoteText"/>
        <w:rPr>
          <w:rtl/>
        </w:rPr>
      </w:pPr>
      <w:r>
        <w:rPr>
          <w:rStyle w:val="FootnoteReference1"/>
        </w:rPr>
        <w:footnoteRef/>
      </w:r>
      <w:r>
        <w:rPr>
          <w:rtl/>
        </w:rPr>
        <w:t xml:space="preserve"> </w:t>
      </w:r>
      <w:r>
        <w:rPr>
          <w:rtl/>
        </w:rPr>
        <w:tab/>
      </w:r>
      <w:r w:rsidRPr="00B4661A">
        <w:rPr>
          <w:rFonts w:hint="cs"/>
          <w:rtl/>
        </w:rPr>
        <w:t>פרק ב: החוב של המגזר הפרטי הלא פיננסי -</w:t>
      </w:r>
      <w:r>
        <w:rPr>
          <w:rFonts w:hint="cs"/>
          <w:rtl/>
        </w:rPr>
        <w:t xml:space="preserve"> </w:t>
      </w:r>
      <w:r w:rsidRPr="00B4661A">
        <w:rPr>
          <w:rFonts w:hint="cs"/>
          <w:rtl/>
        </w:rPr>
        <w:t>מידע סטטיסטי 2024, בנק ישראל</w:t>
      </w:r>
      <w:r w:rsidRPr="005428C4">
        <w:rPr>
          <w:rFonts w:hint="cs"/>
          <w:rtl/>
        </w:rPr>
        <w:t>, עמ</w:t>
      </w:r>
      <w:r>
        <w:rPr>
          <w:rFonts w:hint="cs"/>
          <w:rtl/>
        </w:rPr>
        <w:t>'</w:t>
      </w:r>
      <w:r w:rsidRPr="005428C4">
        <w:rPr>
          <w:rFonts w:hint="cs"/>
          <w:rtl/>
        </w:rPr>
        <w:t xml:space="preserve"> 21.</w:t>
      </w:r>
      <w:r>
        <w:rPr>
          <w:rFonts w:hint="cs"/>
          <w:rtl/>
        </w:rPr>
        <w:t xml:space="preserve"> </w:t>
      </w:r>
      <w:r w:rsidRPr="005428C4">
        <w:rPr>
          <w:rFonts w:hint="cs"/>
          <w:rtl/>
        </w:rPr>
        <w:t xml:space="preserve">נתון זה כולל את דיווחי הבנקים ואת הגופים המוסדיים. </w:t>
      </w:r>
    </w:p>
  </w:footnote>
  <w:footnote w:id="433">
    <w:p w:rsidR="00F74793" w:rsidP="001F2586">
      <w:pPr>
        <w:pStyle w:val="FootnoteText"/>
        <w:rPr>
          <w:rtl/>
        </w:rPr>
      </w:pPr>
      <w:r>
        <w:rPr>
          <w:rStyle w:val="FootnoteReference1"/>
        </w:rPr>
        <w:footnoteRef/>
      </w:r>
      <w:r>
        <w:rPr>
          <w:rtl/>
        </w:rPr>
        <w:t xml:space="preserve"> </w:t>
      </w:r>
      <w:r>
        <w:rPr>
          <w:rtl/>
        </w:rPr>
        <w:tab/>
      </w:r>
      <w:r>
        <w:rPr>
          <w:rFonts w:hint="cs"/>
          <w:rtl/>
        </w:rPr>
        <w:t>ראה הרחבה בפרק הסקירה.</w:t>
      </w:r>
    </w:p>
  </w:footnote>
  <w:footnote w:id="434">
    <w:p w:rsidR="00F74793" w:rsidRPr="005428C4" w:rsidP="001F2586">
      <w:pPr>
        <w:pStyle w:val="FootnoteText"/>
      </w:pPr>
      <w:r w:rsidRPr="005428C4">
        <w:rPr>
          <w:rStyle w:val="FootnoteReference1"/>
        </w:rPr>
        <w:footnoteRef/>
      </w:r>
      <w:r w:rsidRPr="005428C4">
        <w:rPr>
          <w:rtl/>
        </w:rPr>
        <w:t xml:space="preserve"> </w:t>
      </w:r>
      <w:r w:rsidRPr="005428C4">
        <w:rPr>
          <w:rtl/>
        </w:rPr>
        <w:tab/>
        <w:t xml:space="preserve">"זרם אשראי" </w:t>
      </w:r>
      <w:r w:rsidRPr="005428C4">
        <w:rPr>
          <w:rFonts w:hint="cs"/>
          <w:rtl/>
        </w:rPr>
        <w:t>היינו</w:t>
      </w:r>
      <w:r w:rsidRPr="005428C4">
        <w:rPr>
          <w:rtl/>
        </w:rPr>
        <w:t xml:space="preserve"> היקף ההלוואות, האשראי הספקי או המימון החדש הזורם למשק, לעסקים או למשקי הבית בתקופה נתונה. נתון זה משמש כאינדיקטור לפעילות הכלכלית ולנזילות</w:t>
      </w:r>
      <w:r w:rsidRPr="005428C4">
        <w:rPr>
          <w:rFonts w:hint="cs"/>
          <w:rtl/>
        </w:rPr>
        <w:t xml:space="preserve">. </w:t>
      </w:r>
    </w:p>
  </w:footnote>
  <w:footnote w:id="435">
    <w:p w:rsidR="00F74793" w:rsidP="001F2586">
      <w:pPr>
        <w:pStyle w:val="FootnoteText"/>
        <w:rPr>
          <w:rtl/>
        </w:rPr>
      </w:pPr>
      <w:r w:rsidRPr="005428C4">
        <w:rPr>
          <w:rStyle w:val="FootnoteReference1"/>
        </w:rPr>
        <w:footnoteRef/>
      </w:r>
      <w:r w:rsidRPr="005428C4">
        <w:rPr>
          <w:rtl/>
        </w:rPr>
        <w:t xml:space="preserve"> </w:t>
      </w:r>
      <w:r w:rsidRPr="005428C4">
        <w:rPr>
          <w:rtl/>
        </w:rPr>
        <w:tab/>
      </w:r>
      <w:r w:rsidRPr="005428C4">
        <w:rPr>
          <w:rFonts w:hint="cs"/>
          <w:rtl/>
        </w:rPr>
        <w:t>נתונים כלו כוללים את כלל האשראי החוץ בנקאי, לרבות משכנתאות חוץ בנקאיות.</w:t>
      </w:r>
      <w:r>
        <w:rPr>
          <w:rFonts w:hint="cs"/>
          <w:rtl/>
        </w:rPr>
        <w:t xml:space="preserve"> </w:t>
      </w:r>
    </w:p>
  </w:footnote>
  <w:footnote w:id="436">
    <w:p w:rsidR="00F74793" w:rsidP="001F2586">
      <w:pPr>
        <w:pStyle w:val="FootnoteText"/>
      </w:pPr>
      <w:r>
        <w:rPr>
          <w:rStyle w:val="FootnoteReference1"/>
        </w:rPr>
        <w:footnoteRef/>
      </w:r>
      <w:r>
        <w:rPr>
          <w:rtl/>
        </w:rPr>
        <w:t xml:space="preserve"> </w:t>
      </w:r>
      <w:r>
        <w:rPr>
          <w:rtl/>
        </w:rPr>
        <w:tab/>
      </w:r>
      <w:bookmarkStart w:id="96" w:name="_Hlk232518455"/>
      <w:r w:rsidRPr="00731ED5">
        <w:rPr>
          <w:rFonts w:hint="eastAsia"/>
          <w:rtl/>
        </w:rPr>
        <w:t>יצוין</w:t>
      </w:r>
      <w:r w:rsidRPr="00731ED5">
        <w:rPr>
          <w:rtl/>
        </w:rPr>
        <w:t xml:space="preserve"> כי </w:t>
      </w:r>
      <w:r w:rsidRPr="00731ED5">
        <w:rPr>
          <w:rFonts w:hint="eastAsia"/>
          <w:rtl/>
        </w:rPr>
        <w:t>רשות</w:t>
      </w:r>
      <w:r w:rsidRPr="00731ED5">
        <w:rPr>
          <w:rtl/>
        </w:rPr>
        <w:t xml:space="preserve"> שוק ההון מסרה בתשובתה כי </w:t>
      </w:r>
      <w:r>
        <w:rPr>
          <w:rFonts w:hint="cs"/>
          <w:rtl/>
        </w:rPr>
        <w:t>"</w:t>
      </w:r>
      <w:r w:rsidRPr="00731ED5">
        <w:rPr>
          <w:rFonts w:hint="eastAsia"/>
          <w:rtl/>
        </w:rPr>
        <w:t>מדובר</w:t>
      </w:r>
      <w:r w:rsidRPr="00731ED5">
        <w:rPr>
          <w:rtl/>
        </w:rPr>
        <w:t xml:space="preserve"> </w:t>
      </w:r>
      <w:r w:rsidRPr="00731ED5">
        <w:rPr>
          <w:rFonts w:hint="eastAsia"/>
          <w:rtl/>
        </w:rPr>
        <w:t>בהלוואות</w:t>
      </w:r>
      <w:r w:rsidRPr="00731ED5">
        <w:rPr>
          <w:rtl/>
        </w:rPr>
        <w:t xml:space="preserve"> </w:t>
      </w:r>
      <w:r w:rsidRPr="00731ED5">
        <w:rPr>
          <w:rFonts w:hint="eastAsia"/>
          <w:rtl/>
        </w:rPr>
        <w:t>עסקיות</w:t>
      </w:r>
      <w:r w:rsidRPr="00731ED5">
        <w:rPr>
          <w:rtl/>
        </w:rPr>
        <w:t xml:space="preserve"> </w:t>
      </w:r>
      <w:r w:rsidRPr="00731ED5">
        <w:rPr>
          <w:rFonts w:hint="eastAsia"/>
          <w:rtl/>
        </w:rPr>
        <w:t>שחוק</w:t>
      </w:r>
      <w:r w:rsidRPr="00731ED5">
        <w:rPr>
          <w:rtl/>
        </w:rPr>
        <w:t xml:space="preserve"> </w:t>
      </w:r>
      <w:r w:rsidRPr="00731ED5">
        <w:rPr>
          <w:rFonts w:hint="eastAsia"/>
          <w:rtl/>
        </w:rPr>
        <w:t>אשראי</w:t>
      </w:r>
      <w:r w:rsidRPr="00731ED5">
        <w:rPr>
          <w:rtl/>
        </w:rPr>
        <w:t xml:space="preserve"> </w:t>
      </w:r>
      <w:r w:rsidRPr="00731ED5">
        <w:rPr>
          <w:rFonts w:hint="eastAsia"/>
          <w:rtl/>
        </w:rPr>
        <w:t>הוגן</w:t>
      </w:r>
      <w:r w:rsidRPr="00731ED5">
        <w:rPr>
          <w:rtl/>
        </w:rPr>
        <w:t xml:space="preserve"> </w:t>
      </w:r>
      <w:r w:rsidRPr="00731ED5">
        <w:rPr>
          <w:rFonts w:hint="eastAsia"/>
          <w:rtl/>
        </w:rPr>
        <w:t>אינו</w:t>
      </w:r>
      <w:r w:rsidRPr="00731ED5">
        <w:rPr>
          <w:rtl/>
        </w:rPr>
        <w:t xml:space="preserve"> </w:t>
      </w:r>
      <w:r w:rsidRPr="00731ED5">
        <w:rPr>
          <w:rFonts w:hint="eastAsia"/>
          <w:rtl/>
        </w:rPr>
        <w:t>חל</w:t>
      </w:r>
      <w:r w:rsidRPr="00731ED5">
        <w:rPr>
          <w:rtl/>
        </w:rPr>
        <w:t xml:space="preserve"> </w:t>
      </w:r>
      <w:r w:rsidRPr="00731ED5">
        <w:rPr>
          <w:rFonts w:hint="eastAsia"/>
          <w:rtl/>
        </w:rPr>
        <w:t>עליה</w:t>
      </w:r>
      <w:r>
        <w:rPr>
          <w:rFonts w:hint="cs"/>
          <w:rtl/>
        </w:rPr>
        <w:t>ם</w:t>
      </w:r>
      <w:r w:rsidRPr="00731ED5">
        <w:rPr>
          <w:rFonts w:hint="cs"/>
          <w:rtl/>
        </w:rPr>
        <w:t xml:space="preserve">, </w:t>
      </w:r>
      <w:r>
        <w:rPr>
          <w:rFonts w:hint="cs"/>
          <w:rtl/>
        </w:rPr>
        <w:t>וכי</w:t>
      </w:r>
      <w:r w:rsidRPr="00731ED5">
        <w:rPr>
          <w:rFonts w:hint="cs"/>
          <w:rtl/>
        </w:rPr>
        <w:t xml:space="preserve"> הלוואות </w:t>
      </w:r>
      <w:r>
        <w:rPr>
          <w:rFonts w:hint="cs"/>
          <w:rtl/>
        </w:rPr>
        <w:t xml:space="preserve">אלו </w:t>
      </w:r>
      <w:r w:rsidRPr="00731ED5">
        <w:rPr>
          <w:rFonts w:hint="cs"/>
          <w:rtl/>
        </w:rPr>
        <w:t>ניתנות לימים בודדים</w:t>
      </w:r>
      <w:r>
        <w:rPr>
          <w:rFonts w:hint="cs"/>
          <w:rtl/>
        </w:rPr>
        <w:t xml:space="preserve"> בלבד</w:t>
      </w:r>
      <w:r w:rsidRPr="00731ED5">
        <w:rPr>
          <w:rFonts w:hint="cs"/>
          <w:rtl/>
        </w:rPr>
        <w:t>.</w:t>
      </w:r>
      <w:r>
        <w:rPr>
          <w:rFonts w:hint="cs"/>
          <w:rtl/>
        </w:rPr>
        <w:t>"</w:t>
      </w:r>
    </w:p>
    <w:bookmarkEnd w:id="96"/>
  </w:footnote>
  <w:footnote w:id="437">
    <w:p w:rsidR="00F74793" w:rsidP="001F2586">
      <w:pPr>
        <w:pStyle w:val="FootnoteText"/>
      </w:pPr>
      <w:r>
        <w:rPr>
          <w:rStyle w:val="FootnoteReference1"/>
        </w:rPr>
        <w:footnoteRef/>
      </w:r>
      <w:r>
        <w:rPr>
          <w:rtl/>
        </w:rPr>
        <w:t xml:space="preserve"> </w:t>
      </w:r>
      <w:r>
        <w:rPr>
          <w:rtl/>
        </w:rPr>
        <w:tab/>
      </w:r>
      <w:r>
        <w:rPr>
          <w:rFonts w:hint="cs"/>
          <w:rtl/>
        </w:rPr>
        <w:t xml:space="preserve">יצוין כי </w:t>
      </w:r>
      <w:r w:rsidRPr="00F271A1">
        <w:rPr>
          <w:rtl/>
        </w:rPr>
        <w:t xml:space="preserve">רשות שוק ההון מסרה בתשובתה </w:t>
      </w:r>
      <w:r>
        <w:rPr>
          <w:rtl/>
        </w:rPr>
        <w:t>כי</w:t>
      </w:r>
      <w:r w:rsidRPr="00F271A1">
        <w:rPr>
          <w:rtl/>
        </w:rPr>
        <w:t xml:space="preserve"> "הבנקים ונותני האשראי החוץ בנקאיים נותנים הלוואות שלרוב הן בעלות מאפיינים שונים </w:t>
      </w:r>
      <w:r>
        <w:rPr>
          <w:rFonts w:hint="cs"/>
          <w:rtl/>
        </w:rPr>
        <w:t>-</w:t>
      </w:r>
      <w:r w:rsidRPr="00F271A1">
        <w:rPr>
          <w:rtl/>
        </w:rPr>
        <w:t xml:space="preserve"> פעילויות שונות, פרופיל אחר של לקוחות".</w:t>
      </w:r>
    </w:p>
  </w:footnote>
  <w:footnote w:id="438">
    <w:p w:rsidR="00F74793" w:rsidP="001F2586">
      <w:pPr>
        <w:pStyle w:val="FootnoteText"/>
        <w:rPr>
          <w:rtl/>
        </w:rPr>
      </w:pPr>
      <w:r w:rsidRPr="005428C4">
        <w:rPr>
          <w:rStyle w:val="FootnoteReference1"/>
        </w:rPr>
        <w:footnoteRef/>
      </w:r>
      <w:r w:rsidRPr="005428C4">
        <w:rPr>
          <w:rtl/>
        </w:rPr>
        <w:t xml:space="preserve"> </w:t>
      </w:r>
      <w:r w:rsidRPr="005428C4">
        <w:rPr>
          <w:rtl/>
        </w:rPr>
        <w:tab/>
        <w:t>ענף "אשראי למגורים" כולל גם אשראי שכנגדו ניתנה בטוחה דירת מגורים. הלוואת מסוג זה ניתנות לרוב לתקופת של מספר שנים בודדות.</w:t>
      </w:r>
    </w:p>
  </w:footnote>
  <w:footnote w:id="439">
    <w:p w:rsidR="00F74793" w:rsidP="001F2586">
      <w:pPr>
        <w:pStyle w:val="FootnoteText"/>
        <w:rPr>
          <w:rtl/>
        </w:rPr>
      </w:pPr>
      <w:r>
        <w:rPr>
          <w:rStyle w:val="FootnoteReference1"/>
        </w:rPr>
        <w:footnoteRef/>
      </w:r>
      <w:r>
        <w:rPr>
          <w:rtl/>
        </w:rPr>
        <w:t xml:space="preserve"> </w:t>
      </w:r>
      <w:r>
        <w:rPr>
          <w:rtl/>
        </w:rPr>
        <w:tab/>
      </w:r>
      <w:r w:rsidRPr="00C3117F">
        <w:rPr>
          <w:rtl/>
        </w:rPr>
        <w:t>נוטלי</w:t>
      </w:r>
      <w:r w:rsidRPr="00C3117F">
        <w:rPr>
          <w:rtl/>
        </w:rPr>
        <w:t xml:space="preserve"> המשכנתאות בערבות פדרלית באמצעות ה</w:t>
      </w:r>
      <w:r>
        <w:rPr>
          <w:rFonts w:hint="cs"/>
          <w:rtl/>
        </w:rPr>
        <w:t>-</w:t>
      </w:r>
      <w:r w:rsidRPr="00C3117F">
        <w:t>FHA</w:t>
      </w:r>
      <w:r w:rsidRPr="00C3117F">
        <w:rPr>
          <w:rtl/>
        </w:rPr>
        <w:t xml:space="preserve"> </w:t>
      </w:r>
      <w:r>
        <w:rPr>
          <w:rFonts w:hint="cs"/>
          <w:rtl/>
        </w:rPr>
        <w:t>(</w:t>
      </w:r>
      <w:r w:rsidRPr="00C3117F">
        <w:t>Federal Housing Administration</w:t>
      </w:r>
      <w:r w:rsidRPr="00C3117F">
        <w:rPr>
          <w:rtl/>
        </w:rPr>
        <w:t>)</w:t>
      </w:r>
      <w:r>
        <w:rPr>
          <w:rFonts w:hint="cs"/>
          <w:rtl/>
        </w:rPr>
        <w:t xml:space="preserve">. </w:t>
      </w:r>
      <w:r w:rsidRPr="00297EE7">
        <w:rPr>
          <w:rtl/>
        </w:rPr>
        <w:t xml:space="preserve">משכנתא בערבות פדרלית מתייחסת לרוב לתוכניות סיוע ממשלתיות בארה"ב (כמו </w:t>
      </w:r>
      <w:r w:rsidRPr="00297EE7">
        <w:t>FHA</w:t>
      </w:r>
      <w:r w:rsidRPr="00297EE7">
        <w:rPr>
          <w:rtl/>
        </w:rPr>
        <w:t>)</w:t>
      </w:r>
      <w:r>
        <w:rPr>
          <w:rFonts w:hint="cs"/>
          <w:rtl/>
        </w:rPr>
        <w:t>.</w:t>
      </w:r>
      <w:r w:rsidRPr="00FB509E">
        <w:rPr>
          <w:rtl/>
        </w:rPr>
        <w:t xml:space="preserve"> מדובר בהלוואות המבוטחות על ידי הממשל</w:t>
      </w:r>
      <w:r>
        <w:rPr>
          <w:rtl/>
        </w:rPr>
        <w:t>.</w:t>
      </w:r>
      <w:r>
        <w:rPr>
          <w:rFonts w:hint="cs"/>
          <w:rtl/>
        </w:rPr>
        <w:t xml:space="preserve"> </w:t>
      </w:r>
      <w:r w:rsidRPr="00FB509E">
        <w:rPr>
          <w:rtl/>
        </w:rPr>
        <w:t>הערבות הממשלתית מאפשרת ללווים בעלי דירוג אשראי נמוך או הון עצמי נמוך לקבל מימון, שכן המדינה מבטחת את המלווה מפני כשל פירעון.</w:t>
      </w:r>
    </w:p>
  </w:footnote>
  <w:footnote w:id="440">
    <w:p w:rsidR="00F74793" w:rsidRPr="00480481" w:rsidP="00480481">
      <w:pPr>
        <w:pStyle w:val="FootnoteText"/>
        <w:rPr>
          <w:rFonts w:cs="Times New Roman"/>
          <w:rtl/>
        </w:rPr>
      </w:pPr>
      <w:r>
        <w:rPr>
          <w:rStyle w:val="FootnoteReference1"/>
        </w:rPr>
        <w:footnoteRef/>
      </w:r>
      <w:r>
        <w:rPr>
          <w:rtl/>
        </w:rPr>
        <w:t xml:space="preserve"> </w:t>
      </w:r>
      <w:r>
        <w:rPr>
          <w:rtl/>
        </w:rPr>
        <w:tab/>
        <w:t>מתוך כלל המשכנתאות שקיימות כיום בשוק וטרם נפרעו במלואן</w:t>
      </w:r>
      <w:r>
        <w:rPr>
          <w:rFonts w:hint="cs"/>
          <w:rtl/>
        </w:rPr>
        <w:t xml:space="preserve">- ראו נתונים של </w:t>
      </w:r>
      <w:r w:rsidRPr="003D2CA7">
        <w:t>CSBS - Conference of State Bank Supervisors</w:t>
      </w:r>
      <w:r>
        <w:t xml:space="preserve">, </w:t>
      </w:r>
      <w:r w:rsidRPr="001F2586">
        <w:rPr>
          <w:rFonts w:cs="Times New Roman"/>
        </w:rPr>
        <w:t>Nonbank Mortgage Regulation - Misconceptions &amp; Background</w:t>
      </w:r>
      <w:r>
        <w:rPr>
          <w:rFonts w:cs="Times New Roman"/>
        </w:rPr>
        <w:t xml:space="preserve"> (October 2024)</w:t>
      </w:r>
    </w:p>
  </w:footnote>
  <w:footnote w:id="441">
    <w:p w:rsidR="00F74793" w:rsidP="001F2586">
      <w:pPr>
        <w:pStyle w:val="FootnoteText"/>
      </w:pPr>
      <w:r>
        <w:rPr>
          <w:rStyle w:val="FootnoteReference1"/>
        </w:rPr>
        <w:footnoteRef/>
      </w:r>
      <w:r>
        <w:rPr>
          <w:rtl/>
        </w:rPr>
        <w:t xml:space="preserve"> </w:t>
      </w:r>
      <w:r>
        <w:rPr>
          <w:rtl/>
        </w:rPr>
        <w:tab/>
      </w:r>
      <w:r w:rsidRPr="00FB509E">
        <w:rPr>
          <w:rtl/>
        </w:rPr>
        <w:t>בעוד ש</w:t>
      </w:r>
      <w:r>
        <w:rPr>
          <w:rFonts w:hint="cs"/>
          <w:rtl/>
        </w:rPr>
        <w:t>ה</w:t>
      </w:r>
      <w:r w:rsidRPr="00FB509E">
        <w:rPr>
          <w:rtl/>
        </w:rPr>
        <w:t>בנקים קמעונאיים</w:t>
      </w:r>
      <w:r>
        <w:rPr>
          <w:rFonts w:hint="cs"/>
          <w:rtl/>
        </w:rPr>
        <w:t xml:space="preserve"> באוסטרליה </w:t>
      </w:r>
      <w:r w:rsidRPr="00FB509E">
        <w:rPr>
          <w:rtl/>
        </w:rPr>
        <w:t>משתמשים בכסף של חוסכים (פיקדונות) כדי לתת משכנתאות, מלווים סיטונאיים לא מחזיקים בפיקדונות. הם קונים כסף ב"סיטונאות" מגופים פיננסיים גדולים או משוק ההון, ומוכרים אותו ב"קמעונאות" ללווים דרך משכנתאות.</w:t>
      </w:r>
    </w:p>
  </w:footnote>
  <w:footnote w:id="442">
    <w:p w:rsidR="00F74793" w:rsidP="001F2586">
      <w:pPr>
        <w:pStyle w:val="FootnoteText"/>
        <w:rPr>
          <w:rtl/>
        </w:rPr>
      </w:pPr>
      <w:r>
        <w:rPr>
          <w:rStyle w:val="FootnoteReference1"/>
        </w:rPr>
        <w:footnoteRef/>
      </w:r>
      <w:r>
        <w:rPr>
          <w:rtl/>
        </w:rPr>
        <w:t xml:space="preserve"> </w:t>
      </w:r>
      <w:r>
        <w:rPr>
          <w:rtl/>
        </w:rPr>
        <w:tab/>
      </w:r>
      <w:r>
        <w:rPr>
          <w:rFonts w:hint="cs"/>
          <w:rtl/>
        </w:rPr>
        <w:t xml:space="preserve">מכונה גם חוק </w:t>
      </w:r>
      <w:r>
        <w:rPr>
          <w:rFonts w:hint="cs"/>
          <w:rtl/>
        </w:rPr>
        <w:t>נאוי</w:t>
      </w:r>
      <w:r>
        <w:rPr>
          <w:rFonts w:hint="cs"/>
          <w:rtl/>
        </w:rPr>
        <w:t xml:space="preserve"> 2. </w:t>
      </w:r>
    </w:p>
  </w:footnote>
  <w:footnote w:id="443">
    <w:p w:rsidR="00F74793" w:rsidP="001F2586">
      <w:pPr>
        <w:pStyle w:val="FootnoteText"/>
      </w:pPr>
      <w:r>
        <w:rPr>
          <w:rStyle w:val="FootnoteReference1"/>
        </w:rPr>
        <w:footnoteRef/>
      </w:r>
      <w:r>
        <w:rPr>
          <w:rtl/>
        </w:rPr>
        <w:t xml:space="preserve"> </w:t>
      </w:r>
      <w:r>
        <w:rPr>
          <w:rtl/>
        </w:rPr>
        <w:tab/>
      </w:r>
      <w:r>
        <w:rPr>
          <w:rFonts w:hint="cs"/>
          <w:rtl/>
        </w:rPr>
        <w:t>המגבלות מפורטות במסגרת הוראת</w:t>
      </w:r>
      <w:r w:rsidRPr="00115B58">
        <w:rPr>
          <w:rtl/>
        </w:rPr>
        <w:t xml:space="preserve"> </w:t>
      </w:r>
      <w:r w:rsidRPr="00115B58">
        <w:rPr>
          <w:rtl/>
        </w:rPr>
        <w:t>נב"ת</w:t>
      </w:r>
      <w:r w:rsidRPr="00115B58">
        <w:rPr>
          <w:rtl/>
        </w:rPr>
        <w:t xml:space="preserve"> מס' 329 "מגבלות למתן הלוואות לדיור"</w:t>
      </w:r>
    </w:p>
  </w:footnote>
  <w:footnote w:id="444">
    <w:p w:rsidR="00F74793" w:rsidP="001F2586">
      <w:pPr>
        <w:pStyle w:val="FootnoteText"/>
      </w:pPr>
      <w:r>
        <w:rPr>
          <w:rStyle w:val="FootnoteReference1"/>
        </w:rPr>
        <w:footnoteRef/>
      </w:r>
      <w:r>
        <w:rPr>
          <w:rtl/>
        </w:rPr>
        <w:t xml:space="preserve"> </w:t>
      </w:r>
      <w:r>
        <w:rPr>
          <w:rtl/>
        </w:rPr>
        <w:tab/>
      </w:r>
      <w:r>
        <w:rPr>
          <w:rFonts w:hint="cs"/>
          <w:rtl/>
        </w:rPr>
        <w:t xml:space="preserve">רשות שוק ההון, ביטוח וחיסכון - </w:t>
      </w:r>
      <w:r w:rsidRPr="00B4661A">
        <w:rPr>
          <w:rFonts w:hint="cs"/>
          <w:rtl/>
        </w:rPr>
        <w:t>חוזר בנושא "הוראות לניהול אשראי צרכני" 2020-10-4,</w:t>
      </w:r>
      <w:r>
        <w:rPr>
          <w:rFonts w:hint="cs"/>
          <w:rtl/>
        </w:rPr>
        <w:t xml:space="preserve"> נובמבר 2020.</w:t>
      </w:r>
    </w:p>
  </w:footnote>
  <w:footnote w:id="445">
    <w:p w:rsidR="00F74793" w:rsidP="001F2586">
      <w:pPr>
        <w:pStyle w:val="FootnoteText"/>
        <w:rPr>
          <w:rtl/>
        </w:rPr>
      </w:pPr>
      <w:r>
        <w:rPr>
          <w:rStyle w:val="FootnoteReference1"/>
        </w:rPr>
        <w:footnoteRef/>
      </w:r>
      <w:r>
        <w:rPr>
          <w:rtl/>
        </w:rPr>
        <w:t xml:space="preserve"> </w:t>
      </w:r>
      <w:r>
        <w:rPr>
          <w:rtl/>
        </w:rPr>
        <w:tab/>
      </w:r>
      <w:r>
        <w:rPr>
          <w:rFonts w:hint="cs"/>
          <w:rtl/>
        </w:rPr>
        <w:t>בחוזר אשראי צרכני נקבע איסור על נותן האשראי להסתמך במודל החיתום רק על ערך הבטוחה של הלווה. כמו כן עליו לקבוע את שיעור המימון בהתאם ליכולתו של הלווה לעמוד בתשלומי החזר ההלוואה.</w:t>
      </w:r>
    </w:p>
  </w:footnote>
  <w:footnote w:id="446">
    <w:p w:rsidR="00F74793" w:rsidP="001F2586">
      <w:pPr>
        <w:pStyle w:val="FootnoteText"/>
        <w:rPr>
          <w:rtl/>
        </w:rPr>
      </w:pPr>
      <w:r>
        <w:rPr>
          <w:rStyle w:val="FootnoteReference1"/>
        </w:rPr>
        <w:footnoteRef/>
      </w:r>
      <w:r>
        <w:rPr>
          <w:rtl/>
        </w:rPr>
        <w:t xml:space="preserve"> </w:t>
      </w:r>
      <w:r>
        <w:rPr>
          <w:rtl/>
        </w:rPr>
        <w:tab/>
      </w:r>
      <w:r>
        <w:rPr>
          <w:rFonts w:hint="cs"/>
          <w:rtl/>
        </w:rPr>
        <w:t xml:space="preserve">יצוין כי חוזר רשות שוק ההון קובע כי על נותן האשראי לקבוע מדיניות חיתום מפורשת ומחייב את נותן האשראי לבצע אימות של הכנסה הריאלית (באמצעות אסמכתאות) ולגזור ממנה את יכולת ההחזר לאחר ניכוי התחייבויות המופיעות במאגר נתוני האשראי. </w:t>
      </w:r>
    </w:p>
  </w:footnote>
  <w:footnote w:id="447">
    <w:p w:rsidR="00F74793" w:rsidP="001F2586">
      <w:pPr>
        <w:pStyle w:val="FootnoteText"/>
        <w:rPr>
          <w:rtl/>
        </w:rPr>
      </w:pPr>
      <w:r>
        <w:rPr>
          <w:rStyle w:val="FootnoteReference1"/>
        </w:rPr>
        <w:footnoteRef/>
      </w:r>
      <w:r>
        <w:rPr>
          <w:rtl/>
        </w:rPr>
        <w:t xml:space="preserve"> </w:t>
      </w:r>
      <w:r>
        <w:rPr>
          <w:rtl/>
        </w:rPr>
        <w:tab/>
      </w:r>
      <w:r w:rsidRPr="00B4661A">
        <w:rPr>
          <w:rFonts w:hint="cs"/>
          <w:rtl/>
        </w:rPr>
        <w:t>ראה פרק י': חטיבת שירותים פיננסים מוסדרים,</w:t>
      </w:r>
      <w:r>
        <w:rPr>
          <w:rFonts w:hint="cs"/>
          <w:rtl/>
        </w:rPr>
        <w:t xml:space="preserve"> רשות שוק ההון, דוח שנתי 2020</w:t>
      </w:r>
    </w:p>
  </w:footnote>
  <w:footnote w:id="448">
    <w:p w:rsidR="00F74793" w:rsidP="001F2586">
      <w:pPr>
        <w:pStyle w:val="FootnoteText"/>
      </w:pPr>
      <w:r>
        <w:rPr>
          <w:rStyle w:val="FootnoteReference1"/>
        </w:rPr>
        <w:footnoteRef/>
      </w:r>
      <w:r>
        <w:rPr>
          <w:rtl/>
        </w:rPr>
        <w:t xml:space="preserve"> </w:t>
      </w:r>
      <w:r>
        <w:rPr>
          <w:rtl/>
        </w:rPr>
        <w:tab/>
      </w:r>
      <w:r>
        <w:rPr>
          <w:rFonts w:hint="cs"/>
          <w:rtl/>
        </w:rPr>
        <w:t>הגוף החוץ בנקאי</w:t>
      </w:r>
      <w:r w:rsidRPr="00B341F7">
        <w:rPr>
          <w:rtl/>
        </w:rPr>
        <w:t xml:space="preserve"> מחזיק בידע מקצועי, משפטי ופיננסי, בעוד הלקוח הממוצע מבצע את עסקת חייו (משכנתא) לעיתים פעם אחת בלבד, ללא כלים מספקים להבנת המורכבות.</w:t>
      </w:r>
    </w:p>
  </w:footnote>
  <w:footnote w:id="449">
    <w:p w:rsidR="00F74793" w:rsidP="001F2586">
      <w:pPr>
        <w:pStyle w:val="FootnoteText"/>
      </w:pPr>
      <w:r>
        <w:rPr>
          <w:rStyle w:val="FootnoteReference1"/>
        </w:rPr>
        <w:footnoteRef/>
      </w:r>
      <w:r>
        <w:rPr>
          <w:rtl/>
        </w:rPr>
        <w:t xml:space="preserve"> </w:t>
      </w:r>
      <w:r>
        <w:rPr>
          <w:rtl/>
        </w:rPr>
        <w:tab/>
      </w:r>
      <w:r>
        <w:rPr>
          <w:rFonts w:hint="cs"/>
          <w:rtl/>
        </w:rPr>
        <w:t xml:space="preserve">דוח מבקר המדינה, היבטים בהתמודדות עם יוקר המחייה, ינואר 2024 </w:t>
      </w:r>
    </w:p>
  </w:footnote>
  <w:footnote w:id="450">
    <w:p w:rsidR="00F74793" w:rsidP="001F2586">
      <w:pPr>
        <w:pStyle w:val="FootnoteText"/>
      </w:pPr>
      <w:r>
        <w:rPr>
          <w:rStyle w:val="FootnoteReference1"/>
        </w:rPr>
        <w:footnoteRef/>
      </w:r>
      <w:r>
        <w:rPr>
          <w:rtl/>
        </w:rPr>
        <w:t xml:space="preserve"> </w:t>
      </w:r>
      <w:r>
        <w:rPr>
          <w:rtl/>
        </w:rPr>
        <w:tab/>
      </w:r>
      <w:r w:rsidRPr="007B5AE4">
        <w:rPr>
          <w:rFonts w:hint="cs"/>
          <w:rtl/>
        </w:rPr>
        <w:t>רא</w:t>
      </w:r>
      <w:r>
        <w:rPr>
          <w:rFonts w:hint="cs"/>
          <w:rtl/>
        </w:rPr>
        <w:t>ו</w:t>
      </w:r>
      <w:r w:rsidRPr="007B5AE4">
        <w:rPr>
          <w:rFonts w:hint="cs"/>
          <w:rtl/>
        </w:rPr>
        <w:t xml:space="preserve"> פרק בנושא </w:t>
      </w:r>
      <w:r w:rsidRPr="00682152">
        <w:rPr>
          <w:rtl/>
        </w:rPr>
        <w:t>בחינת מגבלות הפיקוח על הבנקים במתן הלוואות לדיור</w:t>
      </w:r>
      <w:r>
        <w:rPr>
          <w:rFonts w:hint="cs"/>
          <w:rtl/>
        </w:rPr>
        <w:t>.</w:t>
      </w:r>
    </w:p>
  </w:footnote>
  <w:footnote w:id="451">
    <w:p w:rsidR="00F74793" w:rsidP="001F2586">
      <w:pPr>
        <w:pStyle w:val="FootnoteText"/>
        <w:jc w:val="left"/>
      </w:pPr>
      <w:r>
        <w:rPr>
          <w:rStyle w:val="FootnoteReference1"/>
        </w:rPr>
        <w:footnoteRef/>
      </w:r>
      <w:r>
        <w:rPr>
          <w:rtl/>
        </w:rPr>
        <w:t xml:space="preserve"> </w:t>
      </w:r>
      <w:r>
        <w:rPr>
          <w:rtl/>
        </w:rPr>
        <w:tab/>
      </w:r>
      <w:r>
        <w:rPr>
          <w:rFonts w:hint="cs"/>
          <w:rtl/>
        </w:rPr>
        <w:t xml:space="preserve">ראו פרוטוקול ועדת הכלכלה: </w:t>
      </w:r>
      <w:r w:rsidRPr="00B4661A">
        <w:t>https://main.knesset.gov.il/apps/committees/2214/sessions/2192048</w:t>
      </w:r>
      <w:r>
        <w:rPr>
          <w:rFonts w:hint="cs"/>
          <w:rtl/>
        </w:rPr>
        <w:t xml:space="preserve"> </w:t>
      </w:r>
    </w:p>
  </w:footnote>
  <w:footnote w:id="452">
    <w:p w:rsidR="00F74793" w:rsidP="001F2586">
      <w:pPr>
        <w:pStyle w:val="FootnoteText"/>
      </w:pPr>
      <w:r>
        <w:rPr>
          <w:rStyle w:val="FootnoteReference1"/>
        </w:rPr>
        <w:footnoteRef/>
      </w:r>
      <w:r>
        <w:rPr>
          <w:rtl/>
        </w:rPr>
        <w:t xml:space="preserve"> </w:t>
      </w:r>
      <w:r>
        <w:rPr>
          <w:rtl/>
        </w:rPr>
        <w:tab/>
      </w:r>
      <w:r>
        <w:rPr>
          <w:rFonts w:hint="cs"/>
          <w:rtl/>
        </w:rPr>
        <w:t>ל</w:t>
      </w:r>
      <w:r w:rsidRPr="008C0DB8">
        <w:rPr>
          <w:rtl/>
        </w:rPr>
        <w:t>בנקים יש חובה לפרסם את תעריפי העמלות שלהם באופן שקוף ונגיש ללקוחות, כפי שנקבע ב"כללי הבנקאות (שירות ללקוח) (עמלות)")</w:t>
      </w:r>
      <w:r>
        <w:rPr>
          <w:rFonts w:hint="cs"/>
          <w:rtl/>
        </w:rPr>
        <w:t>, התשס"ח-2008</w:t>
      </w:r>
      <w:r w:rsidRPr="008C0DB8">
        <w:rPr>
          <w:rtl/>
        </w:rPr>
        <w:t>"" של בנק ישראל</w:t>
      </w:r>
      <w:r>
        <w:rPr>
          <w:rFonts w:hint="cs"/>
          <w:rtl/>
        </w:rPr>
        <w:t>.</w:t>
      </w:r>
    </w:p>
  </w:footnote>
  <w:footnote w:id="453">
    <w:p w:rsidR="00F74793" w:rsidP="001F2586">
      <w:pPr>
        <w:pStyle w:val="CommentText"/>
        <w:ind w:left="708" w:hanging="708"/>
        <w:rPr>
          <w:rtl/>
        </w:rPr>
      </w:pPr>
      <w:r>
        <w:rPr>
          <w:rStyle w:val="FootnoteReference1"/>
        </w:rPr>
        <w:footnoteRef/>
      </w:r>
      <w:r>
        <w:rPr>
          <w:rtl/>
        </w:rPr>
        <w:t xml:space="preserve"> </w:t>
      </w:r>
      <w:r>
        <w:rPr>
          <w:rtl/>
        </w:rPr>
        <w:tab/>
      </w:r>
      <w:r>
        <w:rPr>
          <w:rFonts w:hint="cs"/>
          <w:rtl/>
        </w:rPr>
        <w:t xml:space="preserve">ראו דוח של רשות התחרות בנושא: </w:t>
      </w:r>
      <w:r>
        <w:rPr>
          <w:rtl/>
        </w:rPr>
        <w:t>בעיות אינפורמציה בשוק</w:t>
      </w:r>
      <w:r>
        <w:rPr>
          <w:rFonts w:hint="cs"/>
          <w:rtl/>
        </w:rPr>
        <w:t xml:space="preserve"> </w:t>
      </w:r>
      <w:r>
        <w:rPr>
          <w:rtl/>
        </w:rPr>
        <w:t>המשכנתאות בישראל:</w:t>
      </w:r>
      <w:r>
        <w:rPr>
          <w:rFonts w:hint="cs"/>
          <w:rtl/>
        </w:rPr>
        <w:t xml:space="preserve"> </w:t>
      </w:r>
      <w:r>
        <w:rPr>
          <w:rtl/>
        </w:rPr>
        <w:t>פיזור מחירים וחיפוש</w:t>
      </w:r>
      <w:r>
        <w:rPr>
          <w:rFonts w:hint="cs"/>
          <w:rtl/>
        </w:rPr>
        <w:t xml:space="preserve">, יולי 2021 </w:t>
      </w:r>
    </w:p>
  </w:footnote>
  <w:footnote w:id="454">
    <w:p w:rsidR="00F74793" w:rsidP="001F2586">
      <w:pPr>
        <w:pStyle w:val="FootnoteText"/>
        <w:rPr>
          <w:rtl/>
        </w:rPr>
      </w:pPr>
      <w:r>
        <w:rPr>
          <w:rStyle w:val="FootnoteReference1"/>
        </w:rPr>
        <w:footnoteRef/>
      </w:r>
      <w:r>
        <w:rPr>
          <w:rtl/>
        </w:rPr>
        <w:t xml:space="preserve"> </w:t>
      </w:r>
      <w:r>
        <w:rPr>
          <w:rFonts w:hint="cs"/>
          <w:rtl/>
        </w:rPr>
        <w:t>ראו הפרק בדבר רפורמת השקיפות במערכת הבנקאות.</w:t>
      </w:r>
    </w:p>
  </w:footnote>
  <w:footnote w:id="455">
    <w:p w:rsidR="00F74793" w:rsidP="00326AEA">
      <w:pPr>
        <w:pStyle w:val="FootnoteText"/>
        <w:rPr>
          <w:rtl/>
        </w:rPr>
      </w:pPr>
      <w:r>
        <w:rPr>
          <w:rStyle w:val="FootnoteReference1"/>
        </w:rPr>
        <w:footnoteRef/>
      </w:r>
      <w:r>
        <w:rPr>
          <w:rtl/>
        </w:rPr>
        <w:t xml:space="preserve"> </w:t>
      </w:r>
      <w:r>
        <w:rPr>
          <w:rtl/>
        </w:rPr>
        <w:tab/>
      </w:r>
      <w:r>
        <w:rPr>
          <w:rFonts w:hint="cs"/>
          <w:rtl/>
        </w:rPr>
        <w:t>יצוין כי רשות שוק ההון מסרה למשרד מבקר המדינה ביוני 2026 כי יו"ר הוועדה המייעצת מונה ביום 19.3.26.</w:t>
      </w:r>
    </w:p>
  </w:footnote>
  <w:footnote w:id="456">
    <w:p w:rsidR="00F74793" w:rsidP="001F2586">
      <w:pPr>
        <w:pStyle w:val="FootnoteText"/>
      </w:pPr>
      <w:r>
        <w:rPr>
          <w:rStyle w:val="FootnoteReference1"/>
        </w:rPr>
        <w:footnoteRef/>
      </w:r>
      <w:r>
        <w:rPr>
          <w:rtl/>
        </w:rPr>
        <w:t xml:space="preserve"> </w:t>
      </w:r>
      <w:r>
        <w:rPr>
          <w:rtl/>
        </w:rPr>
        <w:tab/>
      </w:r>
      <w:r>
        <w:rPr>
          <w:rFonts w:hint="cs"/>
          <w:rtl/>
        </w:rPr>
        <w:t xml:space="preserve">הפיקוח על נותני שירותים פיננסים, מרכז המחקר והמידע, ינואר 2019 </w:t>
      </w:r>
    </w:p>
  </w:footnote>
  <w:footnote w:id="457">
    <w:p w:rsidR="00F74793" w:rsidP="001F2586">
      <w:pPr>
        <w:pStyle w:val="FootnoteText"/>
        <w:rPr>
          <w:rtl/>
        </w:rPr>
      </w:pPr>
      <w:r>
        <w:rPr>
          <w:rStyle w:val="FootnoteReference1"/>
        </w:rPr>
        <w:footnoteRef/>
      </w:r>
      <w:r>
        <w:rPr>
          <w:rtl/>
        </w:rPr>
        <w:t xml:space="preserve"> </w:t>
      </w:r>
      <w:r>
        <w:rPr>
          <w:rtl/>
        </w:rPr>
        <w:tab/>
      </w:r>
      <w:r w:rsidRPr="004C00FB">
        <w:rPr>
          <w:rFonts w:hint="cs"/>
          <w:rtl/>
        </w:rPr>
        <w:t>ראו סעיף 39</w:t>
      </w:r>
      <w:r w:rsidRPr="004C00FB">
        <w:rPr>
          <w:rtl/>
        </w:rPr>
        <w:t>(א) ו-39(ב) לחוק הפיקוח על שירותים פיננסיים (שירותים פיננסיים מוסדרים), התשע"ו-2016</w:t>
      </w:r>
      <w:r>
        <w:rPr>
          <w:rFonts w:hint="cs"/>
          <w:rtl/>
        </w:rPr>
        <w:t>.</w:t>
      </w:r>
    </w:p>
  </w:footnote>
  <w:footnote w:id="458">
    <w:p w:rsidR="00F74793" w:rsidP="001F2586">
      <w:pPr>
        <w:pStyle w:val="FootnoteText"/>
        <w:rPr>
          <w:rtl/>
        </w:rPr>
      </w:pPr>
      <w:r>
        <w:rPr>
          <w:rStyle w:val="FootnoteReference1"/>
        </w:rPr>
        <w:footnoteRef/>
      </w:r>
      <w:r>
        <w:rPr>
          <w:rtl/>
        </w:rPr>
        <w:t xml:space="preserve"> </w:t>
      </w:r>
      <w:r>
        <w:rPr>
          <w:rtl/>
        </w:rPr>
        <w:tab/>
      </w:r>
      <w:r w:rsidRPr="001C74DC">
        <w:rPr>
          <w:rtl/>
        </w:rPr>
        <w:t>חשבון השקעות שבו הגוף הפיננסי מבצע פעולות בשמו ולמטרות רווח עצמי</w:t>
      </w:r>
      <w:r>
        <w:rPr>
          <w:rtl/>
        </w:rPr>
        <w:t>.</w:t>
      </w:r>
      <w:r>
        <w:rPr>
          <w:rFonts w:hint="cs"/>
          <w:rtl/>
        </w:rPr>
        <w:t xml:space="preserve"> </w:t>
      </w:r>
    </w:p>
  </w:footnote>
  <w:footnote w:id="459">
    <w:p w:rsidR="00F74793" w:rsidP="001F2586">
      <w:pPr>
        <w:pStyle w:val="FootnoteText"/>
        <w:rPr>
          <w:rtl/>
        </w:rPr>
      </w:pPr>
      <w:r>
        <w:rPr>
          <w:rStyle w:val="FootnoteReference1"/>
        </w:rPr>
        <w:footnoteRef/>
      </w:r>
      <w:r>
        <w:rPr>
          <w:rtl/>
        </w:rPr>
        <w:t xml:space="preserve"> </w:t>
      </w:r>
      <w:r>
        <w:rPr>
          <w:rtl/>
        </w:rPr>
        <w:tab/>
      </w:r>
      <w:r>
        <w:rPr>
          <w:rFonts w:hint="cs"/>
          <w:rtl/>
        </w:rPr>
        <w:t xml:space="preserve">ראו מחקר בנושא </w:t>
      </w:r>
      <w:r>
        <w:rPr>
          <w:rFonts w:hint="cs"/>
        </w:rPr>
        <w:t>V</w:t>
      </w:r>
      <w:r>
        <w:t>alue For money</w:t>
      </w:r>
      <w:r>
        <w:rPr>
          <w:rtl/>
        </w:rPr>
        <w:t xml:space="preserve"> </w:t>
      </w:r>
      <w:r>
        <w:rPr>
          <w:rFonts w:hint="cs"/>
          <w:rtl/>
        </w:rPr>
        <w:t xml:space="preserve">- מדד האוריינות הפיננסית בציבור הישראלי זרקור על החברה הערבית, פברואר 2023. </w:t>
      </w:r>
    </w:p>
  </w:footnote>
  <w:footnote w:id="460">
    <w:p w:rsidR="00F74793" w:rsidP="001F2586">
      <w:pPr>
        <w:pStyle w:val="FootnoteText"/>
        <w:jc w:val="left"/>
        <w:rPr>
          <w:rtl/>
        </w:rPr>
      </w:pPr>
      <w:r>
        <w:rPr>
          <w:rStyle w:val="FootnoteReference1"/>
        </w:rPr>
        <w:footnoteRef/>
      </w:r>
      <w:r>
        <w:rPr>
          <w:rtl/>
        </w:rPr>
        <w:t xml:space="preserve"> </w:t>
      </w:r>
      <w:r>
        <w:rPr>
          <w:rtl/>
        </w:rPr>
        <w:tab/>
      </w:r>
      <w:r>
        <w:rPr>
          <w:rFonts w:hint="cs"/>
          <w:rtl/>
        </w:rPr>
        <w:t xml:space="preserve">ראו דיון ועדת הכספים בנושא: </w:t>
      </w:r>
      <w:r w:rsidRPr="00B4661A">
        <w:t>https://main.knesset.gov.il/apps/committees/2213/sessions/2017265</w:t>
      </w:r>
      <w:r>
        <w:rPr>
          <w:rFonts w:hint="cs"/>
          <w:rtl/>
        </w:rPr>
        <w:t>.</w:t>
      </w:r>
    </w:p>
  </w:footnote>
  <w:footnote w:id="461">
    <w:p w:rsidR="00F74793" w:rsidP="001F2586">
      <w:pPr>
        <w:pStyle w:val="FootnoteText"/>
        <w:rPr>
          <w:rtl/>
        </w:rPr>
      </w:pPr>
      <w:r>
        <w:rPr>
          <w:rStyle w:val="FootnoteReference1"/>
        </w:rPr>
        <w:footnoteRef/>
      </w:r>
      <w:r>
        <w:rPr>
          <w:rtl/>
        </w:rPr>
        <w:t xml:space="preserve"> </w:t>
      </w:r>
      <w:r>
        <w:rPr>
          <w:rtl/>
        </w:rPr>
        <w:tab/>
      </w:r>
      <w:bookmarkStart w:id="101" w:name="_Hlk205213833"/>
      <w:r>
        <w:rPr>
          <w:rFonts w:hint="cs"/>
          <w:rtl/>
        </w:rPr>
        <w:t xml:space="preserve">המקור: דיווחי הבנקים ועיבודי הפיקוח על הבנקים, נתוני </w:t>
      </w:r>
      <w:r>
        <w:t xml:space="preserve">Q1/2025 </w:t>
      </w:r>
      <w:r>
        <w:tab/>
        <w:t>Q1/2024 -</w:t>
      </w:r>
      <w:r>
        <w:rPr>
          <w:rtl/>
        </w:rPr>
        <w:t xml:space="preserve"> </w:t>
      </w:r>
      <w:r>
        <w:rPr>
          <w:rFonts w:hint="cs"/>
          <w:rtl/>
        </w:rPr>
        <w:t>הלוואות למטרות מגורים</w:t>
      </w:r>
      <w:bookmarkEnd w:id="101"/>
      <w:r>
        <w:rPr>
          <w:rFonts w:hint="cs"/>
          <w:rtl/>
        </w:rPr>
        <w:t>.</w:t>
      </w:r>
    </w:p>
  </w:footnote>
  <w:footnote w:id="462">
    <w:p w:rsidR="00F74793" w:rsidP="001F2586">
      <w:pPr>
        <w:pStyle w:val="FootnoteText"/>
        <w:rPr>
          <w:rtl/>
        </w:rPr>
      </w:pPr>
      <w:r>
        <w:rPr>
          <w:rStyle w:val="FootnoteReference1"/>
        </w:rPr>
        <w:footnoteRef/>
      </w:r>
      <w:r>
        <w:rPr>
          <w:rtl/>
        </w:rPr>
        <w:t xml:space="preserve"> </w:t>
      </w:r>
      <w:r>
        <w:rPr>
          <w:rtl/>
        </w:rPr>
        <w:tab/>
      </w:r>
      <w:r>
        <w:rPr>
          <w:rFonts w:hint="cs"/>
          <w:rtl/>
        </w:rPr>
        <w:t>מאגר זה קיים החל משנת 2022 והחל מדצמבר 2023 נוסף שדה המשמש כאינדיקטור לשימוש ביועצי משכנתאות.</w:t>
      </w:r>
    </w:p>
  </w:footnote>
  <w:footnote w:id="463">
    <w:p w:rsidR="00F74793" w:rsidP="001F2586">
      <w:pPr>
        <w:pStyle w:val="FootnoteText"/>
        <w:rPr>
          <w:rtl/>
        </w:rPr>
      </w:pPr>
      <w:r>
        <w:rPr>
          <w:rStyle w:val="FootnoteReference1"/>
        </w:rPr>
        <w:footnoteRef/>
      </w:r>
      <w:r>
        <w:rPr>
          <w:rtl/>
        </w:rPr>
        <w:t xml:space="preserve"> </w:t>
      </w:r>
      <w:r>
        <w:rPr>
          <w:rtl/>
        </w:rPr>
        <w:tab/>
      </w:r>
      <w:r w:rsidRPr="0013607B">
        <w:rPr>
          <w:rtl/>
        </w:rPr>
        <w:t>בעיות אינפורמציה בשוק המשכנתאות בישראל</w:t>
      </w:r>
      <w:r>
        <w:rPr>
          <w:rtl/>
        </w:rPr>
        <w:t>:</w:t>
      </w:r>
      <w:r w:rsidRPr="0013607B">
        <w:rPr>
          <w:rtl/>
        </w:rPr>
        <w:t xml:space="preserve"> פיזור מחירים וחיפוש</w:t>
      </w:r>
      <w:r>
        <w:rPr>
          <w:rFonts w:hint="cs"/>
          <w:rtl/>
        </w:rPr>
        <w:t>, רשות התחרות, ינואר 2021</w:t>
      </w:r>
    </w:p>
  </w:footnote>
  <w:footnote w:id="464">
    <w:p w:rsidR="00F74793" w:rsidP="001F2586">
      <w:pPr>
        <w:pStyle w:val="FootnoteText"/>
      </w:pPr>
      <w:r>
        <w:rPr>
          <w:rStyle w:val="FootnoteReference1"/>
        </w:rPr>
        <w:footnoteRef/>
      </w:r>
      <w:r>
        <w:rPr>
          <w:rtl/>
        </w:rPr>
        <w:t xml:space="preserve"> </w:t>
      </w:r>
      <w:r>
        <w:rPr>
          <w:rtl/>
        </w:rPr>
        <w:tab/>
      </w:r>
      <w:r w:rsidRPr="00BA6F34">
        <w:rPr>
          <w:rtl/>
        </w:rPr>
        <w:t>מחזור משכנתא הוא תהליך של פירעון מוקדם של משכנתא קיימת, על ידי לקיחת משכנתא חדשה בתנאים שונים, על מנת לשפר את התנאים או להתאים אותם למצב הפיננסי העדכני</w:t>
      </w:r>
      <w:r>
        <w:rPr>
          <w:rFonts w:hint="cs"/>
          <w:rtl/>
        </w:rPr>
        <w:t>.</w:t>
      </w:r>
    </w:p>
  </w:footnote>
  <w:footnote w:id="465">
    <w:p w:rsidR="00F74793" w:rsidP="001F2586">
      <w:pPr>
        <w:pStyle w:val="FootnoteText"/>
        <w:rPr>
          <w:rtl/>
        </w:rPr>
      </w:pPr>
      <w:r>
        <w:rPr>
          <w:rStyle w:val="FootnoteReference1"/>
        </w:rPr>
        <w:footnoteRef/>
      </w:r>
      <w:r>
        <w:rPr>
          <w:rtl/>
        </w:rPr>
        <w:t xml:space="preserve"> </w:t>
      </w:r>
      <w:r>
        <w:rPr>
          <w:rtl/>
        </w:rPr>
        <w:tab/>
      </w:r>
      <w:r>
        <w:rPr>
          <w:rFonts w:hint="cs"/>
          <w:rtl/>
        </w:rPr>
        <w:t xml:space="preserve">שיעור האינפלציה בשנת 2024 עמד על 3.2%. </w:t>
      </w:r>
    </w:p>
  </w:footnote>
  <w:footnote w:id="466">
    <w:p w:rsidR="00F74793" w:rsidP="001F2586">
      <w:pPr>
        <w:pStyle w:val="FootnoteText"/>
        <w:rPr>
          <w:rtl/>
        </w:rPr>
      </w:pPr>
      <w:r>
        <w:rPr>
          <w:rStyle w:val="FootnoteReference1"/>
        </w:rPr>
        <w:footnoteRef/>
      </w:r>
      <w:r>
        <w:rPr>
          <w:rtl/>
        </w:rPr>
        <w:t xml:space="preserve"> </w:t>
      </w:r>
      <w:r>
        <w:rPr>
          <w:rtl/>
        </w:rPr>
        <w:tab/>
      </w:r>
      <w:r>
        <w:rPr>
          <w:rFonts w:hint="cs"/>
        </w:rPr>
        <w:t>PTI</w:t>
      </w:r>
      <w:r>
        <w:rPr>
          <w:rFonts w:hint="cs"/>
          <w:rtl/>
        </w:rPr>
        <w:t xml:space="preserve"> - </w:t>
      </w:r>
      <w:r>
        <w:t>Payments to Income</w:t>
      </w:r>
      <w:r>
        <w:rPr>
          <w:rFonts w:hint="cs"/>
          <w:rtl/>
        </w:rPr>
        <w:t xml:space="preserve"> - מדד בנקאי המייצג את היחס בין החזר המשכנתא החודשי לבין ההכנסה הפנויה של משק הבית.</w:t>
      </w:r>
    </w:p>
  </w:footnote>
  <w:footnote w:id="467">
    <w:p w:rsidR="00F74793" w:rsidP="001F2586">
      <w:pPr>
        <w:pStyle w:val="FootnoteText"/>
      </w:pPr>
      <w:r>
        <w:rPr>
          <w:rStyle w:val="FootnoteReference1"/>
        </w:rPr>
        <w:footnoteRef/>
      </w:r>
      <w:r>
        <w:rPr>
          <w:rtl/>
        </w:rPr>
        <w:t xml:space="preserve"> </w:t>
      </w:r>
      <w:r>
        <w:rPr>
          <w:rtl/>
        </w:rPr>
        <w:tab/>
      </w:r>
      <w:r>
        <w:rPr>
          <w:rFonts w:hint="cs"/>
        </w:rPr>
        <w:t>LTV</w:t>
      </w:r>
      <w:r>
        <w:rPr>
          <w:rFonts w:hint="cs"/>
          <w:rtl/>
        </w:rPr>
        <w:t xml:space="preserve">- </w:t>
      </w:r>
      <w:r>
        <w:rPr>
          <w:rFonts w:hint="cs"/>
        </w:rPr>
        <w:t>L</w:t>
      </w:r>
      <w:r>
        <w:t>oan to Value</w:t>
      </w:r>
      <w:r>
        <w:rPr>
          <w:rFonts w:hint="cs"/>
          <w:rtl/>
        </w:rPr>
        <w:t xml:space="preserve"> - יחס המבטא את סכום ההלוואה ביחס לשווי הנכס.</w:t>
      </w:r>
    </w:p>
  </w:footnote>
  <w:footnote w:id="468">
    <w:p w:rsidR="00F74793" w:rsidP="001F2586">
      <w:pPr>
        <w:pStyle w:val="FootnoteText"/>
        <w:rPr>
          <w:rtl/>
        </w:rPr>
      </w:pPr>
      <w:r>
        <w:rPr>
          <w:rStyle w:val="FootnoteReference1"/>
        </w:rPr>
        <w:footnoteRef/>
      </w:r>
      <w:r>
        <w:rPr>
          <w:rtl/>
        </w:rPr>
        <w:t xml:space="preserve"> </w:t>
      </w:r>
      <w:r>
        <w:rPr>
          <w:rtl/>
        </w:rPr>
        <w:tab/>
      </w:r>
      <w:r>
        <w:rPr>
          <w:rFonts w:hint="cs"/>
          <w:rtl/>
        </w:rPr>
        <w:t>חוק הסדרת עיסוק בייעוץ השקעות, בשיווק השקעות ובניהול תיקי השקעות, התשנ"ה-1995.</w:t>
      </w:r>
    </w:p>
  </w:footnote>
  <w:footnote w:id="469">
    <w:p w:rsidR="00F74793" w:rsidP="001F2586">
      <w:pPr>
        <w:pStyle w:val="FootnoteText"/>
      </w:pPr>
      <w:r>
        <w:rPr>
          <w:rStyle w:val="FootnoteReference1"/>
        </w:rPr>
        <w:footnoteRef/>
      </w:r>
      <w:r>
        <w:rPr>
          <w:rtl/>
        </w:rPr>
        <w:t xml:space="preserve"> </w:t>
      </w:r>
      <w:r>
        <w:rPr>
          <w:rtl/>
        </w:rPr>
        <w:tab/>
      </w:r>
      <w:r>
        <w:rPr>
          <w:rFonts w:hint="cs"/>
          <w:rtl/>
        </w:rPr>
        <w:t>חוק הפיקוח על שירותים פיננסים (עיסוק בייעוץ פנסיוני ובשיווק פנסיוני), התשס"ה-2005.</w:t>
      </w:r>
    </w:p>
  </w:footnote>
  <w:footnote w:id="470">
    <w:p w:rsidR="00F74793" w:rsidP="001F2586">
      <w:pPr>
        <w:pStyle w:val="FootnoteText"/>
      </w:pPr>
      <w:r>
        <w:rPr>
          <w:rStyle w:val="FootnoteReference1"/>
        </w:rPr>
        <w:footnoteRef/>
      </w:r>
      <w:r>
        <w:rPr>
          <w:rtl/>
        </w:rPr>
        <w:t xml:space="preserve"> </w:t>
      </w:r>
      <w:r>
        <w:rPr>
          <w:rtl/>
        </w:rPr>
        <w:tab/>
      </w:r>
      <w:r>
        <w:rPr>
          <w:rFonts w:hint="cs"/>
          <w:rtl/>
        </w:rPr>
        <w:t xml:space="preserve">חוק שמאי מקרקעין, התשס"א-2001. </w:t>
      </w:r>
    </w:p>
  </w:footnote>
  <w:footnote w:id="471">
    <w:p w:rsidR="00F74793" w:rsidRPr="0019131E" w:rsidP="001F2586">
      <w:pPr>
        <w:pStyle w:val="FootnoteText"/>
      </w:pPr>
      <w:r>
        <w:rPr>
          <w:rStyle w:val="FootnoteReference1"/>
        </w:rPr>
        <w:footnoteRef/>
      </w:r>
      <w:r>
        <w:rPr>
          <w:rtl/>
        </w:rPr>
        <w:t xml:space="preserve"> </w:t>
      </w:r>
      <w:r>
        <w:rPr>
          <w:rtl/>
        </w:rPr>
        <w:tab/>
      </w:r>
      <w:r w:rsidRPr="0019131E">
        <w:rPr>
          <w:rtl/>
        </w:rPr>
        <w:t>חוק הפיקוח על שירותים פיננסיים (ביטוח), התשמ״א</w:t>
      </w:r>
      <w:r>
        <w:rPr>
          <w:rFonts w:hint="cs"/>
          <w:rtl/>
        </w:rPr>
        <w:t>-</w:t>
      </w:r>
      <w:r w:rsidRPr="0019131E">
        <w:rPr>
          <w:rtl/>
        </w:rPr>
        <w:t>1981</w:t>
      </w:r>
      <w:r>
        <w:rPr>
          <w:rFonts w:hint="cs"/>
          <w:rtl/>
        </w:rPr>
        <w:t>.</w:t>
      </w:r>
    </w:p>
  </w:footnote>
  <w:footnote w:id="472">
    <w:p w:rsidR="00F74793" w:rsidP="001F2586">
      <w:pPr>
        <w:pStyle w:val="FootnoteText"/>
      </w:pPr>
      <w:r>
        <w:rPr>
          <w:rStyle w:val="FootnoteReference1"/>
        </w:rPr>
        <w:footnoteRef/>
      </w:r>
      <w:r>
        <w:rPr>
          <w:rtl/>
        </w:rPr>
        <w:t xml:space="preserve"> </w:t>
      </w:r>
      <w:r>
        <w:rPr>
          <w:rtl/>
        </w:rPr>
        <w:tab/>
      </w:r>
      <w:r>
        <w:rPr>
          <w:rFonts w:hint="cs"/>
          <w:rtl/>
        </w:rPr>
        <w:t xml:space="preserve">הבדיקה העלתה אינדיקציה שהבנקים תיאמו את העלאת הריביות אם כי כל הבנקים העלו את הריביות בפועל. </w:t>
      </w:r>
    </w:p>
  </w:footnote>
  <w:footnote w:id="473">
    <w:p w:rsidR="00F74793" w:rsidP="001F2586">
      <w:pPr>
        <w:pStyle w:val="FootnoteText"/>
        <w:jc w:val="left"/>
      </w:pPr>
      <w:r>
        <w:rPr>
          <w:rStyle w:val="FootnoteReference1"/>
        </w:rPr>
        <w:footnoteRef/>
      </w:r>
      <w:r>
        <w:rPr>
          <w:rtl/>
        </w:rPr>
        <w:t xml:space="preserve"> </w:t>
      </w:r>
      <w:r>
        <w:rPr>
          <w:rtl/>
        </w:rPr>
        <w:tab/>
      </w:r>
      <w:r>
        <w:rPr>
          <w:rFonts w:hint="cs"/>
          <w:rtl/>
        </w:rPr>
        <w:t xml:space="preserve">ראו הודעת ועדת הכספים בנושא: </w:t>
      </w:r>
      <w:r w:rsidRPr="00B4661A">
        <w:t>https://main.knesset.gov.il/news/pressreleases/pages/press24.05.17a.aspx</w:t>
      </w:r>
      <w:r>
        <w:rPr>
          <w:rFonts w:hint="cs"/>
          <w:rtl/>
        </w:rPr>
        <w:t xml:space="preserve"> </w:t>
      </w:r>
    </w:p>
  </w:footnote>
  <w:footnote w:id="474">
    <w:p w:rsidR="00F74793" w:rsidRPr="005A48D0" w:rsidP="001F2586">
      <w:pPr>
        <w:pStyle w:val="FootnoteText"/>
        <w:rPr>
          <w:rtl/>
        </w:rPr>
      </w:pPr>
      <w:r>
        <w:rPr>
          <w:rStyle w:val="FootnoteReference1"/>
        </w:rPr>
        <w:footnoteRef/>
      </w:r>
      <w:r>
        <w:rPr>
          <w:rtl/>
        </w:rPr>
        <w:t xml:space="preserve"> </w:t>
      </w:r>
      <w:r>
        <w:rPr>
          <w:rtl/>
        </w:rPr>
        <w:tab/>
      </w:r>
      <w:r w:rsidRPr="00B4661A">
        <w:rPr>
          <w:rFonts w:hint="cs"/>
          <w:rtl/>
        </w:rPr>
        <w:t>הצעת חוק פרטית מספר פ/5070/25</w:t>
      </w:r>
      <w:r>
        <w:rPr>
          <w:rFonts w:hint="cs"/>
          <w:rtl/>
        </w:rPr>
        <w:t xml:space="preserve"> </w:t>
      </w:r>
      <w:r>
        <w:rPr>
          <w:rFonts w:hint="cs"/>
          <w:b/>
          <w:bCs/>
          <w:rtl/>
        </w:rPr>
        <w:t>-</w:t>
      </w:r>
      <w:r w:rsidRPr="00897D34">
        <w:rPr>
          <w:rtl/>
        </w:rPr>
        <w:t>הצעת חוק הסדרת העיסוק בייעוץ משכנתאות, התשפ"ה-2024</w:t>
      </w:r>
      <w:r w:rsidRPr="009D657D">
        <w:rPr>
          <w:rFonts w:hint="cs"/>
          <w:rtl/>
        </w:rPr>
        <w:t>.</w:t>
      </w:r>
    </w:p>
  </w:footnote>
  <w:footnote w:id="475">
    <w:p w:rsidR="00F74793" w:rsidP="001F2586">
      <w:pPr>
        <w:pStyle w:val="FootnoteText"/>
      </w:pPr>
      <w:r>
        <w:rPr>
          <w:rStyle w:val="FootnoteReference1"/>
        </w:rPr>
        <w:footnoteRef/>
      </w:r>
      <w:r>
        <w:rPr>
          <w:rtl/>
        </w:rPr>
        <w:t xml:space="preserve"> </w:t>
      </w:r>
      <w:r>
        <w:rPr>
          <w:rtl/>
        </w:rPr>
        <w:tab/>
      </w:r>
      <w:r w:rsidRPr="005A48D0">
        <w:rPr>
          <w:rFonts w:hint="cs"/>
          <w:rtl/>
        </w:rPr>
        <w:t xml:space="preserve">דיון בוועדה לביקורת המדינה - </w:t>
      </w:r>
      <w:r w:rsidRPr="005A48D0">
        <w:rPr>
          <w:rtl/>
        </w:rPr>
        <w:t>פעולות הפיקוח על הבנקים בנושא מתן הלוואות למשכנתאות - בקשה לחו"ד לפי סעיף 21</w:t>
      </w:r>
      <w:r w:rsidRPr="005A48D0">
        <w:rPr>
          <w:rFonts w:hint="cs"/>
          <w:rtl/>
        </w:rPr>
        <w:t xml:space="preserve"> </w:t>
      </w:r>
      <w:r w:rsidRPr="005A48D0">
        <w:rPr>
          <w:rtl/>
        </w:rPr>
        <w:t>לחוק מבקר המדינה</w:t>
      </w:r>
      <w:r>
        <w:rPr>
          <w:rFonts w:hint="cs"/>
          <w:rtl/>
        </w:rPr>
        <w:t xml:space="preserve">, </w:t>
      </w:r>
      <w:r w:rsidRPr="005A48D0">
        <w:rPr>
          <w:rFonts w:hint="cs"/>
          <w:rtl/>
        </w:rPr>
        <w:t>09.06.2025</w:t>
      </w:r>
      <w:r>
        <w:rPr>
          <w:rFonts w:hint="cs"/>
          <w:rtl/>
        </w:rPr>
        <w:t xml:space="preserve">. </w:t>
      </w:r>
    </w:p>
  </w:footnote>
  <w:footnote w:id="476">
    <w:p w:rsidR="00F74793" w:rsidP="001F2586">
      <w:pPr>
        <w:pStyle w:val="FootnoteText"/>
        <w:rPr>
          <w:rtl/>
        </w:rPr>
      </w:pPr>
      <w:r>
        <w:rPr>
          <w:rStyle w:val="FootnoteReference1"/>
        </w:rPr>
        <w:footnoteRef/>
      </w:r>
      <w:r>
        <w:rPr>
          <w:rtl/>
        </w:rPr>
        <w:t xml:space="preserve"> </w:t>
      </w:r>
      <w:r>
        <w:rPr>
          <w:rtl/>
        </w:rPr>
        <w:tab/>
      </w:r>
      <w:r w:rsidRPr="00CF5C14">
        <w:t>Australian Credit License" - ACL</w:t>
      </w:r>
    </w:p>
  </w:footnote>
  <w:footnote w:id="477">
    <w:p w:rsidR="00F74793" w:rsidP="001F2586">
      <w:pPr>
        <w:pStyle w:val="FootnoteText"/>
      </w:pPr>
      <w:r>
        <w:rPr>
          <w:rStyle w:val="FootnoteReference1"/>
        </w:rPr>
        <w:footnoteRef/>
      </w:r>
      <w:r>
        <w:rPr>
          <w:rtl/>
        </w:rPr>
        <w:t xml:space="preserve"> </w:t>
      </w:r>
      <w:r>
        <w:rPr>
          <w:rtl/>
        </w:rPr>
        <w:tab/>
      </w:r>
      <w:r>
        <w:rPr>
          <w:rFonts w:hint="cs"/>
          <w:rtl/>
        </w:rPr>
        <w:t xml:space="preserve">ראה </w:t>
      </w:r>
      <w:r>
        <w:t xml:space="preserve">Australian Consumer Credit Protection Act </w:t>
      </w:r>
    </w:p>
  </w:footnote>
  <w:footnote w:id="478">
    <w:p w:rsidR="00F74793" w:rsidP="001F2586">
      <w:pPr>
        <w:pStyle w:val="FootnoteText"/>
        <w:rPr>
          <w:rtl/>
        </w:rPr>
      </w:pPr>
      <w:r>
        <w:rPr>
          <w:rStyle w:val="FootnoteReference1"/>
        </w:rPr>
        <w:footnoteRef/>
      </w:r>
      <w:r>
        <w:rPr>
          <w:rtl/>
        </w:rPr>
        <w:t xml:space="preserve"> </w:t>
      </w:r>
      <w:r>
        <w:tab/>
      </w:r>
      <w:r w:rsidRPr="00D717F5">
        <w:t>Certificate IV in Finance and Mortgage Broking</w:t>
      </w:r>
    </w:p>
  </w:footnote>
  <w:footnote w:id="479">
    <w:p w:rsidR="00F74793" w:rsidP="001F2586">
      <w:pPr>
        <w:pStyle w:val="FootnoteText"/>
        <w:rPr>
          <w:rtl/>
        </w:rPr>
      </w:pPr>
      <w:r>
        <w:rPr>
          <w:rStyle w:val="FootnoteReference1"/>
        </w:rPr>
        <w:footnoteRef/>
      </w:r>
      <w:r>
        <w:rPr>
          <w:rtl/>
        </w:rPr>
        <w:t xml:space="preserve"> </w:t>
      </w:r>
      <w:r>
        <w:rPr>
          <w:rFonts w:hint="cs"/>
          <w:rtl/>
        </w:rPr>
        <w:t>סעיף 9(ג) להוראות ניהול בנקאי תקין 329</w:t>
      </w:r>
      <w:r>
        <w:rPr>
          <w:rFonts w:hint="cs"/>
        </w:rPr>
        <w: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793" w:rsidRPr="0062451B" w:rsidP="001F4412">
    <w:pPr>
      <w:pStyle w:val="Header"/>
      <w:tabs>
        <w:tab w:val="clear" w:pos="8306"/>
        <w:tab w:val="right" w:pos="8504"/>
      </w:tabs>
      <w:ind w:right="-709"/>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49"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3693795</wp:posOffset>
              </wp:positionH>
              <wp:positionV relativeFrom="paragraph">
                <wp:posOffset>217170</wp:posOffset>
              </wp:positionV>
              <wp:extent cx="2329180"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329180" cy="285750"/>
                      </a:xfrm>
                      <a:prstGeom prst="rect">
                        <a:avLst/>
                      </a:prstGeom>
                      <a:noFill/>
                      <a:ln w="9525">
                        <a:noFill/>
                        <a:miter lim="800000"/>
                        <a:headEnd/>
                        <a:tailEnd/>
                      </a:ln>
                    </wps:spPr>
                    <wps:txbx>
                      <w:txbxContent>
                        <w:p w:rsidR="00F74793" w:rsidRPr="001E204F" w:rsidP="00354F9A">
                          <w:pPr>
                            <w:rPr>
                              <w:rFonts w:ascii="Calibri" w:hAnsi="Calibri" w:cs="Calibri"/>
                              <w:color w:val="002060"/>
                              <w:szCs w:val="20"/>
                              <w:rtl/>
                            </w:rPr>
                          </w:pPr>
                          <w:r w:rsidRPr="001F2586">
                            <w:rPr>
                              <w:rFonts w:ascii="Calibri" w:hAnsi="Calibri" w:cs="Calibri"/>
                              <w:color w:val="002060"/>
                              <w:szCs w:val="20"/>
                              <w:rtl/>
                            </w:rPr>
                            <w:t>שוק המשכנתאות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0" type="#_x0000_t202" style="width:183.4pt;height:22.5pt;margin-top:17.1pt;margin-left:290.8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F74793" w:rsidRPr="001E204F" w:rsidP="00354F9A">
                    <w:pPr>
                      <w:rPr>
                        <w:rFonts w:ascii="Calibri" w:hAnsi="Calibri" w:cs="Calibri"/>
                        <w:color w:val="002060"/>
                        <w:szCs w:val="20"/>
                        <w:rtl/>
                      </w:rPr>
                    </w:pPr>
                    <w:r w:rsidRPr="001F2586">
                      <w:rPr>
                        <w:rFonts w:ascii="Calibri" w:hAnsi="Calibri" w:cs="Calibri"/>
                        <w:color w:val="002060"/>
                        <w:szCs w:val="20"/>
                        <w:rtl/>
                      </w:rPr>
                      <w:t>שוק המשכנתאות</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F74793"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F74793"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F74793"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F74793"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793">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1093323</wp:posOffset>
              </wp:positionH>
              <wp:positionV relativeFrom="paragraph">
                <wp:posOffset>-457249</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36098" y="0"/>
                        <a:chExt cx="2959100" cy="10690225"/>
                      </a:xfrm>
                    </wpg:grpSpPr>
                    <wpg:grpSp>
                      <wpg:cNvPr id="53" name="קבוצה 53"/>
                      <wpg:cNvGrpSpPr/>
                      <wpg:grpSpPr>
                        <a:xfrm>
                          <a:off x="-36098" y="0"/>
                          <a:ext cx="2959100" cy="3009900"/>
                          <a:chOff x="-36098"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36098" y="2589628"/>
                            <a:ext cx="2959100" cy="273050"/>
                          </a:xfrm>
                          <a:prstGeom prst="rect">
                            <a:avLst/>
                          </a:prstGeom>
                          <a:noFill/>
                          <a:ln w="6350">
                            <a:noFill/>
                          </a:ln>
                        </wps:spPr>
                        <wps:txbx>
                          <w:txbxContent>
                            <w:p w:rsidR="00F74793"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F74793"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tl/>
                                </w:rPr>
                                <w:t>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pt;margin-left:86.1pt;mso-position-horizontal-relative:margin;position:absolute;z-index:251659264" coordorigin="-360,0" coordsize="29591,106902">
              <v:group id="קבוצה 53" o:spid="_x0000_s2054" style="width:29590;height:30099;left:-360;position:absolute" coordorigin="-360,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0;left:-360;mso-wrap-style:square;position:absolute;top:25896;visibility:visible;v-text-anchor:top" filled="f" stroked="f" strokeweight="0.5pt">
                  <v:textbox>
                    <w:txbxContent>
                      <w:p w:rsidR="00F74793"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F74793"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tl/>
                          </w:rPr>
                          <w:t>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793" w:rsidRPr="001F2586" w:rsidP="00EF4539">
    <w:pPr>
      <w:pStyle w:val="Header"/>
      <w:tabs>
        <w:tab w:val="clear" w:pos="8306"/>
        <w:tab w:val="right" w:pos="8504"/>
      </w:tabs>
      <w:ind w:right="-709"/>
      <w:jc w:val="right"/>
      <w:rPr>
        <w:rFonts w:ascii="Calibri" w:hAnsi="Calibri" w:cs="Calibri"/>
        <w:color w:val="002060"/>
        <w:szCs w:val="20"/>
      </w:rPr>
    </w:pPr>
    <w:r w:rsidRPr="001F2586">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1F2586">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F74793"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1F2586">
                            <w:rPr>
                              <w:rFonts w:ascii="Calibri" w:hAnsi="Calibri" w:cs="Calibri"/>
                              <w:color w:val="002060"/>
                              <w:spacing w:val="20"/>
                              <w:sz w:val="22"/>
                              <w:szCs w:val="22"/>
                            </w:rPr>
                            <w:t xml:space="preserve"> </w:t>
                          </w:r>
                          <w:r w:rsidRPr="001F2586">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234248"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w:t>
                    </w:r>
                    <w:r w:rsidRPr="00E0338A">
                      <w:rPr>
                        <w:rFonts w:ascii="Calibri" w:hAnsi="Calibri" w:cs="Calibri" w:hint="cs"/>
                        <w:color w:val="002060"/>
                        <w:szCs w:val="20"/>
                        <w:rtl/>
                      </w:rPr>
                      <w:t>התשפ"ו</w:t>
                    </w:r>
                    <w:r w:rsidRPr="00E0338A">
                      <w:rPr>
                        <w:rFonts w:ascii="Calibri" w:hAnsi="Calibri" w:cs="Calibri" w:hint="cs"/>
                        <w:color w:val="002060"/>
                        <w:szCs w:val="20"/>
                        <w:rtl/>
                      </w:rPr>
                      <w:t xml:space="preserve"> </w:t>
                    </w:r>
                    <w:r w:rsidRPr="001F2586">
                      <w:rPr>
                        <w:rFonts w:ascii="Calibri" w:hAnsi="Calibri" w:cs="Calibri"/>
                        <w:color w:val="002060"/>
                        <w:spacing w:val="20"/>
                        <w:sz w:val="22"/>
                        <w:szCs w:val="22"/>
                      </w:rPr>
                      <w:t xml:space="preserve"> </w:t>
                    </w:r>
                    <w:r w:rsidRPr="001F2586">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1F2586">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F74793"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234248"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v:textbox>
              <w10:wrap type="square"/>
            </v:shape>
          </w:pict>
        </mc:Fallback>
      </mc:AlternateContent>
    </w:r>
    <w:r w:rsidRPr="001F2586">
      <w:rPr>
        <w:rFonts w:ascii="Calibri" w:hAnsi="Calibri" w:cs="Calibri"/>
        <w:color w:val="002060"/>
        <w:szCs w:val="20"/>
        <w:rtl/>
      </w:rPr>
      <w:fldChar w:fldCharType="begin"/>
    </w:r>
    <w:r w:rsidRPr="001F2586">
      <w:rPr>
        <w:rFonts w:ascii="Calibri" w:hAnsi="Calibri" w:cs="Calibri"/>
        <w:color w:val="002060"/>
        <w:szCs w:val="20"/>
        <w:rtl/>
      </w:rPr>
      <w:instrText xml:space="preserve"> </w:instrText>
    </w:r>
    <w:r w:rsidRPr="001F2586">
      <w:rPr>
        <w:rFonts w:ascii="Calibri" w:hAnsi="Calibri" w:cs="Calibri"/>
        <w:color w:val="002060"/>
        <w:szCs w:val="20"/>
      </w:rPr>
      <w:instrText>PAGE</w:instrText>
    </w:r>
    <w:r w:rsidRPr="001F2586">
      <w:rPr>
        <w:rFonts w:ascii="Calibri" w:hAnsi="Calibri" w:cs="Calibri"/>
        <w:color w:val="002060"/>
        <w:szCs w:val="20"/>
        <w:rtl/>
      </w:rPr>
      <w:instrText xml:space="preserve">  \* </w:instrText>
    </w:r>
    <w:r w:rsidRPr="001F2586">
      <w:rPr>
        <w:rFonts w:ascii="Calibri" w:hAnsi="Calibri" w:cs="Calibri"/>
        <w:color w:val="002060"/>
        <w:szCs w:val="20"/>
      </w:rPr>
      <w:instrText>MERGEFORMAT</w:instrText>
    </w:r>
    <w:r w:rsidRPr="001F2586">
      <w:rPr>
        <w:rFonts w:ascii="Calibri" w:hAnsi="Calibri" w:cs="Calibri"/>
        <w:color w:val="002060"/>
        <w:szCs w:val="20"/>
        <w:rtl/>
      </w:rPr>
      <w:instrText xml:space="preserve"> </w:instrText>
    </w:r>
    <w:r w:rsidRPr="001F2586">
      <w:rPr>
        <w:rFonts w:ascii="Calibri" w:hAnsi="Calibri" w:cs="Calibri"/>
        <w:color w:val="002060"/>
        <w:szCs w:val="20"/>
        <w:rtl/>
      </w:rPr>
      <w:fldChar w:fldCharType="separate"/>
    </w:r>
    <w:r w:rsidRPr="001F2586">
      <w:rPr>
        <w:rFonts w:ascii="Calibri" w:hAnsi="Calibri" w:cs="Calibri"/>
        <w:color w:val="002060"/>
        <w:szCs w:val="20"/>
        <w:rtl/>
      </w:rPr>
      <w:t>3</w:t>
    </w:r>
    <w:r w:rsidRPr="001F2586">
      <w:rPr>
        <w:rFonts w:ascii="Calibri" w:hAnsi="Calibri" w:cs="Calibri"/>
        <w:color w:val="002060"/>
        <w:szCs w:val="20"/>
        <w:rtl/>
      </w:rPr>
      <w:fldChar w:fldCharType="end"/>
    </w:r>
    <w:r w:rsidRPr="001F2586">
      <w:rPr>
        <w:rFonts w:ascii="Calibri" w:hAnsi="Calibri" w:cs="Calibri"/>
        <w:color w:val="002060"/>
        <w:szCs w:val="20"/>
        <w:rtl/>
      </w:rPr>
      <w:t xml:space="preserve"> </w:t>
    </w:r>
  </w:p>
  <w:p w:rsidR="00F74793"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FFFFFF89"/>
    <w:multiLevelType w:val="singleLevel"/>
    <w:tmpl w:val="B588CC0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0">
    <w:nsid w:val="07D81CFB"/>
    <w:multiLevelType w:val="multilevel"/>
    <w:tmpl w:val="D5409A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5" w15:restartNumberingAfterBreak="0">
    <w:nsid w:val="09CB5515"/>
    <w:multiLevelType w:val="hybridMultilevel"/>
    <w:tmpl w:val="A754CBE8"/>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0E5F0B7C"/>
    <w:multiLevelType w:val="hybridMultilevel"/>
    <w:tmpl w:val="2006F4AC"/>
    <w:lvl w:ilvl="0">
      <w:start w:val="1"/>
      <w:numFmt w:val="decimal"/>
      <w:lvlText w:val="%1."/>
      <w:lvlJc w:val="left"/>
      <w:pPr>
        <w:ind w:left="360" w:hanging="360"/>
      </w:pPr>
      <w:rPr>
        <w:rFonts w:hint="default"/>
        <w:color w:val="auto"/>
        <w:sz w:val="24"/>
        <w:szCs w:val="24"/>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15:restartNumberingAfterBreak="0">
    <w:nsid w:val="142D49C7"/>
    <w:multiLevelType w:val="hybridMultilevel"/>
    <w:tmpl w:val="A50439DA"/>
    <w:lvl w:ilvl="0">
      <w:start w:val="1"/>
      <w:numFmt w:val="decimal"/>
      <w:lvlText w:val="%1."/>
      <w:lvlJc w:val="left"/>
      <w:pPr>
        <w:ind w:left="363" w:hanging="360"/>
      </w:pPr>
      <w:rPr>
        <w:rFonts w:hint="default"/>
        <w:b/>
        <w:bCs/>
      </w:rPr>
    </w:lvl>
    <w:lvl w:ilvl="1" w:tentative="1">
      <w:start w:val="1"/>
      <w:numFmt w:val="lowerLetter"/>
      <w:lvlText w:val="%2."/>
      <w:lvlJc w:val="left"/>
      <w:pPr>
        <w:ind w:left="1083" w:hanging="360"/>
      </w:pPr>
    </w:lvl>
    <w:lvl w:ilvl="2" w:tentative="1">
      <w:start w:val="1"/>
      <w:numFmt w:val="lowerRoman"/>
      <w:lvlText w:val="%3."/>
      <w:lvlJc w:val="right"/>
      <w:pPr>
        <w:ind w:left="1803" w:hanging="180"/>
      </w:pPr>
    </w:lvl>
    <w:lvl w:ilvl="3" w:tentative="1">
      <w:start w:val="1"/>
      <w:numFmt w:val="decimal"/>
      <w:lvlText w:val="%4."/>
      <w:lvlJc w:val="left"/>
      <w:pPr>
        <w:ind w:left="2523" w:hanging="360"/>
      </w:pPr>
    </w:lvl>
    <w:lvl w:ilvl="4" w:tentative="1">
      <w:start w:val="1"/>
      <w:numFmt w:val="lowerLetter"/>
      <w:lvlText w:val="%5."/>
      <w:lvlJc w:val="left"/>
      <w:pPr>
        <w:ind w:left="3243" w:hanging="360"/>
      </w:pPr>
    </w:lvl>
    <w:lvl w:ilvl="5" w:tentative="1">
      <w:start w:val="1"/>
      <w:numFmt w:val="lowerRoman"/>
      <w:lvlText w:val="%6."/>
      <w:lvlJc w:val="right"/>
      <w:pPr>
        <w:ind w:left="3963" w:hanging="180"/>
      </w:pPr>
    </w:lvl>
    <w:lvl w:ilvl="6" w:tentative="1">
      <w:start w:val="1"/>
      <w:numFmt w:val="decimal"/>
      <w:lvlText w:val="%7."/>
      <w:lvlJc w:val="left"/>
      <w:pPr>
        <w:ind w:left="4683" w:hanging="360"/>
      </w:pPr>
    </w:lvl>
    <w:lvl w:ilvl="7" w:tentative="1">
      <w:start w:val="1"/>
      <w:numFmt w:val="lowerLetter"/>
      <w:lvlText w:val="%8."/>
      <w:lvlJc w:val="left"/>
      <w:pPr>
        <w:ind w:left="5403" w:hanging="360"/>
      </w:pPr>
    </w:lvl>
    <w:lvl w:ilvl="8" w:tentative="1">
      <w:start w:val="1"/>
      <w:numFmt w:val="lowerRoman"/>
      <w:lvlText w:val="%9."/>
      <w:lvlJc w:val="right"/>
      <w:pPr>
        <w:ind w:left="6123" w:hanging="180"/>
      </w:pPr>
    </w:lvl>
  </w:abstractNum>
  <w:abstractNum w:abstractNumId="8" w15:restartNumberingAfterBreak="0">
    <w:nsid w:val="20FC249A"/>
    <w:multiLevelType w:val="hybridMultilevel"/>
    <w:tmpl w:val="D97286F8"/>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0"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1"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2" w15:restartNumberingAfterBreak="0">
    <w:nsid w:val="38596891"/>
    <w:multiLevelType w:val="hybridMultilevel"/>
    <w:tmpl w:val="04E8AF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3978798A"/>
    <w:multiLevelType w:val="hybridMultilevel"/>
    <w:tmpl w:val="5BD67F80"/>
    <w:lvl w:ilvl="0">
      <w:start w:val="1"/>
      <w:numFmt w:val="decimal"/>
      <w:lvlText w:val="%1."/>
      <w:lvlJc w:val="left"/>
      <w:pPr>
        <w:ind w:left="360" w:hanging="36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5"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6" w15:restartNumberingAfterBreak="0">
    <w:nsid w:val="43C11677"/>
    <w:multiLevelType w:val="hybridMultilevel"/>
    <w:tmpl w:val="43A80762"/>
    <w:lvl w:ilvl="0">
      <w:start w:val="1"/>
      <w:numFmt w:val="decimal"/>
      <w:lvlText w:val="%1."/>
      <w:lvlJc w:val="left"/>
      <w:pPr>
        <w:ind w:left="360" w:hanging="360"/>
      </w:pPr>
      <w:rPr>
        <w:rFonts w:hint="default"/>
        <w:b w:val="0"/>
        <w:bCs/>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8" w15:restartNumberingAfterBreak="0">
    <w:nsid w:val="44CA33C9"/>
    <w:multiLevelType w:val="hybridMultilevel"/>
    <w:tmpl w:val="B4A484AE"/>
    <w:lvl w:ilvl="0">
      <w:start w:val="1"/>
      <w:numFmt w:val="decimal"/>
      <w:lvlText w:val="%1."/>
      <w:lvlJc w:val="left"/>
      <w:pPr>
        <w:ind w:left="360" w:hanging="36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15:restartNumberingAfterBreak="0">
    <w:nsid w:val="4B746474"/>
    <w:multiLevelType w:val="hybridMultilevel"/>
    <w:tmpl w:val="31D2D6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C5F2EE1"/>
    <w:multiLevelType w:val="hybridMultilevel"/>
    <w:tmpl w:val="D096B206"/>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4CE00278"/>
    <w:multiLevelType w:val="hybridMultilevel"/>
    <w:tmpl w:val="724658C2"/>
    <w:lvl w:ilvl="0">
      <w:start w:val="1"/>
      <w:numFmt w:val="decimal"/>
      <w:lvlText w:val="%1."/>
      <w:lvlJc w:val="left"/>
      <w:pPr>
        <w:ind w:left="360" w:hanging="36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3" w15:restartNumberingAfterBreak="0">
    <w:nsid w:val="4E277FE1"/>
    <w:multiLevelType w:val="multilevel"/>
    <w:tmpl w:val="C756C42C"/>
    <w:lvl w:ilvl="0">
      <w:start w:val="1"/>
      <w:numFmt w:val="decimal"/>
      <w:lvlText w:val="%1."/>
      <w:lvlJc w:val="left"/>
      <w:pPr>
        <w:ind w:left="360" w:hanging="360"/>
      </w:pPr>
      <w:rPr>
        <w:rFonts w:hint="default"/>
        <w:b/>
        <w:bCs/>
      </w:rPr>
    </w:lvl>
    <w:lvl w:ilvl="1">
      <w:start w:val="1"/>
      <w:numFmt w:val="hebrew1"/>
      <w:lvlText w:val="%2."/>
      <w:lvlJc w:val="left"/>
      <w:pPr>
        <w:ind w:left="432" w:hanging="432"/>
      </w:pPr>
      <w:rPr>
        <w:rFonts w:ascii="Times New Roman" w:hAnsi="Times New Roman" w:eastAsiaTheme="minorHAnsi" w:cs="David"/>
        <w:b/>
        <w:bCs/>
        <w:lang w:bidi="he-I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68E5362"/>
    <w:multiLevelType w:val="hybridMultilevel"/>
    <w:tmpl w:val="267267C0"/>
    <w:lvl w:ilvl="0">
      <w:start w:val="1"/>
      <w:numFmt w:val="decimal"/>
      <w:lvlText w:val="%1."/>
      <w:lvlJc w:val="left"/>
      <w:pPr>
        <w:ind w:left="720" w:hanging="360"/>
      </w:pPr>
      <w:rPr>
        <w:rFonts w:hint="default"/>
        <w:b/>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15:restartNumberingAfterBreak="0">
    <w:nsid w:val="5A4F48F6"/>
    <w:multiLevelType w:val="hybridMultilevel"/>
    <w:tmpl w:val="A97C7A7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8"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15:restartNumberingAfterBreak="0">
    <w:nsid w:val="71F1794E"/>
    <w:multiLevelType w:val="multilevel"/>
    <w:tmpl w:val="F41A1142"/>
    <w:lvl w:ilvl="0">
      <w:start w:val="1"/>
      <w:numFmt w:val="decimal"/>
      <w:pStyle w:val="a49"/>
      <w:lvlText w:val="%1."/>
      <w:lvlJc w:val="left"/>
      <w:pPr>
        <w:ind w:left="1800" w:hanging="360"/>
      </w:pPr>
    </w:lvl>
    <w:lvl w:ilvl="1">
      <w:start w:val="1"/>
      <w:numFmt w:val="decimal"/>
      <w:isLgl/>
      <w:lvlText w:val="%1.%2."/>
      <w:lvlJc w:val="left"/>
      <w:pPr>
        <w:ind w:left="1800" w:hanging="360"/>
      </w:pPr>
      <w:rPr>
        <w:rFonts w:hint="default"/>
        <w:b w:val="0"/>
        <w:bCs w:val="0"/>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0" w15:restartNumberingAfterBreak="0">
    <w:nsid w:val="73043BF5"/>
    <w:multiLevelType w:val="hybridMultilevel"/>
    <w:tmpl w:val="7EC24C44"/>
    <w:lvl w:ilvl="0">
      <w:start w:val="1"/>
      <w:numFmt w:val="hebrew1"/>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15:restartNumberingAfterBreak="0">
    <w:nsid w:val="74233C89"/>
    <w:multiLevelType w:val="hybridMultilevel"/>
    <w:tmpl w:val="15BAE35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33"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32"/>
  </w:num>
  <w:num w:numId="2">
    <w:abstractNumId w:val="22"/>
  </w:num>
  <w:num w:numId="3">
    <w:abstractNumId w:val="15"/>
  </w:num>
  <w:num w:numId="4">
    <w:abstractNumId w:val="4"/>
  </w:num>
  <w:num w:numId="5">
    <w:abstractNumId w:val="17"/>
  </w:num>
  <w:num w:numId="6">
    <w:abstractNumId w:val="27"/>
  </w:num>
  <w:num w:numId="7">
    <w:abstractNumId w:val="14"/>
  </w:num>
  <w:num w:numId="8">
    <w:abstractNumId w:val="10"/>
  </w:num>
  <w:num w:numId="9">
    <w:abstractNumId w:val="9"/>
  </w:num>
  <w:num w:numId="10">
    <w:abstractNumId w:val="11"/>
  </w:num>
  <w:num w:numId="11">
    <w:abstractNumId w:val="33"/>
  </w:num>
  <w:num w:numId="12">
    <w:abstractNumId w:val="1"/>
  </w:num>
  <w:num w:numId="13">
    <w:abstractNumId w:val="2"/>
  </w:num>
  <w:num w:numId="14">
    <w:abstractNumId w:val="6"/>
  </w:num>
  <w:num w:numId="15">
    <w:abstractNumId w:val="29"/>
  </w:num>
  <w:num w:numId="16">
    <w:abstractNumId w:val="3"/>
  </w:num>
  <w:num w:numId="17">
    <w:abstractNumId w:val="31"/>
  </w:num>
  <w:num w:numId="18">
    <w:abstractNumId w:val="12"/>
  </w:num>
  <w:num w:numId="19">
    <w:abstractNumId w:val="21"/>
  </w:num>
  <w:num w:numId="20">
    <w:abstractNumId w:val="23"/>
  </w:num>
  <w:num w:numId="21">
    <w:abstractNumId w:val="13"/>
  </w:num>
  <w:num w:numId="22">
    <w:abstractNumId w:val="24"/>
  </w:num>
  <w:num w:numId="23">
    <w:abstractNumId w:val="8"/>
  </w:num>
  <w:num w:numId="24">
    <w:abstractNumId w:val="20"/>
  </w:num>
  <w:num w:numId="25">
    <w:abstractNumId w:val="7"/>
  </w:num>
  <w:num w:numId="26">
    <w:abstractNumId w:val="25"/>
  </w:num>
  <w:num w:numId="27">
    <w:abstractNumId w:val="18"/>
  </w:num>
  <w:num w:numId="28">
    <w:abstractNumId w:val="30"/>
  </w:num>
  <w:num w:numId="29">
    <w:abstractNumId w:val="19"/>
  </w:num>
  <w:num w:numId="30">
    <w:abstractNumId w:val="5"/>
  </w:num>
  <w:num w:numId="31">
    <w:abstractNumId w:val="0"/>
  </w:num>
  <w:num w:numId="32">
    <w:abstractNumId w:val="16"/>
  </w:num>
  <w:num w:numId="33">
    <w:abstractNumId w:val="28"/>
  </w:num>
  <w:num w:numId="34">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3880"/>
    <w:rsid w:val="00014565"/>
    <w:rsid w:val="0001735B"/>
    <w:rsid w:val="000210AF"/>
    <w:rsid w:val="000375A4"/>
    <w:rsid w:val="00042837"/>
    <w:rsid w:val="000455B5"/>
    <w:rsid w:val="000471C8"/>
    <w:rsid w:val="000501A4"/>
    <w:rsid w:val="000524B4"/>
    <w:rsid w:val="000532AA"/>
    <w:rsid w:val="000546B4"/>
    <w:rsid w:val="00063EEC"/>
    <w:rsid w:val="00067934"/>
    <w:rsid w:val="0007238D"/>
    <w:rsid w:val="0007697C"/>
    <w:rsid w:val="00085225"/>
    <w:rsid w:val="00095C3D"/>
    <w:rsid w:val="00096BA3"/>
    <w:rsid w:val="000A0EE8"/>
    <w:rsid w:val="000B0417"/>
    <w:rsid w:val="000B1102"/>
    <w:rsid w:val="000B3126"/>
    <w:rsid w:val="000B3837"/>
    <w:rsid w:val="000B7397"/>
    <w:rsid w:val="000C41C9"/>
    <w:rsid w:val="000C6453"/>
    <w:rsid w:val="000C7459"/>
    <w:rsid w:val="000D7F48"/>
    <w:rsid w:val="000E013E"/>
    <w:rsid w:val="000E18CF"/>
    <w:rsid w:val="000E798D"/>
    <w:rsid w:val="000F32F8"/>
    <w:rsid w:val="000F42EA"/>
    <w:rsid w:val="000F7725"/>
    <w:rsid w:val="00101D0F"/>
    <w:rsid w:val="00106CB7"/>
    <w:rsid w:val="00113E28"/>
    <w:rsid w:val="00114325"/>
    <w:rsid w:val="00115B58"/>
    <w:rsid w:val="00115BD8"/>
    <w:rsid w:val="00117519"/>
    <w:rsid w:val="0012171C"/>
    <w:rsid w:val="001252C7"/>
    <w:rsid w:val="00127512"/>
    <w:rsid w:val="0013607B"/>
    <w:rsid w:val="00141008"/>
    <w:rsid w:val="00162EFE"/>
    <w:rsid w:val="00166477"/>
    <w:rsid w:val="001730B0"/>
    <w:rsid w:val="0017439E"/>
    <w:rsid w:val="0019131E"/>
    <w:rsid w:val="00194C04"/>
    <w:rsid w:val="001956C2"/>
    <w:rsid w:val="001960B4"/>
    <w:rsid w:val="001A0C9C"/>
    <w:rsid w:val="001A613C"/>
    <w:rsid w:val="001A6359"/>
    <w:rsid w:val="001B2140"/>
    <w:rsid w:val="001B2821"/>
    <w:rsid w:val="001B505F"/>
    <w:rsid w:val="001B568D"/>
    <w:rsid w:val="001B6DF3"/>
    <w:rsid w:val="001B7364"/>
    <w:rsid w:val="001C057E"/>
    <w:rsid w:val="001C6185"/>
    <w:rsid w:val="001C6F34"/>
    <w:rsid w:val="001C74DC"/>
    <w:rsid w:val="001D52E5"/>
    <w:rsid w:val="001E204F"/>
    <w:rsid w:val="001F2586"/>
    <w:rsid w:val="001F4412"/>
    <w:rsid w:val="001F492C"/>
    <w:rsid w:val="001F7F1A"/>
    <w:rsid w:val="00203604"/>
    <w:rsid w:val="00205AE7"/>
    <w:rsid w:val="002064F7"/>
    <w:rsid w:val="00234248"/>
    <w:rsid w:val="00240887"/>
    <w:rsid w:val="002441B5"/>
    <w:rsid w:val="0024518D"/>
    <w:rsid w:val="002454C3"/>
    <w:rsid w:val="0025066A"/>
    <w:rsid w:val="00260379"/>
    <w:rsid w:val="00263521"/>
    <w:rsid w:val="00264CAE"/>
    <w:rsid w:val="002751BA"/>
    <w:rsid w:val="0027761D"/>
    <w:rsid w:val="00284EC5"/>
    <w:rsid w:val="00297EE7"/>
    <w:rsid w:val="002A00B0"/>
    <w:rsid w:val="002A5607"/>
    <w:rsid w:val="002A7D21"/>
    <w:rsid w:val="002B48A6"/>
    <w:rsid w:val="002C0FD0"/>
    <w:rsid w:val="002C1EE0"/>
    <w:rsid w:val="002C3B87"/>
    <w:rsid w:val="002C4139"/>
    <w:rsid w:val="002D1723"/>
    <w:rsid w:val="002E1335"/>
    <w:rsid w:val="002E3672"/>
    <w:rsid w:val="002F21F4"/>
    <w:rsid w:val="00301153"/>
    <w:rsid w:val="003079D5"/>
    <w:rsid w:val="00307C06"/>
    <w:rsid w:val="00315B1D"/>
    <w:rsid w:val="0031726F"/>
    <w:rsid w:val="00317549"/>
    <w:rsid w:val="00320E5F"/>
    <w:rsid w:val="00323027"/>
    <w:rsid w:val="00326AEA"/>
    <w:rsid w:val="003404D6"/>
    <w:rsid w:val="00341979"/>
    <w:rsid w:val="00344F70"/>
    <w:rsid w:val="00345B4F"/>
    <w:rsid w:val="00346657"/>
    <w:rsid w:val="00354F9A"/>
    <w:rsid w:val="00355674"/>
    <w:rsid w:val="00365F4F"/>
    <w:rsid w:val="0036641D"/>
    <w:rsid w:val="0037370B"/>
    <w:rsid w:val="0037752E"/>
    <w:rsid w:val="00380052"/>
    <w:rsid w:val="0038455B"/>
    <w:rsid w:val="0039415D"/>
    <w:rsid w:val="003A0726"/>
    <w:rsid w:val="003A42E5"/>
    <w:rsid w:val="003C4D41"/>
    <w:rsid w:val="003D18F4"/>
    <w:rsid w:val="003D1BD9"/>
    <w:rsid w:val="003D2CA7"/>
    <w:rsid w:val="003D61C6"/>
    <w:rsid w:val="003E58C2"/>
    <w:rsid w:val="003F3C62"/>
    <w:rsid w:val="003F3ED2"/>
    <w:rsid w:val="004151A4"/>
    <w:rsid w:val="004163F6"/>
    <w:rsid w:val="00435035"/>
    <w:rsid w:val="00450957"/>
    <w:rsid w:val="00450A73"/>
    <w:rsid w:val="00460A3B"/>
    <w:rsid w:val="00463A62"/>
    <w:rsid w:val="00467B34"/>
    <w:rsid w:val="004779AA"/>
    <w:rsid w:val="00480481"/>
    <w:rsid w:val="00480EFF"/>
    <w:rsid w:val="004827F8"/>
    <w:rsid w:val="00494948"/>
    <w:rsid w:val="00496F3E"/>
    <w:rsid w:val="004A0385"/>
    <w:rsid w:val="004A2D92"/>
    <w:rsid w:val="004A3DD4"/>
    <w:rsid w:val="004A60A7"/>
    <w:rsid w:val="004B59CF"/>
    <w:rsid w:val="004B785F"/>
    <w:rsid w:val="004C00FB"/>
    <w:rsid w:val="004C1CEF"/>
    <w:rsid w:val="004C2D8F"/>
    <w:rsid w:val="004C7D9F"/>
    <w:rsid w:val="004E41BA"/>
    <w:rsid w:val="004E732F"/>
    <w:rsid w:val="004F3E4D"/>
    <w:rsid w:val="004F522E"/>
    <w:rsid w:val="004F753E"/>
    <w:rsid w:val="00500152"/>
    <w:rsid w:val="005006C5"/>
    <w:rsid w:val="00504E2C"/>
    <w:rsid w:val="00506740"/>
    <w:rsid w:val="00507697"/>
    <w:rsid w:val="00507C3D"/>
    <w:rsid w:val="0051705D"/>
    <w:rsid w:val="005176E5"/>
    <w:rsid w:val="00524127"/>
    <w:rsid w:val="0053373A"/>
    <w:rsid w:val="00534D5F"/>
    <w:rsid w:val="00541BB7"/>
    <w:rsid w:val="005428C4"/>
    <w:rsid w:val="00543D4D"/>
    <w:rsid w:val="005515CC"/>
    <w:rsid w:val="00551B42"/>
    <w:rsid w:val="00551FF7"/>
    <w:rsid w:val="0055461A"/>
    <w:rsid w:val="005601D3"/>
    <w:rsid w:val="00564C37"/>
    <w:rsid w:val="00574579"/>
    <w:rsid w:val="00575CC1"/>
    <w:rsid w:val="00580C5C"/>
    <w:rsid w:val="005910E8"/>
    <w:rsid w:val="00592C11"/>
    <w:rsid w:val="005A021D"/>
    <w:rsid w:val="005A48D0"/>
    <w:rsid w:val="005A7FF5"/>
    <w:rsid w:val="005B7C57"/>
    <w:rsid w:val="005D0BAA"/>
    <w:rsid w:val="005D5042"/>
    <w:rsid w:val="005E2BDC"/>
    <w:rsid w:val="0062451B"/>
    <w:rsid w:val="00634DAD"/>
    <w:rsid w:val="00635027"/>
    <w:rsid w:val="00640B60"/>
    <w:rsid w:val="006457EB"/>
    <w:rsid w:val="00645B49"/>
    <w:rsid w:val="006531CB"/>
    <w:rsid w:val="0066245F"/>
    <w:rsid w:val="006632DF"/>
    <w:rsid w:val="0068133D"/>
    <w:rsid w:val="00682152"/>
    <w:rsid w:val="00690AEC"/>
    <w:rsid w:val="00696446"/>
    <w:rsid w:val="006B6611"/>
    <w:rsid w:val="006C2C6D"/>
    <w:rsid w:val="006C61C1"/>
    <w:rsid w:val="006D4161"/>
    <w:rsid w:val="006D786C"/>
    <w:rsid w:val="006E1414"/>
    <w:rsid w:val="006F0DF8"/>
    <w:rsid w:val="006F285F"/>
    <w:rsid w:val="006F28CF"/>
    <w:rsid w:val="0070405E"/>
    <w:rsid w:val="00720120"/>
    <w:rsid w:val="0072219B"/>
    <w:rsid w:val="007276C9"/>
    <w:rsid w:val="00731ED5"/>
    <w:rsid w:val="00744456"/>
    <w:rsid w:val="00746E55"/>
    <w:rsid w:val="007474F0"/>
    <w:rsid w:val="00753ADE"/>
    <w:rsid w:val="007606CB"/>
    <w:rsid w:val="00772697"/>
    <w:rsid w:val="007727E9"/>
    <w:rsid w:val="00773F61"/>
    <w:rsid w:val="00780408"/>
    <w:rsid w:val="0078596F"/>
    <w:rsid w:val="007917D1"/>
    <w:rsid w:val="007929B3"/>
    <w:rsid w:val="0079323C"/>
    <w:rsid w:val="007934D6"/>
    <w:rsid w:val="00797747"/>
    <w:rsid w:val="007A4EBD"/>
    <w:rsid w:val="007B112B"/>
    <w:rsid w:val="007B427D"/>
    <w:rsid w:val="007B5AE4"/>
    <w:rsid w:val="007B5B26"/>
    <w:rsid w:val="007B61E1"/>
    <w:rsid w:val="007B691A"/>
    <w:rsid w:val="007C035D"/>
    <w:rsid w:val="007C1FF6"/>
    <w:rsid w:val="007D4866"/>
    <w:rsid w:val="007D61B8"/>
    <w:rsid w:val="007E2B11"/>
    <w:rsid w:val="007F31A8"/>
    <w:rsid w:val="007F3B42"/>
    <w:rsid w:val="007F7FF2"/>
    <w:rsid w:val="00805B42"/>
    <w:rsid w:val="008102AD"/>
    <w:rsid w:val="008130A8"/>
    <w:rsid w:val="008131AD"/>
    <w:rsid w:val="008139FC"/>
    <w:rsid w:val="008307ED"/>
    <w:rsid w:val="00833741"/>
    <w:rsid w:val="00837997"/>
    <w:rsid w:val="008429E3"/>
    <w:rsid w:val="008432F0"/>
    <w:rsid w:val="008447F4"/>
    <w:rsid w:val="00846C16"/>
    <w:rsid w:val="00856C8B"/>
    <w:rsid w:val="008668EA"/>
    <w:rsid w:val="00867FC5"/>
    <w:rsid w:val="00871145"/>
    <w:rsid w:val="00872E7F"/>
    <w:rsid w:val="00873D69"/>
    <w:rsid w:val="00874DF5"/>
    <w:rsid w:val="008757C4"/>
    <w:rsid w:val="00880325"/>
    <w:rsid w:val="00883DBB"/>
    <w:rsid w:val="00890588"/>
    <w:rsid w:val="00892F80"/>
    <w:rsid w:val="00897D34"/>
    <w:rsid w:val="008A7BAE"/>
    <w:rsid w:val="008B1EDA"/>
    <w:rsid w:val="008B28EE"/>
    <w:rsid w:val="008B4F41"/>
    <w:rsid w:val="008B610D"/>
    <w:rsid w:val="008B6706"/>
    <w:rsid w:val="008C0DB8"/>
    <w:rsid w:val="008C1C86"/>
    <w:rsid w:val="008C6F75"/>
    <w:rsid w:val="008D199B"/>
    <w:rsid w:val="008E058D"/>
    <w:rsid w:val="008E15AB"/>
    <w:rsid w:val="008E1F64"/>
    <w:rsid w:val="008E3D8A"/>
    <w:rsid w:val="009007DE"/>
    <w:rsid w:val="009015B2"/>
    <w:rsid w:val="00906E90"/>
    <w:rsid w:val="00906FB1"/>
    <w:rsid w:val="0091051D"/>
    <w:rsid w:val="00911D34"/>
    <w:rsid w:val="009126A3"/>
    <w:rsid w:val="0091524B"/>
    <w:rsid w:val="00917B0F"/>
    <w:rsid w:val="009305C4"/>
    <w:rsid w:val="00933E1C"/>
    <w:rsid w:val="00936F84"/>
    <w:rsid w:val="00940851"/>
    <w:rsid w:val="00956083"/>
    <w:rsid w:val="00957259"/>
    <w:rsid w:val="009679D9"/>
    <w:rsid w:val="009733A2"/>
    <w:rsid w:val="00977E60"/>
    <w:rsid w:val="00990263"/>
    <w:rsid w:val="00991ACF"/>
    <w:rsid w:val="00993C27"/>
    <w:rsid w:val="009A6CE3"/>
    <w:rsid w:val="009A6F21"/>
    <w:rsid w:val="009B3668"/>
    <w:rsid w:val="009B757F"/>
    <w:rsid w:val="009C2A77"/>
    <w:rsid w:val="009C4E17"/>
    <w:rsid w:val="009C6066"/>
    <w:rsid w:val="009D657D"/>
    <w:rsid w:val="009D73F5"/>
    <w:rsid w:val="009E1A3F"/>
    <w:rsid w:val="009E53CF"/>
    <w:rsid w:val="009F0BD3"/>
    <w:rsid w:val="009F4D6A"/>
    <w:rsid w:val="00A016BA"/>
    <w:rsid w:val="00A0201D"/>
    <w:rsid w:val="00A03C55"/>
    <w:rsid w:val="00A05177"/>
    <w:rsid w:val="00A14708"/>
    <w:rsid w:val="00A15A9C"/>
    <w:rsid w:val="00A222E2"/>
    <w:rsid w:val="00A4018D"/>
    <w:rsid w:val="00A52122"/>
    <w:rsid w:val="00A61AD5"/>
    <w:rsid w:val="00A66C2D"/>
    <w:rsid w:val="00A73038"/>
    <w:rsid w:val="00A73FE7"/>
    <w:rsid w:val="00A76C99"/>
    <w:rsid w:val="00A81EBE"/>
    <w:rsid w:val="00A96CD3"/>
    <w:rsid w:val="00A97889"/>
    <w:rsid w:val="00AA0017"/>
    <w:rsid w:val="00AA49C1"/>
    <w:rsid w:val="00AA728F"/>
    <w:rsid w:val="00AB0E51"/>
    <w:rsid w:val="00AB35CC"/>
    <w:rsid w:val="00AB7C1D"/>
    <w:rsid w:val="00AC0C58"/>
    <w:rsid w:val="00AC277D"/>
    <w:rsid w:val="00AC36BC"/>
    <w:rsid w:val="00AC6B95"/>
    <w:rsid w:val="00AD2558"/>
    <w:rsid w:val="00AD5CBA"/>
    <w:rsid w:val="00AF0B8D"/>
    <w:rsid w:val="00AF38CC"/>
    <w:rsid w:val="00B00E5C"/>
    <w:rsid w:val="00B019DE"/>
    <w:rsid w:val="00B3004B"/>
    <w:rsid w:val="00B341F7"/>
    <w:rsid w:val="00B36297"/>
    <w:rsid w:val="00B4321D"/>
    <w:rsid w:val="00B443BE"/>
    <w:rsid w:val="00B45CC5"/>
    <w:rsid w:val="00B4661A"/>
    <w:rsid w:val="00B56F52"/>
    <w:rsid w:val="00B610FD"/>
    <w:rsid w:val="00B61A67"/>
    <w:rsid w:val="00B666B9"/>
    <w:rsid w:val="00B748E3"/>
    <w:rsid w:val="00B75928"/>
    <w:rsid w:val="00B76DC1"/>
    <w:rsid w:val="00B8210F"/>
    <w:rsid w:val="00B82512"/>
    <w:rsid w:val="00B862C0"/>
    <w:rsid w:val="00B95834"/>
    <w:rsid w:val="00BA6F34"/>
    <w:rsid w:val="00BB1610"/>
    <w:rsid w:val="00BC46B6"/>
    <w:rsid w:val="00BE1C68"/>
    <w:rsid w:val="00BE2DD8"/>
    <w:rsid w:val="00BE500F"/>
    <w:rsid w:val="00BE53C6"/>
    <w:rsid w:val="00BF4421"/>
    <w:rsid w:val="00C06A4C"/>
    <w:rsid w:val="00C11FFE"/>
    <w:rsid w:val="00C1227E"/>
    <w:rsid w:val="00C14C1E"/>
    <w:rsid w:val="00C2305A"/>
    <w:rsid w:val="00C23CC9"/>
    <w:rsid w:val="00C30B3D"/>
    <w:rsid w:val="00C3117F"/>
    <w:rsid w:val="00C33AE2"/>
    <w:rsid w:val="00C34B16"/>
    <w:rsid w:val="00C563E8"/>
    <w:rsid w:val="00C65473"/>
    <w:rsid w:val="00C654C4"/>
    <w:rsid w:val="00C65945"/>
    <w:rsid w:val="00C71932"/>
    <w:rsid w:val="00C8096C"/>
    <w:rsid w:val="00C8100B"/>
    <w:rsid w:val="00C85B62"/>
    <w:rsid w:val="00CA41D2"/>
    <w:rsid w:val="00CA4F20"/>
    <w:rsid w:val="00CB0B5C"/>
    <w:rsid w:val="00CB182B"/>
    <w:rsid w:val="00CB3AA9"/>
    <w:rsid w:val="00CB51B3"/>
    <w:rsid w:val="00CC1707"/>
    <w:rsid w:val="00CC712C"/>
    <w:rsid w:val="00CD28D9"/>
    <w:rsid w:val="00CD3A2C"/>
    <w:rsid w:val="00CE4AD4"/>
    <w:rsid w:val="00CF4597"/>
    <w:rsid w:val="00CF5C14"/>
    <w:rsid w:val="00CF621A"/>
    <w:rsid w:val="00D05C85"/>
    <w:rsid w:val="00D1594B"/>
    <w:rsid w:val="00D16D46"/>
    <w:rsid w:val="00D21855"/>
    <w:rsid w:val="00D22748"/>
    <w:rsid w:val="00D22D9C"/>
    <w:rsid w:val="00D2598E"/>
    <w:rsid w:val="00D26918"/>
    <w:rsid w:val="00D32174"/>
    <w:rsid w:val="00D37121"/>
    <w:rsid w:val="00D51690"/>
    <w:rsid w:val="00D54DD2"/>
    <w:rsid w:val="00D630F8"/>
    <w:rsid w:val="00D642AF"/>
    <w:rsid w:val="00D670F5"/>
    <w:rsid w:val="00D717F5"/>
    <w:rsid w:val="00D779F7"/>
    <w:rsid w:val="00D87175"/>
    <w:rsid w:val="00D87542"/>
    <w:rsid w:val="00D95C20"/>
    <w:rsid w:val="00D97C16"/>
    <w:rsid w:val="00DA5480"/>
    <w:rsid w:val="00DB4D61"/>
    <w:rsid w:val="00DC674E"/>
    <w:rsid w:val="00DE0DBA"/>
    <w:rsid w:val="00DE1DAB"/>
    <w:rsid w:val="00DE20A2"/>
    <w:rsid w:val="00DF0B89"/>
    <w:rsid w:val="00E0338A"/>
    <w:rsid w:val="00E122EE"/>
    <w:rsid w:val="00E14B24"/>
    <w:rsid w:val="00E15B9C"/>
    <w:rsid w:val="00E3199F"/>
    <w:rsid w:val="00E331C7"/>
    <w:rsid w:val="00E35682"/>
    <w:rsid w:val="00E46EA3"/>
    <w:rsid w:val="00E51C1B"/>
    <w:rsid w:val="00E53DA7"/>
    <w:rsid w:val="00E56793"/>
    <w:rsid w:val="00E6018C"/>
    <w:rsid w:val="00E70886"/>
    <w:rsid w:val="00E756CF"/>
    <w:rsid w:val="00E85EB9"/>
    <w:rsid w:val="00EA3D6A"/>
    <w:rsid w:val="00EB64F7"/>
    <w:rsid w:val="00EC44C4"/>
    <w:rsid w:val="00EC6B44"/>
    <w:rsid w:val="00EE37A3"/>
    <w:rsid w:val="00EE57E1"/>
    <w:rsid w:val="00EF4431"/>
    <w:rsid w:val="00EF4539"/>
    <w:rsid w:val="00EF7AD0"/>
    <w:rsid w:val="00F071D3"/>
    <w:rsid w:val="00F11E81"/>
    <w:rsid w:val="00F21BA6"/>
    <w:rsid w:val="00F271A1"/>
    <w:rsid w:val="00F36CB4"/>
    <w:rsid w:val="00F4385E"/>
    <w:rsid w:val="00F4581A"/>
    <w:rsid w:val="00F53757"/>
    <w:rsid w:val="00F609AE"/>
    <w:rsid w:val="00F627EB"/>
    <w:rsid w:val="00F74793"/>
    <w:rsid w:val="00F75A10"/>
    <w:rsid w:val="00F75CA8"/>
    <w:rsid w:val="00F77276"/>
    <w:rsid w:val="00F85BB5"/>
    <w:rsid w:val="00F9487A"/>
    <w:rsid w:val="00F954E4"/>
    <w:rsid w:val="00F95853"/>
    <w:rsid w:val="00F95D5E"/>
    <w:rsid w:val="00FB13B3"/>
    <w:rsid w:val="00FB3F26"/>
    <w:rsid w:val="00FB509E"/>
    <w:rsid w:val="00FC3213"/>
    <w:rsid w:val="00FC48C6"/>
    <w:rsid w:val="00FC7E53"/>
    <w:rsid w:val="00FD4AAF"/>
    <w:rsid w:val="00FE7387"/>
    <w:rsid w:val="00FF56A9"/>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3E026DB6"/>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9"/>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9"/>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49">
    <w:name w:val="כותרת לוח"/>
    <w:basedOn w:val="Normal"/>
    <w:next w:val="Normal"/>
    <w:link w:val="a50"/>
    <w:qFormat/>
    <w:rsid w:val="001F2586"/>
    <w:pPr>
      <w:keepNext/>
      <w:keepLines/>
      <w:numPr>
        <w:numId w:val="15"/>
      </w:numPr>
      <w:ind w:left="717"/>
      <w:jc w:val="center"/>
      <w:outlineLvl w:val="4"/>
    </w:pPr>
    <w:rPr>
      <w:bCs/>
      <w:sz w:val="24"/>
    </w:rPr>
  </w:style>
  <w:style w:type="character" w:customStyle="1" w:styleId="a50">
    <w:name w:val="כותרת לוח תו"/>
    <w:basedOn w:val="DefaultParagraphFont"/>
    <w:link w:val="a49"/>
    <w:rsid w:val="001F2586"/>
    <w:rPr>
      <w:bCs/>
      <w:sz w:val="24"/>
    </w:rPr>
  </w:style>
  <w:style w:type="paragraph" w:customStyle="1" w:styleId="a51">
    <w:name w:val="כותרת תרשים"/>
    <w:basedOn w:val="Normal"/>
    <w:next w:val="Normal"/>
    <w:link w:val="a52"/>
    <w:qFormat/>
    <w:rsid w:val="001F2586"/>
    <w:pPr>
      <w:keepNext/>
      <w:keepLines/>
      <w:ind w:left="717" w:hanging="360"/>
      <w:jc w:val="center"/>
      <w:outlineLvl w:val="4"/>
    </w:pPr>
    <w:rPr>
      <w:bCs/>
      <w:sz w:val="24"/>
    </w:rPr>
  </w:style>
  <w:style w:type="character" w:customStyle="1" w:styleId="a52">
    <w:name w:val="כותרת תרשים תו"/>
    <w:basedOn w:val="DefaultParagraphFont"/>
    <w:link w:val="a51"/>
    <w:rsid w:val="001F2586"/>
    <w:rPr>
      <w:bCs/>
      <w:sz w:val="24"/>
    </w:rPr>
  </w:style>
  <w:style w:type="character" w:styleId="Strong">
    <w:name w:val="Strong"/>
    <w:basedOn w:val="DefaultParagraphFont"/>
    <w:uiPriority w:val="22"/>
    <w:qFormat/>
    <w:rsid w:val="001F2586"/>
    <w:rPr>
      <w:b/>
      <w:bCs/>
    </w:rPr>
  </w:style>
  <w:style w:type="character" w:customStyle="1" w:styleId="vkekvd">
    <w:name w:val="vkekvd"/>
    <w:basedOn w:val="DefaultParagraphFont"/>
    <w:rsid w:val="001F2586"/>
  </w:style>
  <w:style w:type="character" w:customStyle="1" w:styleId="n9q8lc">
    <w:name w:val="n9q8lc"/>
    <w:basedOn w:val="DefaultParagraphFont"/>
    <w:rsid w:val="001F2586"/>
  </w:style>
  <w:style w:type="paragraph" w:customStyle="1" w:styleId="Hesber">
    <w:name w:val="Hesber"/>
    <w:basedOn w:val="Normal"/>
    <w:rsid w:val="001F2586"/>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table" w:customStyle="1" w:styleId="310">
    <w:name w:val="טבלה רגילה 31"/>
    <w:basedOn w:val="TableNormal"/>
    <w:next w:val="PlainTable3"/>
    <w:uiPriority w:val="43"/>
    <w:rsid w:val="001F2586"/>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uiPriority w:val="20"/>
    <w:qFormat/>
    <w:rsid w:val="001F2586"/>
    <w:rPr>
      <w:i/>
      <w:iCs/>
    </w:rPr>
  </w:style>
  <w:style w:type="character" w:customStyle="1" w:styleId="uv3um">
    <w:name w:val="uv3um"/>
    <w:basedOn w:val="DefaultParagraphFont"/>
    <w:rsid w:val="001F2586"/>
  </w:style>
  <w:style w:type="paragraph" w:styleId="List">
    <w:name w:val="List"/>
    <w:basedOn w:val="Normal"/>
    <w:uiPriority w:val="99"/>
    <w:unhideWhenUsed/>
    <w:rsid w:val="001F2586"/>
    <w:pPr>
      <w:ind w:left="283" w:hanging="283"/>
      <w:contextualSpacing/>
    </w:pPr>
  </w:style>
  <w:style w:type="paragraph" w:styleId="List2">
    <w:name w:val="List 2"/>
    <w:basedOn w:val="Normal"/>
    <w:uiPriority w:val="99"/>
    <w:unhideWhenUsed/>
    <w:rsid w:val="001F2586"/>
    <w:pPr>
      <w:ind w:left="566" w:hanging="283"/>
      <w:contextualSpacing/>
    </w:pPr>
  </w:style>
  <w:style w:type="paragraph" w:styleId="List3">
    <w:name w:val="List 3"/>
    <w:basedOn w:val="Normal"/>
    <w:uiPriority w:val="99"/>
    <w:unhideWhenUsed/>
    <w:rsid w:val="001F2586"/>
    <w:pPr>
      <w:ind w:left="849" w:hanging="283"/>
      <w:contextualSpacing/>
    </w:pPr>
  </w:style>
  <w:style w:type="paragraph" w:styleId="ListBullet">
    <w:name w:val="List Bullet"/>
    <w:basedOn w:val="Normal"/>
    <w:uiPriority w:val="99"/>
    <w:unhideWhenUsed/>
    <w:rsid w:val="001F2586"/>
    <w:pPr>
      <w:numPr>
        <w:numId w:val="31"/>
      </w:numPr>
      <w:tabs>
        <w:tab w:val="clear" w:pos="360"/>
      </w:tabs>
      <w:ind w:left="720"/>
      <w:contextualSpacing/>
    </w:pPr>
  </w:style>
  <w:style w:type="paragraph" w:styleId="ListContinue">
    <w:name w:val="List Continue"/>
    <w:basedOn w:val="Normal"/>
    <w:uiPriority w:val="99"/>
    <w:unhideWhenUsed/>
    <w:rsid w:val="001F2586"/>
    <w:pPr>
      <w:spacing w:after="120"/>
      <w:ind w:left="283"/>
      <w:contextualSpacing/>
    </w:pPr>
  </w:style>
  <w:style w:type="paragraph" w:customStyle="1" w:styleId="110">
    <w:name w:val="כיתוב1"/>
    <w:basedOn w:val="Normal"/>
    <w:next w:val="Normal"/>
    <w:uiPriority w:val="35"/>
    <w:unhideWhenUsed/>
    <w:qFormat/>
    <w:rsid w:val="001F2586"/>
    <w:pPr>
      <w:spacing w:after="200" w:line="240" w:lineRule="auto"/>
    </w:pPr>
    <w:rPr>
      <w:i/>
      <w:iCs/>
      <w:color w:val="1F497D"/>
      <w:sz w:val="18"/>
      <w:szCs w:val="18"/>
    </w:rPr>
  </w:style>
  <w:style w:type="paragraph" w:styleId="BodyText">
    <w:name w:val="Body Text"/>
    <w:basedOn w:val="Normal"/>
    <w:link w:val="a53"/>
    <w:uiPriority w:val="99"/>
    <w:unhideWhenUsed/>
    <w:rsid w:val="001F2586"/>
    <w:pPr>
      <w:spacing w:after="120"/>
    </w:pPr>
  </w:style>
  <w:style w:type="character" w:customStyle="1" w:styleId="a53">
    <w:name w:val="גוף טקסט תו"/>
    <w:basedOn w:val="DefaultParagraphFont"/>
    <w:link w:val="BodyText"/>
    <w:uiPriority w:val="99"/>
    <w:rsid w:val="001F2586"/>
  </w:style>
  <w:style w:type="paragraph" w:styleId="BodyTextIndent">
    <w:name w:val="Body Text Indent"/>
    <w:basedOn w:val="Normal"/>
    <w:link w:val="a54"/>
    <w:uiPriority w:val="99"/>
    <w:semiHidden/>
    <w:unhideWhenUsed/>
    <w:rsid w:val="001F2586"/>
    <w:pPr>
      <w:spacing w:after="120"/>
      <w:ind w:left="283"/>
    </w:pPr>
  </w:style>
  <w:style w:type="character" w:customStyle="1" w:styleId="a54">
    <w:name w:val="כניסה בגוף טקסט תו"/>
    <w:basedOn w:val="DefaultParagraphFont"/>
    <w:link w:val="BodyTextIndent"/>
    <w:uiPriority w:val="99"/>
    <w:semiHidden/>
    <w:rsid w:val="001F2586"/>
  </w:style>
  <w:style w:type="paragraph" w:styleId="BodyTextFirstIndent2">
    <w:name w:val="Body Text First Indent 2"/>
    <w:basedOn w:val="BodyTextIndent"/>
    <w:link w:val="26"/>
    <w:uiPriority w:val="99"/>
    <w:unhideWhenUsed/>
    <w:rsid w:val="001F2586"/>
    <w:pPr>
      <w:spacing w:after="0"/>
      <w:ind w:left="360" w:firstLine="360"/>
    </w:pPr>
  </w:style>
  <w:style w:type="character" w:customStyle="1" w:styleId="26">
    <w:name w:val="כניסת שורה ראשונה בגוף טקסט 2 תו"/>
    <w:basedOn w:val="a54"/>
    <w:link w:val="BodyTextFirstIndent2"/>
    <w:uiPriority w:val="99"/>
    <w:rsid w:val="001F2586"/>
  </w:style>
  <w:style w:type="character" w:customStyle="1" w:styleId="citation-10">
    <w:name w:val="citation-10"/>
    <w:basedOn w:val="DefaultParagraphFont"/>
    <w:rsid w:val="001F2586"/>
  </w:style>
  <w:style w:type="table" w:styleId="PlainTable3">
    <w:name w:val="Plain Table 3"/>
    <w:basedOn w:val="TableNormal"/>
    <w:uiPriority w:val="43"/>
    <w:rsid w:val="001F258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hyperlink" Target="http://mvdocd2app.mevaker.loc/D2/?docbase=NM_PRD&amp;locateId=090bc09b849d5ea4" TargetMode="Externa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gif"/><Relationship Id="rId68" Type="http://schemas.openxmlformats.org/officeDocument/2006/relationships/image" Target="media/image59.gif"/><Relationship Id="rId84" Type="http://schemas.openxmlformats.org/officeDocument/2006/relationships/image" Target="media/image71.png"/><Relationship Id="rId89" Type="http://schemas.openxmlformats.org/officeDocument/2006/relationships/image" Target="media/image74.gif"/><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4.gif"/><Relationship Id="rId58" Type="http://schemas.openxmlformats.org/officeDocument/2006/relationships/image" Target="media/image49.png"/><Relationship Id="rId74" Type="http://schemas.openxmlformats.org/officeDocument/2006/relationships/hyperlink" Target="https://www.ice.co.il/dictionary/news/article/833163" TargetMode="External"/><Relationship Id="rId79" Type="http://schemas.openxmlformats.org/officeDocument/2006/relationships/image" Target="media/image68.png"/><Relationship Id="rId102" Type="http://schemas.openxmlformats.org/officeDocument/2006/relationships/customXml" Target="../customXml/item4.xml"/><Relationship Id="rId5" Type="http://schemas.openxmlformats.org/officeDocument/2006/relationships/customXml" Target="../customXml/item1.xml"/><Relationship Id="rId90" Type="http://schemas.openxmlformats.org/officeDocument/2006/relationships/image" Target="media/image75.gif"/><Relationship Id="rId95" Type="http://schemas.openxmlformats.org/officeDocument/2006/relationships/image" Target="media/image80.gif"/><Relationship Id="rId22" Type="http://schemas.openxmlformats.org/officeDocument/2006/relationships/hyperlink" Target="http://mvdocd2app.mevaker.loc/D2/?docbase=NM_PRD&amp;locateId=090bc09b84985db1" TargetMode="External"/><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gif"/><Relationship Id="rId69" Type="http://schemas.openxmlformats.org/officeDocument/2006/relationships/image" Target="media/image60.gif"/><Relationship Id="rId80" Type="http://schemas.openxmlformats.org/officeDocument/2006/relationships/image" Target="media/image69.png"/><Relationship Id="rId85" Type="http://schemas.openxmlformats.org/officeDocument/2006/relationships/hyperlink" Target="http://mvdocd2app.mevaker.loc/D2/?docbase=NM_PRD&amp;locateId=090bc09b84be0b7c"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0.gif"/><Relationship Id="rId67" Type="http://schemas.openxmlformats.org/officeDocument/2006/relationships/image" Target="media/image58.gif"/><Relationship Id="rId20" Type="http://schemas.openxmlformats.org/officeDocument/2006/relationships/hyperlink" Target="http://mvdocd2app.mevaker.loc/D2/?docbase=NM_PRD&amp;locateId=090bc09b849d5ea4" TargetMode="External"/><Relationship Id="rId41" Type="http://schemas.openxmlformats.org/officeDocument/2006/relationships/image" Target="media/image33.jpeg"/><Relationship Id="rId54" Type="http://schemas.openxmlformats.org/officeDocument/2006/relationships/image" Target="media/image45.gif"/><Relationship Id="rId62" Type="http://schemas.openxmlformats.org/officeDocument/2006/relationships/image" Target="media/image53.png"/><Relationship Id="rId70" Type="http://schemas.openxmlformats.org/officeDocument/2006/relationships/image" Target="media/image61.gif"/><Relationship Id="rId75" Type="http://schemas.openxmlformats.org/officeDocument/2006/relationships/image" Target="media/image64.png"/><Relationship Id="rId83" Type="http://schemas.openxmlformats.org/officeDocument/2006/relationships/image" Target="media/image70.png"/><Relationship Id="rId88" Type="http://schemas.openxmlformats.org/officeDocument/2006/relationships/image" Target="media/image73.gif"/><Relationship Id="rId91" Type="http://schemas.openxmlformats.org/officeDocument/2006/relationships/image" Target="media/image76.gif"/><Relationship Id="rId96" Type="http://schemas.openxmlformats.org/officeDocument/2006/relationships/header" Target="header3.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10.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gif"/><Relationship Id="rId60" Type="http://schemas.openxmlformats.org/officeDocument/2006/relationships/image" Target="media/image51.gif"/><Relationship Id="rId65" Type="http://schemas.openxmlformats.org/officeDocument/2006/relationships/image" Target="media/image56.gif"/><Relationship Id="rId73" Type="http://schemas.openxmlformats.org/officeDocument/2006/relationships/image" Target="media/image63.gif"/><Relationship Id="rId78" Type="http://schemas.openxmlformats.org/officeDocument/2006/relationships/image" Target="media/image67.png"/><Relationship Id="rId81" Type="http://schemas.openxmlformats.org/officeDocument/2006/relationships/hyperlink" Target="http://mvdocd2app.mevaker.loc/D2/?docbase=NM_PRD&amp;locateId=090bc09b84bd5a94" TargetMode="External"/><Relationship Id="rId86" Type="http://schemas.openxmlformats.org/officeDocument/2006/relationships/image" Target="media/image72.gif"/><Relationship Id="rId94" Type="http://schemas.openxmlformats.org/officeDocument/2006/relationships/image" Target="media/image79.gif"/><Relationship Id="rId99" Type="http://schemas.openxmlformats.org/officeDocument/2006/relationships/styles" Target="styles.xml"/><Relationship Id="rId101" Type="http://schemas.openxmlformats.org/officeDocument/2006/relationships/customXml" Target="../customXml/item3.xml"/><Relationship Id="rId4" Type="http://schemas.openxmlformats.org/officeDocument/2006/relationships/fontTable" Target="fontTable.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hyperlink" Target="http://mvdocd2app.mevaker.loc/D2/?docbase=NM_PRD&amp;locateId=090bc09b84b4de60" TargetMode="External"/><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theme" Target="theme/theme1.xml"/><Relationship Id="rId7" Type="http://schemas.openxmlformats.org/officeDocument/2006/relationships/header" Target="header2.xml"/><Relationship Id="rId71" Type="http://schemas.openxmlformats.org/officeDocument/2006/relationships/hyperlink" Target="https://www.gov.il/he/pages/government_decision_852f" TargetMode="External"/><Relationship Id="rId92" Type="http://schemas.openxmlformats.org/officeDocument/2006/relationships/image" Target="media/image77.gif"/><Relationship Id="rId2" Type="http://schemas.openxmlformats.org/officeDocument/2006/relationships/settings" Target="setting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gif"/><Relationship Id="rId87" Type="http://schemas.openxmlformats.org/officeDocument/2006/relationships/chart" Target="charts/chart1.xml"/><Relationship Id="rId61" Type="http://schemas.openxmlformats.org/officeDocument/2006/relationships/image" Target="media/image52.gif"/><Relationship Id="rId82" Type="http://schemas.openxmlformats.org/officeDocument/2006/relationships/hyperlink" Target="http://mvdocd2app.mevaker.loc/D2/?docbase=NM_PRD&amp;locateId=090bc09b84be0b7c"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customXml" Target="../customXml/item2.xml"/><Relationship Id="rId51" Type="http://schemas.openxmlformats.org/officeDocument/2006/relationships/image" Target="media/image42.png"/><Relationship Id="rId72" Type="http://schemas.openxmlformats.org/officeDocument/2006/relationships/image" Target="media/image62.png"/><Relationship Id="rId8" Type="http://schemas.openxmlformats.org/officeDocument/2006/relationships/footer" Target="footer1.xml"/><Relationship Id="rId93" Type="http://schemas.openxmlformats.org/officeDocument/2006/relationships/image" Target="media/image78.gif"/><Relationship Id="rId98" Type="http://schemas.openxmlformats.org/officeDocument/2006/relationships/numbering" Target="numbering.xml"/><Relationship Id="rId3" Type="http://schemas.openxmlformats.org/officeDocument/2006/relationships/webSettings" Target="webSettings.xml"/></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גיליון1!$B$1</c:f>
              <c:strCache>
                <c:ptCount val="1"/>
                <c:pt idx="0">
                  <c:v>סידרה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גיליון1!$A$2:$A$11</c:f>
              <c:strCache>
                <c:ptCount val="10"/>
                <c:pt idx="0">
                  <c:v>בינוי ונדל"ן</c:v>
                </c:pt>
                <c:pt idx="1">
                  <c:v>אנשים פרטיים- אחר </c:v>
                </c:pt>
                <c:pt idx="2">
                  <c:v>מסחר</c:v>
                </c:pt>
                <c:pt idx="3">
                  <c:v>אנשים פרטיים- לדיור</c:v>
                </c:pt>
                <c:pt idx="4">
                  <c:v>אחר</c:v>
                </c:pt>
                <c:pt idx="5">
                  <c:v>שירותים עסקיים אחרים</c:v>
                </c:pt>
                <c:pt idx="6">
                  <c:v>תחבורה</c:v>
                </c:pt>
                <c:pt idx="7">
                  <c:v>נותני שירותי אשראי</c:v>
                </c:pt>
                <c:pt idx="8">
                  <c:v>תעשיה וחרושת</c:v>
                </c:pt>
                <c:pt idx="9">
                  <c:v>בתי מלון</c:v>
                </c:pt>
              </c:strCache>
            </c:strRef>
          </c:cat>
          <c:val>
            <c:numRef>
              <c:f>גיליון1!$B$2:$B$11</c:f>
              <c:numCache>
                <c:formatCode>General</c:formatCode>
                <c:ptCount val="10"/>
                <c:pt idx="0">
                  <c:v>22.85</c:v>
                </c:pt>
                <c:pt idx="1">
                  <c:v>13.2</c:v>
                </c:pt>
                <c:pt idx="2">
                  <c:v>11.42</c:v>
                </c:pt>
                <c:pt idx="3">
                  <c:v>5.52</c:v>
                </c:pt>
                <c:pt idx="4">
                  <c:v>3.06</c:v>
                </c:pt>
                <c:pt idx="5">
                  <c:v>2.71</c:v>
                </c:pt>
                <c:pt idx="6">
                  <c:v>1.83</c:v>
                </c:pt>
                <c:pt idx="7">
                  <c:v>1.53</c:v>
                </c:pt>
                <c:pt idx="8">
                  <c:v>1.47</c:v>
                </c:pt>
                <c:pt idx="9">
                  <c:v>0.79</c:v>
                </c:pt>
              </c:numCache>
            </c:numRef>
          </c:val>
          <c:extLst>
            <c:ext xmlns:c16="http://schemas.microsoft.com/office/drawing/2014/chart" uri="{C3380CC4-5D6E-409C-BE32-E72D297353CC}">
              <c16:uniqueId val="{00000000-C5E7-4C93-A9A8-E1F4B15A6607}"/>
            </c:ext>
          </c:extLst>
        </c:ser>
        <c:dLbls>
          <c:showLegendKey val="0"/>
          <c:showVal val="0"/>
          <c:showCatName val="0"/>
          <c:showSerName val="0"/>
          <c:showPercent val="0"/>
          <c:showBubbleSize val="0"/>
        </c:dLbls>
        <c:gapWidth val="219"/>
        <c:overlap val="-27"/>
        <c:axId val="1867139264"/>
        <c:axId val="206327392"/>
      </c:barChart>
      <c:catAx>
        <c:axId val="18671392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206327392"/>
        <c:crosses val="autoZero"/>
        <c:auto val="1"/>
        <c:lblAlgn val="ctr"/>
        <c:lblOffset val="100"/>
        <c:noMultiLvlLbl val="0"/>
      </c:catAx>
      <c:valAx>
        <c:axId val="20632739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867139264"/>
        <c:crosses val="autoZero"/>
        <c:crossBetween val="between"/>
      </c:valAx>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7190189-69BC-4B86-B5AB-8BD5CB86DC24}">
  <ds:schemaRefs>
    <ds:schemaRef ds:uri="http://schemas.openxmlformats.org/officeDocument/2006/bibliography"/>
  </ds:schemaRefs>
</ds:datastoreItem>
</file>

<file path=customXml/itemProps2.xml><?xml version="1.0" encoding="utf-8"?>
<ds:datastoreItem xmlns:ds="http://schemas.openxmlformats.org/officeDocument/2006/customXml" ds:itemID="{8D130AB2-81AF-45A8-8EFD-A92E2B47EB65}"/>
</file>

<file path=customXml/itemProps3.xml><?xml version="1.0" encoding="utf-8"?>
<ds:datastoreItem xmlns:ds="http://schemas.openxmlformats.org/officeDocument/2006/customXml" ds:itemID="{8301F282-260E-4E37-9C17-C891A6B59BCB}"/>
</file>

<file path=customXml/itemProps4.xml><?xml version="1.0" encoding="utf-8"?>
<ds:datastoreItem xmlns:ds="http://schemas.openxmlformats.org/officeDocument/2006/customXml" ds:itemID="{4821E14B-98D5-4695-9429-2A6D4E88949A}"/>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